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EB610" w14:textId="77777777" w:rsidR="00705F9C" w:rsidRDefault="00CF1BAA" w:rsidP="00365F87">
      <w:pPr>
        <w:spacing w:line="480" w:lineRule="auto"/>
        <w:rPr>
          <w:sz w:val="24"/>
          <w:szCs w:val="24"/>
        </w:rPr>
      </w:pPr>
      <w:r w:rsidRPr="00365F87">
        <w:rPr>
          <w:sz w:val="24"/>
          <w:szCs w:val="24"/>
        </w:rPr>
        <w:t xml:space="preserve">Research For </w:t>
      </w:r>
      <w:proofErr w:type="gramStart"/>
      <w:r w:rsidRPr="00365F87">
        <w:rPr>
          <w:sz w:val="24"/>
          <w:szCs w:val="24"/>
        </w:rPr>
        <w:t xml:space="preserve">Learning </w:t>
      </w:r>
      <w:r w:rsidR="00705F9C">
        <w:rPr>
          <w:sz w:val="24"/>
          <w:szCs w:val="24"/>
        </w:rPr>
        <w:t xml:space="preserve"> -</w:t>
      </w:r>
      <w:proofErr w:type="gramEnd"/>
      <w:r w:rsidR="00705F9C">
        <w:rPr>
          <w:sz w:val="24"/>
          <w:szCs w:val="24"/>
        </w:rPr>
        <w:t xml:space="preserve"> ECEY5010</w:t>
      </w:r>
    </w:p>
    <w:p w14:paraId="0E1484EF" w14:textId="54E5ADB9" w:rsidR="00705F9C" w:rsidRDefault="00705F9C" w:rsidP="00365F87">
      <w:pPr>
        <w:spacing w:line="480" w:lineRule="auto"/>
        <w:rPr>
          <w:sz w:val="24"/>
          <w:szCs w:val="24"/>
        </w:rPr>
      </w:pPr>
      <w:r>
        <w:rPr>
          <w:sz w:val="24"/>
          <w:szCs w:val="24"/>
        </w:rPr>
        <w:t>Student number 2519219</w:t>
      </w:r>
    </w:p>
    <w:p w14:paraId="1EC7C2F1" w14:textId="77777777" w:rsidR="00705F9C" w:rsidRDefault="00705F9C" w:rsidP="00365F87">
      <w:pPr>
        <w:spacing w:line="480" w:lineRule="auto"/>
        <w:rPr>
          <w:sz w:val="24"/>
          <w:szCs w:val="24"/>
        </w:rPr>
      </w:pPr>
    </w:p>
    <w:p w14:paraId="34CB6451" w14:textId="54F9B771" w:rsidR="00404E22" w:rsidRDefault="00404E22" w:rsidP="00365F87">
      <w:pPr>
        <w:spacing w:line="480" w:lineRule="auto"/>
        <w:rPr>
          <w:sz w:val="24"/>
          <w:szCs w:val="24"/>
        </w:rPr>
      </w:pPr>
      <w:r w:rsidRPr="00404E22">
        <w:rPr>
          <w:sz w:val="24"/>
          <w:szCs w:val="24"/>
        </w:rPr>
        <w:t>I confirm that I have not used AI tools in the research and creation of this assignment. I confirm that I have not presented any AI generated materials as my own work. I confirm I have copies of my drafts, notes, and other resources I used, which I may be asked to provide in evidence.</w:t>
      </w:r>
    </w:p>
    <w:p w14:paraId="214AF5E7" w14:textId="77777777" w:rsidR="00705F9C" w:rsidRDefault="00705F9C" w:rsidP="00365F87">
      <w:pPr>
        <w:spacing w:line="480" w:lineRule="auto"/>
        <w:rPr>
          <w:sz w:val="24"/>
          <w:szCs w:val="24"/>
        </w:rPr>
      </w:pPr>
    </w:p>
    <w:p w14:paraId="48FC281E" w14:textId="77777777" w:rsidR="00705F9C" w:rsidRDefault="00705F9C" w:rsidP="00365F87">
      <w:pPr>
        <w:spacing w:line="480" w:lineRule="auto"/>
        <w:rPr>
          <w:sz w:val="24"/>
          <w:szCs w:val="24"/>
        </w:rPr>
      </w:pPr>
    </w:p>
    <w:p w14:paraId="55FAA273" w14:textId="77777777" w:rsidR="00705F9C" w:rsidRDefault="00705F9C" w:rsidP="00365F87">
      <w:pPr>
        <w:spacing w:line="480" w:lineRule="auto"/>
        <w:rPr>
          <w:sz w:val="24"/>
          <w:szCs w:val="24"/>
        </w:rPr>
      </w:pPr>
    </w:p>
    <w:p w14:paraId="54AD5C6A" w14:textId="77777777" w:rsidR="00705F9C" w:rsidRDefault="00705F9C" w:rsidP="00365F87">
      <w:pPr>
        <w:spacing w:line="480" w:lineRule="auto"/>
        <w:rPr>
          <w:sz w:val="24"/>
          <w:szCs w:val="24"/>
        </w:rPr>
      </w:pPr>
    </w:p>
    <w:p w14:paraId="58D44977" w14:textId="77777777" w:rsidR="00705F9C" w:rsidRDefault="00705F9C" w:rsidP="00365F87">
      <w:pPr>
        <w:spacing w:line="480" w:lineRule="auto"/>
        <w:rPr>
          <w:sz w:val="24"/>
          <w:szCs w:val="24"/>
        </w:rPr>
      </w:pPr>
    </w:p>
    <w:p w14:paraId="729EE9C3" w14:textId="77777777" w:rsidR="00705F9C" w:rsidRDefault="00705F9C" w:rsidP="00365F87">
      <w:pPr>
        <w:spacing w:line="480" w:lineRule="auto"/>
        <w:rPr>
          <w:sz w:val="24"/>
          <w:szCs w:val="24"/>
        </w:rPr>
      </w:pPr>
    </w:p>
    <w:p w14:paraId="617D8D97" w14:textId="77777777" w:rsidR="00705F9C" w:rsidRDefault="00705F9C" w:rsidP="00365F87">
      <w:pPr>
        <w:spacing w:line="480" w:lineRule="auto"/>
        <w:rPr>
          <w:sz w:val="24"/>
          <w:szCs w:val="24"/>
        </w:rPr>
      </w:pPr>
    </w:p>
    <w:p w14:paraId="3017A8AF" w14:textId="77777777" w:rsidR="00705F9C" w:rsidRDefault="00705F9C" w:rsidP="00365F87">
      <w:pPr>
        <w:spacing w:line="480" w:lineRule="auto"/>
        <w:rPr>
          <w:sz w:val="24"/>
          <w:szCs w:val="24"/>
        </w:rPr>
      </w:pPr>
    </w:p>
    <w:p w14:paraId="5479BD2C" w14:textId="77777777" w:rsidR="00705F9C" w:rsidRDefault="00705F9C" w:rsidP="00365F87">
      <w:pPr>
        <w:spacing w:line="480" w:lineRule="auto"/>
        <w:rPr>
          <w:sz w:val="24"/>
          <w:szCs w:val="24"/>
        </w:rPr>
      </w:pPr>
    </w:p>
    <w:p w14:paraId="0E769BEB" w14:textId="77777777" w:rsidR="00705F9C" w:rsidRDefault="00705F9C" w:rsidP="00365F87">
      <w:pPr>
        <w:spacing w:line="480" w:lineRule="auto"/>
        <w:rPr>
          <w:sz w:val="24"/>
          <w:szCs w:val="24"/>
        </w:rPr>
      </w:pPr>
    </w:p>
    <w:p w14:paraId="295BA5F2" w14:textId="77777777" w:rsidR="00705F9C" w:rsidRDefault="00705F9C" w:rsidP="00365F87">
      <w:pPr>
        <w:spacing w:line="480" w:lineRule="auto"/>
        <w:rPr>
          <w:sz w:val="24"/>
          <w:szCs w:val="24"/>
        </w:rPr>
      </w:pPr>
    </w:p>
    <w:p w14:paraId="7F773D6D" w14:textId="77777777" w:rsidR="00705F9C" w:rsidRDefault="00705F9C" w:rsidP="00365F87">
      <w:pPr>
        <w:spacing w:line="480" w:lineRule="auto"/>
        <w:rPr>
          <w:sz w:val="24"/>
          <w:szCs w:val="24"/>
        </w:rPr>
      </w:pPr>
    </w:p>
    <w:p w14:paraId="6CAC6C27" w14:textId="77777777" w:rsidR="00705F9C" w:rsidRDefault="00705F9C" w:rsidP="00365F87">
      <w:pPr>
        <w:spacing w:line="480" w:lineRule="auto"/>
        <w:rPr>
          <w:sz w:val="24"/>
          <w:szCs w:val="24"/>
        </w:rPr>
      </w:pPr>
    </w:p>
    <w:p w14:paraId="6C859BD8" w14:textId="77777777" w:rsidR="00705F9C" w:rsidRDefault="00705F9C" w:rsidP="00365F87">
      <w:pPr>
        <w:spacing w:line="480" w:lineRule="auto"/>
        <w:rPr>
          <w:sz w:val="24"/>
          <w:szCs w:val="24"/>
        </w:rPr>
      </w:pPr>
    </w:p>
    <w:p w14:paraId="32F71C4D" w14:textId="77777777" w:rsidR="00705F9C" w:rsidRDefault="00705F9C" w:rsidP="00365F87">
      <w:pPr>
        <w:spacing w:line="480" w:lineRule="auto"/>
        <w:rPr>
          <w:sz w:val="24"/>
          <w:szCs w:val="24"/>
        </w:rPr>
      </w:pPr>
    </w:p>
    <w:p w14:paraId="3050E03F" w14:textId="4D057BF5" w:rsidR="007833BC" w:rsidRDefault="00705F9C" w:rsidP="00365F87">
      <w:pPr>
        <w:spacing w:line="480" w:lineRule="auto"/>
        <w:rPr>
          <w:sz w:val="24"/>
          <w:szCs w:val="24"/>
        </w:rPr>
      </w:pPr>
      <w:r>
        <w:rPr>
          <w:sz w:val="24"/>
          <w:szCs w:val="24"/>
        </w:rPr>
        <w:t xml:space="preserve"> </w:t>
      </w:r>
    </w:p>
    <w:p w14:paraId="6C28989A" w14:textId="77777777" w:rsidR="00705F9C" w:rsidRPr="00365F87" w:rsidRDefault="00705F9C" w:rsidP="00365F87">
      <w:pPr>
        <w:spacing w:line="480" w:lineRule="auto"/>
        <w:rPr>
          <w:sz w:val="24"/>
          <w:szCs w:val="24"/>
        </w:rPr>
      </w:pPr>
    </w:p>
    <w:p w14:paraId="1E406FE1" w14:textId="6C7333CB" w:rsidR="00CF1BAA" w:rsidRPr="00365F87" w:rsidRDefault="00CF1BAA" w:rsidP="00365F87">
      <w:pPr>
        <w:spacing w:line="480" w:lineRule="auto"/>
        <w:rPr>
          <w:sz w:val="24"/>
          <w:szCs w:val="24"/>
        </w:rPr>
      </w:pPr>
      <w:r w:rsidRPr="00365F87">
        <w:rPr>
          <w:sz w:val="24"/>
          <w:szCs w:val="24"/>
        </w:rPr>
        <w:t xml:space="preserve">What is the </w:t>
      </w:r>
      <w:proofErr w:type="gramStart"/>
      <w:r w:rsidRPr="00365F87">
        <w:rPr>
          <w:sz w:val="24"/>
          <w:szCs w:val="24"/>
        </w:rPr>
        <w:t>long term</w:t>
      </w:r>
      <w:proofErr w:type="gramEnd"/>
      <w:r w:rsidRPr="00365F87">
        <w:rPr>
          <w:sz w:val="24"/>
          <w:szCs w:val="24"/>
        </w:rPr>
        <w:t xml:space="preserve"> impact of early diagnosis and targeted intervention on the academic and social development of children with additional learning needs (ALN)?</w:t>
      </w:r>
    </w:p>
    <w:p w14:paraId="2E0BFE78" w14:textId="3DE023FA" w:rsidR="009C684D" w:rsidRPr="00365F87" w:rsidRDefault="009C684D" w:rsidP="00365F87">
      <w:pPr>
        <w:spacing w:line="480" w:lineRule="auto"/>
        <w:rPr>
          <w:sz w:val="24"/>
          <w:szCs w:val="24"/>
        </w:rPr>
      </w:pPr>
      <w:r w:rsidRPr="00365F87">
        <w:rPr>
          <w:sz w:val="24"/>
          <w:szCs w:val="24"/>
        </w:rPr>
        <w:t xml:space="preserve">Literature Review </w:t>
      </w:r>
    </w:p>
    <w:p w14:paraId="0C5A4FE4" w14:textId="3065922C" w:rsidR="006E463E" w:rsidRPr="006E463E" w:rsidRDefault="006E463E" w:rsidP="006E463E">
      <w:pPr>
        <w:spacing w:line="480" w:lineRule="auto"/>
        <w:rPr>
          <w:sz w:val="24"/>
          <w:szCs w:val="24"/>
        </w:rPr>
      </w:pPr>
      <w:r w:rsidRPr="006E463E">
        <w:rPr>
          <w:sz w:val="24"/>
          <w:szCs w:val="24"/>
        </w:rPr>
        <w:t>Additional Learning Needs (ALN) refers to a wide range of educational, developmental, behavioural, and emotional difficulties that require additional support in educational settings. Children with ALN may experience conditions such as autism spectrum disorder (ASD), attention deficit hyperactivity disorder (ADHD), dyslexia, speech and language difficulties, sensory impairments, or social and emotional challenges. Over recent decades, educational policy and research have increasingly emphasised the importance of early diagnosis and targeted intervention to improve long-term outcomes for children with ALN. Evidence suggests that identifying difficulties early and implementing structured interventions can significantly enhance academic attainment, communication skills, emotional wellbeing, and social integration throughout childhood and adolescence (</w:t>
      </w:r>
      <w:proofErr w:type="spellStart"/>
      <w:r w:rsidRPr="006E463E">
        <w:rPr>
          <w:sz w:val="24"/>
          <w:szCs w:val="24"/>
        </w:rPr>
        <w:t>Oberklaid</w:t>
      </w:r>
      <w:proofErr w:type="spellEnd"/>
      <w:r w:rsidRPr="006E463E">
        <w:rPr>
          <w:sz w:val="24"/>
          <w:szCs w:val="24"/>
        </w:rPr>
        <w:t xml:space="preserve"> et al., 2013; Barger et al., 2018). Early intervention is therefore widely recognised as a key factor in reducing educational inequality and promoting inclusion (Department for Education, 2015).</w:t>
      </w:r>
    </w:p>
    <w:p w14:paraId="4111A637" w14:textId="5BB7AC9B" w:rsidR="006E463E" w:rsidRPr="006E463E" w:rsidRDefault="006E463E" w:rsidP="006E463E">
      <w:pPr>
        <w:spacing w:line="480" w:lineRule="auto"/>
        <w:rPr>
          <w:sz w:val="24"/>
          <w:szCs w:val="24"/>
        </w:rPr>
      </w:pPr>
      <w:r w:rsidRPr="006E463E">
        <w:rPr>
          <w:sz w:val="24"/>
          <w:szCs w:val="24"/>
        </w:rPr>
        <w:lastRenderedPageBreak/>
        <w:t xml:space="preserve">Research consistently demonstrates that early diagnosis enables professionals to provide support during critical developmental periods when the brain is most adaptable. According to </w:t>
      </w:r>
      <w:proofErr w:type="spellStart"/>
      <w:r w:rsidRPr="006E463E">
        <w:rPr>
          <w:sz w:val="24"/>
          <w:szCs w:val="24"/>
        </w:rPr>
        <w:t>Oberklaid</w:t>
      </w:r>
      <w:proofErr w:type="spellEnd"/>
      <w:r w:rsidRPr="006E463E">
        <w:rPr>
          <w:sz w:val="24"/>
          <w:szCs w:val="24"/>
        </w:rPr>
        <w:t xml:space="preserve"> et al. (2013), developmental difficulties that remain unidentified during early childhood often become more severe as educational demands increase. Children who do not receive timely support are more likely to experience persistent literacy difficulties, behavioural problems, and poor social relationships (</w:t>
      </w:r>
      <w:proofErr w:type="spellStart"/>
      <w:r w:rsidRPr="006E463E">
        <w:rPr>
          <w:sz w:val="24"/>
          <w:szCs w:val="24"/>
        </w:rPr>
        <w:t>Aldharman</w:t>
      </w:r>
      <w:proofErr w:type="spellEnd"/>
      <w:r w:rsidRPr="006E463E">
        <w:rPr>
          <w:sz w:val="24"/>
          <w:szCs w:val="24"/>
        </w:rPr>
        <w:t xml:space="preserve"> et al., 2023). Early identification allows teachers, speech therapists, psychologists, and parents to implement interventions before developmental gaps widen. This reflects Bronfenbrenner’s ecological systems theory, which emphasises the importance of supportive interactions between the child, family, school, and wider community in promoting positive development (Bronfenbrenner, 1979). Early intervention strengthens these systems by encouraging collaboration between professionals and families (</w:t>
      </w:r>
      <w:proofErr w:type="spellStart"/>
      <w:r w:rsidRPr="006E463E">
        <w:rPr>
          <w:sz w:val="24"/>
          <w:szCs w:val="24"/>
        </w:rPr>
        <w:t>Celinska</w:t>
      </w:r>
      <w:proofErr w:type="spellEnd"/>
      <w:r w:rsidRPr="006E463E">
        <w:rPr>
          <w:sz w:val="24"/>
          <w:szCs w:val="24"/>
        </w:rPr>
        <w:t>, 2025; Vygotsky, 1978).</w:t>
      </w:r>
    </w:p>
    <w:p w14:paraId="09DD0FA8" w14:textId="53FAE889" w:rsidR="006E463E" w:rsidRPr="006E463E" w:rsidRDefault="006E463E" w:rsidP="006E463E">
      <w:pPr>
        <w:spacing w:line="480" w:lineRule="auto"/>
        <w:rPr>
          <w:sz w:val="24"/>
          <w:szCs w:val="24"/>
        </w:rPr>
      </w:pPr>
      <w:r w:rsidRPr="006E463E">
        <w:rPr>
          <w:sz w:val="24"/>
          <w:szCs w:val="24"/>
        </w:rPr>
        <w:t xml:space="preserve">One of the most significant long-term benefits of early diagnosis is improved academic achievement. Children with ALN frequently encounter barriers to literacy, numeracy, concentration, and classroom participation. Research into Response to Intervention (RTI) models demonstrates that targeted support introduced during the early years can substantially reduce later academic failure. Siegel (2020) found that structured literacy interventions implemented in primary school reduced reading failure rates to approximately 1.5% among children identified as at risk of dyslexia and other learning difficulties. Similarly, </w:t>
      </w:r>
      <w:proofErr w:type="spellStart"/>
      <w:r w:rsidRPr="006E463E">
        <w:rPr>
          <w:sz w:val="24"/>
          <w:szCs w:val="24"/>
        </w:rPr>
        <w:t>Snowling</w:t>
      </w:r>
      <w:proofErr w:type="spellEnd"/>
      <w:r w:rsidRPr="006E463E">
        <w:rPr>
          <w:sz w:val="24"/>
          <w:szCs w:val="24"/>
        </w:rPr>
        <w:t xml:space="preserve"> and Hulme (2012) argue that early phonological and language interventions significantly improve reading outcomes for children with literacy-based difficulties. These findings indicate that early intervention can prevent </w:t>
      </w:r>
      <w:r w:rsidRPr="006E463E">
        <w:rPr>
          <w:sz w:val="24"/>
          <w:szCs w:val="24"/>
        </w:rPr>
        <w:lastRenderedPageBreak/>
        <w:t>children from falling permanently behind their peers academically and can improve long-term educational attainment (Farrell, 2017).</w:t>
      </w:r>
    </w:p>
    <w:p w14:paraId="3BC92842" w14:textId="73350482" w:rsidR="006E463E" w:rsidRPr="006E463E" w:rsidRDefault="006E463E" w:rsidP="006E463E">
      <w:pPr>
        <w:spacing w:line="480" w:lineRule="auto"/>
        <w:rPr>
          <w:sz w:val="24"/>
          <w:szCs w:val="24"/>
        </w:rPr>
      </w:pPr>
      <w:r w:rsidRPr="006E463E">
        <w:rPr>
          <w:sz w:val="24"/>
          <w:szCs w:val="24"/>
        </w:rPr>
        <w:t>Similarly, studies focusing on speech and language interventions suggest that children who receive early communication support demonstrate stronger vocabulary development, improved comprehension, and greater confidence in classroom participation than those diagnosed later. Communication is fundamental to learning because children rely on language to access the curriculum, express ideas, and engage in collaborative activities. Delays in communication skills often affect reading comprehension, writing ability, and peer relationships (</w:t>
      </w:r>
      <w:proofErr w:type="spellStart"/>
      <w:r w:rsidRPr="006E463E">
        <w:rPr>
          <w:sz w:val="24"/>
          <w:szCs w:val="24"/>
        </w:rPr>
        <w:t>Dockrell</w:t>
      </w:r>
      <w:proofErr w:type="spellEnd"/>
      <w:r w:rsidRPr="006E463E">
        <w:rPr>
          <w:sz w:val="24"/>
          <w:szCs w:val="24"/>
        </w:rPr>
        <w:t xml:space="preserve"> and Lindsay, 2001). Therefore, early diagnosis allows educators to implement personalised strategies that support cognitive and linguistic development before educational difficulties become entrenched (Barger et al., 2018; Law, Garrett and Nye, 2004).</w:t>
      </w:r>
    </w:p>
    <w:p w14:paraId="1FCCAADB" w14:textId="7F0162B7" w:rsidR="006E463E" w:rsidRPr="006E463E" w:rsidRDefault="006E463E" w:rsidP="006E463E">
      <w:pPr>
        <w:spacing w:line="480" w:lineRule="auto"/>
        <w:rPr>
          <w:sz w:val="24"/>
          <w:szCs w:val="24"/>
        </w:rPr>
      </w:pPr>
      <w:r w:rsidRPr="006E463E">
        <w:rPr>
          <w:sz w:val="24"/>
          <w:szCs w:val="24"/>
        </w:rPr>
        <w:t xml:space="preserve">The long-term social benefits of early diagnosis and intervention are equally significant. Many children with ALN struggle with emotional regulation, social communication, and relationship building. Without appropriate support, these challenges may contribute to social isolation, anxiety, low self-esteem, and behavioural difficulties (Antalek, Dixon and Taha, 2025; Humphrey and Symes, 2011). Early intervention programmes frequently include social skills training, behavioural therapy, emotional support, and structured play activities designed to improve interpersonal interaction. Research conducted by Gustafsson, </w:t>
      </w:r>
      <w:proofErr w:type="spellStart"/>
      <w:r w:rsidRPr="006E463E">
        <w:rPr>
          <w:sz w:val="24"/>
          <w:szCs w:val="24"/>
        </w:rPr>
        <w:t>Steinwall</w:t>
      </w:r>
      <w:proofErr w:type="spellEnd"/>
      <w:r w:rsidRPr="006E463E">
        <w:rPr>
          <w:sz w:val="24"/>
          <w:szCs w:val="24"/>
        </w:rPr>
        <w:t xml:space="preserve">, and Korhonen (2022) highlighted that multidisciplinary preschool intervention programmes improved emotional regulation and peer interaction among children with neurodevelopmental difficulties. Children who participated in early support programmes were more likely to form friendships, engage </w:t>
      </w:r>
      <w:r w:rsidRPr="006E463E">
        <w:rPr>
          <w:sz w:val="24"/>
          <w:szCs w:val="24"/>
        </w:rPr>
        <w:lastRenderedPageBreak/>
        <w:t>positively with peers, and demonstrate emotional resilience during later schooling (Jones et al., 2015).</w:t>
      </w:r>
    </w:p>
    <w:p w14:paraId="24778B36" w14:textId="010D8704" w:rsidR="006E463E" w:rsidRPr="006E463E" w:rsidRDefault="006E463E" w:rsidP="006E463E">
      <w:pPr>
        <w:spacing w:line="480" w:lineRule="auto"/>
        <w:rPr>
          <w:sz w:val="24"/>
          <w:szCs w:val="24"/>
        </w:rPr>
      </w:pPr>
      <w:r w:rsidRPr="006E463E">
        <w:rPr>
          <w:sz w:val="24"/>
          <w:szCs w:val="24"/>
        </w:rPr>
        <w:t xml:space="preserve">Furthermore, early intervention contributes positively to children’s mental health and emotional wellbeing. Children with unidentified ALN often experience repeated failure in educational settings, which can damage confidence and motivation. Over time, this may result in school avoidance, anxiety disorders, depression, and challenging behaviour (Humphrey, 2008). According to </w:t>
      </w:r>
      <w:proofErr w:type="spellStart"/>
      <w:r w:rsidRPr="006E463E">
        <w:rPr>
          <w:sz w:val="24"/>
          <w:szCs w:val="24"/>
        </w:rPr>
        <w:t>Aldharman</w:t>
      </w:r>
      <w:proofErr w:type="spellEnd"/>
      <w:r w:rsidRPr="006E463E">
        <w:rPr>
          <w:sz w:val="24"/>
          <w:szCs w:val="24"/>
        </w:rPr>
        <w:t xml:space="preserve"> et al. (2023), children who receive early developmental support demonstrate improved emotional adjustment and reduced long-term behavioural difficulties compared to those diagnosed later. This suggests that early intervention not only improves academic skills but also protects children from the secondary consequences of educational exclusion and negative self-perception (Wehmeyer and Shogren, 2016).</w:t>
      </w:r>
    </w:p>
    <w:p w14:paraId="20A5A79C" w14:textId="6C43D349" w:rsidR="006E463E" w:rsidRPr="006E463E" w:rsidRDefault="006E463E" w:rsidP="006E463E">
      <w:pPr>
        <w:spacing w:line="480" w:lineRule="auto"/>
        <w:rPr>
          <w:sz w:val="24"/>
          <w:szCs w:val="24"/>
        </w:rPr>
      </w:pPr>
      <w:r w:rsidRPr="006E463E">
        <w:rPr>
          <w:sz w:val="24"/>
          <w:szCs w:val="24"/>
        </w:rPr>
        <w:t xml:space="preserve">Family involvement is another important factor influencing the effectiveness of early intervention. Research suggests that parents who receive support following diagnosis are better able to advocate for their child’s educational needs and create supportive home learning environments. Family-centred interventions encourage consistency between home and school strategies, helping children transfer skills across different contexts. </w:t>
      </w:r>
      <w:proofErr w:type="spellStart"/>
      <w:r w:rsidRPr="006E463E">
        <w:rPr>
          <w:sz w:val="24"/>
          <w:szCs w:val="24"/>
        </w:rPr>
        <w:t>Tebruegge</w:t>
      </w:r>
      <w:proofErr w:type="spellEnd"/>
      <w:r w:rsidRPr="006E463E">
        <w:rPr>
          <w:sz w:val="24"/>
          <w:szCs w:val="24"/>
        </w:rPr>
        <w:t>, Nandini, and Ritchie (2004) argue that collaborative partnerships between families and professionals are essential in ensuring early intervention is effective and sustainable. Parents who understand their child’s needs are more likely to engage in positive communication, reinforce therapeutic strategies, and support emotional development (Dunst, Trivette and Hamby, 2007). Additionally, Epstein (2018) highlights that strong parental involvement is consistently linked to improved educational outcomes and social adjustment for children with additional needs.</w:t>
      </w:r>
    </w:p>
    <w:p w14:paraId="59950592" w14:textId="620EC90D" w:rsidR="006E463E" w:rsidRPr="006E463E" w:rsidRDefault="006E463E" w:rsidP="006E463E">
      <w:pPr>
        <w:spacing w:line="480" w:lineRule="auto"/>
        <w:rPr>
          <w:sz w:val="24"/>
          <w:szCs w:val="24"/>
        </w:rPr>
      </w:pPr>
      <w:r w:rsidRPr="006E463E">
        <w:rPr>
          <w:sz w:val="24"/>
          <w:szCs w:val="24"/>
        </w:rPr>
        <w:t xml:space="preserve">Despite the significant advantages associated with early diagnosis, the literature identifies several challenges and criticisms. One major concern involves delays in assessment and unequal access to specialist services. Many educational and healthcare systems experience long waiting times for developmental assessments due to limited funding and shortages of trained professionals. Rutherford et al. (2021) </w:t>
      </w:r>
      <w:r w:rsidRPr="006E463E">
        <w:rPr>
          <w:sz w:val="24"/>
          <w:szCs w:val="24"/>
        </w:rPr>
        <w:lastRenderedPageBreak/>
        <w:t>highlight that inconsistencies in assessment pathways often result in children receiving support too late to maximise developmental progress. Children from disadvantaged socioeconomic backgrounds may experience additional barriers to accessing early intervention services, increasing the risk of educational inequality (Slee, 2018). Furthermore, Norwich (2014) argues that variations in school resources and local authority provision can significantly affect the quality of support children receive.</w:t>
      </w:r>
    </w:p>
    <w:p w14:paraId="3575D8C3" w14:textId="0271C7E8" w:rsidR="006E463E" w:rsidRPr="006E463E" w:rsidRDefault="006E463E" w:rsidP="006E463E">
      <w:pPr>
        <w:spacing w:line="480" w:lineRule="auto"/>
        <w:rPr>
          <w:sz w:val="24"/>
          <w:szCs w:val="24"/>
        </w:rPr>
      </w:pPr>
      <w:r w:rsidRPr="006E463E">
        <w:rPr>
          <w:sz w:val="24"/>
          <w:szCs w:val="24"/>
        </w:rPr>
        <w:t>Another criticism relates to the potential negative effects of labelling. Some researchers argue that assigning diagnostic labels at an early age may stigmatise children or contribute to lowered expectations from teachers and peers (Becker, 1963). Labelling theory suggests that categorising children according to deficits can negatively influence self-identity and social perception. However, contemporary research generally concludes that the benefits of diagnosis outweigh the risks, particularly when educational environments promote inclusion and strengths-based approaches (Runswick-Cole, 2011). Rather than limiting children, diagnosis can provide access to specialist resources, legal protections, and targeted support that may otherwise be unavailable (Rutherford et al., 2021).</w:t>
      </w:r>
    </w:p>
    <w:p w14:paraId="5A0BA787" w14:textId="03CA497C" w:rsidR="006E463E" w:rsidRPr="006E463E" w:rsidRDefault="006E463E" w:rsidP="006E463E">
      <w:pPr>
        <w:spacing w:line="480" w:lineRule="auto"/>
        <w:rPr>
          <w:sz w:val="24"/>
          <w:szCs w:val="24"/>
        </w:rPr>
      </w:pPr>
      <w:r w:rsidRPr="006E463E">
        <w:rPr>
          <w:sz w:val="24"/>
          <w:szCs w:val="24"/>
        </w:rPr>
        <w:t xml:space="preserve">The effectiveness of targeted intervention also depends heavily on the quality and consistency of educational provision. Successful interventions require trained staff, adequate funding, multi-agency collaboration, and individualised planning. Generic interventions are often less effective because ALN encompasses a broad range of needs and experiences. Vygotsky’s theory of scaffolding highlights the importance of adapting support to each child’s developmental level (Vygotsky, 1978). Personalised interventions that consider cognitive, emotional, social, and environmental factors are </w:t>
      </w:r>
      <w:r w:rsidRPr="006E463E">
        <w:rPr>
          <w:sz w:val="24"/>
          <w:szCs w:val="24"/>
        </w:rPr>
        <w:lastRenderedPageBreak/>
        <w:t>therefore more likely to produce positive long-term outcomes (Farrell, 2017). Educational psychologists, speech therapists, specialist teachers, and healthcare professionals must work collaboratively to ensure interventions meet the specific needs of each child (DfE, 2015).</w:t>
      </w:r>
    </w:p>
    <w:p w14:paraId="48A14FFC" w14:textId="3D626BB1" w:rsidR="006E463E" w:rsidRPr="006E463E" w:rsidRDefault="006E463E" w:rsidP="006E463E">
      <w:pPr>
        <w:spacing w:line="480" w:lineRule="auto"/>
        <w:rPr>
          <w:sz w:val="24"/>
          <w:szCs w:val="24"/>
        </w:rPr>
      </w:pPr>
      <w:r w:rsidRPr="006E463E">
        <w:rPr>
          <w:sz w:val="24"/>
          <w:szCs w:val="24"/>
        </w:rPr>
        <w:t>Additionally, inclusive educational policies play a significant role in determining the success of early intervention. Schools that promote inclusive values and differentiated teaching strategies create environments where children with ALN can participate meaningfully alongside their peers. Inclusive practice not only supports academic achievement but also encourages social acceptance and belonging (Ainscow, 2020). Children who feel included within school communities are more likely to develop confidence, resilience, and positive peer relationships. This aligns with the social model of disability, which argues that barriers within society, rather than individual impairments, often restrict participation and achievement (Oliver, 1996). Early intervention combined with inclusive practice can therefore reduce exclusion and improve long-term life opportunities for children with ALN (Slee, 2018).</w:t>
      </w:r>
    </w:p>
    <w:p w14:paraId="651D76B4" w14:textId="06DF3E37" w:rsidR="00531745" w:rsidRPr="00365F87" w:rsidRDefault="006E463E" w:rsidP="006E463E">
      <w:pPr>
        <w:spacing w:line="480" w:lineRule="auto"/>
        <w:rPr>
          <w:sz w:val="24"/>
          <w:szCs w:val="24"/>
        </w:rPr>
      </w:pPr>
      <w:r w:rsidRPr="006E463E">
        <w:rPr>
          <w:sz w:val="24"/>
          <w:szCs w:val="24"/>
        </w:rPr>
        <w:t xml:space="preserve">In conclusion, the literature strongly supports the view that early diagnosis and targeted intervention have a significant positive impact on the academic and social development of children with ALN. Early identification enables timely support that improves literacy, communication, emotional regulation, and social interaction while reducing the likelihood of long-term educational failure and mental health difficulties. Family involvement, personalised support, and inclusive educational environments further strengthen outcomes for children with ALN. However, challenges including delayed diagnosis, inconsistent service provision, and concerns regarding labelling continue to </w:t>
      </w:r>
      <w:r w:rsidRPr="006E463E">
        <w:rPr>
          <w:sz w:val="24"/>
          <w:szCs w:val="24"/>
        </w:rPr>
        <w:lastRenderedPageBreak/>
        <w:t>affect the effectiveness of intervention strategies. Overall, evidence suggests that investment in early diagnosis and targeted support is essential in promoting inclusion, educational achievement, and long-term wellbeing for children with ALN</w:t>
      </w:r>
      <w:r w:rsidR="00110514">
        <w:rPr>
          <w:sz w:val="24"/>
          <w:szCs w:val="24"/>
        </w:rPr>
        <w:t>.</w:t>
      </w:r>
    </w:p>
    <w:p w14:paraId="0119DF98" w14:textId="77777777" w:rsidR="00110514" w:rsidRDefault="00110514" w:rsidP="006E463E">
      <w:pPr>
        <w:spacing w:line="480" w:lineRule="auto"/>
        <w:rPr>
          <w:sz w:val="24"/>
          <w:szCs w:val="24"/>
        </w:rPr>
      </w:pPr>
    </w:p>
    <w:p w14:paraId="10CF81B9" w14:textId="77777777" w:rsidR="00110514" w:rsidRDefault="00110514" w:rsidP="006E463E">
      <w:pPr>
        <w:spacing w:line="480" w:lineRule="auto"/>
        <w:rPr>
          <w:sz w:val="24"/>
          <w:szCs w:val="24"/>
        </w:rPr>
      </w:pPr>
    </w:p>
    <w:p w14:paraId="1E2FA2EE" w14:textId="77777777" w:rsidR="00110514" w:rsidRDefault="00110514" w:rsidP="006E463E">
      <w:pPr>
        <w:spacing w:line="480" w:lineRule="auto"/>
        <w:rPr>
          <w:sz w:val="24"/>
          <w:szCs w:val="24"/>
        </w:rPr>
      </w:pPr>
    </w:p>
    <w:p w14:paraId="6520A8E7" w14:textId="77777777" w:rsidR="00110514" w:rsidRDefault="00110514" w:rsidP="006E463E">
      <w:pPr>
        <w:spacing w:line="480" w:lineRule="auto"/>
        <w:rPr>
          <w:sz w:val="24"/>
          <w:szCs w:val="24"/>
        </w:rPr>
      </w:pPr>
    </w:p>
    <w:p w14:paraId="62C39B61" w14:textId="77777777" w:rsidR="00110514" w:rsidRDefault="00110514" w:rsidP="006E463E">
      <w:pPr>
        <w:spacing w:line="480" w:lineRule="auto"/>
        <w:rPr>
          <w:sz w:val="24"/>
          <w:szCs w:val="24"/>
        </w:rPr>
      </w:pPr>
    </w:p>
    <w:p w14:paraId="1FF1CCD8" w14:textId="77777777" w:rsidR="00110514" w:rsidRDefault="00110514" w:rsidP="006E463E">
      <w:pPr>
        <w:spacing w:line="480" w:lineRule="auto"/>
        <w:rPr>
          <w:sz w:val="24"/>
          <w:szCs w:val="24"/>
        </w:rPr>
      </w:pPr>
    </w:p>
    <w:p w14:paraId="79267C17" w14:textId="77777777" w:rsidR="00110514" w:rsidRDefault="00110514" w:rsidP="006E463E">
      <w:pPr>
        <w:spacing w:line="480" w:lineRule="auto"/>
        <w:rPr>
          <w:sz w:val="24"/>
          <w:szCs w:val="24"/>
        </w:rPr>
      </w:pPr>
    </w:p>
    <w:p w14:paraId="61B408DB" w14:textId="77777777" w:rsidR="00720964" w:rsidRDefault="00720964" w:rsidP="006E463E">
      <w:pPr>
        <w:spacing w:line="480" w:lineRule="auto"/>
        <w:rPr>
          <w:sz w:val="24"/>
          <w:szCs w:val="24"/>
        </w:rPr>
      </w:pPr>
    </w:p>
    <w:p w14:paraId="5D2061A7" w14:textId="77777777" w:rsidR="00720964" w:rsidRDefault="00720964" w:rsidP="006E463E">
      <w:pPr>
        <w:spacing w:line="480" w:lineRule="auto"/>
        <w:rPr>
          <w:sz w:val="24"/>
          <w:szCs w:val="24"/>
        </w:rPr>
      </w:pPr>
    </w:p>
    <w:p w14:paraId="7E2B7EE0" w14:textId="77777777" w:rsidR="00720964" w:rsidRDefault="00720964" w:rsidP="006E463E">
      <w:pPr>
        <w:spacing w:line="480" w:lineRule="auto"/>
        <w:rPr>
          <w:sz w:val="24"/>
          <w:szCs w:val="24"/>
        </w:rPr>
      </w:pPr>
    </w:p>
    <w:p w14:paraId="11FC234F" w14:textId="77777777" w:rsidR="00720964" w:rsidRDefault="00720964" w:rsidP="006E463E">
      <w:pPr>
        <w:spacing w:line="480" w:lineRule="auto"/>
        <w:rPr>
          <w:sz w:val="24"/>
          <w:szCs w:val="24"/>
        </w:rPr>
      </w:pPr>
    </w:p>
    <w:p w14:paraId="7C02AD97" w14:textId="77777777" w:rsidR="00720964" w:rsidRDefault="00720964" w:rsidP="006E463E">
      <w:pPr>
        <w:spacing w:line="480" w:lineRule="auto"/>
        <w:rPr>
          <w:sz w:val="24"/>
          <w:szCs w:val="24"/>
        </w:rPr>
      </w:pPr>
    </w:p>
    <w:p w14:paraId="2B0FCAC1" w14:textId="77777777" w:rsidR="00720964" w:rsidRDefault="00720964" w:rsidP="006E463E">
      <w:pPr>
        <w:spacing w:line="480" w:lineRule="auto"/>
        <w:rPr>
          <w:sz w:val="24"/>
          <w:szCs w:val="24"/>
        </w:rPr>
      </w:pPr>
    </w:p>
    <w:p w14:paraId="5643D9EE" w14:textId="77777777" w:rsidR="00720964" w:rsidRDefault="00720964" w:rsidP="006E463E">
      <w:pPr>
        <w:spacing w:line="480" w:lineRule="auto"/>
        <w:rPr>
          <w:sz w:val="24"/>
          <w:szCs w:val="24"/>
        </w:rPr>
      </w:pPr>
    </w:p>
    <w:p w14:paraId="1919F72D" w14:textId="77777777" w:rsidR="00720964" w:rsidRDefault="00720964" w:rsidP="006E463E">
      <w:pPr>
        <w:spacing w:line="480" w:lineRule="auto"/>
        <w:rPr>
          <w:sz w:val="24"/>
          <w:szCs w:val="24"/>
        </w:rPr>
      </w:pPr>
    </w:p>
    <w:p w14:paraId="6BA5FE52" w14:textId="518CA6A0" w:rsidR="00110514" w:rsidRDefault="00110514" w:rsidP="006E463E">
      <w:pPr>
        <w:spacing w:line="480" w:lineRule="auto"/>
        <w:rPr>
          <w:sz w:val="24"/>
          <w:szCs w:val="24"/>
        </w:rPr>
      </w:pPr>
      <w:r>
        <w:rPr>
          <w:sz w:val="24"/>
          <w:szCs w:val="24"/>
        </w:rPr>
        <w:t>Methodological Considerations</w:t>
      </w:r>
    </w:p>
    <w:p w14:paraId="358786E1" w14:textId="4642790C" w:rsidR="0017062A" w:rsidRPr="0017062A" w:rsidRDefault="0017062A" w:rsidP="0017062A">
      <w:pPr>
        <w:spacing w:line="480" w:lineRule="auto"/>
        <w:rPr>
          <w:sz w:val="24"/>
          <w:szCs w:val="24"/>
        </w:rPr>
      </w:pPr>
      <w:r w:rsidRPr="0017062A">
        <w:rPr>
          <w:sz w:val="24"/>
          <w:szCs w:val="24"/>
        </w:rPr>
        <w:lastRenderedPageBreak/>
        <w:t xml:space="preserve">The research project titled “What is the long-term impact of early diagnosis and targeted intervention on the academic and social development of children with Additional Learning Needs (ALN)?” requires careful methodological planning to ensure that the findings are valid, reliable, and ethically appropriate. Research methodology is important because it explains how data will be collected, analysed, and interpreted </w:t>
      </w:r>
      <w:proofErr w:type="gramStart"/>
      <w:r w:rsidRPr="0017062A">
        <w:rPr>
          <w:sz w:val="24"/>
          <w:szCs w:val="24"/>
        </w:rPr>
        <w:t>in order to</w:t>
      </w:r>
      <w:proofErr w:type="gramEnd"/>
      <w:r w:rsidRPr="0017062A">
        <w:rPr>
          <w:sz w:val="24"/>
          <w:szCs w:val="24"/>
        </w:rPr>
        <w:t xml:space="preserve"> answer the research question effectively (Cohen, Manion and Morrison, 2018). This study focuses on understanding how early diagnosis and intervention affect children with ALN over time, particularly in relation to educational achievement and social development. Due to the complexity of children’s experiences and educational outcomes, a mixed-methods approach was considered the most appropriate research design.</w:t>
      </w:r>
    </w:p>
    <w:p w14:paraId="72DE8E76" w14:textId="46C31D29" w:rsidR="0017062A" w:rsidRPr="0017062A" w:rsidRDefault="0017062A" w:rsidP="0017062A">
      <w:pPr>
        <w:spacing w:line="480" w:lineRule="auto"/>
        <w:rPr>
          <w:sz w:val="24"/>
          <w:szCs w:val="24"/>
        </w:rPr>
      </w:pPr>
      <w:r w:rsidRPr="0017062A">
        <w:rPr>
          <w:sz w:val="24"/>
          <w:szCs w:val="24"/>
        </w:rPr>
        <w:t xml:space="preserve">The sample that has been chosen for this study would consist of parents, teachers, and children with ALN within primary school settings. The sample would ideally include around 10 to 15 participants in total, including 8 children diagnosed with ALN, their parents or carers, and educational professionals such as teachers or teaching assistants. The participants would be recruited from local primary schools and support centres that work with children with additional learning needs. Children included in the study would have received an early diagnosis and targeted intervention before the age of seven. The reason for choosing this sample is because these individuals are directly involved in the child’s academic and social development. Parents can provide insight into behavioural and emotional progress at home, while teachers can discuss educational development, classroom behaviour, and peer interaction. Including </w:t>
      </w:r>
      <w:r w:rsidRPr="0017062A">
        <w:rPr>
          <w:sz w:val="24"/>
          <w:szCs w:val="24"/>
        </w:rPr>
        <w:lastRenderedPageBreak/>
        <w:t>different participant groups also allows the researcher to gain a broader understanding of the long-term effects of intervention.</w:t>
      </w:r>
    </w:p>
    <w:p w14:paraId="74A2F6A1" w14:textId="7B5D5642" w:rsidR="0017062A" w:rsidRPr="0017062A" w:rsidRDefault="0017062A" w:rsidP="0017062A">
      <w:pPr>
        <w:spacing w:line="480" w:lineRule="auto"/>
        <w:rPr>
          <w:sz w:val="24"/>
          <w:szCs w:val="24"/>
        </w:rPr>
      </w:pPr>
      <w:r w:rsidRPr="0017062A">
        <w:rPr>
          <w:sz w:val="24"/>
          <w:szCs w:val="24"/>
        </w:rPr>
        <w:t>The sample type used in this study would be purposive sampling, which is a non-probability sampling method. Purposive sampling involves selecting participants who possess specific characteristics relevant to the research topic. In this case, participants must have direct experience with ALN diagnosis and intervention. This method is commonly used in qualitative and mixed-methods research because it allows researchers to obtain rich and detailed information from individuals who are knowledgeable about the issue being investigated. According to Bryman (2016), purposive sampling is useful when researchers need participants with specialist experience or understanding of a topic. Random or probability sampling was not selected because not every child or parent would have the necessary experiences required to answer the research question effectively. Additionally, the study is focused on depth of understanding rather than statistical generalisation.</w:t>
      </w:r>
    </w:p>
    <w:p w14:paraId="2ADC8536" w14:textId="77777777" w:rsidR="0017062A" w:rsidRPr="0017062A" w:rsidRDefault="0017062A" w:rsidP="0017062A">
      <w:pPr>
        <w:spacing w:line="480" w:lineRule="auto"/>
        <w:rPr>
          <w:sz w:val="24"/>
          <w:szCs w:val="24"/>
        </w:rPr>
      </w:pPr>
      <w:r w:rsidRPr="0017062A">
        <w:rPr>
          <w:sz w:val="24"/>
          <w:szCs w:val="24"/>
        </w:rPr>
        <w:t xml:space="preserve">The sample size was deliberately kept relatively small because qualitative research prioritises detailed exploration rather than large-scale numerical representation. Smaller samples allow researchers to conduct in-depth interviews and gain detailed responses from participants. Creswell (2014) argues that qualitative studies often rely on smaller, focused samples </w:t>
      </w:r>
      <w:proofErr w:type="gramStart"/>
      <w:r w:rsidRPr="0017062A">
        <w:rPr>
          <w:sz w:val="24"/>
          <w:szCs w:val="24"/>
        </w:rPr>
        <w:t>in order to</w:t>
      </w:r>
      <w:proofErr w:type="gramEnd"/>
      <w:r w:rsidRPr="0017062A">
        <w:rPr>
          <w:sz w:val="24"/>
          <w:szCs w:val="24"/>
        </w:rPr>
        <w:t xml:space="preserve"> achieve data saturation, where no new themes emerge from additional interviews. A larger sample may have made the research difficult to manage within the time available and may have reduced the depth of analysis.</w:t>
      </w:r>
    </w:p>
    <w:p w14:paraId="22D5127B" w14:textId="0916428E" w:rsidR="0017062A" w:rsidRPr="0017062A" w:rsidRDefault="0017062A" w:rsidP="0017062A">
      <w:pPr>
        <w:spacing w:line="480" w:lineRule="auto"/>
        <w:rPr>
          <w:sz w:val="24"/>
          <w:szCs w:val="24"/>
        </w:rPr>
      </w:pPr>
      <w:r w:rsidRPr="0017062A">
        <w:rPr>
          <w:sz w:val="24"/>
          <w:szCs w:val="24"/>
        </w:rPr>
        <w:lastRenderedPageBreak/>
        <w:t>The research project would use a mixed-methods approach, combining both qualitative and quantitative methods. Mixed-methods research combines numerical data with descriptive and exploratory data to provide a more complete understanding of the research topic. This approach is appropriate because the impact of early diagnosis and intervention can be measured academically through school performance and attendance records, while social and emotional development is better explored through interviews and personal experiences. Bryman (2006) explains that combining qualitative and quantitative methods can strengthen research by allowing researchers to explore both statistical trends and personal experiences.</w:t>
      </w:r>
    </w:p>
    <w:p w14:paraId="2DD7A678" w14:textId="4C3DD691" w:rsidR="0017062A" w:rsidRPr="0017062A" w:rsidRDefault="0017062A" w:rsidP="0017062A">
      <w:pPr>
        <w:spacing w:line="480" w:lineRule="auto"/>
        <w:rPr>
          <w:sz w:val="24"/>
          <w:szCs w:val="24"/>
        </w:rPr>
      </w:pPr>
      <w:r w:rsidRPr="0017062A">
        <w:rPr>
          <w:sz w:val="24"/>
          <w:szCs w:val="24"/>
        </w:rPr>
        <w:t>The quantitative aspect of the study could involve questionnaires distributed to parents and teachers. These questionnaires may include closed-ended questions using rating scales to measure improvements in academic achievement, communication skills, confidence, behaviour, and peer relationships. Quantitative data is useful because it allows researchers to identify patterns and compare responses across participants. Statistical information can provide evidence of whether early intervention appears to have positive long-term effects</w:t>
      </w:r>
      <w:r w:rsidR="0026302E" w:rsidRPr="0026302E">
        <w:t xml:space="preserve"> </w:t>
      </w:r>
      <w:r w:rsidR="0026302E" w:rsidRPr="0026302E">
        <w:rPr>
          <w:sz w:val="24"/>
          <w:szCs w:val="24"/>
        </w:rPr>
        <w:t>(Denzin and Lincoln, 2011</w:t>
      </w:r>
      <w:proofErr w:type="gramStart"/>
      <w:r w:rsidR="0026302E" w:rsidRPr="0026302E">
        <w:rPr>
          <w:sz w:val="24"/>
          <w:szCs w:val="24"/>
        </w:rPr>
        <w:t>)</w:t>
      </w:r>
      <w:r w:rsidR="0026302E">
        <w:rPr>
          <w:sz w:val="24"/>
          <w:szCs w:val="24"/>
        </w:rPr>
        <w:t xml:space="preserve"> </w:t>
      </w:r>
      <w:r w:rsidRPr="0017062A">
        <w:rPr>
          <w:sz w:val="24"/>
          <w:szCs w:val="24"/>
        </w:rPr>
        <w:t>.</w:t>
      </w:r>
      <w:proofErr w:type="gramEnd"/>
    </w:p>
    <w:p w14:paraId="131C758C" w14:textId="12B85222" w:rsidR="0017062A" w:rsidRPr="0017062A" w:rsidRDefault="0017062A" w:rsidP="0017062A">
      <w:pPr>
        <w:spacing w:line="480" w:lineRule="auto"/>
        <w:rPr>
          <w:sz w:val="24"/>
          <w:szCs w:val="24"/>
        </w:rPr>
      </w:pPr>
      <w:r w:rsidRPr="0017062A">
        <w:rPr>
          <w:sz w:val="24"/>
          <w:szCs w:val="24"/>
        </w:rPr>
        <w:t>The qualitative aspect of the study would involve semi-structured interviews with parents and teachers. Semi-structured interviews were selected because they allow the researcher to ask planned questions while also giving participants the opportunity to expand on their experiences. This flexibility is beneficial when discussing sensitive topics such as learning difficulties, emotional wellbeing, and educational challenges. Open</w:t>
      </w:r>
      <w:r w:rsidR="0026302E">
        <w:rPr>
          <w:sz w:val="24"/>
          <w:szCs w:val="24"/>
        </w:rPr>
        <w:t xml:space="preserve"> </w:t>
      </w:r>
      <w:r w:rsidRPr="0017062A">
        <w:rPr>
          <w:sz w:val="24"/>
          <w:szCs w:val="24"/>
        </w:rPr>
        <w:t xml:space="preserve">ended questions can encourage participants to discuss how interventions influenced children socially and academically over time. Qualitative methods are </w:t>
      </w:r>
      <w:r w:rsidRPr="0017062A">
        <w:rPr>
          <w:sz w:val="24"/>
          <w:szCs w:val="24"/>
        </w:rPr>
        <w:lastRenderedPageBreak/>
        <w:t>particularly valuable in educational research because they provide detailed insights into participants’ feelings, experiences, and perceptions (Denzin and Lincoln, 2018).</w:t>
      </w:r>
    </w:p>
    <w:p w14:paraId="46C8920F" w14:textId="010E3E5D" w:rsidR="0017062A" w:rsidRPr="0017062A" w:rsidRDefault="0017062A" w:rsidP="0017062A">
      <w:pPr>
        <w:spacing w:line="480" w:lineRule="auto"/>
        <w:rPr>
          <w:sz w:val="24"/>
          <w:szCs w:val="24"/>
        </w:rPr>
      </w:pPr>
      <w:r w:rsidRPr="0017062A">
        <w:rPr>
          <w:sz w:val="24"/>
          <w:szCs w:val="24"/>
        </w:rPr>
        <w:t xml:space="preserve">One reason for choosing mixed methods is that the research question explores both measurable outcomes and personal experiences. Quantitative data alone may show improvements in grades or attendance, but it may not explain how children feel socially or emotionally. Similarly, qualitative interviews alone may provide rich detail but may lack measurable evidence. Combining both methods therefore increases the depth and credibility of the findings. </w:t>
      </w:r>
      <w:proofErr w:type="gramStart"/>
      <w:r w:rsidRPr="0017062A">
        <w:rPr>
          <w:sz w:val="24"/>
          <w:szCs w:val="24"/>
        </w:rPr>
        <w:t>Mixed-methods</w:t>
      </w:r>
      <w:proofErr w:type="gramEnd"/>
      <w:r w:rsidRPr="0017062A">
        <w:rPr>
          <w:sz w:val="24"/>
          <w:szCs w:val="24"/>
        </w:rPr>
        <w:t xml:space="preserve"> research also supports triangulation, which improves validity and reliability by comparing information from different sources and methods (Bhandari, 2022).</w:t>
      </w:r>
    </w:p>
    <w:p w14:paraId="419A4A8C" w14:textId="2C2E2355" w:rsidR="0017062A" w:rsidRPr="0017062A" w:rsidRDefault="0017062A" w:rsidP="0017062A">
      <w:pPr>
        <w:spacing w:line="480" w:lineRule="auto"/>
        <w:rPr>
          <w:sz w:val="24"/>
          <w:szCs w:val="24"/>
        </w:rPr>
      </w:pPr>
      <w:r w:rsidRPr="0017062A">
        <w:rPr>
          <w:sz w:val="24"/>
          <w:szCs w:val="24"/>
        </w:rPr>
        <w:t>Triangulation refers to the use of multiple methods, sources, or perspectives within research to improve the accuracy and credibility of findings. According to Bhandari (2022), triangulation helps researchers confirm whether findings remain consistent across different forms of data collection. In this study, triangulation would involve comparing questionnaire responses with interview findings from parents and teachers. If both forms of data suggest that early intervention positively affects academic confidence and social relationships, then the findings become more trustworthy. Triangulation was considered necessary for this research because children’s development is complex and influenced by many factors. Using only one method may provide a limited understanding of the issue.</w:t>
      </w:r>
    </w:p>
    <w:p w14:paraId="1D5F1AD0" w14:textId="4E7F581A" w:rsidR="0017062A" w:rsidRPr="0017062A" w:rsidRDefault="0017062A" w:rsidP="0017062A">
      <w:pPr>
        <w:spacing w:line="480" w:lineRule="auto"/>
        <w:rPr>
          <w:sz w:val="24"/>
          <w:szCs w:val="24"/>
        </w:rPr>
      </w:pPr>
      <w:r w:rsidRPr="0017062A">
        <w:rPr>
          <w:sz w:val="24"/>
          <w:szCs w:val="24"/>
        </w:rPr>
        <w:t xml:space="preserve">Despite the advantages of mixed-methods research, there are also limitations. Mixed-methods studies are time-consuming because researchers must collect and analyse both qualitative and quantitative data. Conducting interviews, distributing </w:t>
      </w:r>
      <w:r w:rsidRPr="0017062A">
        <w:rPr>
          <w:sz w:val="24"/>
          <w:szCs w:val="24"/>
        </w:rPr>
        <w:lastRenderedPageBreak/>
        <w:t>questionnaires, and interpreting findings requires careful organisation and significant time commitment. Another limitation is that analysing qualitative data can be subjective</w:t>
      </w:r>
      <w:r w:rsidR="001F60D2" w:rsidRPr="001F60D2">
        <w:t xml:space="preserve"> </w:t>
      </w:r>
      <w:r w:rsidR="001F60D2" w:rsidRPr="001F60D2">
        <w:rPr>
          <w:sz w:val="24"/>
          <w:szCs w:val="24"/>
        </w:rPr>
        <w:t>(Office for Health Improvement and Disparities, 2020)</w:t>
      </w:r>
      <w:r w:rsidRPr="0017062A">
        <w:rPr>
          <w:sz w:val="24"/>
          <w:szCs w:val="24"/>
        </w:rPr>
        <w:t>. Researchers may unintentionally interpret responses according to their own beliefs or expectations. To reduce this risk, interview responses should be recorded accurately and analysed systematically.</w:t>
      </w:r>
    </w:p>
    <w:p w14:paraId="2B76C177" w14:textId="114A2FBA" w:rsidR="0017062A" w:rsidRPr="0017062A" w:rsidRDefault="0017062A" w:rsidP="0017062A">
      <w:pPr>
        <w:spacing w:line="480" w:lineRule="auto"/>
        <w:rPr>
          <w:sz w:val="24"/>
          <w:szCs w:val="24"/>
        </w:rPr>
      </w:pPr>
      <w:r w:rsidRPr="0017062A">
        <w:rPr>
          <w:sz w:val="24"/>
          <w:szCs w:val="24"/>
        </w:rPr>
        <w:t xml:space="preserve">Another important methodological issue is the Hawthorne effect. The Hawthorne effect occurs when participants change their behaviour because they are aware they are being observed or studied (Lewis-Beck, Bryman and </w:t>
      </w:r>
      <w:proofErr w:type="spellStart"/>
      <w:r w:rsidRPr="0017062A">
        <w:rPr>
          <w:sz w:val="24"/>
          <w:szCs w:val="24"/>
        </w:rPr>
        <w:t>Futing</w:t>
      </w:r>
      <w:proofErr w:type="spellEnd"/>
      <w:r w:rsidRPr="0017062A">
        <w:rPr>
          <w:sz w:val="24"/>
          <w:szCs w:val="24"/>
        </w:rPr>
        <w:t xml:space="preserve"> Liao, 2004). In this research, teachers or parents may provide more positive responses because they know the study focuses on intervention success. Similarly, children may behave differently during observations or interviews due to the researcher’s presence. This could reduce the validity of the findings because behaviours may not fully reflect everyday experiences. To minimise the Hawthorne effect, the researcher should create a relaxed environment and reassure participants that there are no right or wrong answers.</w:t>
      </w:r>
    </w:p>
    <w:p w14:paraId="4F1A7E03" w14:textId="5E7C5835" w:rsidR="0017062A" w:rsidRPr="0017062A" w:rsidRDefault="0017062A" w:rsidP="0017062A">
      <w:pPr>
        <w:spacing w:line="480" w:lineRule="auto"/>
        <w:rPr>
          <w:sz w:val="24"/>
          <w:szCs w:val="24"/>
        </w:rPr>
      </w:pPr>
      <w:r w:rsidRPr="0017062A">
        <w:rPr>
          <w:sz w:val="24"/>
          <w:szCs w:val="24"/>
        </w:rPr>
        <w:t>The Halo effect must also be considered. The Halo effect occurs when researchers or participants make broad positive assumptions based on one favourable characteristic</w:t>
      </w:r>
      <w:r w:rsidR="0026302E">
        <w:rPr>
          <w:sz w:val="24"/>
          <w:szCs w:val="24"/>
        </w:rPr>
        <w:t xml:space="preserve"> (Cresswell, 2014)</w:t>
      </w:r>
      <w:r w:rsidRPr="0017062A">
        <w:rPr>
          <w:sz w:val="24"/>
          <w:szCs w:val="24"/>
        </w:rPr>
        <w:t>. For example, a teacher may believe a child performs well socially simply because the child performs well academically. This could influence responses and lead to biased findings. To reduce the Halo effect, researchers should use carefully designed questions and compare responses from multiple participants. Gathering perspectives from both parents and teachers can help ensure that one person’s opinion does not dominate the findings.</w:t>
      </w:r>
    </w:p>
    <w:p w14:paraId="160E9B67" w14:textId="54336737" w:rsidR="0017062A" w:rsidRPr="0017062A" w:rsidRDefault="0017062A" w:rsidP="0017062A">
      <w:pPr>
        <w:spacing w:line="480" w:lineRule="auto"/>
        <w:rPr>
          <w:sz w:val="24"/>
          <w:szCs w:val="24"/>
        </w:rPr>
      </w:pPr>
      <w:r w:rsidRPr="0017062A">
        <w:rPr>
          <w:sz w:val="24"/>
          <w:szCs w:val="24"/>
        </w:rPr>
        <w:lastRenderedPageBreak/>
        <w:t>Several alternative methods were considered but not chosen for this study. One possible method was direct classroom observation. Although observation can provide valuable information about social interaction and classroom behaviour, it was not selected as the main method because it can be time-consuming and may increase the Hawthorne effect. Children and teachers may behave differently when they know they are being observed, which could reduce the authenticity of the data.</w:t>
      </w:r>
    </w:p>
    <w:p w14:paraId="6F1858A0" w14:textId="002CE247" w:rsidR="0017062A" w:rsidRPr="0017062A" w:rsidRDefault="0017062A" w:rsidP="0017062A">
      <w:pPr>
        <w:spacing w:line="480" w:lineRule="auto"/>
        <w:rPr>
          <w:sz w:val="24"/>
          <w:szCs w:val="24"/>
        </w:rPr>
      </w:pPr>
      <w:r w:rsidRPr="0017062A">
        <w:rPr>
          <w:sz w:val="24"/>
          <w:szCs w:val="24"/>
        </w:rPr>
        <w:t>Another method considered was experimental research. Experimental methods involve manipulating variables and using control groups to identify cause</w:t>
      </w:r>
      <w:r w:rsidR="00602CB7">
        <w:rPr>
          <w:sz w:val="24"/>
          <w:szCs w:val="24"/>
        </w:rPr>
        <w:t xml:space="preserve"> </w:t>
      </w:r>
      <w:r w:rsidRPr="0017062A">
        <w:rPr>
          <w:sz w:val="24"/>
          <w:szCs w:val="24"/>
        </w:rPr>
        <w:t>and</w:t>
      </w:r>
      <w:r w:rsidR="00602CB7">
        <w:rPr>
          <w:sz w:val="24"/>
          <w:szCs w:val="24"/>
        </w:rPr>
        <w:t xml:space="preserve"> </w:t>
      </w:r>
      <w:r w:rsidRPr="0017062A">
        <w:rPr>
          <w:sz w:val="24"/>
          <w:szCs w:val="24"/>
        </w:rPr>
        <w:t xml:space="preserve">effect relationships. However, this approach was not appropriate for the present study because it would be unethical to deny some children access to interventions for comparison purposes. Educational research involving vulnerable children must prioritise wellbeing and fairness. Furthermore, long-term social and academic development cannot easily be controlled within an experimental setting because many external factors influence children’s </w:t>
      </w:r>
      <w:proofErr w:type="spellStart"/>
      <w:proofErr w:type="gramStart"/>
      <w:r w:rsidRPr="0017062A">
        <w:rPr>
          <w:sz w:val="24"/>
          <w:szCs w:val="24"/>
        </w:rPr>
        <w:t>progress.Individual</w:t>
      </w:r>
      <w:proofErr w:type="spellEnd"/>
      <w:proofErr w:type="gramEnd"/>
      <w:r w:rsidRPr="0017062A">
        <w:rPr>
          <w:sz w:val="24"/>
          <w:szCs w:val="24"/>
        </w:rPr>
        <w:t xml:space="preserve"> interviews were therefore considered more appropriate because they provide privacy and allow participants to speak openly (Mukherji and Albon, 2018).</w:t>
      </w:r>
    </w:p>
    <w:p w14:paraId="4A1415D5" w14:textId="4CB2FFD4" w:rsidR="0017062A" w:rsidRDefault="0017062A" w:rsidP="0017062A">
      <w:pPr>
        <w:spacing w:line="480" w:lineRule="auto"/>
        <w:rPr>
          <w:sz w:val="24"/>
          <w:szCs w:val="24"/>
        </w:rPr>
      </w:pPr>
      <w:r w:rsidRPr="0017062A">
        <w:rPr>
          <w:sz w:val="24"/>
          <w:szCs w:val="24"/>
        </w:rPr>
        <w:t>Overall, the methodological choices for this research project were designed to provide a balanced and comprehensive understanding of the long-term impact of early diagnosis and targeted intervention on children with ALN. A mixed</w:t>
      </w:r>
      <w:r w:rsidR="00602CB7">
        <w:rPr>
          <w:sz w:val="24"/>
          <w:szCs w:val="24"/>
        </w:rPr>
        <w:t xml:space="preserve"> </w:t>
      </w:r>
      <w:r w:rsidRPr="0017062A">
        <w:rPr>
          <w:sz w:val="24"/>
          <w:szCs w:val="24"/>
        </w:rPr>
        <w:t xml:space="preserve">methods approach using purposive sampling, questionnaires, and semi-structured interviews was considered the most effective strategy because it combines measurable data with detailed personal experiences. Although limitations such as the Hawthorne and Halo effects may influence findings, careful planning and triangulation can improve validity and </w:t>
      </w:r>
      <w:r w:rsidRPr="0017062A">
        <w:rPr>
          <w:sz w:val="24"/>
          <w:szCs w:val="24"/>
        </w:rPr>
        <w:lastRenderedPageBreak/>
        <w:t>reliability. The methodology therefore supports the aim of producing meaningful and trustworthy findings regarding the educational and social development of children with additional learning needs.</w:t>
      </w:r>
    </w:p>
    <w:p w14:paraId="0F486CF1" w14:textId="77777777" w:rsidR="000F1328" w:rsidRDefault="000F1328" w:rsidP="006E463E">
      <w:pPr>
        <w:spacing w:line="480" w:lineRule="auto"/>
        <w:rPr>
          <w:sz w:val="24"/>
          <w:szCs w:val="24"/>
        </w:rPr>
      </w:pPr>
    </w:p>
    <w:p w14:paraId="44EA486A" w14:textId="77777777" w:rsidR="000F1328" w:rsidRDefault="000F1328" w:rsidP="006E463E">
      <w:pPr>
        <w:spacing w:line="480" w:lineRule="auto"/>
        <w:rPr>
          <w:sz w:val="24"/>
          <w:szCs w:val="24"/>
        </w:rPr>
      </w:pPr>
    </w:p>
    <w:p w14:paraId="7AEF9495" w14:textId="77777777" w:rsidR="000F1328" w:rsidRDefault="000F1328" w:rsidP="006E463E">
      <w:pPr>
        <w:spacing w:line="480" w:lineRule="auto"/>
        <w:rPr>
          <w:sz w:val="24"/>
          <w:szCs w:val="24"/>
        </w:rPr>
      </w:pPr>
      <w:r>
        <w:rPr>
          <w:sz w:val="24"/>
          <w:szCs w:val="24"/>
        </w:rPr>
        <w:t>Ethical Considerations</w:t>
      </w:r>
    </w:p>
    <w:p w14:paraId="240DE249" w14:textId="313F4B54" w:rsidR="006009AB" w:rsidRPr="006009AB" w:rsidRDefault="006009AB" w:rsidP="006009AB">
      <w:pPr>
        <w:spacing w:line="480" w:lineRule="auto"/>
        <w:rPr>
          <w:sz w:val="24"/>
          <w:szCs w:val="24"/>
        </w:rPr>
      </w:pPr>
      <w:r w:rsidRPr="006009AB">
        <w:rPr>
          <w:sz w:val="24"/>
          <w:szCs w:val="24"/>
        </w:rPr>
        <w:t>Ethics are a fundamental aspect of educational research, particularly when studies involve children and vulnerable groups such as children with Additional Learning Needs (ALN). Ethical research ensures that participants are treated with respect, dignity, and fairness throughout the research process. According to British Educational Research Association (BERA), ethical practice involves protecting participants from harm, ensuring informed consent, maintaining confidentiality, and acting with integrity at all stages of the research process (BERA, 2024). In the proposed research project titled “What is the long-term impact of early diagnosis and targeted intervention on the academic and social development of children with Additional Learning Needs?”, ethical considerations are particularly important because the study involves young children, parents, and educational professionals. Children with ALN may be considered vulnerable participants due to their age and additional support needs, meaning the researcher has a heightened responsibility to ensure their wellbeing and protection.</w:t>
      </w:r>
    </w:p>
    <w:p w14:paraId="229067BE" w14:textId="0D37D050" w:rsidR="006009AB" w:rsidRPr="006009AB" w:rsidRDefault="006009AB" w:rsidP="006009AB">
      <w:pPr>
        <w:spacing w:line="480" w:lineRule="auto"/>
        <w:rPr>
          <w:sz w:val="24"/>
          <w:szCs w:val="24"/>
        </w:rPr>
      </w:pPr>
      <w:r w:rsidRPr="006009AB">
        <w:rPr>
          <w:sz w:val="24"/>
          <w:szCs w:val="24"/>
        </w:rPr>
        <w:t xml:space="preserve">One of the most important ethical considerations within this study is gaining informed consent from participants. Informed consent means that participants fully understand the purpose of the research, what participation involves, any potential risks, and their </w:t>
      </w:r>
      <w:r w:rsidRPr="006009AB">
        <w:rPr>
          <w:sz w:val="24"/>
          <w:szCs w:val="24"/>
        </w:rPr>
        <w:lastRenderedPageBreak/>
        <w:t>right to withdraw at any stage without penalty (Cohen, Manion and Morrison, 2018). As this research involves children, consent would need to be obtained from parents or legal guardians before children participate. In addition to parental consent, assent from the children themselves would also be necessary. Assent refers to a child’s agreement to participate after the study has been explained to them in an age-appropriate way (Mukherji and Albon, 2018). Researchers must recognise that even if parents provide consent, children still have the right to refuse participation.</w:t>
      </w:r>
    </w:p>
    <w:p w14:paraId="2E425896" w14:textId="7EA4A416" w:rsidR="006009AB" w:rsidRPr="006009AB" w:rsidRDefault="006009AB" w:rsidP="006009AB">
      <w:pPr>
        <w:spacing w:line="480" w:lineRule="auto"/>
        <w:rPr>
          <w:sz w:val="24"/>
          <w:szCs w:val="24"/>
        </w:rPr>
      </w:pPr>
      <w:r w:rsidRPr="006009AB">
        <w:rPr>
          <w:sz w:val="24"/>
          <w:szCs w:val="24"/>
        </w:rPr>
        <w:t>The researcher would ensure openness and transparency by providing an information sheet to all participants before the research begins. The information sheet would clearly explain the aim of the study, what participants will be asked to do, how long participation will take, and how the data will be used and stored. It would also explain participants</w:t>
      </w:r>
      <w:r w:rsidR="00C749CB">
        <w:rPr>
          <w:sz w:val="24"/>
          <w:szCs w:val="24"/>
        </w:rPr>
        <w:t xml:space="preserve"> </w:t>
      </w:r>
      <w:r w:rsidRPr="006009AB">
        <w:rPr>
          <w:sz w:val="24"/>
          <w:szCs w:val="24"/>
        </w:rPr>
        <w:t>rights, including the right to withdraw at any point without explanation. The language used within the information sheet must be clear, accessible, and suitable for the intended audience. For children, simplified explanations and visual supports may be used to ensure understanding. BERA (2024) emphasises that researchers must avoid deception and ensure participants understand the research before agreeing to participate.</w:t>
      </w:r>
    </w:p>
    <w:p w14:paraId="298A7528" w14:textId="12024C0B" w:rsidR="006009AB" w:rsidRPr="006009AB" w:rsidRDefault="006009AB" w:rsidP="006009AB">
      <w:pPr>
        <w:spacing w:line="480" w:lineRule="auto"/>
        <w:rPr>
          <w:sz w:val="24"/>
          <w:szCs w:val="24"/>
        </w:rPr>
      </w:pPr>
      <w:r w:rsidRPr="006009AB">
        <w:rPr>
          <w:sz w:val="24"/>
          <w:szCs w:val="24"/>
        </w:rPr>
        <w:t>The researcher must also recognise signs that participants no longer wish to continue. Children may not always verbally state discomfort or refusal, therefore researchers must pay attention to non-verbal communication such as withdrawal, silence, distress, or reluctance to answer questions. If a child appears uncomfortable or unwilling to participate, the interview or activity would stop immediately. Respecting participants’ autonomy is essential within ethical research practice (Denscombe, 2021).</w:t>
      </w:r>
    </w:p>
    <w:p w14:paraId="5CEF70A2" w14:textId="76ED8B34" w:rsidR="006009AB" w:rsidRPr="006009AB" w:rsidRDefault="006009AB" w:rsidP="006009AB">
      <w:pPr>
        <w:spacing w:line="480" w:lineRule="auto"/>
        <w:rPr>
          <w:sz w:val="24"/>
          <w:szCs w:val="24"/>
        </w:rPr>
      </w:pPr>
      <w:r w:rsidRPr="006009AB">
        <w:rPr>
          <w:sz w:val="24"/>
          <w:szCs w:val="24"/>
        </w:rPr>
        <w:lastRenderedPageBreak/>
        <w:t>Confidentiality and anonymity are also essential ethical requirements. Confidentiality means that information shared by participants will not be disclosed to others without permission, while anonymity means that participants’ identities will not be revealed in the research findings (Bryman, 2016). To maintain confidentiality within this study, pseudonyms would be used instead of real names in all written notes, interview transcripts, and final reports. Schools and educational settings would also remain unnamed to prevent participants from being identified indirectly. Any identifying information would be removed from the data during transcription and analysis.</w:t>
      </w:r>
    </w:p>
    <w:p w14:paraId="68C0D6D5" w14:textId="77777777" w:rsidR="006009AB" w:rsidRPr="006009AB" w:rsidRDefault="006009AB" w:rsidP="006009AB">
      <w:pPr>
        <w:spacing w:line="480" w:lineRule="auto"/>
        <w:rPr>
          <w:sz w:val="24"/>
          <w:szCs w:val="24"/>
        </w:rPr>
      </w:pPr>
      <w:r w:rsidRPr="006009AB">
        <w:rPr>
          <w:sz w:val="24"/>
          <w:szCs w:val="24"/>
        </w:rPr>
        <w:t>Maintaining anonymity may be challenging in small-scale educational research because participants may recognise themselves or others through descriptions of experiences. Therefore, the researcher must carefully consider how findings are presented. Cohen, Manion and Morrison (2018) explain that researchers must minimise the risk of deductive disclosure, where participants can be identified through contextual details even when names are removed. To reduce this risk, descriptions would remain broad and general rather than highly specific.</w:t>
      </w:r>
    </w:p>
    <w:p w14:paraId="48FE9D5E" w14:textId="77777777" w:rsidR="006009AB" w:rsidRPr="006009AB" w:rsidRDefault="006009AB" w:rsidP="006009AB">
      <w:pPr>
        <w:spacing w:line="480" w:lineRule="auto"/>
        <w:rPr>
          <w:sz w:val="24"/>
          <w:szCs w:val="24"/>
        </w:rPr>
      </w:pPr>
    </w:p>
    <w:p w14:paraId="615047AF" w14:textId="4FE3F2FC" w:rsidR="006009AB" w:rsidRPr="006009AB" w:rsidRDefault="006009AB" w:rsidP="006009AB">
      <w:pPr>
        <w:spacing w:line="480" w:lineRule="auto"/>
        <w:rPr>
          <w:sz w:val="24"/>
          <w:szCs w:val="24"/>
        </w:rPr>
      </w:pPr>
      <w:r w:rsidRPr="006009AB">
        <w:rPr>
          <w:sz w:val="24"/>
          <w:szCs w:val="24"/>
        </w:rPr>
        <w:t xml:space="preserve">Reducing risk to participants is another major ethical responsibility. Research involving children with ALN may create emotional discomfort if participants are asked to discuss sensitive experiences such as educational difficulties, social exclusion, or developmental challenges. Parents may also feel emotional when discussing their child’s progress or barriers within education. To minimise emotional harm, interview questions would be carefully </w:t>
      </w:r>
      <w:proofErr w:type="gramStart"/>
      <w:r w:rsidRPr="006009AB">
        <w:rPr>
          <w:sz w:val="24"/>
          <w:szCs w:val="24"/>
        </w:rPr>
        <w:t>worded</w:t>
      </w:r>
      <w:proofErr w:type="gramEnd"/>
      <w:r w:rsidRPr="006009AB">
        <w:rPr>
          <w:sz w:val="24"/>
          <w:szCs w:val="24"/>
        </w:rPr>
        <w:t xml:space="preserve"> and participants would not be pressured to answer questions they find upsetting. Researchers should create a supportive and non-</w:t>
      </w:r>
      <w:r w:rsidRPr="006009AB">
        <w:rPr>
          <w:sz w:val="24"/>
          <w:szCs w:val="24"/>
        </w:rPr>
        <w:lastRenderedPageBreak/>
        <w:t>judgemental environment to help participants feel safe and respected (Denzin and Lincoln, 2018).</w:t>
      </w:r>
    </w:p>
    <w:p w14:paraId="6B3452EF" w14:textId="554B96C5" w:rsidR="006009AB" w:rsidRPr="006009AB" w:rsidRDefault="006009AB" w:rsidP="006009AB">
      <w:pPr>
        <w:spacing w:line="480" w:lineRule="auto"/>
        <w:rPr>
          <w:sz w:val="24"/>
          <w:szCs w:val="24"/>
        </w:rPr>
      </w:pPr>
      <w:r w:rsidRPr="006009AB">
        <w:rPr>
          <w:sz w:val="24"/>
          <w:szCs w:val="24"/>
        </w:rPr>
        <w:t>There are also physical and safeguarding considerations when working with children. Interviews or meetings with children should take place in safe and familiar environments, such as schools, with appropriate safeguarding procedures in place. The researcher must ensure compliance with safeguarding policies and should never place themselves in situations where they are alone with a child without appropriate supervision. Mukherji and Albon (2018) highlight that safeguarding and child protection are central ethical responsibilities within early childhood research.</w:t>
      </w:r>
    </w:p>
    <w:p w14:paraId="3545EF1A" w14:textId="265CE861" w:rsidR="006009AB" w:rsidRPr="006009AB" w:rsidRDefault="006009AB" w:rsidP="006009AB">
      <w:pPr>
        <w:spacing w:line="480" w:lineRule="auto"/>
        <w:rPr>
          <w:sz w:val="24"/>
          <w:szCs w:val="24"/>
        </w:rPr>
      </w:pPr>
      <w:r w:rsidRPr="006009AB">
        <w:rPr>
          <w:sz w:val="24"/>
          <w:szCs w:val="24"/>
        </w:rPr>
        <w:t>The researcher must also consider risks to themselves during the research process. Researchers may experience emotional stress when listening to sensitive experiences shared by participants. Additionally, conducting research within unfamiliar settings may present personal safety concerns. To reduce these risks, the researcher should follow university health and safety procedures, maintain communication with supervisors, and ensure interviews take place in secure professional environments. Lone working policies should also be followed where appropriate. Denscombe (2021) explains that researcher wellbeing is an important aspect of ethical research planning and should not be overlooked.</w:t>
      </w:r>
    </w:p>
    <w:p w14:paraId="3102C1CA" w14:textId="34EA94D8" w:rsidR="006009AB" w:rsidRPr="006009AB" w:rsidRDefault="006009AB" w:rsidP="006009AB">
      <w:pPr>
        <w:spacing w:line="480" w:lineRule="auto"/>
        <w:rPr>
          <w:sz w:val="24"/>
          <w:szCs w:val="24"/>
        </w:rPr>
      </w:pPr>
      <w:r w:rsidRPr="006009AB">
        <w:rPr>
          <w:sz w:val="24"/>
          <w:szCs w:val="24"/>
        </w:rPr>
        <w:t xml:space="preserve">Risks to the university must also be considered. If ethical procedures are not followed correctly, the university’s reputation may be </w:t>
      </w:r>
      <w:proofErr w:type="gramStart"/>
      <w:r w:rsidRPr="006009AB">
        <w:rPr>
          <w:sz w:val="24"/>
          <w:szCs w:val="24"/>
        </w:rPr>
        <w:t>damaged</w:t>
      </w:r>
      <w:proofErr w:type="gramEnd"/>
      <w:r w:rsidRPr="006009AB">
        <w:rPr>
          <w:sz w:val="24"/>
          <w:szCs w:val="24"/>
        </w:rPr>
        <w:t xml:space="preserve"> and participants may lose trust in educational research. Breaches of confidentiality or poor data management could also lead to legal consequences under data protection legislation. To mitigate these risks, the researcher must comply with the University of Wales Trinity Saint David research </w:t>
      </w:r>
      <w:r w:rsidRPr="006009AB">
        <w:rPr>
          <w:sz w:val="24"/>
          <w:szCs w:val="24"/>
        </w:rPr>
        <w:lastRenderedPageBreak/>
        <w:t>integrity policies and ethical approval procedures before conducting the study. Ethical approval ensures that research proposals are reviewed to confirm that participants’ rights and wellbeing are protected.</w:t>
      </w:r>
    </w:p>
    <w:p w14:paraId="6295CD2A" w14:textId="11B6FCAE" w:rsidR="006009AB" w:rsidRPr="006009AB" w:rsidRDefault="006009AB" w:rsidP="006009AB">
      <w:pPr>
        <w:spacing w:line="480" w:lineRule="auto"/>
        <w:rPr>
          <w:sz w:val="24"/>
          <w:szCs w:val="24"/>
        </w:rPr>
      </w:pPr>
      <w:r w:rsidRPr="006009AB">
        <w:rPr>
          <w:sz w:val="24"/>
          <w:szCs w:val="24"/>
        </w:rPr>
        <w:t xml:space="preserve">Data collection and storage are particularly important ethical considerations within this research project. Researchers have a legal and ethical responsibility to handle personal information securely and confidentially. In the </w:t>
      </w:r>
      <w:r>
        <w:rPr>
          <w:sz w:val="24"/>
          <w:szCs w:val="24"/>
        </w:rPr>
        <w:t>U</w:t>
      </w:r>
      <w:r w:rsidRPr="006009AB">
        <w:rPr>
          <w:sz w:val="24"/>
          <w:szCs w:val="24"/>
        </w:rPr>
        <w:t xml:space="preserve">nited Kingdom, data collection and storage are governed by the </w:t>
      </w:r>
      <w:r>
        <w:rPr>
          <w:sz w:val="24"/>
          <w:szCs w:val="24"/>
        </w:rPr>
        <w:t>g</w:t>
      </w:r>
      <w:r w:rsidRPr="006009AB">
        <w:rPr>
          <w:sz w:val="24"/>
          <w:szCs w:val="24"/>
        </w:rPr>
        <w:t xml:space="preserve">eneral </w:t>
      </w:r>
      <w:r>
        <w:rPr>
          <w:sz w:val="24"/>
          <w:szCs w:val="24"/>
        </w:rPr>
        <w:t>d</w:t>
      </w:r>
      <w:r w:rsidRPr="006009AB">
        <w:rPr>
          <w:sz w:val="24"/>
          <w:szCs w:val="24"/>
        </w:rPr>
        <w:t xml:space="preserve">ata </w:t>
      </w:r>
      <w:r>
        <w:rPr>
          <w:sz w:val="24"/>
          <w:szCs w:val="24"/>
        </w:rPr>
        <w:t>p</w:t>
      </w:r>
      <w:r w:rsidRPr="006009AB">
        <w:rPr>
          <w:sz w:val="24"/>
          <w:szCs w:val="24"/>
        </w:rPr>
        <w:t xml:space="preserve">rotection </w:t>
      </w:r>
      <w:r>
        <w:rPr>
          <w:sz w:val="24"/>
          <w:szCs w:val="24"/>
        </w:rPr>
        <w:t>r</w:t>
      </w:r>
      <w:r w:rsidRPr="006009AB">
        <w:rPr>
          <w:sz w:val="24"/>
          <w:szCs w:val="24"/>
        </w:rPr>
        <w:t xml:space="preserve">egulation (GDPR) and the Data </w:t>
      </w:r>
      <w:r>
        <w:rPr>
          <w:sz w:val="24"/>
          <w:szCs w:val="24"/>
        </w:rPr>
        <w:t>p</w:t>
      </w:r>
      <w:r w:rsidRPr="006009AB">
        <w:rPr>
          <w:sz w:val="24"/>
          <w:szCs w:val="24"/>
        </w:rPr>
        <w:t xml:space="preserve">rotection </w:t>
      </w:r>
      <w:r>
        <w:rPr>
          <w:sz w:val="24"/>
          <w:szCs w:val="24"/>
        </w:rPr>
        <w:t>a</w:t>
      </w:r>
      <w:r w:rsidRPr="006009AB">
        <w:rPr>
          <w:sz w:val="24"/>
          <w:szCs w:val="24"/>
        </w:rPr>
        <w:t>ct 2018. These laws require researchers to collect only necessary data, store it securely, and ensure participants understand how their information will be used (Information Commissioner’s Office, 2024).</w:t>
      </w:r>
    </w:p>
    <w:p w14:paraId="3B435936" w14:textId="5D3469E8" w:rsidR="006009AB" w:rsidRPr="006009AB" w:rsidRDefault="006009AB" w:rsidP="006009AB">
      <w:pPr>
        <w:spacing w:line="480" w:lineRule="auto"/>
        <w:rPr>
          <w:sz w:val="24"/>
          <w:szCs w:val="24"/>
        </w:rPr>
      </w:pPr>
      <w:r w:rsidRPr="006009AB">
        <w:rPr>
          <w:sz w:val="24"/>
          <w:szCs w:val="24"/>
        </w:rPr>
        <w:t>Within this study, all interview recordings and questionnaires would be stored securely on password-protected devices or encrypted university systems. Paper documents would be kept in locked storage accessible only to the researcher. Data would not be shared with unauthorised individuals, and personal information would be separated from research findings wherever possible. According to the GDPR, participants also have the right to access the information held about them, request corrections to inaccurate data, and request deletion of their data in certain circumstances (Information Commissioner’s Office, 2024). Participants would therefore be informed of these rights within the consent and information forms.</w:t>
      </w:r>
    </w:p>
    <w:p w14:paraId="3540E63D" w14:textId="0D6B01E5" w:rsidR="006009AB" w:rsidRPr="006009AB" w:rsidRDefault="006009AB" w:rsidP="006009AB">
      <w:pPr>
        <w:spacing w:line="480" w:lineRule="auto"/>
        <w:rPr>
          <w:sz w:val="24"/>
          <w:szCs w:val="24"/>
        </w:rPr>
      </w:pPr>
      <w:r w:rsidRPr="006009AB">
        <w:rPr>
          <w:sz w:val="24"/>
          <w:szCs w:val="24"/>
        </w:rPr>
        <w:t xml:space="preserve">The researcher would also establish clear procedures regarding data retention and disposal. Data should only be kept for as long as necessary and then securely destroyed. Audio recordings may be deleted once transcription is complete, while anonymised transcripts may be retained for a limited period according to university </w:t>
      </w:r>
      <w:r w:rsidRPr="006009AB">
        <w:rPr>
          <w:sz w:val="24"/>
          <w:szCs w:val="24"/>
        </w:rPr>
        <w:lastRenderedPageBreak/>
        <w:t>guidelines. BERA (2024) emphasises that responsible data management is essential for maintaining trust between researchers and participants.</w:t>
      </w:r>
    </w:p>
    <w:p w14:paraId="05EBB6EE" w14:textId="3BFDA9E1" w:rsidR="006009AB" w:rsidRPr="006009AB" w:rsidRDefault="006009AB" w:rsidP="006009AB">
      <w:pPr>
        <w:spacing w:line="480" w:lineRule="auto"/>
        <w:rPr>
          <w:sz w:val="24"/>
          <w:szCs w:val="24"/>
        </w:rPr>
      </w:pPr>
      <w:r w:rsidRPr="006009AB">
        <w:rPr>
          <w:sz w:val="24"/>
          <w:szCs w:val="24"/>
        </w:rPr>
        <w:t>Another ethical issue to consider is power imbalance. Adults conducting research with children hold positions of authority that may influence children’s responses. Children may feel pressured to participate or provide answers they believe adults want to hear. To reduce this imbalance, researchers should use child-friendly communication and ensure children understand that participation is voluntary. Researchers should avoid authoritative language and allow children opportunities to ask questions or stop participation at any time (Mukherji and Albon, 2018).</w:t>
      </w:r>
    </w:p>
    <w:p w14:paraId="207906EB" w14:textId="37726E49" w:rsidR="006009AB" w:rsidRPr="006009AB" w:rsidRDefault="006009AB" w:rsidP="006009AB">
      <w:pPr>
        <w:spacing w:line="480" w:lineRule="auto"/>
        <w:rPr>
          <w:sz w:val="24"/>
          <w:szCs w:val="24"/>
        </w:rPr>
      </w:pPr>
      <w:r w:rsidRPr="006009AB">
        <w:rPr>
          <w:sz w:val="24"/>
          <w:szCs w:val="24"/>
        </w:rPr>
        <w:t>Cultural sensitivity and inclusivity are also important ethical considerations. Families of children with ALN may come from diverse cultural and linguistic backgrounds. Researchers must therefore ensure that communication is respectful, inclusive, and free from discrimination. Information sheets and consent forms may need to be adapted for participants with additional communication needs or for families whose first language is not English. Ethical research requires researchers to respect diversity and ensure equal opportunities for participation (BERA, 2024).</w:t>
      </w:r>
    </w:p>
    <w:p w14:paraId="700931D9" w14:textId="1044B8CE" w:rsidR="006009AB" w:rsidRPr="006009AB" w:rsidRDefault="006009AB" w:rsidP="006009AB">
      <w:pPr>
        <w:spacing w:line="480" w:lineRule="auto"/>
        <w:rPr>
          <w:sz w:val="24"/>
          <w:szCs w:val="24"/>
        </w:rPr>
      </w:pPr>
      <w:r w:rsidRPr="006009AB">
        <w:rPr>
          <w:sz w:val="24"/>
          <w:szCs w:val="24"/>
        </w:rPr>
        <w:t>Finally, integrity and honesty are essential throughout the research process. Researchers must present findings truthfully and avoid manipulating data to support personal opinions or desired outcomes. Ethical research requires transparency in data analysis, interpretation, and reporting. Denzin and Lincoln (2018) explain that integrity is central to maintaining the credibility and trustworthiness of qualitative and mixed-methods research.</w:t>
      </w:r>
    </w:p>
    <w:p w14:paraId="578AF490" w14:textId="2BCA42FA" w:rsidR="006009AB" w:rsidRDefault="006009AB" w:rsidP="006009AB">
      <w:pPr>
        <w:spacing w:line="480" w:lineRule="auto"/>
        <w:rPr>
          <w:sz w:val="24"/>
          <w:szCs w:val="24"/>
        </w:rPr>
      </w:pPr>
      <w:r w:rsidRPr="006009AB">
        <w:rPr>
          <w:sz w:val="24"/>
          <w:szCs w:val="24"/>
        </w:rPr>
        <w:lastRenderedPageBreak/>
        <w:t>Overall, ethical considerations are central to the successful completion of this research project. The study involves vulnerable participants, meaning careful planning is required to ensure participants’ rights, wellbeing, and privacy are protected. Issues such as informed consent, assent, confidentiality, anonymity, safeguarding, risk reduction, and secure data management must all be carefully addressed. By following guidance from BERA, GDPR legislation, and university ethical policies, the research can be conducted responsibly and professionally. Ethical practice not only protects participants, researchers, and institutions, but also strengthens the validity and credibility of the research findings.</w:t>
      </w:r>
    </w:p>
    <w:p w14:paraId="2AE5DAC2" w14:textId="77777777" w:rsidR="00391201" w:rsidRDefault="00391201" w:rsidP="006009AB">
      <w:pPr>
        <w:spacing w:line="480" w:lineRule="auto"/>
        <w:rPr>
          <w:sz w:val="24"/>
          <w:szCs w:val="24"/>
        </w:rPr>
      </w:pPr>
    </w:p>
    <w:p w14:paraId="3913779B" w14:textId="77777777" w:rsidR="00391201" w:rsidRDefault="00391201" w:rsidP="006009AB">
      <w:pPr>
        <w:spacing w:line="480" w:lineRule="auto"/>
        <w:rPr>
          <w:sz w:val="24"/>
          <w:szCs w:val="24"/>
        </w:rPr>
      </w:pPr>
    </w:p>
    <w:p w14:paraId="4ACA90A8" w14:textId="77777777" w:rsidR="00391201" w:rsidRDefault="00391201" w:rsidP="006009AB">
      <w:pPr>
        <w:spacing w:line="480" w:lineRule="auto"/>
        <w:rPr>
          <w:sz w:val="24"/>
          <w:szCs w:val="24"/>
        </w:rPr>
      </w:pPr>
    </w:p>
    <w:p w14:paraId="53209077" w14:textId="77777777" w:rsidR="00391201" w:rsidRDefault="00391201" w:rsidP="006009AB">
      <w:pPr>
        <w:spacing w:line="480" w:lineRule="auto"/>
        <w:rPr>
          <w:sz w:val="24"/>
          <w:szCs w:val="24"/>
        </w:rPr>
      </w:pPr>
    </w:p>
    <w:p w14:paraId="44F2E5F9" w14:textId="77777777" w:rsidR="00391201" w:rsidRDefault="00391201" w:rsidP="006009AB">
      <w:pPr>
        <w:spacing w:line="480" w:lineRule="auto"/>
        <w:rPr>
          <w:sz w:val="24"/>
          <w:szCs w:val="24"/>
        </w:rPr>
      </w:pPr>
    </w:p>
    <w:p w14:paraId="4184CB10" w14:textId="77777777" w:rsidR="00391201" w:rsidRDefault="00391201" w:rsidP="006009AB">
      <w:pPr>
        <w:spacing w:line="480" w:lineRule="auto"/>
        <w:rPr>
          <w:sz w:val="24"/>
          <w:szCs w:val="24"/>
        </w:rPr>
      </w:pPr>
    </w:p>
    <w:p w14:paraId="23687BA0" w14:textId="77777777" w:rsidR="00391201" w:rsidRDefault="00391201" w:rsidP="006009AB">
      <w:pPr>
        <w:spacing w:line="480" w:lineRule="auto"/>
        <w:rPr>
          <w:sz w:val="24"/>
          <w:szCs w:val="24"/>
        </w:rPr>
      </w:pPr>
    </w:p>
    <w:p w14:paraId="2232411F" w14:textId="77777777" w:rsidR="00391201" w:rsidRDefault="00391201" w:rsidP="006009AB">
      <w:pPr>
        <w:spacing w:line="480" w:lineRule="auto"/>
        <w:rPr>
          <w:sz w:val="24"/>
          <w:szCs w:val="24"/>
        </w:rPr>
      </w:pPr>
    </w:p>
    <w:p w14:paraId="7A08B683" w14:textId="77777777" w:rsidR="00391201" w:rsidRDefault="00391201" w:rsidP="006009AB">
      <w:pPr>
        <w:spacing w:line="480" w:lineRule="auto"/>
        <w:rPr>
          <w:sz w:val="24"/>
          <w:szCs w:val="24"/>
        </w:rPr>
      </w:pPr>
    </w:p>
    <w:p w14:paraId="57B619C4" w14:textId="77777777" w:rsidR="00391201" w:rsidRDefault="00391201" w:rsidP="006009AB">
      <w:pPr>
        <w:spacing w:line="480" w:lineRule="auto"/>
        <w:rPr>
          <w:sz w:val="24"/>
          <w:szCs w:val="24"/>
        </w:rPr>
      </w:pPr>
    </w:p>
    <w:p w14:paraId="36A54700" w14:textId="77777777" w:rsidR="00391201" w:rsidRDefault="00391201" w:rsidP="006009AB">
      <w:pPr>
        <w:spacing w:line="480" w:lineRule="auto"/>
        <w:rPr>
          <w:sz w:val="24"/>
          <w:szCs w:val="24"/>
        </w:rPr>
      </w:pPr>
    </w:p>
    <w:p w14:paraId="62B336A8" w14:textId="1A5706BD" w:rsidR="006009AB" w:rsidRDefault="005C6BFB" w:rsidP="006009AB">
      <w:pPr>
        <w:spacing w:line="480" w:lineRule="auto"/>
        <w:rPr>
          <w:sz w:val="24"/>
          <w:szCs w:val="24"/>
        </w:rPr>
      </w:pPr>
      <w:r>
        <w:rPr>
          <w:sz w:val="24"/>
          <w:szCs w:val="24"/>
        </w:rPr>
        <w:lastRenderedPageBreak/>
        <w:t>Reference list</w:t>
      </w:r>
    </w:p>
    <w:p w14:paraId="2439E3BA" w14:textId="77777777" w:rsidR="00705F9C" w:rsidRPr="00705F9C" w:rsidRDefault="00705F9C" w:rsidP="00705F9C">
      <w:pPr>
        <w:spacing w:line="480" w:lineRule="auto"/>
        <w:rPr>
          <w:sz w:val="24"/>
          <w:szCs w:val="24"/>
        </w:rPr>
      </w:pPr>
    </w:p>
    <w:p w14:paraId="5BE22013" w14:textId="77777777" w:rsidR="00705F9C" w:rsidRPr="00705F9C" w:rsidRDefault="00705F9C" w:rsidP="00705F9C">
      <w:pPr>
        <w:spacing w:line="480" w:lineRule="auto"/>
        <w:rPr>
          <w:sz w:val="24"/>
          <w:szCs w:val="24"/>
        </w:rPr>
      </w:pPr>
    </w:p>
    <w:p w14:paraId="0CF55A03" w14:textId="77777777" w:rsidR="00705F9C" w:rsidRPr="00705F9C" w:rsidRDefault="00705F9C" w:rsidP="00705F9C">
      <w:pPr>
        <w:spacing w:line="480" w:lineRule="auto"/>
        <w:rPr>
          <w:sz w:val="24"/>
          <w:szCs w:val="24"/>
        </w:rPr>
      </w:pPr>
    </w:p>
    <w:p w14:paraId="3B8AE827" w14:textId="77777777" w:rsidR="00705F9C" w:rsidRPr="00705F9C" w:rsidRDefault="00705F9C" w:rsidP="00705F9C">
      <w:pPr>
        <w:spacing w:line="480" w:lineRule="auto"/>
        <w:rPr>
          <w:sz w:val="24"/>
          <w:szCs w:val="24"/>
        </w:rPr>
      </w:pPr>
    </w:p>
    <w:p w14:paraId="5AF8E972" w14:textId="77777777" w:rsidR="00705F9C" w:rsidRPr="00705F9C" w:rsidRDefault="00705F9C" w:rsidP="00705F9C">
      <w:pPr>
        <w:spacing w:line="480" w:lineRule="auto"/>
        <w:rPr>
          <w:sz w:val="24"/>
          <w:szCs w:val="24"/>
        </w:rPr>
      </w:pPr>
    </w:p>
    <w:p w14:paraId="1A20ACFB" w14:textId="77777777" w:rsidR="00705F9C" w:rsidRPr="00705F9C" w:rsidRDefault="00705F9C" w:rsidP="00705F9C">
      <w:pPr>
        <w:spacing w:line="480" w:lineRule="auto"/>
        <w:rPr>
          <w:sz w:val="24"/>
          <w:szCs w:val="24"/>
        </w:rPr>
      </w:pPr>
    </w:p>
    <w:p w14:paraId="7298E89B" w14:textId="77777777" w:rsidR="00705F9C" w:rsidRPr="00705F9C" w:rsidRDefault="00705F9C" w:rsidP="00705F9C">
      <w:pPr>
        <w:spacing w:line="480" w:lineRule="auto"/>
        <w:rPr>
          <w:sz w:val="24"/>
          <w:szCs w:val="24"/>
        </w:rPr>
      </w:pPr>
    </w:p>
    <w:p w14:paraId="6F2070D3" w14:textId="77777777" w:rsidR="00705F9C" w:rsidRPr="00705F9C" w:rsidRDefault="00705F9C" w:rsidP="00705F9C">
      <w:pPr>
        <w:spacing w:line="480" w:lineRule="auto"/>
        <w:rPr>
          <w:sz w:val="24"/>
          <w:szCs w:val="24"/>
        </w:rPr>
      </w:pPr>
      <w:proofErr w:type="spellStart"/>
      <w:r w:rsidRPr="00705F9C">
        <w:rPr>
          <w:sz w:val="24"/>
          <w:szCs w:val="24"/>
        </w:rPr>
        <w:t>Aldharman</w:t>
      </w:r>
      <w:proofErr w:type="spellEnd"/>
      <w:r w:rsidRPr="00705F9C">
        <w:rPr>
          <w:sz w:val="24"/>
          <w:szCs w:val="24"/>
        </w:rPr>
        <w:t xml:space="preserve">, S.S., Alshammari, A., Alzahrani, A., </w:t>
      </w:r>
      <w:proofErr w:type="spellStart"/>
      <w:r w:rsidRPr="00705F9C">
        <w:rPr>
          <w:sz w:val="24"/>
          <w:szCs w:val="24"/>
        </w:rPr>
        <w:t>Alenezi</w:t>
      </w:r>
      <w:proofErr w:type="spellEnd"/>
      <w:r w:rsidRPr="00705F9C">
        <w:rPr>
          <w:sz w:val="24"/>
          <w:szCs w:val="24"/>
        </w:rPr>
        <w:t xml:space="preserve">, M., Almutairi, R. and </w:t>
      </w:r>
      <w:proofErr w:type="spellStart"/>
      <w:r w:rsidRPr="00705F9C">
        <w:rPr>
          <w:sz w:val="24"/>
          <w:szCs w:val="24"/>
        </w:rPr>
        <w:t>Alrashidi</w:t>
      </w:r>
      <w:proofErr w:type="spellEnd"/>
      <w:r w:rsidRPr="00705F9C">
        <w:rPr>
          <w:sz w:val="24"/>
          <w:szCs w:val="24"/>
        </w:rPr>
        <w:t xml:space="preserve">, A. (2023) Implications of early diagnosis and intervention in the management of neurodevelopmental delay in children: A systematic review and meta-analysis, </w:t>
      </w:r>
      <w:proofErr w:type="spellStart"/>
      <w:r w:rsidRPr="00705F9C">
        <w:rPr>
          <w:sz w:val="24"/>
          <w:szCs w:val="24"/>
        </w:rPr>
        <w:t>Cureus</w:t>
      </w:r>
      <w:proofErr w:type="spellEnd"/>
      <w:r w:rsidRPr="00705F9C">
        <w:rPr>
          <w:sz w:val="24"/>
          <w:szCs w:val="24"/>
        </w:rPr>
        <w:t>, 15(5), pp. 1–15. Available at: https://pmc.ncbi.nlm.nih.gov/articles/PMC10248310/ (Accessed on 12 May 2026).</w:t>
      </w:r>
    </w:p>
    <w:p w14:paraId="4A954BDB" w14:textId="77777777" w:rsidR="00705F9C" w:rsidRPr="00705F9C" w:rsidRDefault="00705F9C" w:rsidP="00705F9C">
      <w:pPr>
        <w:spacing w:line="480" w:lineRule="auto"/>
        <w:rPr>
          <w:sz w:val="24"/>
          <w:szCs w:val="24"/>
        </w:rPr>
      </w:pPr>
      <w:r w:rsidRPr="00705F9C">
        <w:rPr>
          <w:sz w:val="24"/>
          <w:szCs w:val="24"/>
        </w:rPr>
        <w:t xml:space="preserve">Antalek, C., Dixon, F. and Taha, J. (2025) Identifying and supporting children and young people with speech, language and communication needs: A rapid evidence </w:t>
      </w:r>
      <w:proofErr w:type="gramStart"/>
      <w:r w:rsidRPr="00705F9C">
        <w:rPr>
          <w:sz w:val="24"/>
          <w:szCs w:val="24"/>
        </w:rPr>
        <w:t>review</w:t>
      </w:r>
      <w:proofErr w:type="gramEnd"/>
      <w:r w:rsidRPr="00705F9C">
        <w:rPr>
          <w:sz w:val="24"/>
          <w:szCs w:val="24"/>
        </w:rPr>
        <w:t xml:space="preserve"> research report September 2025. Available at: </w:t>
      </w:r>
      <w:proofErr w:type="gramStart"/>
      <w:r w:rsidRPr="00705F9C">
        <w:rPr>
          <w:sz w:val="24"/>
          <w:szCs w:val="24"/>
        </w:rPr>
        <w:t>https://assets.publishing.service.gov.uk/media/68d65f279ce370a7e0a0fd31/Identifying_and_supporting_children_and_young_people_with_speech_language_and_communication_needs_a_rapid_evidence_review.pdf  (</w:t>
      </w:r>
      <w:proofErr w:type="gramEnd"/>
      <w:r w:rsidRPr="00705F9C">
        <w:rPr>
          <w:sz w:val="24"/>
          <w:szCs w:val="24"/>
        </w:rPr>
        <w:t>Accessed on 9 May 2026).</w:t>
      </w:r>
    </w:p>
    <w:p w14:paraId="5C8BFE7A" w14:textId="77777777" w:rsidR="00705F9C" w:rsidRPr="00705F9C" w:rsidRDefault="00705F9C" w:rsidP="00705F9C">
      <w:pPr>
        <w:spacing w:line="480" w:lineRule="auto"/>
        <w:rPr>
          <w:sz w:val="24"/>
          <w:szCs w:val="24"/>
        </w:rPr>
      </w:pPr>
      <w:r w:rsidRPr="00705F9C">
        <w:rPr>
          <w:sz w:val="24"/>
          <w:szCs w:val="24"/>
        </w:rPr>
        <w:t>Barger, B., Rice, C., Simmons, C.A. and Wolf, R. (2018) A systematic review of Part C early identification studies, Topics in Early Childhood Special Education, 38(1), pp. 4–</w:t>
      </w:r>
      <w:r w:rsidRPr="00705F9C">
        <w:rPr>
          <w:sz w:val="24"/>
          <w:szCs w:val="24"/>
        </w:rPr>
        <w:lastRenderedPageBreak/>
        <w:t xml:space="preserve">16. Available at: </w:t>
      </w:r>
      <w:proofErr w:type="gramStart"/>
      <w:r w:rsidRPr="00705F9C">
        <w:rPr>
          <w:sz w:val="24"/>
          <w:szCs w:val="24"/>
        </w:rPr>
        <w:t>https://journals.sagepub.com/doi/10.1177/0271121418761207  (</w:t>
      </w:r>
      <w:proofErr w:type="gramEnd"/>
      <w:r w:rsidRPr="00705F9C">
        <w:rPr>
          <w:sz w:val="24"/>
          <w:szCs w:val="24"/>
        </w:rPr>
        <w:t>Accessed on 7 May 2026).</w:t>
      </w:r>
    </w:p>
    <w:p w14:paraId="01AE7A12" w14:textId="77777777" w:rsidR="00705F9C" w:rsidRPr="00705F9C" w:rsidRDefault="00705F9C" w:rsidP="00705F9C">
      <w:pPr>
        <w:spacing w:line="480" w:lineRule="auto"/>
        <w:rPr>
          <w:sz w:val="24"/>
          <w:szCs w:val="24"/>
        </w:rPr>
      </w:pPr>
      <w:r w:rsidRPr="00705F9C">
        <w:rPr>
          <w:sz w:val="24"/>
          <w:szCs w:val="24"/>
        </w:rPr>
        <w:t>BERA (2024) Ethical Guidelines for Educational Research. British Educational Research Association. Available at: https://www.bera.ac.uk/publication/ethical-guidelines-for-educational-research-2024 (Accessed on14 May 2026).</w:t>
      </w:r>
    </w:p>
    <w:p w14:paraId="1D8DBFA9" w14:textId="77777777" w:rsidR="00705F9C" w:rsidRPr="00705F9C" w:rsidRDefault="00705F9C" w:rsidP="00705F9C">
      <w:pPr>
        <w:spacing w:line="480" w:lineRule="auto"/>
        <w:rPr>
          <w:sz w:val="24"/>
          <w:szCs w:val="24"/>
        </w:rPr>
      </w:pPr>
      <w:r w:rsidRPr="00705F9C">
        <w:rPr>
          <w:sz w:val="24"/>
          <w:szCs w:val="24"/>
        </w:rPr>
        <w:t>Bronfenbrenner, U. (1979) The ecology of human development: Experiments by nature and design. Cambridge, MA: Harvard University Press.</w:t>
      </w:r>
    </w:p>
    <w:p w14:paraId="61FE75EF" w14:textId="77777777" w:rsidR="00705F9C" w:rsidRPr="00705F9C" w:rsidRDefault="00705F9C" w:rsidP="00705F9C">
      <w:pPr>
        <w:spacing w:line="480" w:lineRule="auto"/>
        <w:rPr>
          <w:sz w:val="24"/>
          <w:szCs w:val="24"/>
        </w:rPr>
      </w:pPr>
      <w:r w:rsidRPr="00705F9C">
        <w:rPr>
          <w:sz w:val="24"/>
          <w:szCs w:val="24"/>
        </w:rPr>
        <w:t xml:space="preserve">Bryman, A. (2006) Integrating quantitative and qualitative research: how is it </w:t>
      </w:r>
      <w:proofErr w:type="gramStart"/>
      <w:r w:rsidRPr="00705F9C">
        <w:rPr>
          <w:sz w:val="24"/>
          <w:szCs w:val="24"/>
        </w:rPr>
        <w:t>done?,</w:t>
      </w:r>
      <w:proofErr w:type="gramEnd"/>
      <w:r w:rsidRPr="00705F9C">
        <w:rPr>
          <w:sz w:val="24"/>
          <w:szCs w:val="24"/>
        </w:rPr>
        <w:t xml:space="preserve"> Qualitative Research, 6(1), pp. 97–113. Available at: https://journals.sagepub.com/doi/10.1177/1468794106058877 (Accessed on 12 May 2026).</w:t>
      </w:r>
    </w:p>
    <w:p w14:paraId="79FF43DD" w14:textId="77777777" w:rsidR="00705F9C" w:rsidRPr="00705F9C" w:rsidRDefault="00705F9C" w:rsidP="00705F9C">
      <w:pPr>
        <w:spacing w:line="480" w:lineRule="auto"/>
        <w:rPr>
          <w:sz w:val="24"/>
          <w:szCs w:val="24"/>
        </w:rPr>
      </w:pPr>
      <w:r w:rsidRPr="00705F9C">
        <w:rPr>
          <w:sz w:val="24"/>
          <w:szCs w:val="24"/>
        </w:rPr>
        <w:t xml:space="preserve">Bryman, A. (2016) Social Research Methods. 5th </w:t>
      </w:r>
      <w:proofErr w:type="spellStart"/>
      <w:r w:rsidRPr="00705F9C">
        <w:rPr>
          <w:sz w:val="24"/>
          <w:szCs w:val="24"/>
        </w:rPr>
        <w:t>edn</w:t>
      </w:r>
      <w:proofErr w:type="spellEnd"/>
      <w:r w:rsidRPr="00705F9C">
        <w:rPr>
          <w:sz w:val="24"/>
          <w:szCs w:val="24"/>
        </w:rPr>
        <w:t>. Oxford: Oxford University Press. Available at: https://global.oup.com/academic/product/social-research-methods-9780199689453 (Accessed on 14 May 2026).</w:t>
      </w:r>
    </w:p>
    <w:p w14:paraId="50DB60A8" w14:textId="77777777" w:rsidR="00705F9C" w:rsidRPr="00705F9C" w:rsidRDefault="00705F9C" w:rsidP="00705F9C">
      <w:pPr>
        <w:spacing w:line="480" w:lineRule="auto"/>
        <w:rPr>
          <w:sz w:val="24"/>
          <w:szCs w:val="24"/>
        </w:rPr>
      </w:pPr>
      <w:proofErr w:type="spellStart"/>
      <w:r w:rsidRPr="00705F9C">
        <w:rPr>
          <w:sz w:val="24"/>
          <w:szCs w:val="24"/>
        </w:rPr>
        <w:t>Celinska</w:t>
      </w:r>
      <w:proofErr w:type="spellEnd"/>
      <w:r w:rsidRPr="00705F9C">
        <w:rPr>
          <w:sz w:val="24"/>
          <w:szCs w:val="24"/>
        </w:rPr>
        <w:t>, A. (2025) An introduction to Urie Bronfenbrenner, The Voice of Early Childhood. Available at: https://thevoiceofearlychildhood.com/introduction-urie-bronfenbrenner/ (Accessed on 10 May 2026).</w:t>
      </w:r>
    </w:p>
    <w:p w14:paraId="0B17F21D" w14:textId="77777777" w:rsidR="00705F9C" w:rsidRPr="00705F9C" w:rsidRDefault="00705F9C" w:rsidP="00705F9C">
      <w:pPr>
        <w:spacing w:line="480" w:lineRule="auto"/>
        <w:rPr>
          <w:sz w:val="24"/>
          <w:szCs w:val="24"/>
        </w:rPr>
      </w:pPr>
      <w:r w:rsidRPr="00705F9C">
        <w:rPr>
          <w:sz w:val="24"/>
          <w:szCs w:val="24"/>
        </w:rPr>
        <w:t xml:space="preserve">Cohen, L., Manion, L. and Morrison, K. (2018) Research Methods in Education. 8th </w:t>
      </w:r>
      <w:proofErr w:type="spellStart"/>
      <w:r w:rsidRPr="00705F9C">
        <w:rPr>
          <w:sz w:val="24"/>
          <w:szCs w:val="24"/>
        </w:rPr>
        <w:t>edn</w:t>
      </w:r>
      <w:proofErr w:type="spellEnd"/>
      <w:r w:rsidRPr="00705F9C">
        <w:rPr>
          <w:sz w:val="24"/>
          <w:szCs w:val="24"/>
        </w:rPr>
        <w:t>. London: Routledge.</w:t>
      </w:r>
    </w:p>
    <w:p w14:paraId="30AFF749" w14:textId="77777777" w:rsidR="00705F9C" w:rsidRPr="00705F9C" w:rsidRDefault="00705F9C" w:rsidP="00705F9C">
      <w:pPr>
        <w:spacing w:line="480" w:lineRule="auto"/>
        <w:rPr>
          <w:sz w:val="24"/>
          <w:szCs w:val="24"/>
        </w:rPr>
      </w:pPr>
      <w:r w:rsidRPr="00705F9C">
        <w:rPr>
          <w:sz w:val="24"/>
          <w:szCs w:val="24"/>
        </w:rPr>
        <w:t xml:space="preserve">Creswell, J.W. (2014) Research Design: Qualitative, Quantitative and Mixed Methods Approaches. 4th </w:t>
      </w:r>
      <w:proofErr w:type="spellStart"/>
      <w:r w:rsidRPr="00705F9C">
        <w:rPr>
          <w:sz w:val="24"/>
          <w:szCs w:val="24"/>
        </w:rPr>
        <w:t>edn</w:t>
      </w:r>
      <w:proofErr w:type="spellEnd"/>
      <w:r w:rsidRPr="00705F9C">
        <w:rPr>
          <w:sz w:val="24"/>
          <w:szCs w:val="24"/>
        </w:rPr>
        <w:t>. Thousand Oaks, CA: SAGE Publications.</w:t>
      </w:r>
    </w:p>
    <w:p w14:paraId="69AE8090" w14:textId="77777777" w:rsidR="00705F9C" w:rsidRPr="00705F9C" w:rsidRDefault="00705F9C" w:rsidP="00705F9C">
      <w:pPr>
        <w:spacing w:line="480" w:lineRule="auto"/>
        <w:rPr>
          <w:sz w:val="24"/>
          <w:szCs w:val="24"/>
        </w:rPr>
      </w:pPr>
      <w:r w:rsidRPr="00705F9C">
        <w:rPr>
          <w:sz w:val="24"/>
          <w:szCs w:val="24"/>
        </w:rPr>
        <w:lastRenderedPageBreak/>
        <w:t xml:space="preserve">Denscombe, M. (2021) The Good Research Guide: For Small-Scale Social Research Projects. 7th </w:t>
      </w:r>
      <w:proofErr w:type="spellStart"/>
      <w:r w:rsidRPr="00705F9C">
        <w:rPr>
          <w:sz w:val="24"/>
          <w:szCs w:val="24"/>
        </w:rPr>
        <w:t>edn</w:t>
      </w:r>
      <w:proofErr w:type="spellEnd"/>
      <w:r w:rsidRPr="00705F9C">
        <w:rPr>
          <w:sz w:val="24"/>
          <w:szCs w:val="24"/>
        </w:rPr>
        <w:t>. Maidenhead: Open University Press. Available at: https://www.mheducation.co.uk/the-good-research-guide-9780335249831-emea-group (Accessed on 15 May 2026).</w:t>
      </w:r>
    </w:p>
    <w:p w14:paraId="6686F45E" w14:textId="77777777" w:rsidR="00705F9C" w:rsidRPr="00705F9C" w:rsidRDefault="00705F9C" w:rsidP="00705F9C">
      <w:pPr>
        <w:spacing w:line="480" w:lineRule="auto"/>
        <w:rPr>
          <w:sz w:val="24"/>
          <w:szCs w:val="24"/>
        </w:rPr>
      </w:pPr>
      <w:r w:rsidRPr="00705F9C">
        <w:rPr>
          <w:sz w:val="24"/>
          <w:szCs w:val="24"/>
        </w:rPr>
        <w:t xml:space="preserve">Denzin, N.K. and Lincoln, Y.S. (2018) The SAGE Handbook of Qualitative Research. 5th </w:t>
      </w:r>
      <w:proofErr w:type="spellStart"/>
      <w:r w:rsidRPr="00705F9C">
        <w:rPr>
          <w:sz w:val="24"/>
          <w:szCs w:val="24"/>
        </w:rPr>
        <w:t>edn</w:t>
      </w:r>
      <w:proofErr w:type="spellEnd"/>
      <w:r w:rsidRPr="00705F9C">
        <w:rPr>
          <w:sz w:val="24"/>
          <w:szCs w:val="24"/>
        </w:rPr>
        <w:t>. Thousand Oaks, CA: SAGE Publications.</w:t>
      </w:r>
    </w:p>
    <w:p w14:paraId="6259B51B" w14:textId="77777777" w:rsidR="00705F9C" w:rsidRPr="00705F9C" w:rsidRDefault="00705F9C" w:rsidP="00705F9C">
      <w:pPr>
        <w:spacing w:line="480" w:lineRule="auto"/>
        <w:rPr>
          <w:sz w:val="24"/>
          <w:szCs w:val="24"/>
        </w:rPr>
      </w:pPr>
      <w:r w:rsidRPr="00705F9C">
        <w:rPr>
          <w:sz w:val="24"/>
          <w:szCs w:val="24"/>
        </w:rPr>
        <w:t xml:space="preserve">Gustafsson, B.M., </w:t>
      </w:r>
      <w:proofErr w:type="spellStart"/>
      <w:r w:rsidRPr="00705F9C">
        <w:rPr>
          <w:sz w:val="24"/>
          <w:szCs w:val="24"/>
        </w:rPr>
        <w:t>Steinwall</w:t>
      </w:r>
      <w:proofErr w:type="spellEnd"/>
      <w:r w:rsidRPr="00705F9C">
        <w:rPr>
          <w:sz w:val="24"/>
          <w:szCs w:val="24"/>
        </w:rPr>
        <w:t>, S. and Korhonen, L. (2022) Multi-professional and multi-agency model PLUSS to facilitate early detection and support of pre-school children with neurodevelopmental difficulties, BMC Health Services Research, 22(419), pp. 1–12. Available at: https://link.springer.com/article/10.1186/s12913-022-07815- 8 (Accessed on 10 May 2026).</w:t>
      </w:r>
    </w:p>
    <w:p w14:paraId="2685A96C" w14:textId="77777777" w:rsidR="00705F9C" w:rsidRPr="00705F9C" w:rsidRDefault="00705F9C" w:rsidP="00705F9C">
      <w:pPr>
        <w:spacing w:line="480" w:lineRule="auto"/>
        <w:rPr>
          <w:sz w:val="24"/>
          <w:szCs w:val="24"/>
        </w:rPr>
      </w:pPr>
      <w:r w:rsidRPr="00705F9C">
        <w:rPr>
          <w:sz w:val="24"/>
          <w:szCs w:val="24"/>
        </w:rPr>
        <w:t xml:space="preserve">Indeed Editorial Team (2023) What is the Halo </w:t>
      </w:r>
      <w:proofErr w:type="gramStart"/>
      <w:r w:rsidRPr="00705F9C">
        <w:rPr>
          <w:sz w:val="24"/>
          <w:szCs w:val="24"/>
        </w:rPr>
        <w:t>Effect?.</w:t>
      </w:r>
      <w:proofErr w:type="gramEnd"/>
      <w:r w:rsidRPr="00705F9C">
        <w:rPr>
          <w:sz w:val="24"/>
          <w:szCs w:val="24"/>
        </w:rPr>
        <w:t xml:space="preserve"> Available at: https://uk.indeed.com/career-advice/career-development/halo-effect (Accessed on 13 May 2026).</w:t>
      </w:r>
    </w:p>
    <w:p w14:paraId="70C15B30" w14:textId="77777777" w:rsidR="00705F9C" w:rsidRPr="00705F9C" w:rsidRDefault="00705F9C" w:rsidP="00705F9C">
      <w:pPr>
        <w:spacing w:line="480" w:lineRule="auto"/>
        <w:rPr>
          <w:sz w:val="24"/>
          <w:szCs w:val="24"/>
        </w:rPr>
      </w:pPr>
      <w:r w:rsidRPr="00705F9C">
        <w:rPr>
          <w:sz w:val="24"/>
          <w:szCs w:val="24"/>
        </w:rPr>
        <w:t>Information Commissioner’s Office (2024) Guide to the UK General Data Protection Regulation (UK GDPR). Available at: https://ico.org.uk/for-organisations/uk-gdpr-guidance-and-resources/ (Accessed on 15 May 2026).</w:t>
      </w:r>
    </w:p>
    <w:p w14:paraId="44D4412A" w14:textId="77777777" w:rsidR="00705F9C" w:rsidRPr="00705F9C" w:rsidRDefault="00705F9C" w:rsidP="00705F9C">
      <w:pPr>
        <w:spacing w:line="480" w:lineRule="auto"/>
        <w:rPr>
          <w:sz w:val="24"/>
          <w:szCs w:val="24"/>
        </w:rPr>
      </w:pPr>
      <w:r w:rsidRPr="00705F9C">
        <w:rPr>
          <w:sz w:val="24"/>
          <w:szCs w:val="24"/>
        </w:rPr>
        <w:t xml:space="preserve">Lewis-Beck, M.S., Bryman, A. and </w:t>
      </w:r>
      <w:proofErr w:type="spellStart"/>
      <w:r w:rsidRPr="00705F9C">
        <w:rPr>
          <w:sz w:val="24"/>
          <w:szCs w:val="24"/>
        </w:rPr>
        <w:t>Futing</w:t>
      </w:r>
      <w:proofErr w:type="spellEnd"/>
      <w:r w:rsidRPr="00705F9C">
        <w:rPr>
          <w:sz w:val="24"/>
          <w:szCs w:val="24"/>
        </w:rPr>
        <w:t xml:space="preserve"> Liao, T. (2004) The SAGE </w:t>
      </w:r>
      <w:proofErr w:type="spellStart"/>
      <w:r w:rsidRPr="00705F9C">
        <w:rPr>
          <w:sz w:val="24"/>
          <w:szCs w:val="24"/>
        </w:rPr>
        <w:t>Encyclopedia</w:t>
      </w:r>
      <w:proofErr w:type="spellEnd"/>
      <w:r w:rsidRPr="00705F9C">
        <w:rPr>
          <w:sz w:val="24"/>
          <w:szCs w:val="24"/>
        </w:rPr>
        <w:t xml:space="preserve"> of Social Science Research Methods. Thousand Oaks, CA: SAGE Publications.</w:t>
      </w:r>
    </w:p>
    <w:p w14:paraId="1DD4C47F" w14:textId="77777777" w:rsidR="00705F9C" w:rsidRPr="00705F9C" w:rsidRDefault="00705F9C" w:rsidP="00705F9C">
      <w:pPr>
        <w:spacing w:line="480" w:lineRule="auto"/>
        <w:rPr>
          <w:sz w:val="24"/>
          <w:szCs w:val="24"/>
        </w:rPr>
      </w:pPr>
      <w:r w:rsidRPr="00705F9C">
        <w:rPr>
          <w:sz w:val="24"/>
          <w:szCs w:val="24"/>
        </w:rPr>
        <w:t xml:space="preserve">Mukherji, P. and Albon, D. (2018) Research Methods in Early Childhood: An Introductory Guide. 3rd </w:t>
      </w:r>
      <w:proofErr w:type="spellStart"/>
      <w:r w:rsidRPr="00705F9C">
        <w:rPr>
          <w:sz w:val="24"/>
          <w:szCs w:val="24"/>
        </w:rPr>
        <w:t>edn</w:t>
      </w:r>
      <w:proofErr w:type="spellEnd"/>
      <w:r w:rsidRPr="00705F9C">
        <w:rPr>
          <w:sz w:val="24"/>
          <w:szCs w:val="24"/>
        </w:rPr>
        <w:t>. London: SAGE Publications.</w:t>
      </w:r>
    </w:p>
    <w:p w14:paraId="0683069F" w14:textId="77777777" w:rsidR="00705F9C" w:rsidRPr="00705F9C" w:rsidRDefault="00705F9C" w:rsidP="00705F9C">
      <w:pPr>
        <w:spacing w:line="480" w:lineRule="auto"/>
        <w:rPr>
          <w:sz w:val="24"/>
          <w:szCs w:val="24"/>
        </w:rPr>
      </w:pPr>
      <w:proofErr w:type="spellStart"/>
      <w:r w:rsidRPr="00705F9C">
        <w:rPr>
          <w:sz w:val="24"/>
          <w:szCs w:val="24"/>
        </w:rPr>
        <w:lastRenderedPageBreak/>
        <w:t>Oberklaid</w:t>
      </w:r>
      <w:proofErr w:type="spellEnd"/>
      <w:r w:rsidRPr="00705F9C">
        <w:rPr>
          <w:sz w:val="24"/>
          <w:szCs w:val="24"/>
        </w:rPr>
        <w:t>, F., Baird, G., Blair, M., Melhuish, E. and Hall, D. (2013) Children’s health and development: Approaches to early identification and intervention, Archives of Disease in Childhood, 98(12), pp. 1008–1011. Available at: https://adc.bmj.com/content/98/12/1008 (Accessed on 10 May 2026).</w:t>
      </w:r>
    </w:p>
    <w:p w14:paraId="6BA1A400" w14:textId="77777777" w:rsidR="00705F9C" w:rsidRPr="00705F9C" w:rsidRDefault="00705F9C" w:rsidP="00705F9C">
      <w:pPr>
        <w:spacing w:line="480" w:lineRule="auto"/>
        <w:rPr>
          <w:sz w:val="24"/>
          <w:szCs w:val="24"/>
        </w:rPr>
      </w:pPr>
      <w:r w:rsidRPr="00705F9C">
        <w:rPr>
          <w:sz w:val="24"/>
          <w:szCs w:val="24"/>
        </w:rPr>
        <w:t>Office for Health Improvement and Disparities (2020). Mixed Methods Study. Available at: https://www.gov.uk/guidance/mixed-methods-study. (Accessed on 14 May 2026)</w:t>
      </w:r>
    </w:p>
    <w:p w14:paraId="331D9494" w14:textId="77777777" w:rsidR="00705F9C" w:rsidRPr="00705F9C" w:rsidRDefault="00705F9C" w:rsidP="00705F9C">
      <w:pPr>
        <w:spacing w:line="480" w:lineRule="auto"/>
        <w:rPr>
          <w:sz w:val="24"/>
          <w:szCs w:val="24"/>
        </w:rPr>
      </w:pPr>
      <w:r w:rsidRPr="00705F9C">
        <w:rPr>
          <w:sz w:val="24"/>
          <w:szCs w:val="24"/>
        </w:rPr>
        <w:t xml:space="preserve">Rutherford, M., </w:t>
      </w:r>
      <w:proofErr w:type="spellStart"/>
      <w:r w:rsidRPr="00705F9C">
        <w:rPr>
          <w:sz w:val="24"/>
          <w:szCs w:val="24"/>
        </w:rPr>
        <w:t>Maciver</w:t>
      </w:r>
      <w:proofErr w:type="spellEnd"/>
      <w:r w:rsidRPr="00705F9C">
        <w:rPr>
          <w:sz w:val="24"/>
          <w:szCs w:val="24"/>
        </w:rPr>
        <w:t>, D., Johnston, L., Prior S. and Forsyth, K. (2021) Development of a pathway for multidisciplinary neurodevelopmental assessment and diagnosis in children and young people, Children, 8(11), p. 1033. Available at: https://www.mdpi.com/2227-9067/8/11/1033(Accessed on 10 May 2026).</w:t>
      </w:r>
    </w:p>
    <w:p w14:paraId="10D9BFEB" w14:textId="77777777" w:rsidR="00705F9C" w:rsidRPr="00705F9C" w:rsidRDefault="00705F9C" w:rsidP="00705F9C">
      <w:pPr>
        <w:spacing w:line="480" w:lineRule="auto"/>
        <w:rPr>
          <w:sz w:val="24"/>
          <w:szCs w:val="24"/>
        </w:rPr>
      </w:pPr>
      <w:r w:rsidRPr="00705F9C">
        <w:rPr>
          <w:sz w:val="24"/>
          <w:szCs w:val="24"/>
        </w:rPr>
        <w:t>SAGE Research Methods (n.d.) Hawthorne Effect. Available at: https://methods.sagepub.com/ency/edvol/the-sage-encyclopedia-of-social-science-research-methods/chpt/hawthorne-effect (Accessed on 14 May 2026).</w:t>
      </w:r>
    </w:p>
    <w:p w14:paraId="0CA45F29" w14:textId="77777777" w:rsidR="00705F9C" w:rsidRPr="00705F9C" w:rsidRDefault="00705F9C" w:rsidP="00705F9C">
      <w:pPr>
        <w:spacing w:line="480" w:lineRule="auto"/>
        <w:rPr>
          <w:sz w:val="24"/>
          <w:szCs w:val="24"/>
        </w:rPr>
      </w:pPr>
      <w:r w:rsidRPr="00705F9C">
        <w:rPr>
          <w:sz w:val="24"/>
          <w:szCs w:val="24"/>
        </w:rPr>
        <w:t xml:space="preserve">Saunders, M., Lewis, P. and Thornhill, A. (2019) Research Methods for Business Students. 8th </w:t>
      </w:r>
      <w:proofErr w:type="spellStart"/>
      <w:r w:rsidRPr="00705F9C">
        <w:rPr>
          <w:sz w:val="24"/>
          <w:szCs w:val="24"/>
        </w:rPr>
        <w:t>edn</w:t>
      </w:r>
      <w:proofErr w:type="spellEnd"/>
      <w:r w:rsidRPr="00705F9C">
        <w:rPr>
          <w:sz w:val="24"/>
          <w:szCs w:val="24"/>
        </w:rPr>
        <w:t>. Harlow: Pearson Education. Available at: https://www.pearson.com/en-gb/subject-catalog/p/research-methods-for-business-students/P200000003479 (Accessed on 13 May 2026).</w:t>
      </w:r>
    </w:p>
    <w:p w14:paraId="18E351A2" w14:textId="77777777" w:rsidR="00705F9C" w:rsidRPr="00705F9C" w:rsidRDefault="00705F9C" w:rsidP="00705F9C">
      <w:pPr>
        <w:spacing w:line="480" w:lineRule="auto"/>
        <w:rPr>
          <w:sz w:val="24"/>
          <w:szCs w:val="24"/>
        </w:rPr>
      </w:pPr>
      <w:r w:rsidRPr="00705F9C">
        <w:rPr>
          <w:sz w:val="24"/>
          <w:szCs w:val="24"/>
        </w:rPr>
        <w:t>ScienceDirect (2010) Mixed Methods Research Designs in Educational Research. Available at: https://www.sciencedirect.com/science/article/pii/S0020748910003639 (Accessed on 14 May 2026).</w:t>
      </w:r>
    </w:p>
    <w:p w14:paraId="63BF6DFE" w14:textId="77777777" w:rsidR="00705F9C" w:rsidRPr="00705F9C" w:rsidRDefault="00705F9C" w:rsidP="00705F9C">
      <w:pPr>
        <w:spacing w:line="480" w:lineRule="auto"/>
        <w:rPr>
          <w:sz w:val="24"/>
          <w:szCs w:val="24"/>
        </w:rPr>
      </w:pPr>
      <w:proofErr w:type="spellStart"/>
      <w:r w:rsidRPr="00705F9C">
        <w:rPr>
          <w:sz w:val="24"/>
          <w:szCs w:val="24"/>
        </w:rPr>
        <w:t>Scribbr</w:t>
      </w:r>
      <w:proofErr w:type="spellEnd"/>
      <w:r w:rsidRPr="00705F9C">
        <w:rPr>
          <w:sz w:val="24"/>
          <w:szCs w:val="24"/>
        </w:rPr>
        <w:t xml:space="preserve"> (2023) Triangulation in Research | Guide, Types, Examples. Available at: https://www.scribbr.com/methodology/triangulation/ (Accessed on 13 May 2026).</w:t>
      </w:r>
    </w:p>
    <w:p w14:paraId="41EBA7AD" w14:textId="77777777" w:rsidR="00705F9C" w:rsidRPr="00705F9C" w:rsidRDefault="00705F9C" w:rsidP="00705F9C">
      <w:pPr>
        <w:spacing w:line="480" w:lineRule="auto"/>
        <w:rPr>
          <w:sz w:val="24"/>
          <w:szCs w:val="24"/>
        </w:rPr>
      </w:pPr>
      <w:r w:rsidRPr="00705F9C">
        <w:rPr>
          <w:sz w:val="24"/>
          <w:szCs w:val="24"/>
        </w:rPr>
        <w:lastRenderedPageBreak/>
        <w:t xml:space="preserve">Shah, R. (2024). The Hawthorne Effect in Research: Unveiling the Complexity of Participant </w:t>
      </w:r>
      <w:proofErr w:type="spellStart"/>
      <w:proofErr w:type="gramStart"/>
      <w:r w:rsidRPr="00705F9C">
        <w:rPr>
          <w:sz w:val="24"/>
          <w:szCs w:val="24"/>
        </w:rPr>
        <w:t>Behavior</w:t>
      </w:r>
      <w:proofErr w:type="spellEnd"/>
      <w:r w:rsidRPr="00705F9C">
        <w:rPr>
          <w:sz w:val="24"/>
          <w:szCs w:val="24"/>
        </w:rPr>
        <w:t>..</w:t>
      </w:r>
      <w:proofErr w:type="gramEnd"/>
      <w:r w:rsidRPr="00705F9C">
        <w:rPr>
          <w:sz w:val="24"/>
          <w:szCs w:val="24"/>
        </w:rPr>
        <w:t xml:space="preserve"> Available at: https://www.researchgate.net/publication/381850629_THE_HAWTHORNE_EFFECT_IN_RESEARCH_UNVEILING_THE_COMPLEXITY_OF_PARTICIPANT_BEHAVIOR. (Accessed on 13 May 2026)</w:t>
      </w:r>
    </w:p>
    <w:p w14:paraId="088C821A" w14:textId="77777777" w:rsidR="00705F9C" w:rsidRPr="00705F9C" w:rsidRDefault="00705F9C" w:rsidP="00705F9C">
      <w:pPr>
        <w:spacing w:line="480" w:lineRule="auto"/>
        <w:rPr>
          <w:sz w:val="24"/>
          <w:szCs w:val="24"/>
        </w:rPr>
      </w:pPr>
      <w:r w:rsidRPr="00705F9C">
        <w:rPr>
          <w:sz w:val="24"/>
          <w:szCs w:val="24"/>
        </w:rPr>
        <w:t>Siegel, L.S. (2020) Early identification and intervention to prevent reading failure: A response to intervention (RTI) initiative, Educational and Developmental Psychologist, 37(2), pp. 140–146. Available at: https://www.cambridge.org/core/journals/educational-and-developmental-psychologist/article/abs/early-identification-and-intervention-to-prevent-reading-failure-a-response-to-intervention-rti-initiative/AA8DA24535DD83C7A7F56DC32415D93A (Accessed on 10 May 2026).</w:t>
      </w:r>
    </w:p>
    <w:p w14:paraId="1167C24A" w14:textId="77777777" w:rsidR="00705F9C" w:rsidRPr="00705F9C" w:rsidRDefault="00705F9C" w:rsidP="00705F9C">
      <w:pPr>
        <w:spacing w:line="480" w:lineRule="auto"/>
        <w:rPr>
          <w:sz w:val="24"/>
          <w:szCs w:val="24"/>
        </w:rPr>
      </w:pPr>
      <w:proofErr w:type="spellStart"/>
      <w:r w:rsidRPr="00705F9C">
        <w:rPr>
          <w:sz w:val="24"/>
          <w:szCs w:val="24"/>
        </w:rPr>
        <w:t>Tebruegge</w:t>
      </w:r>
      <w:proofErr w:type="spellEnd"/>
      <w:r w:rsidRPr="00705F9C">
        <w:rPr>
          <w:sz w:val="24"/>
          <w:szCs w:val="24"/>
        </w:rPr>
        <w:t xml:space="preserve">, M., Nandini, V. and Ritchie, J. (2004) Does routine child health surveillance contribute to the early detection of children with pervasive developmental </w:t>
      </w:r>
      <w:proofErr w:type="gramStart"/>
      <w:r w:rsidRPr="00705F9C">
        <w:rPr>
          <w:sz w:val="24"/>
          <w:szCs w:val="24"/>
        </w:rPr>
        <w:t>disorders?,</w:t>
      </w:r>
      <w:proofErr w:type="gramEnd"/>
      <w:r w:rsidRPr="00705F9C">
        <w:rPr>
          <w:sz w:val="24"/>
          <w:szCs w:val="24"/>
        </w:rPr>
        <w:t xml:space="preserve"> BMC </w:t>
      </w:r>
      <w:proofErr w:type="spellStart"/>
      <w:r w:rsidRPr="00705F9C">
        <w:rPr>
          <w:sz w:val="24"/>
          <w:szCs w:val="24"/>
        </w:rPr>
        <w:t>Pediatrics</w:t>
      </w:r>
      <w:proofErr w:type="spellEnd"/>
      <w:r w:rsidRPr="00705F9C">
        <w:rPr>
          <w:sz w:val="24"/>
          <w:szCs w:val="24"/>
        </w:rPr>
        <w:t>, 4(4), pp. 1–7. Available at: https://link.springer.com/article/10.1186/1471-2431-4-4 (Accessed on 12 May 2026).</w:t>
      </w:r>
    </w:p>
    <w:p w14:paraId="5495561E" w14:textId="77777777" w:rsidR="00705F9C" w:rsidRPr="00705F9C" w:rsidRDefault="00705F9C" w:rsidP="00705F9C">
      <w:pPr>
        <w:spacing w:line="480" w:lineRule="auto"/>
        <w:rPr>
          <w:sz w:val="24"/>
          <w:szCs w:val="24"/>
        </w:rPr>
      </w:pPr>
      <w:r w:rsidRPr="00705F9C">
        <w:rPr>
          <w:sz w:val="24"/>
          <w:szCs w:val="24"/>
        </w:rPr>
        <w:t xml:space="preserve">Thomas, G., Nelson, J. and Silverman, D. (2015) Research Methods: The Key Concepts. 2nd </w:t>
      </w:r>
      <w:proofErr w:type="spellStart"/>
      <w:r w:rsidRPr="00705F9C">
        <w:rPr>
          <w:sz w:val="24"/>
          <w:szCs w:val="24"/>
        </w:rPr>
        <w:t>edn</w:t>
      </w:r>
      <w:proofErr w:type="spellEnd"/>
      <w:r w:rsidRPr="00705F9C">
        <w:rPr>
          <w:sz w:val="24"/>
          <w:szCs w:val="24"/>
        </w:rPr>
        <w:t>. London: Routledge</w:t>
      </w:r>
    </w:p>
    <w:p w14:paraId="00159073" w14:textId="77777777" w:rsidR="00705F9C" w:rsidRPr="00705F9C" w:rsidRDefault="00705F9C" w:rsidP="00705F9C">
      <w:pPr>
        <w:spacing w:line="480" w:lineRule="auto"/>
        <w:rPr>
          <w:sz w:val="24"/>
          <w:szCs w:val="24"/>
        </w:rPr>
      </w:pPr>
      <w:r w:rsidRPr="00705F9C">
        <w:rPr>
          <w:sz w:val="24"/>
          <w:szCs w:val="24"/>
        </w:rPr>
        <w:t>UK Government (2018) Data Protection Act 2018. Available at: https://www.legislation.gov.uk/ukpga/2018/12/contents/enacted (Accessed on 14 May 2026).</w:t>
      </w:r>
    </w:p>
    <w:p w14:paraId="56532D32" w14:textId="77777777" w:rsidR="00705F9C" w:rsidRPr="00705F9C" w:rsidRDefault="00705F9C" w:rsidP="00705F9C">
      <w:pPr>
        <w:spacing w:line="480" w:lineRule="auto"/>
        <w:rPr>
          <w:sz w:val="24"/>
          <w:szCs w:val="24"/>
        </w:rPr>
      </w:pPr>
      <w:r w:rsidRPr="00705F9C">
        <w:rPr>
          <w:sz w:val="24"/>
          <w:szCs w:val="24"/>
        </w:rPr>
        <w:lastRenderedPageBreak/>
        <w:t>University of Southern California (2024) Organizing Your Social Sciences Research Paper. Available at: https://libguides.usc.edu/writingguide/researchdesigns (Accessed on 12 May 2026).</w:t>
      </w:r>
    </w:p>
    <w:p w14:paraId="4FF9B174" w14:textId="77777777" w:rsidR="00705F9C" w:rsidRPr="00705F9C" w:rsidRDefault="00705F9C" w:rsidP="00705F9C">
      <w:pPr>
        <w:spacing w:line="480" w:lineRule="auto"/>
        <w:rPr>
          <w:sz w:val="24"/>
          <w:szCs w:val="24"/>
        </w:rPr>
      </w:pPr>
      <w:r w:rsidRPr="00705F9C">
        <w:rPr>
          <w:sz w:val="24"/>
          <w:szCs w:val="24"/>
        </w:rPr>
        <w:t xml:space="preserve">University of Wales Trinity Saint David (2024) Research Integrity and Code of Good Practice. Available at: </w:t>
      </w:r>
      <w:proofErr w:type="gramStart"/>
      <w:r w:rsidRPr="00705F9C">
        <w:rPr>
          <w:sz w:val="24"/>
          <w:szCs w:val="24"/>
        </w:rPr>
        <w:t>https://www.uwtsd.ac.uk/research/research-integrity/  (</w:t>
      </w:r>
      <w:proofErr w:type="gramEnd"/>
      <w:r w:rsidRPr="00705F9C">
        <w:rPr>
          <w:sz w:val="24"/>
          <w:szCs w:val="24"/>
        </w:rPr>
        <w:t>Accessed on 15 May 2026)</w:t>
      </w:r>
    </w:p>
    <w:p w14:paraId="7A901280" w14:textId="391991E6" w:rsidR="005C6BFB" w:rsidRDefault="00705F9C" w:rsidP="00705F9C">
      <w:pPr>
        <w:spacing w:line="480" w:lineRule="auto"/>
        <w:rPr>
          <w:sz w:val="24"/>
          <w:szCs w:val="24"/>
        </w:rPr>
      </w:pPr>
      <w:r w:rsidRPr="00705F9C">
        <w:rPr>
          <w:sz w:val="24"/>
          <w:szCs w:val="24"/>
        </w:rPr>
        <w:t>Vygotsky, L.S. (1978) Mind in society: The development of higher psychological processes. Cambridge, MA: Harvard University Press.</w:t>
      </w:r>
    </w:p>
    <w:p w14:paraId="6202A1EF" w14:textId="77777777" w:rsidR="00705F9C" w:rsidRDefault="00705F9C" w:rsidP="00705F9C">
      <w:pPr>
        <w:spacing w:line="480" w:lineRule="auto"/>
        <w:rPr>
          <w:sz w:val="24"/>
          <w:szCs w:val="24"/>
        </w:rPr>
      </w:pPr>
    </w:p>
    <w:p w14:paraId="25542440" w14:textId="516A6D4A" w:rsidR="00110514" w:rsidRPr="00365F87" w:rsidRDefault="00167469" w:rsidP="006E463E">
      <w:pPr>
        <w:spacing w:line="480" w:lineRule="auto"/>
        <w:rPr>
          <w:sz w:val="24"/>
          <w:szCs w:val="24"/>
        </w:rPr>
      </w:pPr>
      <w:r>
        <w:rPr>
          <w:sz w:val="24"/>
          <w:szCs w:val="24"/>
        </w:rPr>
        <w:t xml:space="preserve"> </w:t>
      </w:r>
    </w:p>
    <w:sectPr w:rsidR="00110514" w:rsidRPr="00365F8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EE0DC" w14:textId="77777777" w:rsidR="00774CF4" w:rsidRDefault="00774CF4" w:rsidP="00CF1BAA">
      <w:pPr>
        <w:spacing w:after="0" w:line="240" w:lineRule="auto"/>
      </w:pPr>
      <w:r>
        <w:separator/>
      </w:r>
    </w:p>
  </w:endnote>
  <w:endnote w:type="continuationSeparator" w:id="0">
    <w:p w14:paraId="2E27EF5E" w14:textId="77777777" w:rsidR="00774CF4" w:rsidRDefault="00774CF4" w:rsidP="00CF1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39D3D" w14:textId="77777777" w:rsidR="00774CF4" w:rsidRDefault="00774CF4" w:rsidP="00CF1BAA">
      <w:pPr>
        <w:spacing w:after="0" w:line="240" w:lineRule="auto"/>
      </w:pPr>
      <w:r>
        <w:separator/>
      </w:r>
    </w:p>
  </w:footnote>
  <w:footnote w:type="continuationSeparator" w:id="0">
    <w:p w14:paraId="74EC78CB" w14:textId="77777777" w:rsidR="00774CF4" w:rsidRDefault="00774CF4" w:rsidP="00CF1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44FE2" w14:textId="368EE70D" w:rsidR="00CF1BAA" w:rsidRDefault="00CF1BAA">
    <w:pPr>
      <w:pStyle w:val="Header"/>
    </w:pPr>
    <w:r>
      <w:t>ECEY5010</w:t>
    </w:r>
  </w:p>
  <w:p w14:paraId="5174C1E4" w14:textId="0256D5EF" w:rsidR="00CF1BAA" w:rsidRDefault="00CF1BAA">
    <w:pPr>
      <w:pStyle w:val="Header"/>
    </w:pPr>
    <w:r>
      <w:t>2519219</w:t>
    </w:r>
  </w:p>
  <w:p w14:paraId="305FDC39" w14:textId="738AC8F1" w:rsidR="00391201" w:rsidRDefault="00391201">
    <w:pPr>
      <w:pStyle w:val="Header"/>
    </w:pPr>
    <w:r>
      <w:t>Word count - 4390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BAA"/>
    <w:rsid w:val="000468E5"/>
    <w:rsid w:val="000F1328"/>
    <w:rsid w:val="00110514"/>
    <w:rsid w:val="00167469"/>
    <w:rsid w:val="0017062A"/>
    <w:rsid w:val="001F60D2"/>
    <w:rsid w:val="0026302E"/>
    <w:rsid w:val="002B3607"/>
    <w:rsid w:val="00365F87"/>
    <w:rsid w:val="00391201"/>
    <w:rsid w:val="003F3E40"/>
    <w:rsid w:val="00404E22"/>
    <w:rsid w:val="004306CE"/>
    <w:rsid w:val="00531745"/>
    <w:rsid w:val="005C6BFB"/>
    <w:rsid w:val="006009AB"/>
    <w:rsid w:val="00602CB7"/>
    <w:rsid w:val="006E463E"/>
    <w:rsid w:val="00705F9C"/>
    <w:rsid w:val="00715610"/>
    <w:rsid w:val="00720964"/>
    <w:rsid w:val="00774CF4"/>
    <w:rsid w:val="007833BC"/>
    <w:rsid w:val="009B4AF0"/>
    <w:rsid w:val="009C684D"/>
    <w:rsid w:val="00C0431A"/>
    <w:rsid w:val="00C749CB"/>
    <w:rsid w:val="00CF1BAA"/>
    <w:rsid w:val="00D502EE"/>
    <w:rsid w:val="00DE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01913"/>
  <w15:chartTrackingRefBased/>
  <w15:docId w15:val="{25F8120A-BB55-46B4-A2DB-AB2176D18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B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B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B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B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B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B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B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B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B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B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B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B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B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B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B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B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B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BAA"/>
    <w:rPr>
      <w:rFonts w:eastAsiaTheme="majorEastAsia" w:cstheme="majorBidi"/>
      <w:color w:val="272727" w:themeColor="text1" w:themeTint="D8"/>
    </w:rPr>
  </w:style>
  <w:style w:type="paragraph" w:styleId="Title">
    <w:name w:val="Title"/>
    <w:basedOn w:val="Normal"/>
    <w:next w:val="Normal"/>
    <w:link w:val="TitleChar"/>
    <w:uiPriority w:val="10"/>
    <w:qFormat/>
    <w:rsid w:val="00CF1B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B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B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B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BAA"/>
    <w:pPr>
      <w:spacing w:before="160"/>
      <w:jc w:val="center"/>
    </w:pPr>
    <w:rPr>
      <w:i/>
      <w:iCs/>
      <w:color w:val="404040" w:themeColor="text1" w:themeTint="BF"/>
    </w:rPr>
  </w:style>
  <w:style w:type="character" w:customStyle="1" w:styleId="QuoteChar">
    <w:name w:val="Quote Char"/>
    <w:basedOn w:val="DefaultParagraphFont"/>
    <w:link w:val="Quote"/>
    <w:uiPriority w:val="29"/>
    <w:rsid w:val="00CF1BAA"/>
    <w:rPr>
      <w:i/>
      <w:iCs/>
      <w:color w:val="404040" w:themeColor="text1" w:themeTint="BF"/>
    </w:rPr>
  </w:style>
  <w:style w:type="paragraph" w:styleId="ListParagraph">
    <w:name w:val="List Paragraph"/>
    <w:basedOn w:val="Normal"/>
    <w:uiPriority w:val="34"/>
    <w:qFormat/>
    <w:rsid w:val="00CF1BAA"/>
    <w:pPr>
      <w:ind w:left="720"/>
      <w:contextualSpacing/>
    </w:pPr>
  </w:style>
  <w:style w:type="character" w:styleId="IntenseEmphasis">
    <w:name w:val="Intense Emphasis"/>
    <w:basedOn w:val="DefaultParagraphFont"/>
    <w:uiPriority w:val="21"/>
    <w:qFormat/>
    <w:rsid w:val="00CF1BAA"/>
    <w:rPr>
      <w:i/>
      <w:iCs/>
      <w:color w:val="0F4761" w:themeColor="accent1" w:themeShade="BF"/>
    </w:rPr>
  </w:style>
  <w:style w:type="paragraph" w:styleId="IntenseQuote">
    <w:name w:val="Intense Quote"/>
    <w:basedOn w:val="Normal"/>
    <w:next w:val="Normal"/>
    <w:link w:val="IntenseQuoteChar"/>
    <w:uiPriority w:val="30"/>
    <w:qFormat/>
    <w:rsid w:val="00CF1B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BAA"/>
    <w:rPr>
      <w:i/>
      <w:iCs/>
      <w:color w:val="0F4761" w:themeColor="accent1" w:themeShade="BF"/>
    </w:rPr>
  </w:style>
  <w:style w:type="character" w:styleId="IntenseReference">
    <w:name w:val="Intense Reference"/>
    <w:basedOn w:val="DefaultParagraphFont"/>
    <w:uiPriority w:val="32"/>
    <w:qFormat/>
    <w:rsid w:val="00CF1BAA"/>
    <w:rPr>
      <w:b/>
      <w:bCs/>
      <w:smallCaps/>
      <w:color w:val="0F4761" w:themeColor="accent1" w:themeShade="BF"/>
      <w:spacing w:val="5"/>
    </w:rPr>
  </w:style>
  <w:style w:type="paragraph" w:styleId="Header">
    <w:name w:val="header"/>
    <w:basedOn w:val="Normal"/>
    <w:link w:val="HeaderChar"/>
    <w:uiPriority w:val="99"/>
    <w:unhideWhenUsed/>
    <w:rsid w:val="00CF1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BAA"/>
  </w:style>
  <w:style w:type="paragraph" w:styleId="Footer">
    <w:name w:val="footer"/>
    <w:basedOn w:val="Normal"/>
    <w:link w:val="FooterChar"/>
    <w:uiPriority w:val="99"/>
    <w:unhideWhenUsed/>
    <w:rsid w:val="00CF1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BAA"/>
  </w:style>
  <w:style w:type="character" w:styleId="Hyperlink">
    <w:name w:val="Hyperlink"/>
    <w:basedOn w:val="DefaultParagraphFont"/>
    <w:uiPriority w:val="99"/>
    <w:unhideWhenUsed/>
    <w:rsid w:val="00531745"/>
    <w:rPr>
      <w:color w:val="467886" w:themeColor="hyperlink"/>
      <w:u w:val="single"/>
    </w:rPr>
  </w:style>
  <w:style w:type="character" w:styleId="UnresolvedMention">
    <w:name w:val="Unresolved Mention"/>
    <w:basedOn w:val="DefaultParagraphFont"/>
    <w:uiPriority w:val="99"/>
    <w:semiHidden/>
    <w:unhideWhenUsed/>
    <w:rsid w:val="00531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6094</Words>
  <Characters>34739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311393 (Mollie Lambert)</dc:creator>
  <cp:keywords/>
  <dc:description/>
  <cp:lastModifiedBy>311393 (Mollie Lambert)</cp:lastModifiedBy>
  <cp:revision>1</cp:revision>
  <dcterms:created xsi:type="dcterms:W3CDTF">2026-05-12T08:28:00Z</dcterms:created>
  <dcterms:modified xsi:type="dcterms:W3CDTF">2026-05-14T20:52:00Z</dcterms:modified>
</cp:coreProperties>
</file>