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9A439" w14:textId="77777777" w:rsidR="00F67801" w:rsidRPr="006F4E68" w:rsidRDefault="00F67801" w:rsidP="006F4E68">
      <w:pPr>
        <w:spacing w:line="360" w:lineRule="auto"/>
        <w:jc w:val="center"/>
        <w:rPr>
          <w:rFonts w:ascii="Arial" w:hAnsi="Arial" w:cs="Arial"/>
          <w:sz w:val="22"/>
          <w:szCs w:val="22"/>
        </w:rPr>
      </w:pPr>
      <w:r w:rsidRPr="006F4E68">
        <w:rPr>
          <w:rFonts w:ascii="Arial" w:hAnsi="Arial" w:cs="Arial"/>
          <w:b/>
          <w:bCs/>
          <w:sz w:val="22"/>
          <w:szCs w:val="22"/>
        </w:rPr>
        <w:t>Student Name:</w:t>
      </w:r>
      <w:r w:rsidRPr="006F4E68">
        <w:rPr>
          <w:rFonts w:ascii="Arial" w:hAnsi="Arial" w:cs="Arial"/>
          <w:sz w:val="22"/>
          <w:szCs w:val="22"/>
        </w:rPr>
        <w:t xml:space="preserve"> Haider Ghazanfar</w:t>
      </w:r>
    </w:p>
    <w:p w14:paraId="4FCE06DB" w14:textId="77777777" w:rsidR="00F67801" w:rsidRPr="006F4E68" w:rsidRDefault="00F67801" w:rsidP="006F4E68">
      <w:pPr>
        <w:spacing w:line="360" w:lineRule="auto"/>
        <w:jc w:val="center"/>
        <w:rPr>
          <w:rFonts w:ascii="Arial" w:hAnsi="Arial" w:cs="Arial"/>
          <w:sz w:val="22"/>
          <w:szCs w:val="22"/>
        </w:rPr>
      </w:pPr>
      <w:r w:rsidRPr="006F4E68">
        <w:rPr>
          <w:rFonts w:ascii="Arial" w:hAnsi="Arial" w:cs="Arial"/>
          <w:b/>
          <w:bCs/>
          <w:sz w:val="22"/>
          <w:szCs w:val="22"/>
        </w:rPr>
        <w:t>Student ID:</w:t>
      </w:r>
      <w:r w:rsidRPr="006F4E68">
        <w:rPr>
          <w:rFonts w:ascii="Arial" w:hAnsi="Arial" w:cs="Arial"/>
          <w:sz w:val="22"/>
          <w:szCs w:val="22"/>
        </w:rPr>
        <w:t xml:space="preserve"> 2424119</w:t>
      </w:r>
    </w:p>
    <w:p w14:paraId="2DE9EBD5" w14:textId="20B4933F" w:rsidR="00F67801" w:rsidRPr="006F4E68" w:rsidRDefault="00F67801" w:rsidP="006F4E68">
      <w:pPr>
        <w:spacing w:line="360" w:lineRule="auto"/>
        <w:jc w:val="center"/>
        <w:rPr>
          <w:rFonts w:ascii="Arial" w:hAnsi="Arial" w:cs="Arial"/>
          <w:sz w:val="22"/>
          <w:szCs w:val="22"/>
        </w:rPr>
      </w:pPr>
      <w:r w:rsidRPr="006F4E68">
        <w:rPr>
          <w:rFonts w:ascii="Arial" w:hAnsi="Arial" w:cs="Arial"/>
          <w:b/>
          <w:bCs/>
          <w:sz w:val="22"/>
          <w:szCs w:val="22"/>
        </w:rPr>
        <w:t>Module code:</w:t>
      </w:r>
      <w:r w:rsidRPr="006F4E68">
        <w:rPr>
          <w:rFonts w:ascii="Arial" w:hAnsi="Arial" w:cs="Arial"/>
          <w:sz w:val="22"/>
          <w:szCs w:val="22"/>
        </w:rPr>
        <w:t xml:space="preserve"> BMHP5016</w:t>
      </w:r>
    </w:p>
    <w:p w14:paraId="02090FEB" w14:textId="52384F05" w:rsidR="00F67801" w:rsidRPr="006F4E68" w:rsidRDefault="00F67801" w:rsidP="006F4E68">
      <w:pPr>
        <w:spacing w:line="360" w:lineRule="auto"/>
        <w:jc w:val="center"/>
        <w:rPr>
          <w:rFonts w:ascii="Arial" w:hAnsi="Arial" w:cs="Arial"/>
          <w:sz w:val="22"/>
          <w:szCs w:val="22"/>
        </w:rPr>
      </w:pPr>
      <w:r w:rsidRPr="006F4E68">
        <w:rPr>
          <w:rFonts w:ascii="Arial" w:hAnsi="Arial" w:cs="Arial"/>
          <w:b/>
          <w:bCs/>
          <w:sz w:val="22"/>
          <w:szCs w:val="22"/>
        </w:rPr>
        <w:t>Title:</w:t>
      </w:r>
      <w:r w:rsidRPr="006F4E68">
        <w:rPr>
          <w:rFonts w:ascii="Arial" w:hAnsi="Arial" w:cs="Arial"/>
          <w:sz w:val="22"/>
          <w:szCs w:val="22"/>
        </w:rPr>
        <w:t xml:space="preserve"> </w:t>
      </w:r>
      <w:r w:rsidR="00B3524B" w:rsidRPr="006F4E68">
        <w:rPr>
          <w:rFonts w:ascii="Arial" w:hAnsi="Arial" w:cs="Arial"/>
          <w:sz w:val="22"/>
          <w:szCs w:val="22"/>
        </w:rPr>
        <w:t>Component 2: Written Assignment (Report)</w:t>
      </w:r>
    </w:p>
    <w:p w14:paraId="3D97A692" w14:textId="506DBCD7" w:rsidR="00F67801" w:rsidRPr="006F4E68" w:rsidRDefault="00F67801" w:rsidP="006F4E68">
      <w:pPr>
        <w:spacing w:line="360" w:lineRule="auto"/>
        <w:jc w:val="center"/>
        <w:rPr>
          <w:rFonts w:ascii="Arial" w:hAnsi="Arial" w:cs="Arial"/>
          <w:sz w:val="22"/>
          <w:szCs w:val="22"/>
        </w:rPr>
      </w:pPr>
      <w:r w:rsidRPr="006F4E68">
        <w:rPr>
          <w:rFonts w:ascii="Arial" w:hAnsi="Arial" w:cs="Arial"/>
          <w:b/>
          <w:bCs/>
          <w:sz w:val="22"/>
          <w:szCs w:val="22"/>
        </w:rPr>
        <w:t>Lecturer Name</w:t>
      </w:r>
      <w:r w:rsidRPr="006F4E68">
        <w:rPr>
          <w:rFonts w:ascii="Arial" w:hAnsi="Arial" w:cs="Arial"/>
          <w:sz w:val="22"/>
          <w:szCs w:val="22"/>
        </w:rPr>
        <w:t>: Aishat Bakre</w:t>
      </w:r>
    </w:p>
    <w:p w14:paraId="493B5A98" w14:textId="77777777" w:rsidR="00F67801" w:rsidRPr="006F4E68" w:rsidRDefault="00F67801" w:rsidP="006F4E68">
      <w:pPr>
        <w:spacing w:line="360" w:lineRule="auto"/>
        <w:rPr>
          <w:rFonts w:ascii="Arial" w:hAnsi="Arial" w:cs="Arial"/>
          <w:sz w:val="22"/>
          <w:szCs w:val="22"/>
        </w:rPr>
      </w:pPr>
    </w:p>
    <w:p w14:paraId="35BED178" w14:textId="77777777" w:rsidR="00F67801" w:rsidRPr="006F4E68" w:rsidRDefault="00F67801" w:rsidP="006F4E68">
      <w:pPr>
        <w:spacing w:line="360" w:lineRule="auto"/>
        <w:rPr>
          <w:rFonts w:ascii="Arial" w:hAnsi="Arial" w:cs="Arial"/>
          <w:sz w:val="22"/>
          <w:szCs w:val="22"/>
        </w:rPr>
      </w:pPr>
    </w:p>
    <w:p w14:paraId="0B4D2B28" w14:textId="77777777" w:rsidR="00F67801" w:rsidRPr="006F4E68" w:rsidRDefault="00F67801" w:rsidP="006F4E68">
      <w:pPr>
        <w:spacing w:line="360" w:lineRule="auto"/>
        <w:rPr>
          <w:rFonts w:ascii="Arial" w:hAnsi="Arial" w:cs="Arial"/>
          <w:sz w:val="22"/>
          <w:szCs w:val="22"/>
        </w:rPr>
      </w:pPr>
    </w:p>
    <w:p w14:paraId="2271A43B" w14:textId="77777777" w:rsidR="00F67801" w:rsidRPr="006F4E68" w:rsidRDefault="00F67801" w:rsidP="006F4E68">
      <w:pPr>
        <w:spacing w:line="360" w:lineRule="auto"/>
        <w:rPr>
          <w:rFonts w:ascii="Arial" w:hAnsi="Arial" w:cs="Arial"/>
          <w:sz w:val="22"/>
          <w:szCs w:val="22"/>
        </w:rPr>
      </w:pPr>
    </w:p>
    <w:p w14:paraId="755339B5" w14:textId="77777777" w:rsidR="00F67801" w:rsidRPr="006F4E68" w:rsidRDefault="00F67801" w:rsidP="006F4E68">
      <w:pPr>
        <w:spacing w:line="360" w:lineRule="auto"/>
        <w:rPr>
          <w:rFonts w:ascii="Arial" w:hAnsi="Arial" w:cs="Arial"/>
          <w:sz w:val="22"/>
          <w:szCs w:val="22"/>
        </w:rPr>
      </w:pPr>
    </w:p>
    <w:p w14:paraId="7F873DE4" w14:textId="77777777" w:rsidR="00F67801" w:rsidRPr="006F4E68" w:rsidRDefault="00F67801" w:rsidP="006F4E68">
      <w:pPr>
        <w:spacing w:line="360" w:lineRule="auto"/>
        <w:rPr>
          <w:rFonts w:ascii="Arial" w:hAnsi="Arial" w:cs="Arial"/>
          <w:sz w:val="22"/>
          <w:szCs w:val="22"/>
        </w:rPr>
      </w:pPr>
    </w:p>
    <w:p w14:paraId="77BC295F" w14:textId="77777777" w:rsidR="00F67801" w:rsidRPr="006F4E68" w:rsidRDefault="00F67801" w:rsidP="006F4E68">
      <w:pPr>
        <w:spacing w:line="360" w:lineRule="auto"/>
        <w:rPr>
          <w:rFonts w:ascii="Arial" w:hAnsi="Arial" w:cs="Arial"/>
          <w:sz w:val="22"/>
          <w:szCs w:val="22"/>
        </w:rPr>
      </w:pPr>
    </w:p>
    <w:p w14:paraId="0252799B" w14:textId="77777777" w:rsidR="00F67801" w:rsidRPr="006F4E68" w:rsidRDefault="00F67801" w:rsidP="006F4E68">
      <w:pPr>
        <w:spacing w:line="360" w:lineRule="auto"/>
        <w:rPr>
          <w:rFonts w:ascii="Arial" w:hAnsi="Arial" w:cs="Arial"/>
          <w:sz w:val="22"/>
          <w:szCs w:val="22"/>
        </w:rPr>
      </w:pPr>
    </w:p>
    <w:p w14:paraId="49CF66F1" w14:textId="77777777" w:rsidR="00F67801" w:rsidRPr="006F4E68" w:rsidRDefault="00F67801" w:rsidP="006F4E68">
      <w:pPr>
        <w:spacing w:line="360" w:lineRule="auto"/>
        <w:rPr>
          <w:rFonts w:ascii="Arial" w:hAnsi="Arial" w:cs="Arial"/>
          <w:sz w:val="22"/>
          <w:szCs w:val="22"/>
        </w:rPr>
      </w:pPr>
    </w:p>
    <w:p w14:paraId="6F6C3FB3" w14:textId="77777777" w:rsidR="00F67801" w:rsidRPr="006F4E68" w:rsidRDefault="00F67801" w:rsidP="006F4E68">
      <w:pPr>
        <w:spacing w:line="360" w:lineRule="auto"/>
        <w:rPr>
          <w:rFonts w:ascii="Arial" w:hAnsi="Arial" w:cs="Arial"/>
          <w:sz w:val="22"/>
          <w:szCs w:val="22"/>
        </w:rPr>
      </w:pPr>
    </w:p>
    <w:p w14:paraId="495447B3" w14:textId="77777777" w:rsidR="00F67801" w:rsidRPr="006F4E68" w:rsidRDefault="00F67801" w:rsidP="006F4E68">
      <w:pPr>
        <w:spacing w:line="360" w:lineRule="auto"/>
        <w:rPr>
          <w:rFonts w:ascii="Arial" w:hAnsi="Arial" w:cs="Arial"/>
          <w:sz w:val="22"/>
          <w:szCs w:val="22"/>
        </w:rPr>
      </w:pPr>
    </w:p>
    <w:p w14:paraId="1E690BD6" w14:textId="77777777" w:rsidR="00F67801" w:rsidRPr="006F4E68" w:rsidRDefault="00F67801" w:rsidP="006F4E68">
      <w:pPr>
        <w:spacing w:line="360" w:lineRule="auto"/>
        <w:rPr>
          <w:rFonts w:ascii="Arial" w:hAnsi="Arial" w:cs="Arial"/>
          <w:sz w:val="22"/>
          <w:szCs w:val="22"/>
        </w:rPr>
      </w:pPr>
    </w:p>
    <w:p w14:paraId="423DC95F" w14:textId="77777777" w:rsidR="00F67801" w:rsidRPr="006F4E68" w:rsidRDefault="00F67801" w:rsidP="006F4E68">
      <w:pPr>
        <w:spacing w:line="360" w:lineRule="auto"/>
        <w:rPr>
          <w:rFonts w:ascii="Arial" w:hAnsi="Arial" w:cs="Arial"/>
          <w:sz w:val="22"/>
          <w:szCs w:val="22"/>
        </w:rPr>
      </w:pPr>
    </w:p>
    <w:p w14:paraId="0CF561B6" w14:textId="77777777" w:rsidR="00F67801" w:rsidRPr="006F4E68" w:rsidRDefault="00F67801" w:rsidP="006F4E68">
      <w:pPr>
        <w:spacing w:line="360" w:lineRule="auto"/>
        <w:rPr>
          <w:rFonts w:ascii="Arial" w:hAnsi="Arial" w:cs="Arial"/>
          <w:sz w:val="22"/>
          <w:szCs w:val="22"/>
        </w:rPr>
      </w:pPr>
    </w:p>
    <w:p w14:paraId="1CE50B62" w14:textId="77777777" w:rsidR="00F67801" w:rsidRPr="006F4E68" w:rsidRDefault="00F67801" w:rsidP="006F4E68">
      <w:pPr>
        <w:spacing w:line="360" w:lineRule="auto"/>
        <w:rPr>
          <w:rFonts w:ascii="Arial" w:hAnsi="Arial" w:cs="Arial"/>
          <w:sz w:val="22"/>
          <w:szCs w:val="22"/>
        </w:rPr>
      </w:pPr>
    </w:p>
    <w:p w14:paraId="051EEE9E" w14:textId="77777777" w:rsidR="00F67801" w:rsidRPr="006F4E68" w:rsidRDefault="00F67801" w:rsidP="006F4E68">
      <w:pPr>
        <w:spacing w:line="360" w:lineRule="auto"/>
        <w:rPr>
          <w:rFonts w:ascii="Arial" w:hAnsi="Arial" w:cs="Arial"/>
          <w:sz w:val="22"/>
          <w:szCs w:val="22"/>
        </w:rPr>
      </w:pPr>
    </w:p>
    <w:p w14:paraId="4D4D6265" w14:textId="77777777" w:rsidR="00F67801" w:rsidRPr="006F4E68" w:rsidRDefault="00F67801" w:rsidP="006F4E68">
      <w:pPr>
        <w:spacing w:line="360" w:lineRule="auto"/>
        <w:rPr>
          <w:rFonts w:ascii="Arial" w:hAnsi="Arial" w:cs="Arial"/>
          <w:sz w:val="22"/>
          <w:szCs w:val="22"/>
        </w:rPr>
      </w:pPr>
    </w:p>
    <w:p w14:paraId="0FDAAE09" w14:textId="77777777" w:rsidR="00F67801" w:rsidRPr="006F4E68" w:rsidRDefault="00F67801" w:rsidP="006F4E68">
      <w:pPr>
        <w:spacing w:line="360" w:lineRule="auto"/>
        <w:rPr>
          <w:rFonts w:ascii="Arial" w:hAnsi="Arial" w:cs="Arial"/>
          <w:sz w:val="22"/>
          <w:szCs w:val="22"/>
        </w:rPr>
      </w:pPr>
    </w:p>
    <w:p w14:paraId="3B7F5335" w14:textId="77777777" w:rsidR="00F67801" w:rsidRPr="006F4E68" w:rsidRDefault="00F67801" w:rsidP="006F4E68">
      <w:pPr>
        <w:spacing w:line="360" w:lineRule="auto"/>
        <w:rPr>
          <w:rFonts w:ascii="Arial" w:hAnsi="Arial" w:cs="Arial"/>
          <w:sz w:val="22"/>
          <w:szCs w:val="22"/>
        </w:rPr>
      </w:pPr>
    </w:p>
    <w:p w14:paraId="2A98048F" w14:textId="77777777" w:rsidR="00F67801" w:rsidRPr="006F4E68" w:rsidRDefault="00F67801" w:rsidP="006F4E68">
      <w:pPr>
        <w:spacing w:line="360" w:lineRule="auto"/>
        <w:rPr>
          <w:rFonts w:ascii="Arial" w:hAnsi="Arial" w:cs="Arial"/>
          <w:sz w:val="22"/>
          <w:szCs w:val="22"/>
        </w:rPr>
      </w:pPr>
    </w:p>
    <w:p w14:paraId="56F94F20" w14:textId="77777777" w:rsidR="00306C71" w:rsidRPr="006F4E68" w:rsidRDefault="00306C71" w:rsidP="006F4E68">
      <w:pPr>
        <w:spacing w:line="360" w:lineRule="auto"/>
        <w:rPr>
          <w:rFonts w:ascii="Arial" w:hAnsi="Arial" w:cs="Arial"/>
          <w:sz w:val="22"/>
          <w:szCs w:val="22"/>
        </w:rPr>
      </w:pPr>
    </w:p>
    <w:p w14:paraId="54769986" w14:textId="33797E91" w:rsidR="00F67801" w:rsidRPr="006F4E68" w:rsidRDefault="00F67801" w:rsidP="006F4E68">
      <w:pPr>
        <w:spacing w:line="360" w:lineRule="auto"/>
        <w:rPr>
          <w:rFonts w:ascii="Arial" w:hAnsi="Arial" w:cs="Arial"/>
          <w:b/>
          <w:bCs/>
          <w:sz w:val="22"/>
          <w:szCs w:val="22"/>
        </w:rPr>
      </w:pPr>
      <w:r w:rsidRPr="006F4E68">
        <w:rPr>
          <w:rFonts w:ascii="Arial" w:hAnsi="Arial" w:cs="Arial"/>
          <w:b/>
          <w:bCs/>
          <w:sz w:val="22"/>
          <w:szCs w:val="22"/>
        </w:rPr>
        <w:lastRenderedPageBreak/>
        <w:t>Abstract</w:t>
      </w:r>
    </w:p>
    <w:p w14:paraId="64EC9BB8"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Person-centred care (PCC) and partnership working (PW) are essential elements of modern health and social care practice in the United Kingdom. PCC places individuals at the centre of care planning and decision-making, respecting their preferences, needs, and values to ensure care is tailored and meaningful. Partnership working involves collaboration among professionals, organisations, service users, and families to deliver coordinated, effective care. This report evaluates PCC and PW within an NHS hospital setting. It defines person-centred care, examines its benefits, including improved patient satisfaction, autonomy, and outcomes, and considers limitations such as resource constraints and inconsistent implementation. The report explores theories underpinning PCC, including humanistic and holistic approaches, and analyses ethical principles guiding practice, including autonomy, beneficence, and dignity. Partnership working is evaluated by reviewing its benefits, including enhanced communication, shared decision-making, and continuity of care, alongside challenges such as conflicting professional perspectives and organisational barriers. Relevant UK policies and legislation supporting PCC and PW, including the NHS Long Term Plan and the Care Act 2014, are discussed. While PCC and PW improve patient outcomes and service quality, implementation is affected by staffing shortages, funding issues, and communication difficulties. Recommendations include improving staff training, communication, integrated care systems, and service user involvement across the UK health and social care sector.</w:t>
      </w:r>
    </w:p>
    <w:p w14:paraId="641ECD37" w14:textId="77777777" w:rsidR="00F67801" w:rsidRPr="006F4E68" w:rsidRDefault="00F67801" w:rsidP="006F4E68">
      <w:pPr>
        <w:spacing w:line="360" w:lineRule="auto"/>
        <w:rPr>
          <w:rFonts w:ascii="Arial" w:hAnsi="Arial" w:cs="Arial"/>
          <w:sz w:val="22"/>
          <w:szCs w:val="22"/>
        </w:rPr>
      </w:pPr>
    </w:p>
    <w:p w14:paraId="0CB39BFD"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 </w:t>
      </w:r>
    </w:p>
    <w:p w14:paraId="3665ED77" w14:textId="77777777" w:rsidR="00F67801" w:rsidRPr="006F4E68" w:rsidRDefault="00F67801" w:rsidP="006F4E68">
      <w:pPr>
        <w:spacing w:line="360" w:lineRule="auto"/>
        <w:rPr>
          <w:rFonts w:ascii="Arial" w:hAnsi="Arial" w:cs="Arial"/>
          <w:b/>
          <w:bCs/>
          <w:sz w:val="22"/>
          <w:szCs w:val="22"/>
        </w:rPr>
      </w:pPr>
      <w:r w:rsidRPr="006F4E68">
        <w:rPr>
          <w:rFonts w:ascii="Arial" w:hAnsi="Arial" w:cs="Arial"/>
          <w:b/>
          <w:bCs/>
          <w:sz w:val="22"/>
          <w:szCs w:val="22"/>
        </w:rPr>
        <w:t>Introduction</w:t>
      </w:r>
    </w:p>
    <w:p w14:paraId="7F53CDE9"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Person-centred care and partnership working are fundamental principles within modern health and social care practice in the United Kingdom, reflecting a shift from traditional, paternalistic models of healthcare towards approaches that prioritise collaboration, dignity, and individual autonomy. Historically, healthcare delivery often relied on professionals making unilateral decisions for patients, with little consideration of their preferences, beliefs, or personal circumstances. While this approach facilitated efficiency in high-demand hospital settings, it often overlooked patients’ holistic needs, leading to lower satisfaction, reduced engagement, and sometimes poorer health outcomes (Glasby and Dickinson, 2014).</w:t>
      </w:r>
    </w:p>
    <w:p w14:paraId="4D0F621F" w14:textId="77777777" w:rsidR="00F67801" w:rsidRPr="006F4E68" w:rsidRDefault="00F67801" w:rsidP="006F4E68">
      <w:pPr>
        <w:spacing w:line="360" w:lineRule="auto"/>
        <w:rPr>
          <w:rFonts w:ascii="Arial" w:hAnsi="Arial" w:cs="Arial"/>
          <w:sz w:val="22"/>
          <w:szCs w:val="22"/>
        </w:rPr>
      </w:pPr>
    </w:p>
    <w:p w14:paraId="6234307A"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The evolution of healthcare philosophy in the UK has increasingly emphasised the need for inclusive, participatory models that place patients and service users at the heart of care. </w:t>
      </w:r>
      <w:r w:rsidRPr="006F4E68">
        <w:rPr>
          <w:rFonts w:ascii="Arial" w:hAnsi="Arial" w:cs="Arial"/>
          <w:sz w:val="22"/>
          <w:szCs w:val="22"/>
        </w:rPr>
        <w:lastRenderedPageBreak/>
        <w:t>Person-centred care (PCC) embodies this shift by recognising individuals as active participants rather than passive recipients of healthcare. Alongside PCC, partnership working (PW) facilitates collaboration between healthcare professionals, organisations, patients, and families, ensuring care is coordinated, efficient, and responsive to complex patient needs. Effective PW is particularly critical in multi-disciplinary healthcare environments such as NHS hospitals, where patients often interact with multiple services and professionals during their care journey.</w:t>
      </w:r>
    </w:p>
    <w:p w14:paraId="0734A3C5" w14:textId="77777777" w:rsidR="00F67801" w:rsidRPr="006F4E68" w:rsidRDefault="00F67801" w:rsidP="006F4E68">
      <w:pPr>
        <w:spacing w:line="360" w:lineRule="auto"/>
        <w:rPr>
          <w:rFonts w:ascii="Arial" w:hAnsi="Arial" w:cs="Arial"/>
          <w:sz w:val="22"/>
          <w:szCs w:val="22"/>
        </w:rPr>
      </w:pPr>
    </w:p>
    <w:p w14:paraId="097B822E"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The purpose of this report is to evaluate the implementation and impact of PCC and PW within an NHS hospital setting, exploring their theoretical underpinnings, ethical considerations, and policy frameworks. The report will provide a comprehensive analysis of benefits, challenges, and limitations, concluding with recommendations to strengthen person-centred and partnership-based approaches across UK health and social care services. By exploring both theory and practice, this report aims to demonstrate how PCC and PW can improve patient outcomes, service quality, and overall system efficiency.</w:t>
      </w:r>
    </w:p>
    <w:p w14:paraId="623DC85F" w14:textId="77777777" w:rsidR="00F67801" w:rsidRPr="006F4E68" w:rsidRDefault="00F67801" w:rsidP="006F4E68">
      <w:pPr>
        <w:spacing w:line="360" w:lineRule="auto"/>
        <w:rPr>
          <w:rFonts w:ascii="Arial" w:hAnsi="Arial" w:cs="Arial"/>
          <w:sz w:val="22"/>
          <w:szCs w:val="22"/>
        </w:rPr>
      </w:pPr>
    </w:p>
    <w:p w14:paraId="773CBE0C"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 </w:t>
      </w:r>
    </w:p>
    <w:p w14:paraId="7053D4E2" w14:textId="77777777" w:rsidR="00F67801" w:rsidRPr="006F4E68" w:rsidRDefault="00F67801" w:rsidP="006F4E68">
      <w:pPr>
        <w:spacing w:line="360" w:lineRule="auto"/>
        <w:rPr>
          <w:rFonts w:ascii="Arial" w:hAnsi="Arial" w:cs="Arial"/>
          <w:sz w:val="22"/>
          <w:szCs w:val="22"/>
        </w:rPr>
      </w:pPr>
    </w:p>
    <w:p w14:paraId="5B1ACC20" w14:textId="77777777" w:rsidR="00F67801" w:rsidRPr="006F4E68" w:rsidRDefault="00F67801" w:rsidP="006F4E68">
      <w:pPr>
        <w:spacing w:line="360" w:lineRule="auto"/>
        <w:rPr>
          <w:rFonts w:ascii="Arial" w:hAnsi="Arial" w:cs="Arial"/>
          <w:b/>
          <w:bCs/>
          <w:sz w:val="22"/>
          <w:szCs w:val="22"/>
        </w:rPr>
      </w:pPr>
      <w:r w:rsidRPr="006F4E68">
        <w:rPr>
          <w:rFonts w:ascii="Arial" w:hAnsi="Arial" w:cs="Arial"/>
          <w:b/>
          <w:bCs/>
          <w:sz w:val="22"/>
          <w:szCs w:val="22"/>
        </w:rPr>
        <w:t>Definition of Person-Centred Care</w:t>
      </w:r>
    </w:p>
    <w:p w14:paraId="2E15C25D"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Person-centred care is an approach that places the individual at the centre of their healthcare experience, ensuring their needs, preferences, values, and life circumstances guide care planning and delivery (McCormack and McCance, 2017). Unlike traditional models, PCC emphasises collaboration, respect, and empowerment, promoting active involvement of patients in decisions about their treatment and care pathways. This approach recognises patients as experts in their own experiences and values the knowledge they bring to the care process.</w:t>
      </w:r>
    </w:p>
    <w:p w14:paraId="13CE425A" w14:textId="77777777" w:rsidR="00F67801" w:rsidRPr="006F4E68" w:rsidRDefault="00F67801" w:rsidP="006F4E68">
      <w:pPr>
        <w:spacing w:line="360" w:lineRule="auto"/>
        <w:rPr>
          <w:rFonts w:ascii="Arial" w:hAnsi="Arial" w:cs="Arial"/>
          <w:sz w:val="22"/>
          <w:szCs w:val="22"/>
        </w:rPr>
      </w:pPr>
    </w:p>
    <w:p w14:paraId="6AD444FE"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In practical terms, person-centred care may include personalised care plans that consider individual health goals, regular consultations to review treatment preferences, and adjustments for cultural, religious, or lifestyle considerations. For example, in an NHS hospital, a patient with diabetes may be involved in selecting a diet plan aligned with their cultural preferences while also considering clinical guidance on blood sugar control. By engaging patients in this manner, PCC enhances autonomy, encourages adherence to </w:t>
      </w:r>
      <w:r w:rsidRPr="006F4E68">
        <w:rPr>
          <w:rFonts w:ascii="Arial" w:hAnsi="Arial" w:cs="Arial"/>
          <w:sz w:val="22"/>
          <w:szCs w:val="22"/>
        </w:rPr>
        <w:lastRenderedPageBreak/>
        <w:t>treatment plans, and fosters trust between healthcare professionals and service users (Morgan and Yoder, 2012).</w:t>
      </w:r>
    </w:p>
    <w:p w14:paraId="6C67BD5B" w14:textId="77777777" w:rsidR="00F67801" w:rsidRPr="006F4E68" w:rsidRDefault="00F67801" w:rsidP="006F4E68">
      <w:pPr>
        <w:spacing w:line="360" w:lineRule="auto"/>
        <w:rPr>
          <w:rFonts w:ascii="Arial" w:hAnsi="Arial" w:cs="Arial"/>
          <w:sz w:val="22"/>
          <w:szCs w:val="22"/>
        </w:rPr>
      </w:pPr>
    </w:p>
    <w:p w14:paraId="62D83A47"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The benefits of person-centred care extend beyond patient satisfaction. Research demonstrates that PCC contributes to improved health outcomes, reduced hospital readmissions, shorter lengths of stay, and lower levels of anxiety and stress among patients. Communication is enhanced when patients feel heard and understood, leading to more accurate symptom reporting and earlier detection of complications. Furthermore, PCC supports independence and self-management, particularly for patients with chronic conditions, by providing them with tools, knowledge, and confidence to participate in their care effectively.</w:t>
      </w:r>
    </w:p>
    <w:p w14:paraId="1C409721" w14:textId="77777777" w:rsidR="00F67801" w:rsidRPr="006F4E68" w:rsidRDefault="00F67801" w:rsidP="006F4E68">
      <w:pPr>
        <w:spacing w:line="360" w:lineRule="auto"/>
        <w:rPr>
          <w:rFonts w:ascii="Arial" w:hAnsi="Arial" w:cs="Arial"/>
          <w:sz w:val="22"/>
          <w:szCs w:val="22"/>
        </w:rPr>
      </w:pPr>
    </w:p>
    <w:p w14:paraId="74F27E97"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However, the implementation of person-centred care is not without challenges. Time constraints and staffing shortages in NHS hospitals can limit professionals’ ability to spend sufficient time with each patient. High patient turnover, combined with limited funding and resources, can reduce opportunities for fully individualised care (Edvardsson et al., 2011). Additionally, organisational culture may resist change, particularly in environments that prioritise efficiency over patient engagement. Successful PCC implementation requires not only staff training but also systemic support, including adequate staffing levels, leadership commitment, and organisational flexibility to adapt care processes to individual needs.</w:t>
      </w:r>
    </w:p>
    <w:p w14:paraId="15EF4A23" w14:textId="77777777" w:rsidR="00F67801" w:rsidRPr="006F4E68" w:rsidRDefault="00F67801" w:rsidP="006F4E68">
      <w:pPr>
        <w:spacing w:line="360" w:lineRule="auto"/>
        <w:rPr>
          <w:rFonts w:ascii="Arial" w:hAnsi="Arial" w:cs="Arial"/>
          <w:sz w:val="22"/>
          <w:szCs w:val="22"/>
        </w:rPr>
      </w:pPr>
    </w:p>
    <w:p w14:paraId="66F07284" w14:textId="26E4154A"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 </w:t>
      </w:r>
      <w:r w:rsidRPr="006F4E68">
        <w:rPr>
          <w:rFonts w:ascii="Arial" w:hAnsi="Arial" w:cs="Arial"/>
          <w:b/>
          <w:bCs/>
          <w:sz w:val="22"/>
          <w:szCs w:val="22"/>
        </w:rPr>
        <w:t>Relevant Theories</w:t>
      </w:r>
    </w:p>
    <w:p w14:paraId="31660EB7"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Person-centred care is supported by multiple theoretical frameworks that provide guidance for practice. Two of the most widely referenced are Carl Rogers’ Person-Centred Theory and Maslow’s Hierarchy of Needs.</w:t>
      </w:r>
    </w:p>
    <w:p w14:paraId="334F5760" w14:textId="77777777" w:rsidR="00F67801" w:rsidRPr="006F4E68" w:rsidRDefault="00F67801" w:rsidP="006F4E68">
      <w:pPr>
        <w:spacing w:line="360" w:lineRule="auto"/>
        <w:rPr>
          <w:rFonts w:ascii="Arial" w:hAnsi="Arial" w:cs="Arial"/>
          <w:sz w:val="22"/>
          <w:szCs w:val="22"/>
        </w:rPr>
      </w:pPr>
    </w:p>
    <w:p w14:paraId="05D7D000"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Carl Rogers’ theory emphasises empathy, unconditional positive regard, and respect for individuals as central to facilitating growth and wellbeing (Rogers, 1951). In healthcare, this translates to treating patients as whole individuals rather than a set of symptoms or diagnoses. Rogers’ emphasis on understanding the patient’s subjective experience aligns with the principles of PCC, encouraging healthcare professionals to actively listen, validate feelings, and engage in shared decision-making. This approach fosters therapeutic </w:t>
      </w:r>
      <w:r w:rsidRPr="006F4E68">
        <w:rPr>
          <w:rFonts w:ascii="Arial" w:hAnsi="Arial" w:cs="Arial"/>
          <w:sz w:val="22"/>
          <w:szCs w:val="22"/>
        </w:rPr>
        <w:lastRenderedPageBreak/>
        <w:t>relationships, trust, and cooperation, which are particularly important in complex hospital environments where patients may feel anxious or disempowered.</w:t>
      </w:r>
    </w:p>
    <w:p w14:paraId="43534679" w14:textId="77777777" w:rsidR="00F67801" w:rsidRPr="006F4E68" w:rsidRDefault="00F67801" w:rsidP="006F4E68">
      <w:pPr>
        <w:spacing w:line="360" w:lineRule="auto"/>
        <w:rPr>
          <w:rFonts w:ascii="Arial" w:hAnsi="Arial" w:cs="Arial"/>
          <w:sz w:val="22"/>
          <w:szCs w:val="22"/>
        </w:rPr>
      </w:pPr>
    </w:p>
    <w:p w14:paraId="6CC36BD1"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Maslow’s Hierarchy of Needs provides another theoretical underpinning for PCC, highlighting the necessity of addressing patients’ needs holistically (Maslow, 1943). According to Maslow, human needs progress from physiological necessities, such as food, water, and sleep, to safety, social belonging, esteem, and ultimately self-actualisation. In practice, healthcare professionals must ensure that basic needs are met before addressing psychological and emotional well-being. For instance, a patient recovering from surgery must receive adequate pain management and nutrition before engagement in rehabilitation programmes or counselling services. Maslow’s framework supports holistic care, encouraging practitioners to view patients as multidimensional beings with interdependent physical, emotional, and social needs.</w:t>
      </w:r>
    </w:p>
    <w:p w14:paraId="200C254B" w14:textId="77777777" w:rsidR="00F67801" w:rsidRPr="006F4E68" w:rsidRDefault="00F67801" w:rsidP="006F4E68">
      <w:pPr>
        <w:spacing w:line="360" w:lineRule="auto"/>
        <w:rPr>
          <w:rFonts w:ascii="Arial" w:hAnsi="Arial" w:cs="Arial"/>
          <w:sz w:val="22"/>
          <w:szCs w:val="22"/>
        </w:rPr>
      </w:pPr>
    </w:p>
    <w:p w14:paraId="0CFF652C"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While these theories provide valuable guidance, they also have limitations. Rogers’ person-centred approach assumes healthcare professionals have sufficient time and resources to provide empathetic, individualized support—a condition not always met in busy hospital wards. Maslow’s hierarchical model may not always reflect real-life patient needs, as some individuals may prioritise psychological or social needs over physiological requirements, particularly in chronic or palliative care settings. Nevertheless, these theories offer critical insights for structuring PCC interventions and highlight the importance of empathy, dignity, and holistic understanding in patient care (Brooker and Latham, 2016).</w:t>
      </w:r>
    </w:p>
    <w:p w14:paraId="3CD901EE" w14:textId="77777777" w:rsidR="00F67801" w:rsidRPr="006F4E68" w:rsidRDefault="00F67801" w:rsidP="006F4E68">
      <w:pPr>
        <w:spacing w:line="360" w:lineRule="auto"/>
        <w:rPr>
          <w:rFonts w:ascii="Arial" w:hAnsi="Arial" w:cs="Arial"/>
          <w:sz w:val="22"/>
          <w:szCs w:val="22"/>
        </w:rPr>
      </w:pPr>
    </w:p>
    <w:p w14:paraId="19AB38DC" w14:textId="28B147D0" w:rsidR="00F67801" w:rsidRPr="006F4E68" w:rsidRDefault="00F67801" w:rsidP="006F4E68">
      <w:pPr>
        <w:spacing w:line="360" w:lineRule="auto"/>
        <w:rPr>
          <w:rFonts w:ascii="Arial" w:hAnsi="Arial" w:cs="Arial"/>
          <w:b/>
          <w:bCs/>
          <w:sz w:val="22"/>
          <w:szCs w:val="22"/>
        </w:rPr>
      </w:pPr>
      <w:r w:rsidRPr="006F4E68">
        <w:rPr>
          <w:rFonts w:ascii="Arial" w:hAnsi="Arial" w:cs="Arial"/>
          <w:b/>
          <w:bCs/>
          <w:sz w:val="22"/>
          <w:szCs w:val="22"/>
        </w:rPr>
        <w:t xml:space="preserve"> Ethical Fundamentals</w:t>
      </w:r>
    </w:p>
    <w:p w14:paraId="1B8E3E33" w14:textId="3C3522BF"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Ethical principles form the foundation of professional practice in health and social care, guiding decision-making and ensuring care respects individual rights and societal responsibilities. The four central ethical principles are autonomy, beneficence, non-maleficence, and justice </w:t>
      </w:r>
      <w:r w:rsidR="00704A25" w:rsidRPr="006F4E68">
        <w:rPr>
          <w:rFonts w:ascii="Arial" w:hAnsi="Arial" w:cs="Arial"/>
          <w:sz w:val="22"/>
          <w:szCs w:val="22"/>
        </w:rPr>
        <w:t>(Department of Health and Social Care, 2023)</w:t>
      </w:r>
      <w:r w:rsidR="00704A25" w:rsidRPr="006F4E68">
        <w:rPr>
          <w:rFonts w:ascii="Arial" w:hAnsi="Arial" w:cs="Arial"/>
          <w:sz w:val="22"/>
          <w:szCs w:val="22"/>
        </w:rPr>
        <w:t>.</w:t>
      </w:r>
    </w:p>
    <w:p w14:paraId="3AF4FB73"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Autonomy refers to respecting an individual’s right to make informed decisions regarding their care. Person-centred care inherently aligns with autonomy, as it ensures patients are active participants in decisions affecting their health. For example, patients must provide informed consent for treatments such as surgery or chemotherapy, reflecting their values, preferences, and willingness to accept risks.</w:t>
      </w:r>
    </w:p>
    <w:p w14:paraId="2C35F1B8" w14:textId="784BDE62" w:rsidR="00704A25" w:rsidRPr="006F4E68" w:rsidRDefault="00F67801" w:rsidP="006F4E68">
      <w:pPr>
        <w:spacing w:line="360" w:lineRule="auto"/>
        <w:rPr>
          <w:rFonts w:ascii="Arial" w:hAnsi="Arial" w:cs="Arial"/>
          <w:sz w:val="22"/>
          <w:szCs w:val="22"/>
        </w:rPr>
      </w:pPr>
      <w:r w:rsidRPr="006F4E68">
        <w:rPr>
          <w:rFonts w:ascii="Arial" w:hAnsi="Arial" w:cs="Arial"/>
          <w:sz w:val="22"/>
          <w:szCs w:val="22"/>
        </w:rPr>
        <w:lastRenderedPageBreak/>
        <w:t>* Beneficence obliges professionals to act in the best interests of patients, promoting health, well-being, and recovery. PCC embodies beneficence by tailoring care to individual needs rather than applying uniform treatment protocols</w:t>
      </w:r>
      <w:r w:rsidR="00704A25" w:rsidRPr="006F4E68">
        <w:rPr>
          <w:rFonts w:ascii="Arial" w:eastAsia="Times New Roman" w:hAnsi="Arial" w:cs="Arial"/>
          <w:kern w:val="0"/>
          <w:sz w:val="22"/>
          <w:szCs w:val="22"/>
          <w:lang w:eastAsia="en-GB"/>
          <w14:ligatures w14:val="none"/>
        </w:rPr>
        <w:t xml:space="preserve"> </w:t>
      </w:r>
      <w:r w:rsidR="00704A25" w:rsidRPr="006F4E68">
        <w:rPr>
          <w:rFonts w:ascii="Arial" w:hAnsi="Arial" w:cs="Arial"/>
          <w:sz w:val="22"/>
          <w:szCs w:val="22"/>
        </w:rPr>
        <w:t>(Bester, 2020)</w:t>
      </w:r>
      <w:r w:rsidR="00704A25" w:rsidRPr="006F4E68">
        <w:rPr>
          <w:rFonts w:ascii="Arial" w:hAnsi="Arial" w:cs="Arial"/>
          <w:sz w:val="22"/>
          <w:szCs w:val="22"/>
        </w:rPr>
        <w:t>.</w:t>
      </w:r>
    </w:p>
    <w:p w14:paraId="635F4B35" w14:textId="2C86E49F" w:rsidR="00F67801" w:rsidRPr="006F4E68" w:rsidRDefault="00F67801" w:rsidP="006F4E68">
      <w:pPr>
        <w:spacing w:line="360" w:lineRule="auto"/>
        <w:rPr>
          <w:rFonts w:ascii="Arial" w:hAnsi="Arial" w:cs="Arial"/>
          <w:sz w:val="22"/>
          <w:szCs w:val="22"/>
        </w:rPr>
      </w:pPr>
    </w:p>
    <w:p w14:paraId="7B8C647C" w14:textId="5CC022CA" w:rsidR="00704A25" w:rsidRPr="006F4E68" w:rsidRDefault="00F67801" w:rsidP="006F4E68">
      <w:pPr>
        <w:spacing w:line="360" w:lineRule="auto"/>
        <w:rPr>
          <w:rFonts w:ascii="Arial" w:hAnsi="Arial" w:cs="Arial"/>
          <w:sz w:val="22"/>
          <w:szCs w:val="22"/>
        </w:rPr>
      </w:pPr>
      <w:r w:rsidRPr="006F4E68">
        <w:rPr>
          <w:rFonts w:ascii="Arial" w:hAnsi="Arial" w:cs="Arial"/>
          <w:sz w:val="22"/>
          <w:szCs w:val="22"/>
        </w:rPr>
        <w:t>* Non-maleficence requires avoiding harm, both physical and psychological. This principle is particularly relevant when care decisions involve potential side effects or invasive procedures, ensuring that benefits outweigh risks</w:t>
      </w:r>
      <w:r w:rsidR="00704A25" w:rsidRPr="006F4E68">
        <w:rPr>
          <w:rFonts w:ascii="Arial" w:hAnsi="Arial" w:cs="Arial"/>
          <w:sz w:val="22"/>
          <w:szCs w:val="22"/>
        </w:rPr>
        <w:t xml:space="preserve"> </w:t>
      </w:r>
      <w:r w:rsidR="00704A25" w:rsidRPr="006F4E68">
        <w:rPr>
          <w:rFonts w:ascii="Arial" w:hAnsi="Arial" w:cs="Arial"/>
          <w:sz w:val="22"/>
          <w:szCs w:val="22"/>
        </w:rPr>
        <w:t xml:space="preserve">(Cheraghi </w:t>
      </w:r>
      <w:r w:rsidR="00704A25" w:rsidRPr="006F4E68">
        <w:rPr>
          <w:rFonts w:ascii="Arial" w:hAnsi="Arial" w:cs="Arial"/>
          <w:i/>
          <w:iCs/>
          <w:sz w:val="22"/>
          <w:szCs w:val="22"/>
        </w:rPr>
        <w:t>et al</w:t>
      </w:r>
      <w:r w:rsidR="00704A25" w:rsidRPr="006F4E68">
        <w:rPr>
          <w:rFonts w:ascii="Arial" w:hAnsi="Arial" w:cs="Arial"/>
          <w:sz w:val="22"/>
          <w:szCs w:val="22"/>
        </w:rPr>
        <w:t>., 2023)</w:t>
      </w:r>
      <w:r w:rsidR="00704A25" w:rsidRPr="006F4E68">
        <w:rPr>
          <w:rFonts w:ascii="Arial" w:hAnsi="Arial" w:cs="Arial"/>
          <w:sz w:val="22"/>
          <w:szCs w:val="22"/>
        </w:rPr>
        <w:t>.</w:t>
      </w:r>
    </w:p>
    <w:p w14:paraId="59D527B0" w14:textId="53F7E640" w:rsidR="00F67801" w:rsidRPr="006F4E68" w:rsidRDefault="00F67801" w:rsidP="006F4E68">
      <w:pPr>
        <w:spacing w:line="360" w:lineRule="auto"/>
        <w:rPr>
          <w:rFonts w:ascii="Arial" w:hAnsi="Arial" w:cs="Arial"/>
          <w:sz w:val="22"/>
          <w:szCs w:val="22"/>
        </w:rPr>
      </w:pPr>
    </w:p>
    <w:p w14:paraId="6160794E"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Justice emphasises fairness, equality, and equitable access to care. In NHS hospitals, this includes allocating limited resources such as intensive care beds or specialised interventions without discrimination based on age, gender, or socioeconomic status.</w:t>
      </w:r>
    </w:p>
    <w:p w14:paraId="7D531C3B" w14:textId="77777777" w:rsidR="007406EC" w:rsidRPr="006F4E68" w:rsidRDefault="007406EC" w:rsidP="006F4E68">
      <w:pPr>
        <w:spacing w:line="360" w:lineRule="auto"/>
        <w:rPr>
          <w:rFonts w:ascii="Arial" w:hAnsi="Arial" w:cs="Arial"/>
          <w:sz w:val="22"/>
          <w:szCs w:val="22"/>
        </w:rPr>
      </w:pPr>
    </w:p>
    <w:p w14:paraId="0FC0EE2A" w14:textId="5D82C882"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Healthcare professionals frequently encounter ethical dilemmas, such as when a patient refuses treatment, when confidentiality conflicts with safeguarding responsibilities, or when resources must be rationed</w:t>
      </w:r>
      <w:r w:rsidR="00704A25" w:rsidRPr="006F4E68">
        <w:rPr>
          <w:rFonts w:ascii="Arial" w:eastAsia="Times New Roman" w:hAnsi="Arial" w:cs="Arial"/>
          <w:kern w:val="0"/>
          <w:sz w:val="22"/>
          <w:szCs w:val="22"/>
          <w:lang w:eastAsia="en-GB"/>
          <w14:ligatures w14:val="none"/>
        </w:rPr>
        <w:t xml:space="preserve"> </w:t>
      </w:r>
      <w:r w:rsidR="00704A25" w:rsidRPr="006F4E68">
        <w:rPr>
          <w:rFonts w:ascii="Arial" w:hAnsi="Arial" w:cs="Arial"/>
          <w:sz w:val="22"/>
          <w:szCs w:val="22"/>
        </w:rPr>
        <w:t>(Ewuoso, Hall and Dierickx, 2021)</w:t>
      </w:r>
      <w:r w:rsidR="00704A25" w:rsidRPr="006F4E68">
        <w:rPr>
          <w:rFonts w:ascii="Arial" w:hAnsi="Arial" w:cs="Arial"/>
          <w:sz w:val="22"/>
          <w:szCs w:val="22"/>
        </w:rPr>
        <w:t xml:space="preserve">. </w:t>
      </w:r>
      <w:r w:rsidRPr="006F4E68">
        <w:rPr>
          <w:rFonts w:ascii="Arial" w:hAnsi="Arial" w:cs="Arial"/>
          <w:sz w:val="22"/>
          <w:szCs w:val="22"/>
        </w:rPr>
        <w:t>Navigating these dilemmas requires balancing ethical principles, engaging in reflective practice, and often collaborating with colleagues across disciplines to make ethically sound and patient-centred decisions. Implementing PCC alongside ethical frameworks ensures that care respects both patient rights and professional responsibilities.</w:t>
      </w:r>
    </w:p>
    <w:p w14:paraId="39746DBB" w14:textId="77777777" w:rsidR="007406EC" w:rsidRPr="006F4E68" w:rsidRDefault="007406EC" w:rsidP="006F4E68">
      <w:pPr>
        <w:spacing w:line="360" w:lineRule="auto"/>
        <w:rPr>
          <w:rFonts w:ascii="Arial" w:hAnsi="Arial" w:cs="Arial"/>
          <w:sz w:val="22"/>
          <w:szCs w:val="22"/>
        </w:rPr>
      </w:pPr>
    </w:p>
    <w:p w14:paraId="2BBA19DF" w14:textId="5B8C8919" w:rsidR="00F67801" w:rsidRPr="006F4E68" w:rsidRDefault="00F67801" w:rsidP="006F4E68">
      <w:pPr>
        <w:spacing w:line="360" w:lineRule="auto"/>
        <w:rPr>
          <w:rFonts w:ascii="Arial" w:hAnsi="Arial" w:cs="Arial"/>
          <w:sz w:val="22"/>
          <w:szCs w:val="22"/>
        </w:rPr>
      </w:pPr>
      <w:r w:rsidRPr="006F4E68">
        <w:rPr>
          <w:rFonts w:ascii="Arial" w:hAnsi="Arial" w:cs="Arial"/>
          <w:b/>
          <w:bCs/>
          <w:sz w:val="22"/>
          <w:szCs w:val="22"/>
        </w:rPr>
        <w:t>Evaluation of Partnership Working</w:t>
      </w:r>
    </w:p>
    <w:p w14:paraId="1D7F598E" w14:textId="464CAEF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Partnership working is essential for delivering coordinated, efficient, and holistic care in modern health and social care systems</w:t>
      </w:r>
      <w:r w:rsidR="00704A25" w:rsidRPr="006F4E68">
        <w:rPr>
          <w:rFonts w:ascii="Arial" w:eastAsia="Times New Roman" w:hAnsi="Arial" w:cs="Arial"/>
          <w:kern w:val="0"/>
          <w:sz w:val="22"/>
          <w:szCs w:val="22"/>
          <w:lang w:eastAsia="en-GB"/>
          <w14:ligatures w14:val="none"/>
        </w:rPr>
        <w:t xml:space="preserve"> </w:t>
      </w:r>
      <w:r w:rsidR="00704A25" w:rsidRPr="006F4E68">
        <w:rPr>
          <w:rFonts w:ascii="Arial" w:hAnsi="Arial" w:cs="Arial"/>
          <w:sz w:val="22"/>
          <w:szCs w:val="22"/>
        </w:rPr>
        <w:t>(Glasby, Dickinson and Miller, 2011)</w:t>
      </w:r>
      <w:r w:rsidR="00704A25" w:rsidRPr="006F4E68">
        <w:rPr>
          <w:rFonts w:ascii="Arial" w:hAnsi="Arial" w:cs="Arial"/>
          <w:sz w:val="22"/>
          <w:szCs w:val="22"/>
        </w:rPr>
        <w:t xml:space="preserve">. </w:t>
      </w:r>
      <w:r w:rsidRPr="006F4E68">
        <w:rPr>
          <w:rFonts w:ascii="Arial" w:hAnsi="Arial" w:cs="Arial"/>
          <w:sz w:val="22"/>
          <w:szCs w:val="22"/>
        </w:rPr>
        <w:t>It involves collaboration between professionals, organisations, service users, and families to meet complex care needs (Glasby and Dickinson, 2014). In NHS hospitals, patients often require input from multiple disciplines, including physicians, nurses, allied health professionals, social workers, and community care providers. Effective partnership working ensures that these services communicate effectively, reducing duplication, gaps in care, and the risk of adverse outcomes.</w:t>
      </w:r>
    </w:p>
    <w:p w14:paraId="399B5263" w14:textId="77777777" w:rsidR="00F67801" w:rsidRPr="006F4E68" w:rsidRDefault="00F67801" w:rsidP="006F4E68">
      <w:pPr>
        <w:spacing w:line="360" w:lineRule="auto"/>
        <w:rPr>
          <w:rFonts w:ascii="Arial" w:hAnsi="Arial" w:cs="Arial"/>
          <w:sz w:val="22"/>
          <w:szCs w:val="22"/>
        </w:rPr>
      </w:pPr>
    </w:p>
    <w:p w14:paraId="16B4637A"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Benefits of partnership working include improved communication, shared decision-making, coordinated care, and resource optimisation (Reeves et al., 2017). For example, during </w:t>
      </w:r>
      <w:r w:rsidRPr="006F4E68">
        <w:rPr>
          <w:rFonts w:ascii="Arial" w:hAnsi="Arial" w:cs="Arial"/>
          <w:sz w:val="22"/>
          <w:szCs w:val="22"/>
        </w:rPr>
        <w:lastRenderedPageBreak/>
        <w:t>discharge planning, hospital staff may collaborate with social services, community nurses, and family caregivers to create a seamless transition from hospital to home. This prevents readmissions, reduces stress for patients and families, and ensures continuity of care. Partnership working also enables knowledge sharing across disciplines, fostering innovation and improved problem-solving in complex cases.</w:t>
      </w:r>
    </w:p>
    <w:p w14:paraId="21590C0D" w14:textId="77777777" w:rsidR="00F67801" w:rsidRPr="006F4E68" w:rsidRDefault="00F67801" w:rsidP="006F4E68">
      <w:pPr>
        <w:spacing w:line="360" w:lineRule="auto"/>
        <w:rPr>
          <w:rFonts w:ascii="Arial" w:hAnsi="Arial" w:cs="Arial"/>
          <w:sz w:val="22"/>
          <w:szCs w:val="22"/>
        </w:rPr>
      </w:pPr>
    </w:p>
    <w:p w14:paraId="70300232"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However, partnership working presents challenges. Communication barriers, conflicting priorities between organisations, differences in professional cultures, and data-sharing restrictions can impede collaboration. Funding limitations and organisational structures may also restrict opportunities for joint working, leading to fragmented care. Despite these obstacles, evidence indicates that effective partnership working enhances patient outcomes, supports holistic care, and improves overall service efficiency.</w:t>
      </w:r>
    </w:p>
    <w:p w14:paraId="7CD13032" w14:textId="77777777" w:rsidR="00F67801" w:rsidRPr="006F4E68" w:rsidRDefault="00F67801" w:rsidP="006F4E68">
      <w:pPr>
        <w:spacing w:line="360" w:lineRule="auto"/>
        <w:rPr>
          <w:rFonts w:ascii="Arial" w:hAnsi="Arial" w:cs="Arial"/>
          <w:sz w:val="22"/>
          <w:szCs w:val="22"/>
        </w:rPr>
      </w:pPr>
    </w:p>
    <w:p w14:paraId="0CD852FE" w14:textId="42A27D1E"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 </w:t>
      </w:r>
      <w:r w:rsidRPr="006F4E68">
        <w:rPr>
          <w:rFonts w:ascii="Arial" w:hAnsi="Arial" w:cs="Arial"/>
          <w:b/>
          <w:bCs/>
          <w:sz w:val="22"/>
          <w:szCs w:val="22"/>
        </w:rPr>
        <w:t>Policy and Legislation</w:t>
      </w:r>
    </w:p>
    <w:p w14:paraId="61F48AE6"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Person-centred care and partnership working are supported by several UK policies and legislative frameworks designed to promote dignity, equality, safeguarding, and collaboration. Key examples include:</w:t>
      </w:r>
    </w:p>
    <w:p w14:paraId="7D819555" w14:textId="77777777" w:rsidR="00F67801" w:rsidRPr="006F4E68" w:rsidRDefault="00F67801" w:rsidP="006F4E68">
      <w:pPr>
        <w:spacing w:line="360" w:lineRule="auto"/>
        <w:rPr>
          <w:rFonts w:ascii="Arial" w:hAnsi="Arial" w:cs="Arial"/>
          <w:sz w:val="22"/>
          <w:szCs w:val="22"/>
        </w:rPr>
      </w:pPr>
    </w:p>
    <w:p w14:paraId="13F5C311" w14:textId="280F2A85" w:rsidR="00B727F9" w:rsidRPr="006F4E68" w:rsidRDefault="00F67801" w:rsidP="006F4E68">
      <w:pPr>
        <w:spacing w:line="360" w:lineRule="auto"/>
        <w:rPr>
          <w:rFonts w:ascii="Arial" w:hAnsi="Arial" w:cs="Arial"/>
          <w:sz w:val="22"/>
          <w:szCs w:val="22"/>
        </w:rPr>
      </w:pPr>
      <w:r w:rsidRPr="006F4E68">
        <w:rPr>
          <w:rFonts w:ascii="Arial" w:hAnsi="Arial" w:cs="Arial"/>
          <w:sz w:val="22"/>
          <w:szCs w:val="22"/>
        </w:rPr>
        <w:t>* Care Act 2014 – Establishes statutory duties for local authorities to promote well-being, safeguard vulnerable adults, and encourage involvement in care planning</w:t>
      </w:r>
      <w:r w:rsidR="00B727F9" w:rsidRPr="006F4E68">
        <w:rPr>
          <w:rFonts w:ascii="Arial" w:hAnsi="Arial" w:cs="Arial"/>
          <w:sz w:val="22"/>
          <w:szCs w:val="22"/>
        </w:rPr>
        <w:t xml:space="preserve"> </w:t>
      </w:r>
      <w:r w:rsidR="00B727F9" w:rsidRPr="006F4E68">
        <w:rPr>
          <w:rFonts w:ascii="Arial" w:hAnsi="Arial" w:cs="Arial"/>
          <w:sz w:val="22"/>
          <w:szCs w:val="22"/>
        </w:rPr>
        <w:t>(Care Act, 2014)</w:t>
      </w:r>
      <w:r w:rsidR="00B727F9" w:rsidRPr="006F4E68">
        <w:rPr>
          <w:rFonts w:ascii="Arial" w:hAnsi="Arial" w:cs="Arial"/>
          <w:sz w:val="22"/>
          <w:szCs w:val="22"/>
        </w:rPr>
        <w:t>.</w:t>
      </w:r>
    </w:p>
    <w:p w14:paraId="6F4AE0C7" w14:textId="56492E07" w:rsidR="00F67801" w:rsidRPr="006F4E68" w:rsidRDefault="00F67801" w:rsidP="006F4E68">
      <w:pPr>
        <w:spacing w:line="360" w:lineRule="auto"/>
        <w:rPr>
          <w:rFonts w:ascii="Arial" w:hAnsi="Arial" w:cs="Arial"/>
          <w:sz w:val="22"/>
          <w:szCs w:val="22"/>
        </w:rPr>
      </w:pPr>
    </w:p>
    <w:p w14:paraId="2D1408FB" w14:textId="72BCBF8E" w:rsidR="00B727F9" w:rsidRPr="006F4E68" w:rsidRDefault="00F67801" w:rsidP="006F4E68">
      <w:pPr>
        <w:spacing w:line="360" w:lineRule="auto"/>
        <w:rPr>
          <w:rFonts w:ascii="Arial" w:hAnsi="Arial" w:cs="Arial"/>
          <w:sz w:val="22"/>
          <w:szCs w:val="22"/>
        </w:rPr>
      </w:pPr>
      <w:r w:rsidRPr="006F4E68">
        <w:rPr>
          <w:rFonts w:ascii="Arial" w:hAnsi="Arial" w:cs="Arial"/>
          <w:sz w:val="22"/>
          <w:szCs w:val="22"/>
        </w:rPr>
        <w:t>* Health and Social Care Act 2012 – Promotes integrated care, patient involvement, and improvements in healthcare quality</w:t>
      </w:r>
      <w:r w:rsidR="00B727F9" w:rsidRPr="006F4E68">
        <w:rPr>
          <w:rFonts w:ascii="Arial" w:eastAsia="Times New Roman" w:hAnsi="Arial" w:cs="Arial"/>
          <w:kern w:val="0"/>
          <w:sz w:val="22"/>
          <w:szCs w:val="22"/>
          <w:lang w:eastAsia="en-GB"/>
          <w14:ligatures w14:val="none"/>
        </w:rPr>
        <w:t xml:space="preserve"> </w:t>
      </w:r>
      <w:r w:rsidR="00B727F9" w:rsidRPr="006F4E68">
        <w:rPr>
          <w:rFonts w:ascii="Arial" w:hAnsi="Arial" w:cs="Arial"/>
          <w:sz w:val="22"/>
          <w:szCs w:val="22"/>
        </w:rPr>
        <w:t>(UK Government, 2012)</w:t>
      </w:r>
      <w:r w:rsidR="00B727F9" w:rsidRPr="006F4E68">
        <w:rPr>
          <w:rFonts w:ascii="Arial" w:hAnsi="Arial" w:cs="Arial"/>
          <w:sz w:val="22"/>
          <w:szCs w:val="22"/>
        </w:rPr>
        <w:t>.</w:t>
      </w:r>
    </w:p>
    <w:p w14:paraId="269E18B9" w14:textId="74A95102" w:rsidR="00F67801" w:rsidRPr="006F4E68" w:rsidRDefault="00F67801" w:rsidP="006F4E68">
      <w:pPr>
        <w:spacing w:line="360" w:lineRule="auto"/>
        <w:rPr>
          <w:rFonts w:ascii="Arial" w:hAnsi="Arial" w:cs="Arial"/>
          <w:sz w:val="22"/>
          <w:szCs w:val="22"/>
        </w:rPr>
      </w:pPr>
    </w:p>
    <w:p w14:paraId="381DEC24" w14:textId="5DBA703E" w:rsidR="00B727F9" w:rsidRPr="006F4E68" w:rsidRDefault="00F67801" w:rsidP="006F4E68">
      <w:pPr>
        <w:spacing w:line="360" w:lineRule="auto"/>
        <w:rPr>
          <w:rFonts w:ascii="Arial" w:hAnsi="Arial" w:cs="Arial"/>
          <w:sz w:val="22"/>
          <w:szCs w:val="22"/>
        </w:rPr>
      </w:pPr>
      <w:r w:rsidRPr="006F4E68">
        <w:rPr>
          <w:rFonts w:ascii="Arial" w:hAnsi="Arial" w:cs="Arial"/>
          <w:sz w:val="22"/>
          <w:szCs w:val="22"/>
        </w:rPr>
        <w:t>* Health and Care Act 2022 – Focuses on strengthening NHS integrated care systems, promoting partnership working, and improving population health outcomes</w:t>
      </w:r>
      <w:r w:rsidR="00B727F9" w:rsidRPr="006F4E68">
        <w:rPr>
          <w:rFonts w:ascii="Arial" w:hAnsi="Arial" w:cs="Arial"/>
          <w:sz w:val="22"/>
          <w:szCs w:val="22"/>
        </w:rPr>
        <w:t xml:space="preserve"> </w:t>
      </w:r>
      <w:r w:rsidR="00B727F9" w:rsidRPr="006F4E68">
        <w:rPr>
          <w:rFonts w:ascii="Arial" w:hAnsi="Arial" w:cs="Arial"/>
          <w:sz w:val="22"/>
          <w:szCs w:val="22"/>
        </w:rPr>
        <w:t>(Department of Health and Social Care, 2025)</w:t>
      </w:r>
      <w:r w:rsidR="00B727F9" w:rsidRPr="006F4E68">
        <w:rPr>
          <w:rFonts w:ascii="Arial" w:hAnsi="Arial" w:cs="Arial"/>
          <w:sz w:val="22"/>
          <w:szCs w:val="22"/>
        </w:rPr>
        <w:t>.</w:t>
      </w:r>
    </w:p>
    <w:p w14:paraId="23872C97" w14:textId="6EF8EAA8" w:rsidR="00B727F9" w:rsidRPr="006F4E68" w:rsidRDefault="00B727F9" w:rsidP="006F4E68">
      <w:pPr>
        <w:spacing w:line="360" w:lineRule="auto"/>
        <w:rPr>
          <w:rFonts w:ascii="Arial" w:hAnsi="Arial" w:cs="Arial"/>
          <w:sz w:val="22"/>
          <w:szCs w:val="22"/>
        </w:rPr>
      </w:pPr>
    </w:p>
    <w:p w14:paraId="21B05968" w14:textId="762208CF" w:rsidR="00B727F9" w:rsidRPr="006F4E68" w:rsidRDefault="00F67801" w:rsidP="006F4E68">
      <w:pPr>
        <w:spacing w:line="360" w:lineRule="auto"/>
        <w:rPr>
          <w:rFonts w:ascii="Arial" w:hAnsi="Arial" w:cs="Arial"/>
          <w:sz w:val="22"/>
          <w:szCs w:val="22"/>
        </w:rPr>
      </w:pPr>
      <w:r w:rsidRPr="006F4E68">
        <w:rPr>
          <w:rFonts w:ascii="Arial" w:hAnsi="Arial" w:cs="Arial"/>
          <w:sz w:val="22"/>
          <w:szCs w:val="22"/>
        </w:rPr>
        <w:t>* Human Rights Act 1998 – Ensures patients’ rights to privacy, dignity, and autonomy are respected</w:t>
      </w:r>
      <w:r w:rsidR="00B727F9" w:rsidRPr="006F4E68">
        <w:rPr>
          <w:rFonts w:ascii="Arial" w:eastAsia="Times New Roman" w:hAnsi="Arial" w:cs="Arial"/>
          <w:kern w:val="0"/>
          <w:sz w:val="22"/>
          <w:szCs w:val="22"/>
          <w:lang w:eastAsia="en-GB"/>
          <w14:ligatures w14:val="none"/>
        </w:rPr>
        <w:t xml:space="preserve"> </w:t>
      </w:r>
      <w:r w:rsidR="00B727F9" w:rsidRPr="006F4E68">
        <w:rPr>
          <w:rFonts w:ascii="Arial" w:hAnsi="Arial" w:cs="Arial"/>
          <w:sz w:val="22"/>
          <w:szCs w:val="22"/>
        </w:rPr>
        <w:t>(Human Rights Act, 1998)</w:t>
      </w:r>
      <w:r w:rsidR="00B727F9" w:rsidRPr="006F4E68">
        <w:rPr>
          <w:rFonts w:ascii="Arial" w:hAnsi="Arial" w:cs="Arial"/>
          <w:sz w:val="22"/>
          <w:szCs w:val="22"/>
        </w:rPr>
        <w:t>.</w:t>
      </w:r>
    </w:p>
    <w:p w14:paraId="6C778B12" w14:textId="0562B33E" w:rsidR="00F67801" w:rsidRPr="006F4E68" w:rsidRDefault="00F67801" w:rsidP="006F4E68">
      <w:pPr>
        <w:spacing w:line="360" w:lineRule="auto"/>
        <w:rPr>
          <w:rFonts w:ascii="Arial" w:hAnsi="Arial" w:cs="Arial"/>
          <w:sz w:val="22"/>
          <w:szCs w:val="22"/>
        </w:rPr>
      </w:pPr>
    </w:p>
    <w:p w14:paraId="1DF5CAAE" w14:textId="3AA27C07" w:rsidR="00B727F9" w:rsidRPr="006F4E68" w:rsidRDefault="00F67801" w:rsidP="006F4E68">
      <w:pPr>
        <w:spacing w:line="360" w:lineRule="auto"/>
        <w:rPr>
          <w:rFonts w:ascii="Arial" w:hAnsi="Arial" w:cs="Arial"/>
          <w:sz w:val="22"/>
          <w:szCs w:val="22"/>
        </w:rPr>
      </w:pPr>
      <w:r w:rsidRPr="006F4E68">
        <w:rPr>
          <w:rFonts w:ascii="Arial" w:hAnsi="Arial" w:cs="Arial"/>
          <w:sz w:val="22"/>
          <w:szCs w:val="22"/>
        </w:rPr>
        <w:lastRenderedPageBreak/>
        <w:t>* Equality Act 2010 – Protects against discrimination and supports equitable access to healthcare services</w:t>
      </w:r>
      <w:r w:rsidR="00B727F9" w:rsidRPr="006F4E68">
        <w:rPr>
          <w:rFonts w:ascii="Arial" w:hAnsi="Arial" w:cs="Arial"/>
          <w:sz w:val="22"/>
          <w:szCs w:val="22"/>
        </w:rPr>
        <w:t xml:space="preserve"> </w:t>
      </w:r>
      <w:r w:rsidR="00B727F9" w:rsidRPr="006F4E68">
        <w:rPr>
          <w:rFonts w:ascii="Arial" w:hAnsi="Arial" w:cs="Arial"/>
          <w:sz w:val="22"/>
          <w:szCs w:val="22"/>
        </w:rPr>
        <w:t>(GOV.UK, 2013)</w:t>
      </w:r>
      <w:r w:rsidR="00B727F9" w:rsidRPr="006F4E68">
        <w:rPr>
          <w:rFonts w:ascii="Arial" w:hAnsi="Arial" w:cs="Arial"/>
          <w:sz w:val="22"/>
          <w:szCs w:val="22"/>
        </w:rPr>
        <w:t>.</w:t>
      </w:r>
    </w:p>
    <w:p w14:paraId="411F1438" w14:textId="796D2589" w:rsidR="00F67801" w:rsidRPr="006F4E68" w:rsidRDefault="00F67801" w:rsidP="006F4E68">
      <w:pPr>
        <w:spacing w:line="360" w:lineRule="auto"/>
        <w:rPr>
          <w:rFonts w:ascii="Arial" w:hAnsi="Arial" w:cs="Arial"/>
          <w:sz w:val="22"/>
          <w:szCs w:val="22"/>
        </w:rPr>
      </w:pPr>
    </w:p>
    <w:p w14:paraId="60578AB9" w14:textId="77777777" w:rsidR="00F67801" w:rsidRPr="006F4E68" w:rsidRDefault="00F67801" w:rsidP="006F4E68">
      <w:pPr>
        <w:spacing w:line="360" w:lineRule="auto"/>
        <w:rPr>
          <w:rFonts w:ascii="Arial" w:hAnsi="Arial" w:cs="Arial"/>
          <w:sz w:val="22"/>
          <w:szCs w:val="22"/>
        </w:rPr>
      </w:pPr>
    </w:p>
    <w:p w14:paraId="3FB54C23" w14:textId="0DDF67FE" w:rsidR="00B727F9" w:rsidRPr="006F4E68" w:rsidRDefault="00F67801" w:rsidP="006F4E68">
      <w:pPr>
        <w:spacing w:line="360" w:lineRule="auto"/>
        <w:rPr>
          <w:rFonts w:ascii="Arial" w:hAnsi="Arial" w:cs="Arial"/>
          <w:sz w:val="22"/>
          <w:szCs w:val="22"/>
        </w:rPr>
      </w:pPr>
      <w:r w:rsidRPr="006F4E68">
        <w:rPr>
          <w:rFonts w:ascii="Arial" w:hAnsi="Arial" w:cs="Arial"/>
          <w:sz w:val="22"/>
          <w:szCs w:val="22"/>
        </w:rPr>
        <w:t>While these policies provide a robust framework for PCC and PW, practical implementation is often constrained by staffing shortages, limited funding, and organisational pressures</w:t>
      </w:r>
      <w:r w:rsidR="00B727F9" w:rsidRPr="006F4E68">
        <w:rPr>
          <w:rFonts w:ascii="Arial" w:hAnsi="Arial" w:cs="Arial"/>
          <w:sz w:val="22"/>
          <w:szCs w:val="22"/>
        </w:rPr>
        <w:t xml:space="preserve"> </w:t>
      </w:r>
      <w:r w:rsidR="00B727F9" w:rsidRPr="006F4E68">
        <w:rPr>
          <w:rFonts w:ascii="Arial" w:hAnsi="Arial" w:cs="Arial"/>
          <w:sz w:val="22"/>
          <w:szCs w:val="22"/>
        </w:rPr>
        <w:t xml:space="preserve">(Moore </w:t>
      </w:r>
      <w:r w:rsidR="00B727F9" w:rsidRPr="006F4E68">
        <w:rPr>
          <w:rFonts w:ascii="Arial" w:hAnsi="Arial" w:cs="Arial"/>
          <w:i/>
          <w:iCs/>
          <w:sz w:val="22"/>
          <w:szCs w:val="22"/>
        </w:rPr>
        <w:t>et al</w:t>
      </w:r>
      <w:r w:rsidR="00B727F9" w:rsidRPr="006F4E68">
        <w:rPr>
          <w:rFonts w:ascii="Arial" w:hAnsi="Arial" w:cs="Arial"/>
          <w:sz w:val="22"/>
          <w:szCs w:val="22"/>
        </w:rPr>
        <w:t>., 2017)</w:t>
      </w:r>
      <w:r w:rsidR="00B727F9" w:rsidRPr="006F4E68">
        <w:rPr>
          <w:rFonts w:ascii="Arial" w:hAnsi="Arial" w:cs="Arial"/>
          <w:sz w:val="22"/>
          <w:szCs w:val="22"/>
        </w:rPr>
        <w:t xml:space="preserve">. </w:t>
      </w:r>
      <w:r w:rsidRPr="006F4E68">
        <w:rPr>
          <w:rFonts w:ascii="Arial" w:hAnsi="Arial" w:cs="Arial"/>
          <w:sz w:val="22"/>
          <w:szCs w:val="22"/>
        </w:rPr>
        <w:t>Translating legislative intent into everyday practice requires effective leadership, staff training, and systems for monitoring and evaluating compliance. Policies also encourage regular audits, patient feedback mechanisms, and reporting structures to ensure accountability and continuous improvement</w:t>
      </w:r>
      <w:r w:rsidR="00B727F9" w:rsidRPr="006F4E68">
        <w:rPr>
          <w:rFonts w:ascii="Arial" w:eastAsia="Times New Roman" w:hAnsi="Arial" w:cs="Arial"/>
          <w:kern w:val="0"/>
          <w:sz w:val="22"/>
          <w:szCs w:val="22"/>
          <w:lang w:eastAsia="en-GB"/>
          <w14:ligatures w14:val="none"/>
        </w:rPr>
        <w:t xml:space="preserve"> </w:t>
      </w:r>
      <w:r w:rsidR="00B727F9" w:rsidRPr="006F4E68">
        <w:rPr>
          <w:rFonts w:ascii="Arial" w:hAnsi="Arial" w:cs="Arial"/>
          <w:sz w:val="22"/>
          <w:szCs w:val="22"/>
        </w:rPr>
        <w:t xml:space="preserve">(Hut-Mossel </w:t>
      </w:r>
      <w:r w:rsidR="00B727F9" w:rsidRPr="006F4E68">
        <w:rPr>
          <w:rFonts w:ascii="Arial" w:hAnsi="Arial" w:cs="Arial"/>
          <w:i/>
          <w:iCs/>
          <w:sz w:val="22"/>
          <w:szCs w:val="22"/>
        </w:rPr>
        <w:t>et al.</w:t>
      </w:r>
      <w:r w:rsidR="00B727F9" w:rsidRPr="006F4E68">
        <w:rPr>
          <w:rFonts w:ascii="Arial" w:hAnsi="Arial" w:cs="Arial"/>
          <w:sz w:val="22"/>
          <w:szCs w:val="22"/>
        </w:rPr>
        <w:t>, 2021)</w:t>
      </w:r>
      <w:r w:rsidR="00B727F9" w:rsidRPr="006F4E68">
        <w:rPr>
          <w:rFonts w:ascii="Arial" w:hAnsi="Arial" w:cs="Arial"/>
          <w:sz w:val="22"/>
          <w:szCs w:val="22"/>
        </w:rPr>
        <w:t>.</w:t>
      </w:r>
    </w:p>
    <w:p w14:paraId="1971C801" w14:textId="2936B2D5" w:rsidR="00F67801" w:rsidRPr="006F4E68" w:rsidRDefault="00F67801" w:rsidP="006F4E68">
      <w:pPr>
        <w:spacing w:line="360" w:lineRule="auto"/>
        <w:rPr>
          <w:rFonts w:ascii="Arial" w:hAnsi="Arial" w:cs="Arial"/>
          <w:sz w:val="22"/>
          <w:szCs w:val="22"/>
        </w:rPr>
      </w:pPr>
    </w:p>
    <w:p w14:paraId="71C43D9E" w14:textId="77777777" w:rsidR="007406EC" w:rsidRPr="006F4E68" w:rsidRDefault="007406EC" w:rsidP="006F4E68">
      <w:pPr>
        <w:spacing w:line="360" w:lineRule="auto"/>
        <w:rPr>
          <w:rFonts w:ascii="Arial" w:hAnsi="Arial" w:cs="Arial"/>
          <w:sz w:val="22"/>
          <w:szCs w:val="22"/>
        </w:rPr>
      </w:pPr>
    </w:p>
    <w:p w14:paraId="7A75C9D9" w14:textId="2430734E" w:rsidR="00F67801" w:rsidRPr="006F4E68" w:rsidRDefault="00F67801" w:rsidP="006F4E68">
      <w:pPr>
        <w:spacing w:line="360" w:lineRule="auto"/>
        <w:rPr>
          <w:rFonts w:ascii="Arial" w:hAnsi="Arial" w:cs="Arial"/>
          <w:sz w:val="22"/>
          <w:szCs w:val="22"/>
        </w:rPr>
      </w:pPr>
      <w:r w:rsidRPr="006F4E68">
        <w:rPr>
          <w:rFonts w:ascii="Arial" w:hAnsi="Arial" w:cs="Arial"/>
          <w:b/>
          <w:bCs/>
          <w:sz w:val="22"/>
          <w:szCs w:val="22"/>
        </w:rPr>
        <w:t>Recommendations</w:t>
      </w:r>
    </w:p>
    <w:p w14:paraId="13CD8072"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To enhance person-centred care and partnership working in the UK, several measures are recommended:</w:t>
      </w:r>
    </w:p>
    <w:p w14:paraId="7E32BB18" w14:textId="608D346C" w:rsidR="007406EC" w:rsidRPr="006F4E68" w:rsidRDefault="00F67801" w:rsidP="006F4E68">
      <w:pPr>
        <w:spacing w:line="360" w:lineRule="auto"/>
        <w:rPr>
          <w:rFonts w:ascii="Arial" w:hAnsi="Arial" w:cs="Arial"/>
          <w:sz w:val="22"/>
          <w:szCs w:val="22"/>
        </w:rPr>
      </w:pPr>
      <w:r w:rsidRPr="006F4E68">
        <w:rPr>
          <w:rFonts w:ascii="Arial" w:hAnsi="Arial" w:cs="Arial"/>
          <w:sz w:val="22"/>
          <w:szCs w:val="22"/>
        </w:rPr>
        <w:t>1. Staff Training – Provide ongoing training in PCC principles, communication, ethical decision-making, and collaborative practices. Simulation-based learning and reflective practice can support skill development</w:t>
      </w:r>
      <w:r w:rsidR="007406EC" w:rsidRPr="006F4E68">
        <w:rPr>
          <w:rFonts w:ascii="Arial" w:eastAsia="Times New Roman" w:hAnsi="Arial" w:cs="Arial"/>
          <w:kern w:val="0"/>
          <w:sz w:val="22"/>
          <w:szCs w:val="22"/>
          <w:lang w:eastAsia="en-GB"/>
          <w14:ligatures w14:val="none"/>
        </w:rPr>
        <w:t xml:space="preserve"> </w:t>
      </w:r>
      <w:r w:rsidR="007406EC" w:rsidRPr="006F4E68">
        <w:rPr>
          <w:rFonts w:ascii="Arial" w:hAnsi="Arial" w:cs="Arial"/>
          <w:sz w:val="22"/>
          <w:szCs w:val="22"/>
        </w:rPr>
        <w:t>(Sung and Hsu, 2025)</w:t>
      </w:r>
      <w:r w:rsidR="007406EC" w:rsidRPr="006F4E68">
        <w:rPr>
          <w:rFonts w:ascii="Arial" w:hAnsi="Arial" w:cs="Arial"/>
          <w:sz w:val="22"/>
          <w:szCs w:val="22"/>
        </w:rPr>
        <w:t>.</w:t>
      </w:r>
    </w:p>
    <w:p w14:paraId="469145B6" w14:textId="26DE1873"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2. Digital Integration – Develop and expand shared electronic health records to improve communication and information sharing across organisations</w:t>
      </w:r>
      <w:r w:rsidR="003A3C75" w:rsidRPr="006F4E68">
        <w:rPr>
          <w:rFonts w:ascii="Arial" w:hAnsi="Arial" w:cs="Arial"/>
          <w:sz w:val="22"/>
          <w:szCs w:val="22"/>
        </w:rPr>
        <w:t xml:space="preserve"> </w:t>
      </w:r>
      <w:r w:rsidR="003A3C75" w:rsidRPr="006F4E68">
        <w:rPr>
          <w:rFonts w:ascii="Arial" w:hAnsi="Arial" w:cs="Arial"/>
          <w:sz w:val="22"/>
          <w:szCs w:val="22"/>
        </w:rPr>
        <w:t xml:space="preserve">(Quinn </w:t>
      </w:r>
      <w:r w:rsidR="003A3C75" w:rsidRPr="006F4E68">
        <w:rPr>
          <w:rFonts w:ascii="Arial" w:hAnsi="Arial" w:cs="Arial"/>
          <w:i/>
          <w:iCs/>
          <w:sz w:val="22"/>
          <w:szCs w:val="22"/>
        </w:rPr>
        <w:t>et al</w:t>
      </w:r>
      <w:r w:rsidR="003A3C75" w:rsidRPr="006F4E68">
        <w:rPr>
          <w:rFonts w:ascii="Arial" w:hAnsi="Arial" w:cs="Arial"/>
          <w:sz w:val="22"/>
          <w:szCs w:val="22"/>
        </w:rPr>
        <w:t>., 2020)</w:t>
      </w:r>
      <w:r w:rsidR="003A3C75" w:rsidRPr="006F4E68">
        <w:rPr>
          <w:rFonts w:ascii="Arial" w:hAnsi="Arial" w:cs="Arial"/>
          <w:sz w:val="22"/>
          <w:szCs w:val="22"/>
        </w:rPr>
        <w:t>.</w:t>
      </w:r>
    </w:p>
    <w:p w14:paraId="4E2C4004"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3. Resource Allocation – Increase funding for community care services to alleviate pressure on hospitals and facilitate integrated care pathways.</w:t>
      </w:r>
    </w:p>
    <w:p w14:paraId="12A0BEAF" w14:textId="29ABEEAC"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4. Service User Involvement – Encourage patient and family participation in service design, decision-making, and feedback mechanisms to ensure care meets real needs</w:t>
      </w:r>
      <w:r w:rsidR="003A3C75" w:rsidRPr="006F4E68">
        <w:rPr>
          <w:rFonts w:ascii="Arial" w:hAnsi="Arial" w:cs="Arial"/>
          <w:sz w:val="22"/>
          <w:szCs w:val="22"/>
        </w:rPr>
        <w:t xml:space="preserve"> </w:t>
      </w:r>
      <w:r w:rsidR="003A3C75" w:rsidRPr="006F4E68">
        <w:rPr>
          <w:rFonts w:ascii="Arial" w:hAnsi="Arial" w:cs="Arial"/>
          <w:sz w:val="22"/>
          <w:szCs w:val="22"/>
        </w:rPr>
        <w:t>(Prior and Campbell, 2018)</w:t>
      </w:r>
      <w:r w:rsidR="003A3C75" w:rsidRPr="006F4E68">
        <w:rPr>
          <w:rFonts w:ascii="Arial" w:hAnsi="Arial" w:cs="Arial"/>
          <w:sz w:val="22"/>
          <w:szCs w:val="22"/>
        </w:rPr>
        <w:t>.</w:t>
      </w:r>
    </w:p>
    <w:p w14:paraId="3BC00243"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5. Strengthening Partnerships – Foster stronger collaboration between the NHS, social services, voluntary organisations, and private providers, particularly in discharge planning and chronic disease management.</w:t>
      </w:r>
    </w:p>
    <w:p w14:paraId="50239124" w14:textId="39C95899"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6. Continuous Evaluation – Implement monitoring and feedback mechanisms to track the effectiveness of PCC and PW, allowing healthcare providers to adapt to emerging challenges and improve care quality over time</w:t>
      </w:r>
      <w:r w:rsidR="003A3C75" w:rsidRPr="006F4E68">
        <w:rPr>
          <w:rFonts w:ascii="Arial" w:hAnsi="Arial" w:cs="Arial"/>
          <w:sz w:val="22"/>
          <w:szCs w:val="22"/>
        </w:rPr>
        <w:t xml:space="preserve"> </w:t>
      </w:r>
      <w:r w:rsidR="003A3C75" w:rsidRPr="006F4E68">
        <w:rPr>
          <w:rFonts w:ascii="Arial" w:hAnsi="Arial" w:cs="Arial"/>
          <w:sz w:val="22"/>
          <w:szCs w:val="22"/>
        </w:rPr>
        <w:t xml:space="preserve">(Santana </w:t>
      </w:r>
      <w:r w:rsidR="003A3C75" w:rsidRPr="006F4E68">
        <w:rPr>
          <w:rFonts w:ascii="Arial" w:hAnsi="Arial" w:cs="Arial"/>
          <w:i/>
          <w:iCs/>
          <w:sz w:val="22"/>
          <w:szCs w:val="22"/>
        </w:rPr>
        <w:t>et al</w:t>
      </w:r>
      <w:r w:rsidR="003A3C75" w:rsidRPr="006F4E68">
        <w:rPr>
          <w:rFonts w:ascii="Arial" w:hAnsi="Arial" w:cs="Arial"/>
          <w:sz w:val="22"/>
          <w:szCs w:val="22"/>
        </w:rPr>
        <w:t>., 2020)</w:t>
      </w:r>
      <w:r w:rsidR="003A3C75" w:rsidRPr="006F4E68">
        <w:rPr>
          <w:rFonts w:ascii="Arial" w:hAnsi="Arial" w:cs="Arial"/>
          <w:sz w:val="22"/>
          <w:szCs w:val="22"/>
        </w:rPr>
        <w:t>.</w:t>
      </w:r>
    </w:p>
    <w:p w14:paraId="7F83F2E2" w14:textId="77777777" w:rsidR="00F67801" w:rsidRPr="006F4E68" w:rsidRDefault="00F67801" w:rsidP="006F4E68">
      <w:pPr>
        <w:spacing w:line="360" w:lineRule="auto"/>
        <w:rPr>
          <w:rFonts w:ascii="Arial" w:hAnsi="Arial" w:cs="Arial"/>
          <w:sz w:val="22"/>
          <w:szCs w:val="22"/>
        </w:rPr>
      </w:pPr>
    </w:p>
    <w:p w14:paraId="0409BC05"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Barriers to these recommendations include limited funding, staff shortages, resistance to change, and organisational inertia. Addressing these requires leadership commitment, policy support, and a culture that prioritises patient-centred outcomes.</w:t>
      </w:r>
    </w:p>
    <w:p w14:paraId="047EBF4C" w14:textId="77777777" w:rsidR="00F67801" w:rsidRPr="006F4E68" w:rsidRDefault="00F67801" w:rsidP="006F4E68">
      <w:pPr>
        <w:spacing w:line="360" w:lineRule="auto"/>
        <w:rPr>
          <w:rFonts w:ascii="Arial" w:hAnsi="Arial" w:cs="Arial"/>
          <w:sz w:val="22"/>
          <w:szCs w:val="22"/>
        </w:rPr>
      </w:pPr>
    </w:p>
    <w:p w14:paraId="0D7D71EC" w14:textId="77777777" w:rsidR="00F67801" w:rsidRPr="006F4E68" w:rsidRDefault="00F67801" w:rsidP="006F4E68">
      <w:pPr>
        <w:spacing w:line="360" w:lineRule="auto"/>
        <w:rPr>
          <w:rFonts w:ascii="Arial" w:hAnsi="Arial" w:cs="Arial"/>
          <w:sz w:val="22"/>
          <w:szCs w:val="22"/>
        </w:rPr>
      </w:pPr>
      <w:r w:rsidRPr="006F4E68">
        <w:rPr>
          <w:rFonts w:ascii="Arial" w:hAnsi="Arial" w:cs="Arial"/>
          <w:sz w:val="22"/>
          <w:szCs w:val="22"/>
        </w:rPr>
        <w:t xml:space="preserve"> </w:t>
      </w:r>
    </w:p>
    <w:p w14:paraId="20EA9011" w14:textId="77777777" w:rsidR="00F67801" w:rsidRPr="006F4E68" w:rsidRDefault="00F67801" w:rsidP="006F4E68">
      <w:pPr>
        <w:spacing w:line="360" w:lineRule="auto"/>
        <w:rPr>
          <w:rFonts w:ascii="Arial" w:hAnsi="Arial" w:cs="Arial"/>
          <w:b/>
          <w:bCs/>
          <w:sz w:val="22"/>
          <w:szCs w:val="22"/>
        </w:rPr>
      </w:pPr>
      <w:r w:rsidRPr="006F4E68">
        <w:rPr>
          <w:rFonts w:ascii="Arial" w:hAnsi="Arial" w:cs="Arial"/>
          <w:b/>
          <w:bCs/>
          <w:sz w:val="22"/>
          <w:szCs w:val="22"/>
        </w:rPr>
        <w:t>Conclusion</w:t>
      </w:r>
    </w:p>
    <w:p w14:paraId="41F25E17" w14:textId="61A5A7ED" w:rsidR="00161E6F" w:rsidRPr="006F4E68" w:rsidRDefault="00F67801" w:rsidP="006F4E68">
      <w:pPr>
        <w:spacing w:line="360" w:lineRule="auto"/>
        <w:rPr>
          <w:rFonts w:ascii="Arial" w:hAnsi="Arial" w:cs="Arial"/>
          <w:sz w:val="22"/>
          <w:szCs w:val="22"/>
        </w:rPr>
      </w:pPr>
      <w:r w:rsidRPr="006F4E68">
        <w:rPr>
          <w:rFonts w:ascii="Arial" w:hAnsi="Arial" w:cs="Arial"/>
          <w:sz w:val="22"/>
          <w:szCs w:val="22"/>
        </w:rPr>
        <w:t>Person-centred care and partnership working are integral to effective, ethical, and high-quality health and social care in the United Kingdom. PCC ensures patients are treated with dignity, respect, and compassion while being actively involved in decisions about their care. Partnership working enhances collaboration, communication, and continuity of care, particularly in complex hospital environments. Although supportive policies and legislation exist, practical challenges such as staffing shortages, resource limitations, and communication barriers can hinder full implementation. Strengthening training, digital infrastructure, funding, and service user involvement is essential for maximising the benefits of PCC and PW. Continuous monitoring and feedback will further support sustainable improvements in healthcare delivery. Ultimately, prioritising these approaches contributes to improved patient outcomes, better service quality, and a more responsive, humane healthcare system across the UK.</w:t>
      </w:r>
    </w:p>
    <w:p w14:paraId="6D94BF2F" w14:textId="1D98B810" w:rsidR="00F67801" w:rsidRPr="006F4E68" w:rsidRDefault="00F67801" w:rsidP="006F4E68">
      <w:pPr>
        <w:spacing w:line="360" w:lineRule="auto"/>
        <w:rPr>
          <w:rFonts w:ascii="Arial" w:hAnsi="Arial" w:cs="Arial"/>
          <w:sz w:val="22"/>
          <w:szCs w:val="22"/>
        </w:rPr>
      </w:pPr>
    </w:p>
    <w:p w14:paraId="1350A211" w14:textId="77777777" w:rsidR="003A3C75" w:rsidRPr="006F4E68" w:rsidRDefault="003A3C75" w:rsidP="006F4E68">
      <w:pPr>
        <w:spacing w:line="360" w:lineRule="auto"/>
        <w:rPr>
          <w:rFonts w:ascii="Arial" w:hAnsi="Arial" w:cs="Arial"/>
          <w:sz w:val="22"/>
          <w:szCs w:val="22"/>
        </w:rPr>
      </w:pPr>
    </w:p>
    <w:p w14:paraId="4479DBC0" w14:textId="77777777" w:rsidR="003A3C75" w:rsidRPr="006F4E68" w:rsidRDefault="003A3C75" w:rsidP="006F4E68">
      <w:pPr>
        <w:spacing w:line="360" w:lineRule="auto"/>
        <w:rPr>
          <w:rFonts w:ascii="Arial" w:hAnsi="Arial" w:cs="Arial"/>
          <w:sz w:val="22"/>
          <w:szCs w:val="22"/>
        </w:rPr>
      </w:pPr>
    </w:p>
    <w:p w14:paraId="4865CF70" w14:textId="77777777" w:rsidR="003A3C75" w:rsidRPr="006F4E68" w:rsidRDefault="003A3C75" w:rsidP="006F4E68">
      <w:pPr>
        <w:spacing w:line="360" w:lineRule="auto"/>
        <w:rPr>
          <w:rFonts w:ascii="Arial" w:hAnsi="Arial" w:cs="Arial"/>
          <w:sz w:val="22"/>
          <w:szCs w:val="22"/>
        </w:rPr>
      </w:pPr>
    </w:p>
    <w:p w14:paraId="4E8DE3E3" w14:textId="77777777" w:rsidR="003A3C75" w:rsidRPr="006F4E68" w:rsidRDefault="003A3C75" w:rsidP="006F4E68">
      <w:pPr>
        <w:spacing w:line="360" w:lineRule="auto"/>
        <w:rPr>
          <w:rFonts w:ascii="Arial" w:hAnsi="Arial" w:cs="Arial"/>
          <w:sz w:val="22"/>
          <w:szCs w:val="22"/>
        </w:rPr>
      </w:pPr>
    </w:p>
    <w:p w14:paraId="3A0EAEA6" w14:textId="77777777" w:rsidR="003A3C75" w:rsidRPr="006F4E68" w:rsidRDefault="003A3C75" w:rsidP="006F4E68">
      <w:pPr>
        <w:spacing w:line="360" w:lineRule="auto"/>
        <w:rPr>
          <w:rFonts w:ascii="Arial" w:hAnsi="Arial" w:cs="Arial"/>
          <w:sz w:val="22"/>
          <w:szCs w:val="22"/>
        </w:rPr>
      </w:pPr>
    </w:p>
    <w:p w14:paraId="4D65A3E0" w14:textId="77777777" w:rsidR="003A3C75" w:rsidRPr="006F4E68" w:rsidRDefault="003A3C75" w:rsidP="006F4E68">
      <w:pPr>
        <w:spacing w:line="360" w:lineRule="auto"/>
        <w:rPr>
          <w:rFonts w:ascii="Arial" w:hAnsi="Arial" w:cs="Arial"/>
          <w:sz w:val="22"/>
          <w:szCs w:val="22"/>
        </w:rPr>
      </w:pPr>
    </w:p>
    <w:p w14:paraId="495CB0A3" w14:textId="77777777" w:rsidR="003A3C75" w:rsidRPr="006F4E68" w:rsidRDefault="003A3C75" w:rsidP="006F4E68">
      <w:pPr>
        <w:spacing w:line="360" w:lineRule="auto"/>
        <w:rPr>
          <w:rFonts w:ascii="Arial" w:hAnsi="Arial" w:cs="Arial"/>
          <w:sz w:val="22"/>
          <w:szCs w:val="22"/>
        </w:rPr>
      </w:pPr>
    </w:p>
    <w:p w14:paraId="56A373B9" w14:textId="77777777" w:rsidR="003A3C75" w:rsidRPr="006F4E68" w:rsidRDefault="003A3C75" w:rsidP="006F4E68">
      <w:pPr>
        <w:spacing w:line="360" w:lineRule="auto"/>
        <w:rPr>
          <w:rFonts w:ascii="Arial" w:hAnsi="Arial" w:cs="Arial"/>
          <w:sz w:val="22"/>
          <w:szCs w:val="22"/>
        </w:rPr>
      </w:pPr>
    </w:p>
    <w:p w14:paraId="013E68FB" w14:textId="77777777" w:rsidR="003A3C75" w:rsidRPr="006F4E68" w:rsidRDefault="003A3C75" w:rsidP="006F4E68">
      <w:pPr>
        <w:spacing w:line="360" w:lineRule="auto"/>
        <w:rPr>
          <w:rFonts w:ascii="Arial" w:hAnsi="Arial" w:cs="Arial"/>
          <w:sz w:val="22"/>
          <w:szCs w:val="22"/>
        </w:rPr>
      </w:pPr>
    </w:p>
    <w:p w14:paraId="1679FB13" w14:textId="77777777" w:rsidR="003A3C75" w:rsidRPr="006F4E68" w:rsidRDefault="003A3C75" w:rsidP="006F4E68">
      <w:pPr>
        <w:spacing w:line="360" w:lineRule="auto"/>
        <w:rPr>
          <w:rFonts w:ascii="Arial" w:hAnsi="Arial" w:cs="Arial"/>
          <w:sz w:val="22"/>
          <w:szCs w:val="22"/>
        </w:rPr>
      </w:pPr>
    </w:p>
    <w:p w14:paraId="070327C4" w14:textId="1F194A92" w:rsidR="006F4E68" w:rsidRDefault="003A3C75" w:rsidP="006F4E68">
      <w:pPr>
        <w:spacing w:line="360" w:lineRule="auto"/>
        <w:rPr>
          <w:rFonts w:ascii="Arial" w:hAnsi="Arial" w:cs="Arial"/>
          <w:b/>
          <w:bCs/>
          <w:sz w:val="22"/>
          <w:szCs w:val="22"/>
        </w:rPr>
      </w:pPr>
      <w:r w:rsidRPr="006F4E68">
        <w:rPr>
          <w:rFonts w:ascii="Arial" w:hAnsi="Arial" w:cs="Arial"/>
          <w:b/>
          <w:bCs/>
          <w:sz w:val="22"/>
          <w:szCs w:val="22"/>
        </w:rPr>
        <w:lastRenderedPageBreak/>
        <w:t>Reference list</w:t>
      </w:r>
    </w:p>
    <w:p w14:paraId="655095AF" w14:textId="77777777" w:rsidR="006F4E68" w:rsidRPr="006F4E68" w:rsidRDefault="006F4E68" w:rsidP="006F4E68">
      <w:pPr>
        <w:spacing w:line="360" w:lineRule="auto"/>
        <w:rPr>
          <w:rFonts w:ascii="Arial" w:hAnsi="Arial" w:cs="Arial"/>
          <w:b/>
          <w:bCs/>
          <w:sz w:val="22"/>
          <w:szCs w:val="22"/>
        </w:rPr>
      </w:pPr>
    </w:p>
    <w:p w14:paraId="3FF48399" w14:textId="0F41DE64"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Bester, J.C. (2020). Beneficence, Interests, and Wellbeing in Medicine: What It Means to Provide Benefit to Patients. The American Journal of Bioethics, [online] 20(3), pp.53–62. Available at: </w:t>
      </w:r>
      <w:hyperlink r:id="rId7" w:history="1">
        <w:r w:rsidRPr="006F4E68">
          <w:rPr>
            <w:rStyle w:val="Hyperlink"/>
            <w:rFonts w:ascii="Arial" w:hAnsi="Arial" w:cs="Arial"/>
            <w:sz w:val="22"/>
            <w:szCs w:val="22"/>
          </w:rPr>
          <w:t>https://pubmed.ncbi.nlm.nih.gov/32105204/</w:t>
        </w:r>
      </w:hyperlink>
      <w:r w:rsidRPr="006F4E68">
        <w:rPr>
          <w:rFonts w:ascii="Arial" w:hAnsi="Arial" w:cs="Arial"/>
          <w:sz w:val="22"/>
          <w:szCs w:val="22"/>
        </w:rPr>
        <w:t xml:space="preserve"> </w:t>
      </w:r>
      <w:r w:rsidRPr="006F4E68">
        <w:rPr>
          <w:rFonts w:ascii="Arial" w:hAnsi="Arial" w:cs="Arial"/>
          <w:sz w:val="22"/>
          <w:szCs w:val="22"/>
        </w:rPr>
        <w:t>(Accessed: 24 March 2026).</w:t>
      </w:r>
    </w:p>
    <w:p w14:paraId="22694C97" w14:textId="77777777" w:rsidR="003A3C75" w:rsidRPr="006F4E68" w:rsidRDefault="003A3C75" w:rsidP="006F4E68">
      <w:pPr>
        <w:spacing w:line="360" w:lineRule="auto"/>
        <w:rPr>
          <w:rFonts w:ascii="Arial" w:hAnsi="Arial" w:cs="Arial"/>
          <w:sz w:val="22"/>
          <w:szCs w:val="22"/>
        </w:rPr>
      </w:pPr>
    </w:p>
    <w:p w14:paraId="2E62F9B2" w14:textId="4F0E65A2"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Care Act (2014). Care Act 2014. [online] Legislation.gov.uk. Available at: </w:t>
      </w:r>
      <w:hyperlink r:id="rId8" w:history="1">
        <w:r w:rsidRPr="006F4E68">
          <w:rPr>
            <w:rStyle w:val="Hyperlink"/>
            <w:rFonts w:ascii="Arial" w:hAnsi="Arial" w:cs="Arial"/>
            <w:sz w:val="22"/>
            <w:szCs w:val="22"/>
          </w:rPr>
          <w:t>https://www.legislation.gov.uk/ukpga/2014/23/contents</w:t>
        </w:r>
      </w:hyperlink>
      <w:r w:rsidRPr="006F4E68">
        <w:rPr>
          <w:rFonts w:ascii="Arial" w:hAnsi="Arial" w:cs="Arial"/>
          <w:sz w:val="22"/>
          <w:szCs w:val="22"/>
        </w:rPr>
        <w:t xml:space="preserve"> </w:t>
      </w:r>
      <w:r w:rsidRPr="006F4E68">
        <w:rPr>
          <w:rFonts w:ascii="Arial" w:hAnsi="Arial" w:cs="Arial"/>
          <w:sz w:val="22"/>
          <w:szCs w:val="22"/>
        </w:rPr>
        <w:t>(Accessed: 24 March 2026).</w:t>
      </w:r>
    </w:p>
    <w:p w14:paraId="2611E374" w14:textId="77777777" w:rsidR="003A3C75" w:rsidRPr="006F4E68" w:rsidRDefault="003A3C75" w:rsidP="006F4E68">
      <w:pPr>
        <w:spacing w:line="360" w:lineRule="auto"/>
        <w:rPr>
          <w:rFonts w:ascii="Arial" w:hAnsi="Arial" w:cs="Arial"/>
          <w:sz w:val="22"/>
          <w:szCs w:val="22"/>
        </w:rPr>
      </w:pPr>
    </w:p>
    <w:p w14:paraId="64957B41" w14:textId="37B3CF1A"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Cheraghi, R., Valizadeh, L., </w:t>
      </w:r>
      <w:proofErr w:type="spellStart"/>
      <w:r w:rsidRPr="006F4E68">
        <w:rPr>
          <w:rFonts w:ascii="Arial" w:hAnsi="Arial" w:cs="Arial"/>
          <w:sz w:val="22"/>
          <w:szCs w:val="22"/>
        </w:rPr>
        <w:t>Zamanzadeh</w:t>
      </w:r>
      <w:proofErr w:type="spellEnd"/>
      <w:r w:rsidRPr="006F4E68">
        <w:rPr>
          <w:rFonts w:ascii="Arial" w:hAnsi="Arial" w:cs="Arial"/>
          <w:sz w:val="22"/>
          <w:szCs w:val="22"/>
        </w:rPr>
        <w:t xml:space="preserve">, V., Hassankhani, H. and Jafarzadeh, A. (2023). Clarification of ethical principle of the beneficence in nursing care: An integrative review. BioMed Central Nursing, [online] 22(89), pp.1–9. Available at: </w:t>
      </w:r>
      <w:hyperlink r:id="rId9" w:history="1">
        <w:r w:rsidRPr="006F4E68">
          <w:rPr>
            <w:rStyle w:val="Hyperlink"/>
            <w:rFonts w:ascii="Arial" w:hAnsi="Arial" w:cs="Arial"/>
            <w:sz w:val="22"/>
            <w:szCs w:val="22"/>
          </w:rPr>
          <w:t>https://doi.org/10.1186/s12912-023-01246-4</w:t>
        </w:r>
      </w:hyperlink>
      <w:r w:rsidRPr="006F4E68">
        <w:rPr>
          <w:rFonts w:ascii="Arial" w:hAnsi="Arial" w:cs="Arial"/>
          <w:sz w:val="22"/>
          <w:szCs w:val="22"/>
        </w:rPr>
        <w:t xml:space="preserve"> </w:t>
      </w:r>
      <w:r w:rsidRPr="006F4E68">
        <w:rPr>
          <w:rFonts w:ascii="Arial" w:hAnsi="Arial" w:cs="Arial"/>
          <w:sz w:val="22"/>
          <w:szCs w:val="22"/>
        </w:rPr>
        <w:t>(Accessed: 24 March 2026).</w:t>
      </w:r>
    </w:p>
    <w:p w14:paraId="55A65C08" w14:textId="77777777" w:rsidR="003A3C75" w:rsidRPr="006F4E68" w:rsidRDefault="003A3C75" w:rsidP="006F4E68">
      <w:pPr>
        <w:spacing w:line="360" w:lineRule="auto"/>
        <w:rPr>
          <w:rFonts w:ascii="Arial" w:hAnsi="Arial" w:cs="Arial"/>
          <w:sz w:val="22"/>
          <w:szCs w:val="22"/>
        </w:rPr>
      </w:pPr>
    </w:p>
    <w:p w14:paraId="3B28A277" w14:textId="562426BA"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Department of Health and Social Care (2023). The NHS Constitution for England. [online] GOV.UK. Available at: </w:t>
      </w:r>
      <w:hyperlink r:id="rId10" w:history="1">
        <w:r w:rsidRPr="006F4E68">
          <w:rPr>
            <w:rStyle w:val="Hyperlink"/>
            <w:rFonts w:ascii="Arial" w:hAnsi="Arial" w:cs="Arial"/>
            <w:sz w:val="22"/>
            <w:szCs w:val="22"/>
          </w:rPr>
          <w:t>https://www.gov.uk/government/publications/the-nhs-constitution-for-england/the-nhs-constitution-for-england</w:t>
        </w:r>
      </w:hyperlink>
      <w:r w:rsidRPr="006F4E68">
        <w:rPr>
          <w:rFonts w:ascii="Arial" w:hAnsi="Arial" w:cs="Arial"/>
          <w:sz w:val="22"/>
          <w:szCs w:val="22"/>
        </w:rPr>
        <w:t xml:space="preserve"> </w:t>
      </w:r>
      <w:r w:rsidRPr="006F4E68">
        <w:rPr>
          <w:rFonts w:ascii="Arial" w:hAnsi="Arial" w:cs="Arial"/>
          <w:sz w:val="22"/>
          <w:szCs w:val="22"/>
        </w:rPr>
        <w:t>(Accessed: 24 March 2026).</w:t>
      </w:r>
    </w:p>
    <w:p w14:paraId="20ED7644" w14:textId="77777777" w:rsidR="003A3C75" w:rsidRPr="006F4E68" w:rsidRDefault="003A3C75" w:rsidP="006F4E68">
      <w:pPr>
        <w:spacing w:line="360" w:lineRule="auto"/>
        <w:rPr>
          <w:rFonts w:ascii="Arial" w:hAnsi="Arial" w:cs="Arial"/>
          <w:sz w:val="22"/>
          <w:szCs w:val="22"/>
        </w:rPr>
      </w:pPr>
    </w:p>
    <w:p w14:paraId="0DEBA374" w14:textId="4CCD78F3"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Department of Health and Social Care (2025). Health and Care Act 2022. [online] GOV.UK. Available at: </w:t>
      </w:r>
      <w:hyperlink r:id="rId11" w:history="1">
        <w:r w:rsidRPr="006F4E68">
          <w:rPr>
            <w:rStyle w:val="Hyperlink"/>
            <w:rFonts w:ascii="Arial" w:hAnsi="Arial" w:cs="Arial"/>
            <w:sz w:val="22"/>
            <w:szCs w:val="22"/>
          </w:rPr>
          <w:t>https://www.gov.uk/government/collections/health-and-care-act-2022</w:t>
        </w:r>
      </w:hyperlink>
      <w:r w:rsidRPr="006F4E68">
        <w:rPr>
          <w:rFonts w:ascii="Arial" w:hAnsi="Arial" w:cs="Arial"/>
          <w:sz w:val="22"/>
          <w:szCs w:val="22"/>
        </w:rPr>
        <w:t xml:space="preserve"> </w:t>
      </w:r>
      <w:r w:rsidRPr="006F4E68">
        <w:rPr>
          <w:rFonts w:ascii="Arial" w:hAnsi="Arial" w:cs="Arial"/>
          <w:sz w:val="22"/>
          <w:szCs w:val="22"/>
        </w:rPr>
        <w:t>(Accessed: 24 March 2026).</w:t>
      </w:r>
    </w:p>
    <w:p w14:paraId="23EA560F" w14:textId="77777777" w:rsidR="003A3C75" w:rsidRPr="006F4E68" w:rsidRDefault="003A3C75" w:rsidP="006F4E68">
      <w:pPr>
        <w:spacing w:line="360" w:lineRule="auto"/>
        <w:rPr>
          <w:rFonts w:ascii="Arial" w:hAnsi="Arial" w:cs="Arial"/>
          <w:sz w:val="22"/>
          <w:szCs w:val="22"/>
        </w:rPr>
      </w:pPr>
    </w:p>
    <w:p w14:paraId="09E57928" w14:textId="6E726B2A"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Ewuoso, C., Hall, S. and Dierickx, K. (2021). How do healthcare professionals respond to ethical challenges regarding information management? A review of empirical studies. Global Bioethics, [online] 32(1), pp.67–84. Available at: </w:t>
      </w:r>
      <w:hyperlink r:id="rId12" w:history="1">
        <w:r w:rsidRPr="006F4E68">
          <w:rPr>
            <w:rStyle w:val="Hyperlink"/>
            <w:rFonts w:ascii="Arial" w:hAnsi="Arial" w:cs="Arial"/>
            <w:sz w:val="22"/>
            <w:szCs w:val="22"/>
          </w:rPr>
          <w:t>https://pmc.ncbi.nlm.nih.gov/articles/PMC8023626/</w:t>
        </w:r>
      </w:hyperlink>
      <w:r w:rsidRPr="006F4E68">
        <w:rPr>
          <w:rFonts w:ascii="Arial" w:hAnsi="Arial" w:cs="Arial"/>
          <w:sz w:val="22"/>
          <w:szCs w:val="22"/>
        </w:rPr>
        <w:t xml:space="preserve"> </w:t>
      </w:r>
      <w:r w:rsidRPr="006F4E68">
        <w:rPr>
          <w:rFonts w:ascii="Arial" w:hAnsi="Arial" w:cs="Arial"/>
          <w:sz w:val="22"/>
          <w:szCs w:val="22"/>
        </w:rPr>
        <w:t>(Accessed: 24 March 2026).</w:t>
      </w:r>
    </w:p>
    <w:p w14:paraId="4365A44F" w14:textId="77777777" w:rsidR="003A3C75" w:rsidRPr="006F4E68" w:rsidRDefault="003A3C75" w:rsidP="006F4E68">
      <w:pPr>
        <w:spacing w:line="360" w:lineRule="auto"/>
        <w:rPr>
          <w:rFonts w:ascii="Arial" w:hAnsi="Arial" w:cs="Arial"/>
          <w:sz w:val="22"/>
          <w:szCs w:val="22"/>
        </w:rPr>
      </w:pPr>
    </w:p>
    <w:p w14:paraId="6F884361" w14:textId="108C414D"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Glasby, J., Dickinson, H. and Miller, R. (2011). Partnership working in England—where we are now and where we’ve come from. International Journal of Integrated Care, [online] 11(5). Available at: </w:t>
      </w:r>
      <w:hyperlink r:id="rId13" w:history="1">
        <w:r w:rsidR="006F4E68" w:rsidRPr="006F4E68">
          <w:rPr>
            <w:rStyle w:val="Hyperlink"/>
            <w:rFonts w:ascii="Arial" w:hAnsi="Arial" w:cs="Arial"/>
            <w:sz w:val="22"/>
            <w:szCs w:val="22"/>
          </w:rPr>
          <w:t>https://doi.org/10.5334/ijic.545</w:t>
        </w:r>
      </w:hyperlink>
      <w:r w:rsidR="006F4E68" w:rsidRPr="006F4E68">
        <w:rPr>
          <w:rFonts w:ascii="Arial" w:hAnsi="Arial" w:cs="Arial"/>
          <w:sz w:val="22"/>
          <w:szCs w:val="22"/>
        </w:rPr>
        <w:t xml:space="preserve"> </w:t>
      </w:r>
      <w:r w:rsidRPr="006F4E68">
        <w:rPr>
          <w:rFonts w:ascii="Arial" w:hAnsi="Arial" w:cs="Arial"/>
          <w:sz w:val="22"/>
          <w:szCs w:val="22"/>
        </w:rPr>
        <w:t>(Accessed: 24 March 2026).</w:t>
      </w:r>
    </w:p>
    <w:p w14:paraId="598DC757" w14:textId="77777777" w:rsidR="003A3C75" w:rsidRPr="006F4E68" w:rsidRDefault="003A3C75" w:rsidP="006F4E68">
      <w:pPr>
        <w:spacing w:line="360" w:lineRule="auto"/>
        <w:rPr>
          <w:rFonts w:ascii="Arial" w:hAnsi="Arial" w:cs="Arial"/>
          <w:sz w:val="22"/>
          <w:szCs w:val="22"/>
        </w:rPr>
      </w:pPr>
    </w:p>
    <w:p w14:paraId="4017A13A" w14:textId="2EAD2614"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GOV.UK (2013). Equality Act 2010. [online] GOV.UK. Available at: </w:t>
      </w:r>
      <w:hyperlink r:id="rId14" w:history="1">
        <w:r w:rsidR="006F4E68" w:rsidRPr="006F4E68">
          <w:rPr>
            <w:rStyle w:val="Hyperlink"/>
            <w:rFonts w:ascii="Arial" w:hAnsi="Arial" w:cs="Arial"/>
            <w:sz w:val="22"/>
            <w:szCs w:val="22"/>
          </w:rPr>
          <w:t>https://www.gov.uk/guidance/equality-act-2010-guidance</w:t>
        </w:r>
      </w:hyperlink>
      <w:r w:rsidR="006F4E68" w:rsidRPr="006F4E68">
        <w:rPr>
          <w:rFonts w:ascii="Arial" w:hAnsi="Arial" w:cs="Arial"/>
          <w:sz w:val="22"/>
          <w:szCs w:val="22"/>
        </w:rPr>
        <w:t xml:space="preserve"> </w:t>
      </w:r>
      <w:r w:rsidRPr="006F4E68">
        <w:rPr>
          <w:rFonts w:ascii="Arial" w:hAnsi="Arial" w:cs="Arial"/>
          <w:sz w:val="22"/>
          <w:szCs w:val="22"/>
        </w:rPr>
        <w:t>(Accessed: 24 March 2026).</w:t>
      </w:r>
    </w:p>
    <w:p w14:paraId="6590F1E1" w14:textId="77777777" w:rsidR="003A3C75" w:rsidRPr="006F4E68" w:rsidRDefault="003A3C75" w:rsidP="006F4E68">
      <w:pPr>
        <w:spacing w:line="360" w:lineRule="auto"/>
        <w:rPr>
          <w:rFonts w:ascii="Arial" w:hAnsi="Arial" w:cs="Arial"/>
          <w:sz w:val="22"/>
          <w:szCs w:val="22"/>
        </w:rPr>
      </w:pPr>
    </w:p>
    <w:p w14:paraId="76842BF5" w14:textId="674DA8DA"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Howarth, N. (2025). The Role of a Person-Centred Approach in Effective Care Planning. [online] Aria Care. Available at: </w:t>
      </w:r>
      <w:hyperlink r:id="rId15" w:history="1">
        <w:r w:rsidRPr="006F4E68">
          <w:rPr>
            <w:rStyle w:val="Hyperlink"/>
            <w:rFonts w:ascii="Arial" w:hAnsi="Arial" w:cs="Arial"/>
            <w:sz w:val="22"/>
            <w:szCs w:val="22"/>
          </w:rPr>
          <w:t>https://www.ariacare.co.uk/knowledge-hub/the-role-of-a-person-centred-approach-in-effective-care-planning/</w:t>
        </w:r>
      </w:hyperlink>
      <w:r w:rsidRPr="006F4E68">
        <w:rPr>
          <w:rFonts w:ascii="Arial" w:hAnsi="Arial" w:cs="Arial"/>
          <w:sz w:val="22"/>
          <w:szCs w:val="22"/>
        </w:rPr>
        <w:t xml:space="preserve"> </w:t>
      </w:r>
      <w:r w:rsidRPr="006F4E68">
        <w:rPr>
          <w:rFonts w:ascii="Arial" w:hAnsi="Arial" w:cs="Arial"/>
          <w:sz w:val="22"/>
          <w:szCs w:val="22"/>
        </w:rPr>
        <w:t>(Accessed: 24 March 2026).</w:t>
      </w:r>
    </w:p>
    <w:p w14:paraId="47974F8A" w14:textId="77777777" w:rsidR="003A3C75" w:rsidRPr="006F4E68" w:rsidRDefault="003A3C75" w:rsidP="006F4E68">
      <w:pPr>
        <w:spacing w:line="360" w:lineRule="auto"/>
        <w:rPr>
          <w:rFonts w:ascii="Arial" w:hAnsi="Arial" w:cs="Arial"/>
          <w:sz w:val="22"/>
          <w:szCs w:val="22"/>
        </w:rPr>
      </w:pPr>
    </w:p>
    <w:p w14:paraId="4A624CF6" w14:textId="5A01AA53"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Human Rights Act (1998). Human Rights Act 1998. [online] Legislation.gov.uk. Available at: </w:t>
      </w:r>
      <w:hyperlink r:id="rId16" w:history="1">
        <w:r w:rsidRPr="006F4E68">
          <w:rPr>
            <w:rStyle w:val="Hyperlink"/>
            <w:rFonts w:ascii="Arial" w:hAnsi="Arial" w:cs="Arial"/>
            <w:sz w:val="22"/>
            <w:szCs w:val="22"/>
          </w:rPr>
          <w:t>https://www.legislation.gov.uk/ukpga/1998/42/contents</w:t>
        </w:r>
      </w:hyperlink>
      <w:r w:rsidRPr="006F4E68">
        <w:rPr>
          <w:rFonts w:ascii="Arial" w:hAnsi="Arial" w:cs="Arial"/>
          <w:sz w:val="22"/>
          <w:szCs w:val="22"/>
        </w:rPr>
        <w:t xml:space="preserve"> </w:t>
      </w:r>
      <w:r w:rsidRPr="006F4E68">
        <w:rPr>
          <w:rFonts w:ascii="Arial" w:hAnsi="Arial" w:cs="Arial"/>
          <w:sz w:val="22"/>
          <w:szCs w:val="22"/>
        </w:rPr>
        <w:t>(Accessed: 24 March 2026).</w:t>
      </w:r>
    </w:p>
    <w:p w14:paraId="01E8559F" w14:textId="77777777" w:rsidR="003A3C75" w:rsidRPr="006F4E68" w:rsidRDefault="003A3C75" w:rsidP="006F4E68">
      <w:pPr>
        <w:spacing w:line="360" w:lineRule="auto"/>
        <w:rPr>
          <w:rFonts w:ascii="Arial" w:hAnsi="Arial" w:cs="Arial"/>
          <w:sz w:val="22"/>
          <w:szCs w:val="22"/>
        </w:rPr>
      </w:pPr>
    </w:p>
    <w:p w14:paraId="36801C23" w14:textId="61AB40F8"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Hut-Mossel, L., Ahaus, K., Welker, G. and Gans, R. (2021). Understanding how and why audits work in improving the quality of hospital care: A systematic realist review. </w:t>
      </w:r>
      <w:proofErr w:type="spellStart"/>
      <w:r w:rsidRPr="006F4E68">
        <w:rPr>
          <w:rFonts w:ascii="Arial" w:hAnsi="Arial" w:cs="Arial"/>
          <w:sz w:val="22"/>
          <w:szCs w:val="22"/>
        </w:rPr>
        <w:t>PLoS</w:t>
      </w:r>
      <w:proofErr w:type="spellEnd"/>
      <w:r w:rsidRPr="006F4E68">
        <w:rPr>
          <w:rFonts w:ascii="Arial" w:hAnsi="Arial" w:cs="Arial"/>
          <w:sz w:val="22"/>
          <w:szCs w:val="22"/>
        </w:rPr>
        <w:t xml:space="preserve"> ONE, 16(3), pp.1–25. Available at: </w:t>
      </w:r>
      <w:hyperlink r:id="rId17" w:history="1">
        <w:r w:rsidRPr="006F4E68">
          <w:rPr>
            <w:rStyle w:val="Hyperlink"/>
            <w:rFonts w:ascii="Arial" w:hAnsi="Arial" w:cs="Arial"/>
            <w:sz w:val="22"/>
            <w:szCs w:val="22"/>
          </w:rPr>
          <w:t>https://doi.org/10.1371/journal.pone.0248677</w:t>
        </w:r>
      </w:hyperlink>
      <w:r w:rsidRPr="006F4E68">
        <w:rPr>
          <w:rFonts w:ascii="Arial" w:hAnsi="Arial" w:cs="Arial"/>
          <w:sz w:val="22"/>
          <w:szCs w:val="22"/>
        </w:rPr>
        <w:t xml:space="preserve"> </w:t>
      </w:r>
      <w:r w:rsidRPr="006F4E68">
        <w:rPr>
          <w:rFonts w:ascii="Arial" w:hAnsi="Arial" w:cs="Arial"/>
          <w:sz w:val="22"/>
          <w:szCs w:val="22"/>
        </w:rPr>
        <w:t>(Accessed: 24 March 2026).</w:t>
      </w:r>
    </w:p>
    <w:p w14:paraId="6BC43B7C" w14:textId="77777777" w:rsidR="003A3C75" w:rsidRPr="006F4E68" w:rsidRDefault="003A3C75" w:rsidP="006F4E68">
      <w:pPr>
        <w:spacing w:line="360" w:lineRule="auto"/>
        <w:rPr>
          <w:rFonts w:ascii="Arial" w:hAnsi="Arial" w:cs="Arial"/>
          <w:sz w:val="22"/>
          <w:szCs w:val="22"/>
        </w:rPr>
      </w:pPr>
    </w:p>
    <w:p w14:paraId="263529AC" w14:textId="2C1D5A04"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Krist, A.H., Tong, S.T., Aycock, R.A. and Longo, D.R. (2020). Engaging Patients in decision-making and </w:t>
      </w:r>
      <w:proofErr w:type="spellStart"/>
      <w:r w:rsidRPr="006F4E68">
        <w:rPr>
          <w:rFonts w:ascii="Arial" w:hAnsi="Arial" w:cs="Arial"/>
          <w:sz w:val="22"/>
          <w:szCs w:val="22"/>
        </w:rPr>
        <w:t>Behavior</w:t>
      </w:r>
      <w:proofErr w:type="spellEnd"/>
      <w:r w:rsidRPr="006F4E68">
        <w:rPr>
          <w:rFonts w:ascii="Arial" w:hAnsi="Arial" w:cs="Arial"/>
          <w:sz w:val="22"/>
          <w:szCs w:val="22"/>
        </w:rPr>
        <w:t xml:space="preserve"> Change to Promote Prevention. Studies in Health Technology and Informatics, [online] 240, p.284. Available at: </w:t>
      </w:r>
      <w:hyperlink r:id="rId18" w:history="1">
        <w:r w:rsidRPr="006F4E68">
          <w:rPr>
            <w:rStyle w:val="Hyperlink"/>
            <w:rFonts w:ascii="Arial" w:hAnsi="Arial" w:cs="Arial"/>
            <w:sz w:val="22"/>
            <w:szCs w:val="22"/>
          </w:rPr>
          <w:t>https://pmc.ncbi.nlm.nih.gov/articles/PMC6996004</w:t>
        </w:r>
        <w:r w:rsidRPr="006F4E68">
          <w:rPr>
            <w:rStyle w:val="Hyperlink"/>
            <w:rFonts w:ascii="Arial" w:hAnsi="Arial" w:cs="Arial"/>
            <w:sz w:val="22"/>
            <w:szCs w:val="22"/>
          </w:rPr>
          <w:t>/</w:t>
        </w:r>
      </w:hyperlink>
      <w:r w:rsidRPr="006F4E68">
        <w:rPr>
          <w:rFonts w:ascii="Arial" w:hAnsi="Arial" w:cs="Arial"/>
          <w:sz w:val="22"/>
          <w:szCs w:val="22"/>
        </w:rPr>
        <w:t xml:space="preserve"> </w:t>
      </w:r>
      <w:r w:rsidRPr="006F4E68">
        <w:rPr>
          <w:rFonts w:ascii="Arial" w:hAnsi="Arial" w:cs="Arial"/>
          <w:sz w:val="22"/>
          <w:szCs w:val="22"/>
        </w:rPr>
        <w:t>(Accessed: 24 March 2026).</w:t>
      </w:r>
    </w:p>
    <w:p w14:paraId="608C79B5" w14:textId="77777777" w:rsidR="003A3C75" w:rsidRPr="006F4E68" w:rsidRDefault="003A3C75" w:rsidP="006F4E68">
      <w:pPr>
        <w:spacing w:line="360" w:lineRule="auto"/>
        <w:rPr>
          <w:rFonts w:ascii="Arial" w:hAnsi="Arial" w:cs="Arial"/>
          <w:sz w:val="22"/>
          <w:szCs w:val="22"/>
        </w:rPr>
      </w:pPr>
    </w:p>
    <w:p w14:paraId="35E264FD" w14:textId="7FEEC158"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Moore, L., Britten, N., Lydahl, D., </w:t>
      </w:r>
      <w:proofErr w:type="spellStart"/>
      <w:r w:rsidRPr="006F4E68">
        <w:rPr>
          <w:rFonts w:ascii="Arial" w:hAnsi="Arial" w:cs="Arial"/>
          <w:sz w:val="22"/>
          <w:szCs w:val="22"/>
        </w:rPr>
        <w:t>Naldemirci</w:t>
      </w:r>
      <w:proofErr w:type="spellEnd"/>
      <w:r w:rsidRPr="006F4E68">
        <w:rPr>
          <w:rFonts w:ascii="Arial" w:hAnsi="Arial" w:cs="Arial"/>
          <w:sz w:val="22"/>
          <w:szCs w:val="22"/>
        </w:rPr>
        <w:t xml:space="preserve">, Ö., Elam, M. and Wolf, A. (2017). Barriers and Facilitators to the Implementation of Person-Centred Care in Different Healthcare Contexts. Scandinavian Journal of Caring Sciences, 31(4), pp.662–673. Available at: </w:t>
      </w:r>
      <w:hyperlink r:id="rId19" w:history="1">
        <w:r w:rsidRPr="006F4E68">
          <w:rPr>
            <w:rStyle w:val="Hyperlink"/>
            <w:rFonts w:ascii="Arial" w:hAnsi="Arial" w:cs="Arial"/>
            <w:sz w:val="22"/>
            <w:szCs w:val="22"/>
          </w:rPr>
          <w:t>https://doi.org/10.1111/scs.12376</w:t>
        </w:r>
      </w:hyperlink>
      <w:r w:rsidRPr="006F4E68">
        <w:rPr>
          <w:rFonts w:ascii="Arial" w:hAnsi="Arial" w:cs="Arial"/>
          <w:sz w:val="22"/>
          <w:szCs w:val="22"/>
        </w:rPr>
        <w:t xml:space="preserve"> </w:t>
      </w:r>
      <w:r w:rsidRPr="006F4E68">
        <w:rPr>
          <w:rFonts w:ascii="Arial" w:hAnsi="Arial" w:cs="Arial"/>
          <w:sz w:val="22"/>
          <w:szCs w:val="22"/>
        </w:rPr>
        <w:t>(Accessed: 24 March 2026).</w:t>
      </w:r>
    </w:p>
    <w:p w14:paraId="49491ECB" w14:textId="77777777" w:rsidR="003A3C75" w:rsidRPr="006F4E68" w:rsidRDefault="003A3C75" w:rsidP="006F4E68">
      <w:pPr>
        <w:spacing w:line="360" w:lineRule="auto"/>
        <w:rPr>
          <w:rFonts w:ascii="Arial" w:hAnsi="Arial" w:cs="Arial"/>
          <w:sz w:val="22"/>
          <w:szCs w:val="22"/>
        </w:rPr>
      </w:pPr>
    </w:p>
    <w:p w14:paraId="27BB9976" w14:textId="77777777" w:rsidR="006F4E68"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NHS England (2024). Person-centred Care. [online] NHS England. Available at: </w:t>
      </w:r>
      <w:hyperlink r:id="rId20" w:history="1">
        <w:r w:rsidR="006F4E68" w:rsidRPr="006F4E68">
          <w:rPr>
            <w:rStyle w:val="Hyperlink"/>
            <w:rFonts w:ascii="Arial" w:hAnsi="Arial" w:cs="Arial"/>
            <w:sz w:val="22"/>
            <w:szCs w:val="22"/>
          </w:rPr>
          <w:t>https://www.hee.nhs.uk/our-work/person-centred-care</w:t>
        </w:r>
      </w:hyperlink>
      <w:r w:rsidR="006F4E68" w:rsidRPr="006F4E68">
        <w:rPr>
          <w:rFonts w:ascii="Arial" w:hAnsi="Arial" w:cs="Arial"/>
          <w:sz w:val="22"/>
          <w:szCs w:val="22"/>
        </w:rPr>
        <w:t xml:space="preserve"> </w:t>
      </w:r>
      <w:r w:rsidRPr="006F4E68">
        <w:rPr>
          <w:rFonts w:ascii="Arial" w:hAnsi="Arial" w:cs="Arial"/>
          <w:sz w:val="22"/>
          <w:szCs w:val="22"/>
        </w:rPr>
        <w:t>(Accessed: 24 March 2026).</w:t>
      </w:r>
      <w:r w:rsidR="006F4E68" w:rsidRPr="006F4E68">
        <w:rPr>
          <w:rFonts w:ascii="Arial" w:hAnsi="Arial" w:cs="Arial"/>
          <w:sz w:val="22"/>
          <w:szCs w:val="22"/>
        </w:rPr>
        <w:t xml:space="preserve"> </w:t>
      </w:r>
    </w:p>
    <w:p w14:paraId="0ACD8CA4" w14:textId="77777777" w:rsidR="006F4E68" w:rsidRPr="006F4E68" w:rsidRDefault="006F4E68" w:rsidP="006F4E68">
      <w:pPr>
        <w:spacing w:line="360" w:lineRule="auto"/>
        <w:rPr>
          <w:rFonts w:ascii="Arial" w:hAnsi="Arial" w:cs="Arial"/>
          <w:sz w:val="22"/>
          <w:szCs w:val="22"/>
        </w:rPr>
      </w:pPr>
    </w:p>
    <w:p w14:paraId="4CD6748D" w14:textId="3CC27349" w:rsidR="006F4E68" w:rsidRPr="006F4E68" w:rsidRDefault="006F4E68" w:rsidP="006F4E68">
      <w:pPr>
        <w:spacing w:line="360" w:lineRule="auto"/>
        <w:rPr>
          <w:rFonts w:ascii="Arial" w:hAnsi="Arial" w:cs="Arial"/>
          <w:sz w:val="22"/>
          <w:szCs w:val="22"/>
        </w:rPr>
      </w:pPr>
      <w:r w:rsidRPr="006F4E68">
        <w:rPr>
          <w:rFonts w:ascii="Arial" w:hAnsi="Arial" w:cs="Arial"/>
          <w:sz w:val="22"/>
          <w:szCs w:val="22"/>
        </w:rPr>
        <w:lastRenderedPageBreak/>
        <w:t xml:space="preserve">Prior, S.J. and Campbell, S. (2018). Patient and family involvement: a discussion of co-led redesign of healthcare services. Journal of Participatory Medicine, [online] 10(1). </w:t>
      </w:r>
      <w:r w:rsidRPr="006F4E68">
        <w:rPr>
          <w:rFonts w:ascii="Arial" w:hAnsi="Arial" w:cs="Arial"/>
          <w:sz w:val="22"/>
          <w:szCs w:val="22"/>
        </w:rPr>
        <w:t xml:space="preserve">Doi: </w:t>
      </w:r>
      <w:hyperlink r:id="rId21" w:history="1">
        <w:r w:rsidRPr="006F4E68">
          <w:rPr>
            <w:rStyle w:val="Hyperlink"/>
            <w:rFonts w:ascii="Arial" w:hAnsi="Arial" w:cs="Arial"/>
            <w:sz w:val="22"/>
            <w:szCs w:val="22"/>
          </w:rPr>
          <w:t>HTTPs</w:t>
        </w:r>
        <w:r w:rsidRPr="006F4E68">
          <w:rPr>
            <w:rStyle w:val="Hyperlink"/>
            <w:rFonts w:ascii="Arial" w:hAnsi="Arial" w:cs="Arial"/>
            <w:sz w:val="22"/>
            <w:szCs w:val="22"/>
          </w:rPr>
          <w:t>://doi.org/10.2196/jopm.8957</w:t>
        </w:r>
      </w:hyperlink>
      <w:r w:rsidRPr="006F4E68">
        <w:rPr>
          <w:rFonts w:ascii="Arial" w:hAnsi="Arial" w:cs="Arial"/>
          <w:sz w:val="22"/>
          <w:szCs w:val="22"/>
        </w:rPr>
        <w:t xml:space="preserve"> </w:t>
      </w:r>
      <w:r w:rsidRPr="006F4E68">
        <w:rPr>
          <w:rFonts w:ascii="Arial" w:hAnsi="Arial" w:cs="Arial"/>
          <w:sz w:val="22"/>
          <w:szCs w:val="22"/>
        </w:rPr>
        <w:t>(Accessed: 24 March 2026).</w:t>
      </w:r>
    </w:p>
    <w:p w14:paraId="26462040" w14:textId="77777777" w:rsidR="006F4E68" w:rsidRPr="006F4E68" w:rsidRDefault="006F4E68" w:rsidP="006F4E68">
      <w:pPr>
        <w:spacing w:line="360" w:lineRule="auto"/>
        <w:rPr>
          <w:rFonts w:ascii="Arial" w:hAnsi="Arial" w:cs="Arial"/>
          <w:sz w:val="22"/>
          <w:szCs w:val="22"/>
        </w:rPr>
      </w:pPr>
    </w:p>
    <w:p w14:paraId="5A422B93" w14:textId="39351CED" w:rsidR="006F4E68" w:rsidRPr="006F4E68" w:rsidRDefault="006F4E68" w:rsidP="006F4E68">
      <w:pPr>
        <w:spacing w:line="360" w:lineRule="auto"/>
        <w:rPr>
          <w:rFonts w:ascii="Arial" w:hAnsi="Arial" w:cs="Arial"/>
          <w:sz w:val="22"/>
          <w:szCs w:val="22"/>
        </w:rPr>
      </w:pPr>
      <w:r w:rsidRPr="006F4E68">
        <w:rPr>
          <w:rFonts w:ascii="Arial" w:hAnsi="Arial" w:cs="Arial"/>
          <w:sz w:val="22"/>
          <w:szCs w:val="22"/>
        </w:rPr>
        <w:t xml:space="preserve">Quinn, M., Forman, J., Harrod, M., Winter, S., Fowler, K.E., Krein, S.L., Gupta, A., Saint, S., Singh, H. and Chopra, V. (2020). Electronic health records, communication, and data sharing: Challenges and opportunities for improving the diagnostic process. Diagnosis, 6(3), pp.241–248. </w:t>
      </w:r>
      <w:r w:rsidRPr="006F4E68">
        <w:rPr>
          <w:rFonts w:ascii="Arial" w:hAnsi="Arial" w:cs="Arial"/>
          <w:sz w:val="22"/>
          <w:szCs w:val="22"/>
        </w:rPr>
        <w:t xml:space="preserve">Doi: </w:t>
      </w:r>
      <w:hyperlink r:id="rId22" w:history="1">
        <w:r w:rsidRPr="006F4E68">
          <w:rPr>
            <w:rStyle w:val="Hyperlink"/>
            <w:rFonts w:ascii="Arial" w:hAnsi="Arial" w:cs="Arial"/>
            <w:sz w:val="22"/>
            <w:szCs w:val="22"/>
          </w:rPr>
          <w:t>HTTPs</w:t>
        </w:r>
        <w:r w:rsidRPr="006F4E68">
          <w:rPr>
            <w:rStyle w:val="Hyperlink"/>
            <w:rFonts w:ascii="Arial" w:hAnsi="Arial" w:cs="Arial"/>
            <w:sz w:val="22"/>
            <w:szCs w:val="22"/>
          </w:rPr>
          <w:t>://doi.org/10.1515/dx-2018-0036</w:t>
        </w:r>
      </w:hyperlink>
      <w:r w:rsidRPr="006F4E68">
        <w:rPr>
          <w:rFonts w:ascii="Arial" w:hAnsi="Arial" w:cs="Arial"/>
          <w:sz w:val="22"/>
          <w:szCs w:val="22"/>
        </w:rPr>
        <w:t xml:space="preserve"> </w:t>
      </w:r>
      <w:r w:rsidRPr="006F4E68">
        <w:rPr>
          <w:rFonts w:ascii="Arial" w:hAnsi="Arial" w:cs="Arial"/>
          <w:sz w:val="22"/>
          <w:szCs w:val="22"/>
        </w:rPr>
        <w:t>(Accessed: 24 March 2026).</w:t>
      </w:r>
    </w:p>
    <w:p w14:paraId="7820E552" w14:textId="77777777" w:rsidR="006F4E68" w:rsidRPr="006F4E68" w:rsidRDefault="006F4E68" w:rsidP="006F4E68">
      <w:pPr>
        <w:spacing w:line="360" w:lineRule="auto"/>
        <w:rPr>
          <w:rFonts w:ascii="Arial" w:hAnsi="Arial" w:cs="Arial"/>
          <w:sz w:val="22"/>
          <w:szCs w:val="22"/>
        </w:rPr>
      </w:pPr>
    </w:p>
    <w:p w14:paraId="4CDBD459" w14:textId="48CE5FF5" w:rsidR="003A3C75" w:rsidRPr="006F4E68" w:rsidRDefault="006F4E68" w:rsidP="006F4E68">
      <w:pPr>
        <w:spacing w:line="360" w:lineRule="auto"/>
        <w:rPr>
          <w:rFonts w:ascii="Arial" w:hAnsi="Arial" w:cs="Arial"/>
          <w:sz w:val="22"/>
          <w:szCs w:val="22"/>
        </w:rPr>
      </w:pPr>
      <w:r w:rsidRPr="006F4E68">
        <w:rPr>
          <w:rFonts w:ascii="Arial" w:hAnsi="Arial" w:cs="Arial"/>
          <w:sz w:val="22"/>
          <w:szCs w:val="22"/>
        </w:rPr>
        <w:t xml:space="preserve">Santana, M.-J., Manalili, K., Zelinsky, S., Brien, S., Gibbons, E., King, J., Frank, L., Wallström, S., Fairie, P., Leeb, K., Quan, H. and Sawatzky, R. (2020). Improving the quality of person-centred healthcare from the patient perspective: development of person-centred quality indicators. BMJ Open, 10(10), p.e037323. </w:t>
      </w:r>
      <w:r w:rsidRPr="006F4E68">
        <w:rPr>
          <w:rFonts w:ascii="Arial" w:hAnsi="Arial" w:cs="Arial"/>
          <w:sz w:val="22"/>
          <w:szCs w:val="22"/>
        </w:rPr>
        <w:t xml:space="preserve">Doi: </w:t>
      </w:r>
      <w:hyperlink r:id="rId23" w:history="1">
        <w:r w:rsidRPr="006F4E68">
          <w:rPr>
            <w:rStyle w:val="Hyperlink"/>
            <w:rFonts w:ascii="Arial" w:hAnsi="Arial" w:cs="Arial"/>
            <w:sz w:val="22"/>
            <w:szCs w:val="22"/>
          </w:rPr>
          <w:t>HTTPs</w:t>
        </w:r>
        <w:r w:rsidRPr="006F4E68">
          <w:rPr>
            <w:rStyle w:val="Hyperlink"/>
            <w:rFonts w:ascii="Arial" w:hAnsi="Arial" w:cs="Arial"/>
            <w:sz w:val="22"/>
            <w:szCs w:val="22"/>
          </w:rPr>
          <w:t>://doi.org/10.1136/bmjopen-2020-037323</w:t>
        </w:r>
      </w:hyperlink>
      <w:r w:rsidRPr="006F4E68">
        <w:rPr>
          <w:rFonts w:ascii="Arial" w:hAnsi="Arial" w:cs="Arial"/>
          <w:sz w:val="22"/>
          <w:szCs w:val="22"/>
        </w:rPr>
        <w:t xml:space="preserve"> </w:t>
      </w:r>
      <w:r w:rsidRPr="006F4E68">
        <w:rPr>
          <w:rFonts w:ascii="Arial" w:hAnsi="Arial" w:cs="Arial"/>
          <w:sz w:val="22"/>
          <w:szCs w:val="22"/>
        </w:rPr>
        <w:t>(Accessed: 24 March 2026).</w:t>
      </w:r>
    </w:p>
    <w:p w14:paraId="7EFE8773" w14:textId="77777777" w:rsidR="006F4E68" w:rsidRPr="006F4E68" w:rsidRDefault="006F4E68" w:rsidP="006F4E68">
      <w:pPr>
        <w:spacing w:line="360" w:lineRule="auto"/>
        <w:rPr>
          <w:rFonts w:ascii="Arial" w:hAnsi="Arial" w:cs="Arial"/>
          <w:sz w:val="22"/>
          <w:szCs w:val="22"/>
        </w:rPr>
      </w:pPr>
    </w:p>
    <w:p w14:paraId="5D8482F5" w14:textId="020EE4C8"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Scarlett, A. (2026). What Is Partnership Working In Health And Social Care? [online] Royal Open College. Available at: </w:t>
      </w:r>
      <w:hyperlink r:id="rId24" w:history="1">
        <w:r w:rsidRPr="006F4E68">
          <w:rPr>
            <w:rStyle w:val="Hyperlink"/>
            <w:rFonts w:ascii="Arial" w:hAnsi="Arial" w:cs="Arial"/>
            <w:sz w:val="22"/>
            <w:szCs w:val="22"/>
          </w:rPr>
          <w:t>https://royalopencollege.org/blog/health-and-social-care/what-is-partnership-working-in-health-and-social-care/</w:t>
        </w:r>
      </w:hyperlink>
      <w:r w:rsidRPr="006F4E68">
        <w:rPr>
          <w:rFonts w:ascii="Arial" w:hAnsi="Arial" w:cs="Arial"/>
          <w:sz w:val="22"/>
          <w:szCs w:val="22"/>
        </w:rPr>
        <w:t xml:space="preserve"> </w:t>
      </w:r>
      <w:r w:rsidRPr="006F4E68">
        <w:rPr>
          <w:rFonts w:ascii="Arial" w:hAnsi="Arial" w:cs="Arial"/>
          <w:sz w:val="22"/>
          <w:szCs w:val="22"/>
        </w:rPr>
        <w:t>(Accessed: 24 March 2026).</w:t>
      </w:r>
    </w:p>
    <w:p w14:paraId="3FA0E884" w14:textId="77777777" w:rsidR="003A3C75" w:rsidRPr="006F4E68" w:rsidRDefault="003A3C75" w:rsidP="006F4E68">
      <w:pPr>
        <w:spacing w:line="360" w:lineRule="auto"/>
        <w:rPr>
          <w:rFonts w:ascii="Arial" w:hAnsi="Arial" w:cs="Arial"/>
          <w:sz w:val="22"/>
          <w:szCs w:val="22"/>
        </w:rPr>
      </w:pPr>
    </w:p>
    <w:p w14:paraId="24E9152C" w14:textId="1F76F5B0" w:rsidR="003A3C75"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Sung, T.-C. and Hsu, H.-C. (2025). Improving Critical Care Teamwork: Simulation-Based Interprofessional Training for Enhanced Communication and Safety. Journal of Multidisciplinary Healthcare, 18, pp.355–367. Available at: </w:t>
      </w:r>
      <w:hyperlink r:id="rId25" w:history="1">
        <w:r w:rsidRPr="006F4E68">
          <w:rPr>
            <w:rStyle w:val="Hyperlink"/>
            <w:rFonts w:ascii="Arial" w:hAnsi="Arial" w:cs="Arial"/>
            <w:sz w:val="22"/>
            <w:szCs w:val="22"/>
          </w:rPr>
          <w:t>https://doi.org/10.2147/jmdh.s500890</w:t>
        </w:r>
      </w:hyperlink>
      <w:r w:rsidRPr="006F4E68">
        <w:rPr>
          <w:rFonts w:ascii="Arial" w:hAnsi="Arial" w:cs="Arial"/>
          <w:sz w:val="22"/>
          <w:szCs w:val="22"/>
        </w:rPr>
        <w:t xml:space="preserve"> </w:t>
      </w:r>
      <w:r w:rsidRPr="006F4E68">
        <w:rPr>
          <w:rFonts w:ascii="Arial" w:hAnsi="Arial" w:cs="Arial"/>
          <w:sz w:val="22"/>
          <w:szCs w:val="22"/>
        </w:rPr>
        <w:t>(Accessed: 24 March 2026).</w:t>
      </w:r>
    </w:p>
    <w:p w14:paraId="1CDE021E" w14:textId="77777777" w:rsidR="003A3C75" w:rsidRPr="006F4E68" w:rsidRDefault="003A3C75" w:rsidP="006F4E68">
      <w:pPr>
        <w:spacing w:line="360" w:lineRule="auto"/>
        <w:rPr>
          <w:rFonts w:ascii="Arial" w:hAnsi="Arial" w:cs="Arial"/>
          <w:sz w:val="22"/>
          <w:szCs w:val="22"/>
        </w:rPr>
      </w:pPr>
    </w:p>
    <w:p w14:paraId="45BA77F4" w14:textId="16680332" w:rsidR="00F67801" w:rsidRPr="006F4E68" w:rsidRDefault="003A3C75" w:rsidP="006F4E68">
      <w:pPr>
        <w:spacing w:line="360" w:lineRule="auto"/>
        <w:rPr>
          <w:rFonts w:ascii="Arial" w:hAnsi="Arial" w:cs="Arial"/>
          <w:sz w:val="22"/>
          <w:szCs w:val="22"/>
        </w:rPr>
      </w:pPr>
      <w:r w:rsidRPr="006F4E68">
        <w:rPr>
          <w:rFonts w:ascii="Arial" w:hAnsi="Arial" w:cs="Arial"/>
          <w:sz w:val="22"/>
          <w:szCs w:val="22"/>
        </w:rPr>
        <w:t xml:space="preserve">UK Government (2012). Health and Social Care Act 2012. [online] Legislation.gov.uk. Available at: </w:t>
      </w:r>
      <w:hyperlink r:id="rId26" w:history="1">
        <w:r w:rsidRPr="006F4E68">
          <w:rPr>
            <w:rStyle w:val="Hyperlink"/>
            <w:rFonts w:ascii="Arial" w:hAnsi="Arial" w:cs="Arial"/>
            <w:sz w:val="22"/>
            <w:szCs w:val="22"/>
          </w:rPr>
          <w:t>https://www.legislation.gov.uk/ukpga/2012/7/contents</w:t>
        </w:r>
      </w:hyperlink>
      <w:r w:rsidRPr="006F4E68">
        <w:rPr>
          <w:rFonts w:ascii="Arial" w:hAnsi="Arial" w:cs="Arial"/>
          <w:sz w:val="22"/>
          <w:szCs w:val="22"/>
        </w:rPr>
        <w:t xml:space="preserve"> </w:t>
      </w:r>
      <w:r w:rsidRPr="006F4E68">
        <w:rPr>
          <w:rFonts w:ascii="Arial" w:hAnsi="Arial" w:cs="Arial"/>
          <w:sz w:val="22"/>
          <w:szCs w:val="22"/>
        </w:rPr>
        <w:t>(Accessed: 24 March 2026).</w:t>
      </w:r>
    </w:p>
    <w:sectPr w:rsidR="00F67801" w:rsidRPr="006F4E6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A3F9B" w14:textId="77777777" w:rsidR="00F62DAB" w:rsidRDefault="00F62DAB" w:rsidP="00F67801">
      <w:pPr>
        <w:spacing w:after="0" w:line="240" w:lineRule="auto"/>
      </w:pPr>
      <w:r>
        <w:separator/>
      </w:r>
    </w:p>
  </w:endnote>
  <w:endnote w:type="continuationSeparator" w:id="0">
    <w:p w14:paraId="20AC7244" w14:textId="77777777" w:rsidR="00F62DAB" w:rsidRDefault="00F62DAB" w:rsidP="00F6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6632580"/>
      <w:docPartObj>
        <w:docPartGallery w:val="Page Numbers (Bottom of Page)"/>
        <w:docPartUnique/>
      </w:docPartObj>
    </w:sdtPr>
    <w:sdtEndPr>
      <w:rPr>
        <w:noProof/>
      </w:rPr>
    </w:sdtEndPr>
    <w:sdtContent>
      <w:p w14:paraId="17B7F53B" w14:textId="7EB1DDBE" w:rsidR="00F67801" w:rsidRDefault="00F678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BBA2E0" w14:textId="77777777" w:rsidR="00F67801" w:rsidRDefault="00F67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4B97B" w14:textId="77777777" w:rsidR="00F62DAB" w:rsidRDefault="00F62DAB" w:rsidP="00F67801">
      <w:pPr>
        <w:spacing w:after="0" w:line="240" w:lineRule="auto"/>
      </w:pPr>
      <w:r>
        <w:separator/>
      </w:r>
    </w:p>
  </w:footnote>
  <w:footnote w:type="continuationSeparator" w:id="0">
    <w:p w14:paraId="509AF94F" w14:textId="77777777" w:rsidR="00F62DAB" w:rsidRDefault="00F62DAB" w:rsidP="00F67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C6888"/>
    <w:multiLevelType w:val="multilevel"/>
    <w:tmpl w:val="FCF85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B55C7"/>
    <w:multiLevelType w:val="multilevel"/>
    <w:tmpl w:val="08C4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BC706B"/>
    <w:multiLevelType w:val="multilevel"/>
    <w:tmpl w:val="2D40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819BF"/>
    <w:multiLevelType w:val="multilevel"/>
    <w:tmpl w:val="BF84A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1008CF"/>
    <w:multiLevelType w:val="multilevel"/>
    <w:tmpl w:val="1C2C3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820C9C"/>
    <w:multiLevelType w:val="multilevel"/>
    <w:tmpl w:val="03842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931C95"/>
    <w:multiLevelType w:val="multilevel"/>
    <w:tmpl w:val="7930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68222B"/>
    <w:multiLevelType w:val="multilevel"/>
    <w:tmpl w:val="15361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B535C1"/>
    <w:multiLevelType w:val="multilevel"/>
    <w:tmpl w:val="D7CAD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0E0746"/>
    <w:multiLevelType w:val="multilevel"/>
    <w:tmpl w:val="780A8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1E00A4"/>
    <w:multiLevelType w:val="multilevel"/>
    <w:tmpl w:val="84CCF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F10578"/>
    <w:multiLevelType w:val="multilevel"/>
    <w:tmpl w:val="D34C9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5680632">
    <w:abstractNumId w:val="3"/>
  </w:num>
  <w:num w:numId="2" w16cid:durableId="2014410452">
    <w:abstractNumId w:val="11"/>
  </w:num>
  <w:num w:numId="3" w16cid:durableId="1651329418">
    <w:abstractNumId w:val="10"/>
  </w:num>
  <w:num w:numId="4" w16cid:durableId="423768476">
    <w:abstractNumId w:val="6"/>
  </w:num>
  <w:num w:numId="5" w16cid:durableId="2114471965">
    <w:abstractNumId w:val="9"/>
  </w:num>
  <w:num w:numId="6" w16cid:durableId="1728608996">
    <w:abstractNumId w:val="8"/>
  </w:num>
  <w:num w:numId="7" w16cid:durableId="2071271183">
    <w:abstractNumId w:val="2"/>
  </w:num>
  <w:num w:numId="8" w16cid:durableId="1406104404">
    <w:abstractNumId w:val="7"/>
  </w:num>
  <w:num w:numId="9" w16cid:durableId="2011717549">
    <w:abstractNumId w:val="4"/>
  </w:num>
  <w:num w:numId="10" w16cid:durableId="1043142187">
    <w:abstractNumId w:val="0"/>
  </w:num>
  <w:num w:numId="11" w16cid:durableId="377629499">
    <w:abstractNumId w:val="1"/>
  </w:num>
  <w:num w:numId="12" w16cid:durableId="18924933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61"/>
    <w:rsid w:val="00161E6F"/>
    <w:rsid w:val="00306C71"/>
    <w:rsid w:val="003A3C75"/>
    <w:rsid w:val="006046A4"/>
    <w:rsid w:val="006F4E68"/>
    <w:rsid w:val="00704A25"/>
    <w:rsid w:val="007406EC"/>
    <w:rsid w:val="008B7261"/>
    <w:rsid w:val="00B3524B"/>
    <w:rsid w:val="00B727F9"/>
    <w:rsid w:val="00CD62CF"/>
    <w:rsid w:val="00F62DAB"/>
    <w:rsid w:val="00F67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D324E"/>
  <w15:chartTrackingRefBased/>
  <w15:docId w15:val="{CE8B7CBE-6820-4222-BEBB-451D3979C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261"/>
    <w:rPr>
      <w:rFonts w:eastAsiaTheme="majorEastAsia" w:cstheme="majorBidi"/>
      <w:color w:val="272727" w:themeColor="text1" w:themeTint="D8"/>
    </w:rPr>
  </w:style>
  <w:style w:type="paragraph" w:styleId="Title">
    <w:name w:val="Title"/>
    <w:basedOn w:val="Normal"/>
    <w:next w:val="Normal"/>
    <w:link w:val="TitleChar"/>
    <w:uiPriority w:val="10"/>
    <w:qFormat/>
    <w:rsid w:val="008B7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261"/>
    <w:pPr>
      <w:spacing w:before="160"/>
      <w:jc w:val="center"/>
    </w:pPr>
    <w:rPr>
      <w:i/>
      <w:iCs/>
      <w:color w:val="404040" w:themeColor="text1" w:themeTint="BF"/>
    </w:rPr>
  </w:style>
  <w:style w:type="character" w:customStyle="1" w:styleId="QuoteChar">
    <w:name w:val="Quote Char"/>
    <w:basedOn w:val="DefaultParagraphFont"/>
    <w:link w:val="Quote"/>
    <w:uiPriority w:val="29"/>
    <w:rsid w:val="008B7261"/>
    <w:rPr>
      <w:i/>
      <w:iCs/>
      <w:color w:val="404040" w:themeColor="text1" w:themeTint="BF"/>
    </w:rPr>
  </w:style>
  <w:style w:type="paragraph" w:styleId="ListParagraph">
    <w:name w:val="List Paragraph"/>
    <w:basedOn w:val="Normal"/>
    <w:uiPriority w:val="34"/>
    <w:qFormat/>
    <w:rsid w:val="008B7261"/>
    <w:pPr>
      <w:ind w:left="720"/>
      <w:contextualSpacing/>
    </w:pPr>
  </w:style>
  <w:style w:type="character" w:styleId="IntenseEmphasis">
    <w:name w:val="Intense Emphasis"/>
    <w:basedOn w:val="DefaultParagraphFont"/>
    <w:uiPriority w:val="21"/>
    <w:qFormat/>
    <w:rsid w:val="008B7261"/>
    <w:rPr>
      <w:i/>
      <w:iCs/>
      <w:color w:val="0F4761" w:themeColor="accent1" w:themeShade="BF"/>
    </w:rPr>
  </w:style>
  <w:style w:type="paragraph" w:styleId="IntenseQuote">
    <w:name w:val="Intense Quote"/>
    <w:basedOn w:val="Normal"/>
    <w:next w:val="Normal"/>
    <w:link w:val="IntenseQuoteChar"/>
    <w:uiPriority w:val="30"/>
    <w:qFormat/>
    <w:rsid w:val="008B7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261"/>
    <w:rPr>
      <w:i/>
      <w:iCs/>
      <w:color w:val="0F4761" w:themeColor="accent1" w:themeShade="BF"/>
    </w:rPr>
  </w:style>
  <w:style w:type="character" w:styleId="IntenseReference">
    <w:name w:val="Intense Reference"/>
    <w:basedOn w:val="DefaultParagraphFont"/>
    <w:uiPriority w:val="32"/>
    <w:qFormat/>
    <w:rsid w:val="008B7261"/>
    <w:rPr>
      <w:b/>
      <w:bCs/>
      <w:smallCaps/>
      <w:color w:val="0F4761" w:themeColor="accent1" w:themeShade="BF"/>
      <w:spacing w:val="5"/>
    </w:rPr>
  </w:style>
  <w:style w:type="paragraph" w:styleId="Header">
    <w:name w:val="header"/>
    <w:basedOn w:val="Normal"/>
    <w:link w:val="HeaderChar"/>
    <w:uiPriority w:val="99"/>
    <w:unhideWhenUsed/>
    <w:rsid w:val="00F6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801"/>
  </w:style>
  <w:style w:type="paragraph" w:styleId="Footer">
    <w:name w:val="footer"/>
    <w:basedOn w:val="Normal"/>
    <w:link w:val="FooterChar"/>
    <w:uiPriority w:val="99"/>
    <w:unhideWhenUsed/>
    <w:rsid w:val="00F6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801"/>
  </w:style>
  <w:style w:type="character" w:styleId="Hyperlink">
    <w:name w:val="Hyperlink"/>
    <w:basedOn w:val="DefaultParagraphFont"/>
    <w:uiPriority w:val="99"/>
    <w:unhideWhenUsed/>
    <w:rsid w:val="003A3C75"/>
    <w:rPr>
      <w:color w:val="467886" w:themeColor="hyperlink"/>
      <w:u w:val="single"/>
    </w:rPr>
  </w:style>
  <w:style w:type="character" w:styleId="UnresolvedMention">
    <w:name w:val="Unresolved Mention"/>
    <w:basedOn w:val="DefaultParagraphFont"/>
    <w:uiPriority w:val="99"/>
    <w:semiHidden/>
    <w:unhideWhenUsed/>
    <w:rsid w:val="003A3C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doi.org/10.5334/ijic.545" TargetMode="External"/><Relationship Id="rId18" Type="http://schemas.openxmlformats.org/officeDocument/2006/relationships/hyperlink" Target="https://pmc.ncbi.nlm.nih.gov/articles/PMC6996004/" TargetMode="External"/><Relationship Id="rId26" Type="http://schemas.openxmlformats.org/officeDocument/2006/relationships/hyperlink" Target="https://www.legislation.gov.uk/ukpga/2012/7/contents" TargetMode="External"/><Relationship Id="rId3" Type="http://schemas.openxmlformats.org/officeDocument/2006/relationships/settings" Target="settings.xml"/><Relationship Id="rId21" Type="http://schemas.openxmlformats.org/officeDocument/2006/relationships/hyperlink" Target="HTTPs://doi.org/10.2196/jopm.8957" TargetMode="External"/><Relationship Id="rId7" Type="http://schemas.openxmlformats.org/officeDocument/2006/relationships/hyperlink" Target="https://pubmed.ncbi.nlm.nih.gov/32105204/" TargetMode="External"/><Relationship Id="rId12" Type="http://schemas.openxmlformats.org/officeDocument/2006/relationships/hyperlink" Target="https://pmc.ncbi.nlm.nih.gov/articles/PMC8023626/" TargetMode="External"/><Relationship Id="rId17" Type="http://schemas.openxmlformats.org/officeDocument/2006/relationships/hyperlink" Target="https://doi.org/10.1371/journal.pone.0248677" TargetMode="External"/><Relationship Id="rId25" Type="http://schemas.openxmlformats.org/officeDocument/2006/relationships/hyperlink" Target="https://doi.org/10.2147/jmdh.s500890" TargetMode="External"/><Relationship Id="rId2" Type="http://schemas.openxmlformats.org/officeDocument/2006/relationships/styles" Target="styles.xml"/><Relationship Id="rId16" Type="http://schemas.openxmlformats.org/officeDocument/2006/relationships/hyperlink" Target="https://www.legislation.gov.uk/ukpga/1998/42/contents" TargetMode="External"/><Relationship Id="rId20" Type="http://schemas.openxmlformats.org/officeDocument/2006/relationships/hyperlink" Target="https://www.hee.nhs.uk/our-work/person-centred-car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health-and-care-act-2022" TargetMode="External"/><Relationship Id="rId24" Type="http://schemas.openxmlformats.org/officeDocument/2006/relationships/hyperlink" Target="https://royalopencollege.org/blog/health-and-social-care/what-is-partnership-working-in-health-and-social-care/" TargetMode="External"/><Relationship Id="rId5" Type="http://schemas.openxmlformats.org/officeDocument/2006/relationships/footnotes" Target="footnotes.xml"/><Relationship Id="rId15" Type="http://schemas.openxmlformats.org/officeDocument/2006/relationships/hyperlink" Target="https://www.ariacare.co.uk/knowledge-hub/the-role-of-a-person-centred-approach-in-effective-care-planning/" TargetMode="External"/><Relationship Id="rId23" Type="http://schemas.openxmlformats.org/officeDocument/2006/relationships/hyperlink" Target="HTTPs://doi.org/10.1136/bmjopen-2020-037323" TargetMode="External"/><Relationship Id="rId28" Type="http://schemas.openxmlformats.org/officeDocument/2006/relationships/fontTable" Target="fontTable.xml"/><Relationship Id="rId10" Type="http://schemas.openxmlformats.org/officeDocument/2006/relationships/hyperlink" Target="https://www.gov.uk/government/publications/the-nhs-constitution-for-england/the-nhs-constitution-for-england" TargetMode="External"/><Relationship Id="rId19" Type="http://schemas.openxmlformats.org/officeDocument/2006/relationships/hyperlink" Target="https://doi.org/10.1111/scs.12376" TargetMode="External"/><Relationship Id="rId4" Type="http://schemas.openxmlformats.org/officeDocument/2006/relationships/webSettings" Target="webSettings.xml"/><Relationship Id="rId9" Type="http://schemas.openxmlformats.org/officeDocument/2006/relationships/hyperlink" Target="https://doi.org/10.1186/s12912-023-01246-4"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doi.org/10.1515/dx-2018-003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924</TotalTime>
  <Pages>12</Pages>
  <Words>3497</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haider ghazanfar</dc:creator>
  <cp:keywords/>
  <dc:description/>
  <cp:lastModifiedBy>haider ghazanfar</cp:lastModifiedBy>
  <cp:revision>5</cp:revision>
  <dcterms:created xsi:type="dcterms:W3CDTF">2026-03-28T01:36:00Z</dcterms:created>
  <dcterms:modified xsi:type="dcterms:W3CDTF">2026-03-29T02:16:00Z</dcterms:modified>
</cp:coreProperties>
</file>