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F0A75C" w14:textId="77777777" w:rsidR="002D5B3F" w:rsidRPr="00A85BFE" w:rsidRDefault="001A24F3" w:rsidP="005F3A53">
      <w:pPr>
        <w:pStyle w:val="a3"/>
        <w:tabs>
          <w:tab w:val="clear" w:pos="4153"/>
          <w:tab w:val="clear" w:pos="8306"/>
        </w:tabs>
        <w:jc w:val="right"/>
        <w:rPr>
          <w:rFonts w:ascii="Arial" w:hAnsi="Arial" w:cs="Arial"/>
          <w:b/>
          <w:sz w:val="28"/>
          <w:szCs w:val="28"/>
        </w:rPr>
      </w:pPr>
      <w:r w:rsidRPr="00A406E5">
        <w:rPr>
          <w:rFonts w:ascii="Arial" w:hAnsi="Arial" w:cs="Arial"/>
          <w:noProof/>
          <w:lang w:val="en-US" w:eastAsia="zh-TW"/>
        </w:rPr>
        <w:drawing>
          <wp:anchor distT="0" distB="0" distL="114300" distR="114300" simplePos="0" relativeHeight="251658240" behindDoc="0" locked="0" layoutInCell="1" allowOverlap="1" wp14:anchorId="2F657EA8" wp14:editId="63B8B05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18515E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24"/>
      </w:tblGrid>
      <w:tr w:rsidR="003A3CE5" w:rsidRPr="00A406E5" w14:paraId="487F4A35" w14:textId="77777777" w:rsidTr="00A406E5">
        <w:tc>
          <w:tcPr>
            <w:tcW w:w="9922" w:type="dxa"/>
            <w:shd w:val="clear" w:color="auto" w:fill="C0C0C0"/>
          </w:tcPr>
          <w:p w14:paraId="04B2554E" w14:textId="77777777" w:rsidR="00681FA9" w:rsidRPr="00A406E5" w:rsidRDefault="00F45764" w:rsidP="00552351">
            <w:pPr>
              <w:pStyle w:val="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64EA7EC" w14:textId="77777777" w:rsidR="003A3CE5" w:rsidRPr="00A406E5" w:rsidRDefault="003A3CE5" w:rsidP="002D5B3F">
      <w:pPr>
        <w:jc w:val="center"/>
        <w:rPr>
          <w:rFonts w:ascii="Arial" w:hAnsi="Arial" w:cs="Arial"/>
          <w:b/>
          <w:i/>
          <w:sz w:val="32"/>
        </w:rPr>
      </w:pPr>
    </w:p>
    <w:tbl>
      <w:tblPr>
        <w:tblW w:w="924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755"/>
        <w:gridCol w:w="2806"/>
        <w:gridCol w:w="1588"/>
      </w:tblGrid>
      <w:tr w:rsidR="003B3F9D" w:rsidRPr="00A406E5" w14:paraId="460FCBAE" w14:textId="77777777" w:rsidTr="00D61B1D">
        <w:tc>
          <w:tcPr>
            <w:tcW w:w="2093" w:type="dxa"/>
            <w:shd w:val="pct15" w:color="auto" w:fill="auto"/>
          </w:tcPr>
          <w:p w14:paraId="228CEC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755" w:type="dxa"/>
          </w:tcPr>
          <w:p w14:paraId="1352A244" w14:textId="74911D51" w:rsidR="003B3F9D" w:rsidRPr="00A406E5" w:rsidRDefault="00D61B1D" w:rsidP="001E57C1">
            <w:pPr>
              <w:spacing w:before="120" w:after="120"/>
              <w:jc w:val="both"/>
              <w:rPr>
                <w:rFonts w:ascii="Arial" w:hAnsi="Arial" w:cs="Arial"/>
                <w:b/>
                <w:sz w:val="22"/>
                <w:szCs w:val="22"/>
              </w:rPr>
            </w:pPr>
            <w:r>
              <w:rPr>
                <w:rFonts w:ascii="Arial" w:hAnsi="Arial" w:cs="Arial"/>
                <w:b/>
                <w:sz w:val="22"/>
                <w:szCs w:val="22"/>
              </w:rPr>
              <w:t>Kwong Kin Hung</w:t>
            </w:r>
          </w:p>
        </w:tc>
        <w:tc>
          <w:tcPr>
            <w:tcW w:w="2806" w:type="dxa"/>
            <w:shd w:val="clear" w:color="auto" w:fill="D9D9D9"/>
          </w:tcPr>
          <w:p w14:paraId="6427BF1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588" w:type="dxa"/>
          </w:tcPr>
          <w:p w14:paraId="63DA3AD4" w14:textId="6A240036" w:rsidR="003B3F9D" w:rsidRPr="00A406E5" w:rsidRDefault="00D61B1D" w:rsidP="001E57C1">
            <w:pPr>
              <w:spacing w:before="120" w:after="120"/>
              <w:jc w:val="both"/>
              <w:rPr>
                <w:rFonts w:ascii="Arial" w:hAnsi="Arial" w:cs="Arial"/>
                <w:b/>
                <w:sz w:val="22"/>
                <w:szCs w:val="22"/>
              </w:rPr>
            </w:pPr>
            <w:r w:rsidRPr="00D61B1D">
              <w:rPr>
                <w:rFonts w:ascii="Segoe UI" w:hAnsi="Segoe UI" w:cs="Segoe UI"/>
                <w:sz w:val="23"/>
                <w:szCs w:val="23"/>
              </w:rPr>
              <w:t>2235237</w:t>
            </w:r>
          </w:p>
        </w:tc>
      </w:tr>
      <w:tr w:rsidR="00DB116D" w:rsidRPr="00A406E5" w14:paraId="1BDFF078" w14:textId="77777777" w:rsidTr="00D61B1D">
        <w:tc>
          <w:tcPr>
            <w:tcW w:w="2093" w:type="dxa"/>
            <w:shd w:val="pct15" w:color="auto" w:fill="auto"/>
          </w:tcPr>
          <w:p w14:paraId="6705A4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149" w:type="dxa"/>
            <w:gridSpan w:val="3"/>
          </w:tcPr>
          <w:p w14:paraId="5E952CAE" w14:textId="0B9BD02A" w:rsidR="00DB116D" w:rsidRPr="00A406E5" w:rsidRDefault="00610C52" w:rsidP="00E51AAC">
            <w:pPr>
              <w:spacing w:before="120" w:after="120"/>
              <w:jc w:val="both"/>
              <w:rPr>
                <w:rFonts w:ascii="Arial" w:hAnsi="Arial" w:cs="Arial"/>
                <w:b/>
                <w:sz w:val="22"/>
                <w:szCs w:val="22"/>
              </w:rPr>
            </w:pPr>
            <w:r>
              <w:rPr>
                <w:rFonts w:ascii="Arial" w:hAnsi="Arial" w:cs="Arial" w:hint="eastAsia"/>
                <w:b/>
                <w:sz w:val="22"/>
                <w:szCs w:val="22"/>
              </w:rPr>
              <w:t>D</w:t>
            </w:r>
            <w:r>
              <w:rPr>
                <w:rFonts w:ascii="Arial" w:hAnsi="Arial" w:cs="Arial"/>
                <w:b/>
                <w:sz w:val="22"/>
                <w:szCs w:val="22"/>
              </w:rPr>
              <w:t>BA</w:t>
            </w:r>
          </w:p>
        </w:tc>
      </w:tr>
      <w:tr w:rsidR="008F1308" w:rsidRPr="00A406E5" w14:paraId="47D8F4EE" w14:textId="77777777" w:rsidTr="00D61B1D">
        <w:tc>
          <w:tcPr>
            <w:tcW w:w="2093" w:type="dxa"/>
            <w:shd w:val="pct15" w:color="auto" w:fill="auto"/>
          </w:tcPr>
          <w:p w14:paraId="7918FC9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149" w:type="dxa"/>
            <w:gridSpan w:val="3"/>
            <w:shd w:val="clear" w:color="auto" w:fill="auto"/>
          </w:tcPr>
          <w:p w14:paraId="4E9F1442" w14:textId="3D906266" w:rsidR="008F1308" w:rsidRPr="00A406E5" w:rsidRDefault="00E6688E" w:rsidP="00E6688E">
            <w:pPr>
              <w:spacing w:before="120" w:after="120"/>
              <w:jc w:val="both"/>
              <w:rPr>
                <w:rFonts w:ascii="Arial" w:hAnsi="Arial" w:cs="Arial"/>
                <w:b/>
                <w:sz w:val="22"/>
                <w:szCs w:val="22"/>
              </w:rPr>
            </w:pPr>
            <w:r>
              <w:rPr>
                <w:rFonts w:ascii="Arial" w:hAnsi="Arial" w:cs="Arial"/>
                <w:b/>
                <w:sz w:val="22"/>
                <w:szCs w:val="22"/>
              </w:rPr>
              <w:t xml:space="preserve">Visions for the Future – Theoretical Perspectives on Management </w:t>
            </w:r>
          </w:p>
        </w:tc>
      </w:tr>
      <w:tr w:rsidR="00B84B5B" w:rsidRPr="00A406E5" w14:paraId="66F12B95" w14:textId="77777777" w:rsidTr="00D61B1D">
        <w:tc>
          <w:tcPr>
            <w:tcW w:w="2093" w:type="dxa"/>
            <w:shd w:val="pct15" w:color="auto" w:fill="auto"/>
          </w:tcPr>
          <w:p w14:paraId="693916D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755" w:type="dxa"/>
          </w:tcPr>
          <w:p w14:paraId="4E2E21C7" w14:textId="374B18D2" w:rsidR="00B84B5B" w:rsidRPr="00A406E5" w:rsidRDefault="00E6688E" w:rsidP="00152E9D">
            <w:pPr>
              <w:spacing w:before="120" w:after="120"/>
              <w:jc w:val="both"/>
              <w:rPr>
                <w:rFonts w:ascii="Arial" w:hAnsi="Arial" w:cs="Arial"/>
                <w:b/>
                <w:sz w:val="22"/>
                <w:szCs w:val="22"/>
              </w:rPr>
            </w:pPr>
            <w:r>
              <w:rPr>
                <w:rFonts w:ascii="Arial" w:hAnsi="Arial" w:cs="Arial" w:hint="eastAsia"/>
                <w:b/>
                <w:sz w:val="22"/>
                <w:szCs w:val="22"/>
              </w:rPr>
              <w:t>H</w:t>
            </w:r>
            <w:r>
              <w:rPr>
                <w:rFonts w:ascii="Arial" w:hAnsi="Arial" w:cs="Arial"/>
                <w:b/>
                <w:sz w:val="22"/>
                <w:szCs w:val="22"/>
              </w:rPr>
              <w:t>KBM7006</w:t>
            </w:r>
          </w:p>
        </w:tc>
        <w:tc>
          <w:tcPr>
            <w:tcW w:w="2806" w:type="dxa"/>
            <w:shd w:val="clear" w:color="auto" w:fill="D9D9D9"/>
          </w:tcPr>
          <w:p w14:paraId="5AD2A9CE" w14:textId="77777777" w:rsidR="00B84B5B" w:rsidRPr="004D5E9B" w:rsidRDefault="00B84B5B" w:rsidP="004D5E9B">
            <w:pPr>
              <w:pStyle w:val="2"/>
              <w:rPr>
                <w:rFonts w:ascii="Arial" w:hAnsi="Arial" w:cs="Arial"/>
                <w:sz w:val="22"/>
                <w:szCs w:val="22"/>
              </w:rPr>
            </w:pPr>
            <w:r w:rsidRPr="00A406E5">
              <w:rPr>
                <w:rFonts w:ascii="Arial" w:hAnsi="Arial" w:cs="Arial"/>
                <w:sz w:val="22"/>
                <w:szCs w:val="22"/>
              </w:rPr>
              <w:t>Contribution to Overall Module Assessment (%):</w:t>
            </w:r>
          </w:p>
        </w:tc>
        <w:tc>
          <w:tcPr>
            <w:tcW w:w="1588" w:type="dxa"/>
          </w:tcPr>
          <w:p w14:paraId="5EC92DDC" w14:textId="2041AD44" w:rsidR="00B84B5B" w:rsidRPr="00A406E5" w:rsidRDefault="00E6688E" w:rsidP="00E51AAC">
            <w:pPr>
              <w:spacing w:before="120" w:after="120"/>
              <w:jc w:val="both"/>
              <w:rPr>
                <w:rFonts w:ascii="Arial" w:hAnsi="Arial" w:cs="Arial"/>
                <w:b/>
                <w:sz w:val="22"/>
                <w:szCs w:val="22"/>
              </w:rPr>
            </w:pPr>
            <w:r>
              <w:rPr>
                <w:rFonts w:ascii="Arial" w:hAnsi="Arial" w:cs="Arial" w:hint="eastAsia"/>
                <w:b/>
                <w:sz w:val="22"/>
                <w:szCs w:val="22"/>
              </w:rPr>
              <w:t>1</w:t>
            </w:r>
            <w:r>
              <w:rPr>
                <w:rFonts w:ascii="Arial" w:hAnsi="Arial" w:cs="Arial"/>
                <w:b/>
                <w:sz w:val="22"/>
                <w:szCs w:val="22"/>
              </w:rPr>
              <w:t>00%</w:t>
            </w:r>
          </w:p>
        </w:tc>
      </w:tr>
      <w:tr w:rsidR="00DB116D" w:rsidRPr="00A406E5" w14:paraId="75F69F80" w14:textId="77777777" w:rsidTr="00D61B1D">
        <w:tc>
          <w:tcPr>
            <w:tcW w:w="2093" w:type="dxa"/>
            <w:shd w:val="pct15" w:color="auto" w:fill="auto"/>
          </w:tcPr>
          <w:p w14:paraId="4D21EB1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755" w:type="dxa"/>
          </w:tcPr>
          <w:p w14:paraId="2944A3C7" w14:textId="3A241D11" w:rsidR="00DB116D" w:rsidRPr="00A406E5" w:rsidRDefault="00E6688E" w:rsidP="00E51AAC">
            <w:pPr>
              <w:spacing w:before="120" w:after="120"/>
              <w:jc w:val="both"/>
              <w:rPr>
                <w:rFonts w:ascii="Arial" w:hAnsi="Arial" w:cs="Arial"/>
                <w:b/>
                <w:sz w:val="22"/>
                <w:szCs w:val="22"/>
              </w:rPr>
            </w:pPr>
            <w:r>
              <w:rPr>
                <w:rFonts w:ascii="Arial" w:hAnsi="Arial" w:cs="Arial"/>
                <w:b/>
                <w:sz w:val="22"/>
                <w:szCs w:val="22"/>
              </w:rPr>
              <w:t>Prof Eddie Yu (PhD)</w:t>
            </w:r>
          </w:p>
        </w:tc>
        <w:tc>
          <w:tcPr>
            <w:tcW w:w="2806" w:type="dxa"/>
            <w:shd w:val="clear" w:color="auto" w:fill="D9D9D9"/>
          </w:tcPr>
          <w:p w14:paraId="494BDB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1588" w:type="dxa"/>
          </w:tcPr>
          <w:p w14:paraId="7E35EDF4" w14:textId="77777777" w:rsidR="00DB116D" w:rsidRPr="00A406E5" w:rsidRDefault="00DB116D" w:rsidP="00E51AAC">
            <w:pPr>
              <w:spacing w:before="120" w:after="120"/>
              <w:jc w:val="both"/>
              <w:rPr>
                <w:rFonts w:ascii="Arial" w:hAnsi="Arial" w:cs="Arial"/>
                <w:b/>
                <w:sz w:val="22"/>
                <w:szCs w:val="22"/>
              </w:rPr>
            </w:pPr>
          </w:p>
        </w:tc>
      </w:tr>
      <w:tr w:rsidR="00DB116D" w:rsidRPr="00A406E5" w14:paraId="030EE876" w14:textId="77777777" w:rsidTr="00D61B1D">
        <w:tc>
          <w:tcPr>
            <w:tcW w:w="2093" w:type="dxa"/>
            <w:shd w:val="pct15" w:color="auto" w:fill="auto"/>
          </w:tcPr>
          <w:p w14:paraId="1151E7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755" w:type="dxa"/>
          </w:tcPr>
          <w:p w14:paraId="0E1A2A81" w14:textId="4DCFAF1C" w:rsidR="00DB116D" w:rsidRPr="00A406E5" w:rsidRDefault="00F67C0F" w:rsidP="005F0579">
            <w:pPr>
              <w:spacing w:before="120" w:after="120"/>
              <w:jc w:val="both"/>
              <w:rPr>
                <w:rFonts w:ascii="Arial" w:hAnsi="Arial" w:cs="Arial"/>
                <w:b/>
                <w:sz w:val="22"/>
                <w:szCs w:val="22"/>
              </w:rPr>
            </w:pPr>
            <w:r>
              <w:rPr>
                <w:rFonts w:ascii="Arial" w:hAnsi="Arial" w:cs="Arial" w:hint="eastAsia"/>
                <w:b/>
                <w:sz w:val="22"/>
                <w:szCs w:val="22"/>
              </w:rPr>
              <w:t xml:space="preserve">Research </w:t>
            </w:r>
            <w:r w:rsidR="000310C2">
              <w:rPr>
                <w:rFonts w:ascii="Arial" w:hAnsi="Arial" w:cs="Arial" w:hint="eastAsia"/>
                <w:b/>
                <w:sz w:val="22"/>
                <w:szCs w:val="22"/>
              </w:rPr>
              <w:t>Report</w:t>
            </w:r>
          </w:p>
        </w:tc>
        <w:tc>
          <w:tcPr>
            <w:tcW w:w="2806" w:type="dxa"/>
            <w:shd w:val="pct15" w:color="auto" w:fill="auto"/>
          </w:tcPr>
          <w:p w14:paraId="1CDD5A9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1588" w:type="dxa"/>
          </w:tcPr>
          <w:p w14:paraId="42B78978" w14:textId="77777777" w:rsidR="00E6688E" w:rsidRDefault="00E6688E" w:rsidP="00E6688E">
            <w:pPr>
              <w:spacing w:before="120" w:after="120"/>
              <w:jc w:val="both"/>
              <w:rPr>
                <w:rFonts w:ascii="Arial" w:hAnsi="Arial" w:cs="Arial"/>
                <w:b/>
                <w:sz w:val="22"/>
                <w:szCs w:val="22"/>
              </w:rPr>
            </w:pPr>
            <w:r>
              <w:rPr>
                <w:rFonts w:ascii="Arial" w:hAnsi="Arial" w:cs="Arial"/>
                <w:b/>
                <w:sz w:val="22"/>
                <w:szCs w:val="22"/>
              </w:rPr>
              <w:t>7,500 words</w:t>
            </w:r>
          </w:p>
          <w:p w14:paraId="72E98136" w14:textId="77777777" w:rsidR="00DB116D" w:rsidRPr="00A406E5" w:rsidRDefault="00DB116D" w:rsidP="00E51AAC">
            <w:pPr>
              <w:spacing w:before="120" w:after="120"/>
              <w:jc w:val="both"/>
              <w:rPr>
                <w:rFonts w:ascii="Arial" w:hAnsi="Arial" w:cs="Arial"/>
                <w:b/>
                <w:sz w:val="22"/>
                <w:szCs w:val="22"/>
              </w:rPr>
            </w:pPr>
          </w:p>
        </w:tc>
      </w:tr>
      <w:tr w:rsidR="00B84B5B" w:rsidRPr="00A406E5" w14:paraId="76CDA8DC" w14:textId="77777777" w:rsidTr="00D61B1D">
        <w:tc>
          <w:tcPr>
            <w:tcW w:w="2093" w:type="dxa"/>
            <w:shd w:val="pct15" w:color="auto" w:fill="auto"/>
          </w:tcPr>
          <w:p w14:paraId="6DF8A37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755" w:type="dxa"/>
            <w:shd w:val="clear" w:color="auto" w:fill="auto"/>
          </w:tcPr>
          <w:p w14:paraId="76A34F8A" w14:textId="36860016" w:rsidR="00B84B5B" w:rsidRPr="00A406E5" w:rsidRDefault="00943EBE" w:rsidP="005F0579">
            <w:pPr>
              <w:spacing w:before="120" w:after="120"/>
              <w:jc w:val="both"/>
              <w:rPr>
                <w:rFonts w:ascii="Arial" w:hAnsi="Arial" w:cs="Arial"/>
                <w:b/>
                <w:sz w:val="22"/>
                <w:szCs w:val="22"/>
              </w:rPr>
            </w:pPr>
            <w:r>
              <w:rPr>
                <w:rFonts w:ascii="Arial" w:hAnsi="Arial" w:cs="Arial" w:hint="eastAsia"/>
                <w:b/>
                <w:sz w:val="22"/>
                <w:szCs w:val="22"/>
              </w:rPr>
              <w:t>31</w:t>
            </w:r>
            <w:r w:rsidR="00610C52">
              <w:rPr>
                <w:rFonts w:ascii="Arial" w:hAnsi="Arial" w:cs="Arial"/>
                <w:b/>
                <w:sz w:val="22"/>
                <w:szCs w:val="22"/>
              </w:rPr>
              <w:t xml:space="preserve"> July 2023</w:t>
            </w:r>
          </w:p>
        </w:tc>
        <w:tc>
          <w:tcPr>
            <w:tcW w:w="2806" w:type="dxa"/>
            <w:shd w:val="pct15" w:color="auto" w:fill="auto"/>
          </w:tcPr>
          <w:p w14:paraId="722F4D1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588" w:type="dxa"/>
          </w:tcPr>
          <w:p w14:paraId="1BADD4E9" w14:textId="0AFB3FC4" w:rsidR="00B84B5B" w:rsidRPr="00A406E5" w:rsidRDefault="00610C52" w:rsidP="005F0579">
            <w:pPr>
              <w:spacing w:before="120" w:after="120"/>
              <w:jc w:val="both"/>
              <w:rPr>
                <w:rFonts w:ascii="Arial" w:hAnsi="Arial" w:cs="Arial"/>
                <w:b/>
                <w:sz w:val="22"/>
                <w:szCs w:val="22"/>
              </w:rPr>
            </w:pPr>
            <w:r>
              <w:rPr>
                <w:rFonts w:ascii="Arial" w:hAnsi="Arial" w:cs="Arial" w:hint="eastAsia"/>
                <w:b/>
                <w:sz w:val="22"/>
                <w:szCs w:val="22"/>
              </w:rPr>
              <w:t>2</w:t>
            </w:r>
            <w:r>
              <w:rPr>
                <w:rFonts w:ascii="Arial" w:hAnsi="Arial" w:cs="Arial"/>
                <w:b/>
                <w:sz w:val="22"/>
                <w:szCs w:val="22"/>
              </w:rPr>
              <w:t>4 August 2023</w:t>
            </w:r>
          </w:p>
        </w:tc>
      </w:tr>
      <w:tr w:rsidR="00152E9D" w:rsidRPr="00A406E5" w14:paraId="60CF5548" w14:textId="77777777" w:rsidTr="00D61B1D">
        <w:tc>
          <w:tcPr>
            <w:tcW w:w="2093" w:type="dxa"/>
            <w:shd w:val="pct15" w:color="auto" w:fill="auto"/>
          </w:tcPr>
          <w:p w14:paraId="4AD4054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149" w:type="dxa"/>
            <w:gridSpan w:val="3"/>
            <w:shd w:val="clear" w:color="auto" w:fill="auto"/>
          </w:tcPr>
          <w:p w14:paraId="42DBF46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3AD07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A5BDA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5497ABB9" w14:textId="77777777" w:rsidTr="00D61B1D">
        <w:tc>
          <w:tcPr>
            <w:tcW w:w="2093" w:type="dxa"/>
            <w:shd w:val="pct15" w:color="auto" w:fill="auto"/>
          </w:tcPr>
          <w:p w14:paraId="0D079B2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149" w:type="dxa"/>
            <w:gridSpan w:val="3"/>
            <w:shd w:val="clear" w:color="auto" w:fill="auto"/>
          </w:tcPr>
          <w:p w14:paraId="77D8D60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B5660F9" w14:textId="77777777" w:rsidR="00152E9D" w:rsidRPr="00A406E5" w:rsidRDefault="00152E9D" w:rsidP="00DB116D">
      <w:pPr>
        <w:rPr>
          <w:rFonts w:ascii="Arial" w:hAnsi="Arial" w:cs="Arial"/>
          <w:sz w:val="32"/>
        </w:rPr>
      </w:pPr>
    </w:p>
    <w:p w14:paraId="3BD31F47" w14:textId="77777777" w:rsidR="00152E9D" w:rsidRPr="00A406E5" w:rsidRDefault="00152E9D" w:rsidP="00DB116D">
      <w:pPr>
        <w:rPr>
          <w:rFonts w:ascii="Arial" w:hAnsi="Arial" w:cs="Arial"/>
          <w:sz w:val="32"/>
        </w:rPr>
      </w:pPr>
    </w:p>
    <w:p w14:paraId="7CEF1A26" w14:textId="77777777" w:rsidR="002466CE" w:rsidRDefault="002466CE" w:rsidP="002466CE">
      <w:pPr>
        <w:pStyle w:val="Web"/>
        <w:rPr>
          <w:rFonts w:ascii="Arial" w:hAnsi="Arial" w:cs="Arial"/>
          <w:color w:val="303B44"/>
          <w:sz w:val="22"/>
          <w:szCs w:val="22"/>
        </w:rPr>
      </w:pPr>
    </w:p>
    <w:p w14:paraId="7BCB0F66" w14:textId="77777777" w:rsidR="00050AF9" w:rsidRDefault="00050AF9" w:rsidP="002466CE">
      <w:pPr>
        <w:pStyle w:val="Web"/>
        <w:rPr>
          <w:rFonts w:ascii="Arial" w:hAnsi="Arial" w:cs="Arial"/>
          <w:color w:val="303B44"/>
          <w:sz w:val="22"/>
          <w:szCs w:val="22"/>
        </w:rPr>
      </w:pPr>
    </w:p>
    <w:p w14:paraId="381AB5F7" w14:textId="77777777" w:rsidR="00050AF9" w:rsidRDefault="00050AF9" w:rsidP="002466CE">
      <w:pPr>
        <w:pStyle w:val="Web"/>
        <w:rPr>
          <w:rFonts w:ascii="Arial" w:hAnsi="Arial" w:cs="Arial"/>
          <w:color w:val="303B44"/>
          <w:sz w:val="22"/>
          <w:szCs w:val="22"/>
        </w:rPr>
      </w:pPr>
    </w:p>
    <w:p w14:paraId="73C38C95" w14:textId="77777777" w:rsidR="00050AF9" w:rsidRDefault="00050AF9" w:rsidP="002466CE">
      <w:pPr>
        <w:pStyle w:val="Web"/>
        <w:rPr>
          <w:rFonts w:ascii="Arial" w:hAnsi="Arial" w:cs="Arial"/>
          <w:color w:val="303B44"/>
          <w:sz w:val="22"/>
          <w:szCs w:val="22"/>
        </w:rPr>
      </w:pPr>
    </w:p>
    <w:p w14:paraId="2FF537C0" w14:textId="77777777" w:rsidR="00050AF9" w:rsidRDefault="00050AF9" w:rsidP="002466CE">
      <w:pPr>
        <w:pStyle w:val="Web"/>
        <w:rPr>
          <w:rFonts w:ascii="Arial" w:hAnsi="Arial" w:cs="Arial"/>
          <w:color w:val="303B44"/>
          <w:sz w:val="22"/>
          <w:szCs w:val="22"/>
        </w:rPr>
      </w:pPr>
    </w:p>
    <w:p w14:paraId="6D6891E5" w14:textId="77777777" w:rsidR="00050AF9" w:rsidRDefault="00050AF9" w:rsidP="002466CE">
      <w:pPr>
        <w:pStyle w:val="Web"/>
        <w:rPr>
          <w:rFonts w:ascii="Arial" w:hAnsi="Arial" w:cs="Arial"/>
          <w:color w:val="303B44"/>
          <w:sz w:val="22"/>
          <w:szCs w:val="22"/>
        </w:rPr>
      </w:pPr>
    </w:p>
    <w:p w14:paraId="4B0B954F" w14:textId="77777777" w:rsidR="00D61B1D" w:rsidRPr="00D61B1D" w:rsidRDefault="00D61B1D" w:rsidP="00D61B1D">
      <w:pPr>
        <w:spacing w:line="360" w:lineRule="auto"/>
        <w:rPr>
          <w:sz w:val="24"/>
          <w:szCs w:val="24"/>
          <w:u w:val="single"/>
        </w:rPr>
      </w:pPr>
      <w:r w:rsidRPr="00D61B1D">
        <w:rPr>
          <w:sz w:val="24"/>
          <w:szCs w:val="24"/>
          <w:u w:val="single"/>
        </w:rPr>
        <w:lastRenderedPageBreak/>
        <w:t>Analysis of the efficacy of Company A’s strategy in operating Community Testing Centres in the period of the COVID-19 pandemic with the 3H framework</w:t>
      </w:r>
    </w:p>
    <w:p w14:paraId="166BC840" w14:textId="77777777" w:rsidR="00D61B1D" w:rsidRPr="00D61B1D" w:rsidRDefault="00D61B1D" w:rsidP="00D61B1D">
      <w:pPr>
        <w:spacing w:line="360" w:lineRule="auto"/>
        <w:rPr>
          <w:sz w:val="24"/>
          <w:szCs w:val="24"/>
          <w:shd w:val="clear" w:color="auto" w:fill="FFFFFF"/>
        </w:rPr>
      </w:pPr>
    </w:p>
    <w:p w14:paraId="3FEDFCD7" w14:textId="77777777" w:rsidR="00D61B1D" w:rsidRPr="00D61B1D" w:rsidRDefault="00D61B1D" w:rsidP="00D61B1D">
      <w:pPr>
        <w:pStyle w:val="ab"/>
        <w:widowControl w:val="0"/>
        <w:numPr>
          <w:ilvl w:val="0"/>
          <w:numId w:val="23"/>
        </w:numPr>
        <w:spacing w:line="360" w:lineRule="auto"/>
        <w:contextualSpacing w:val="0"/>
        <w:rPr>
          <w:caps/>
          <w:sz w:val="24"/>
          <w:szCs w:val="24"/>
          <w:u w:val="single"/>
          <w:shd w:val="clear" w:color="auto" w:fill="FFFFFF"/>
        </w:rPr>
      </w:pPr>
      <w:r w:rsidRPr="00D61B1D">
        <w:rPr>
          <w:caps/>
          <w:sz w:val="24"/>
          <w:szCs w:val="24"/>
          <w:u w:val="single"/>
          <w:shd w:val="clear" w:color="auto" w:fill="FFFFFF"/>
        </w:rPr>
        <w:t>Introduction</w:t>
      </w:r>
    </w:p>
    <w:p w14:paraId="2809A9C9" w14:textId="77777777" w:rsidR="00D61B1D" w:rsidRPr="00D61B1D" w:rsidRDefault="00D61B1D" w:rsidP="00D61B1D">
      <w:pPr>
        <w:spacing w:line="360" w:lineRule="auto"/>
        <w:rPr>
          <w:sz w:val="24"/>
          <w:szCs w:val="24"/>
        </w:rPr>
      </w:pPr>
      <w:r w:rsidRPr="00D61B1D">
        <w:rPr>
          <w:sz w:val="24"/>
          <w:szCs w:val="24"/>
        </w:rPr>
        <w:t>The COVID-19 pandemic has had a significant impact on healthcare systems worldwide, and testing has become a crucial component in controlling the spread of the virus. Community testing centres have been established in Hong Kong since November 2020 to provide accessible testing for individuals, with the aim of early detection and isolation of infected patients to control the virus's spread. However, operating these centres during a pandemic presents numerous challenges, including ensuring the safety of staff and patients, managing the high demand for testing, and coordinating interdisciplinary collaborations.</w:t>
      </w:r>
    </w:p>
    <w:p w14:paraId="15C34A28" w14:textId="77777777" w:rsidR="00D61B1D" w:rsidRPr="00D61B1D" w:rsidRDefault="00D61B1D" w:rsidP="00D61B1D">
      <w:pPr>
        <w:spacing w:line="360" w:lineRule="auto"/>
        <w:rPr>
          <w:sz w:val="24"/>
          <w:szCs w:val="24"/>
        </w:rPr>
      </w:pPr>
    </w:p>
    <w:p w14:paraId="0000949C" w14:textId="77777777" w:rsidR="00D61B1D" w:rsidRPr="00D61B1D" w:rsidRDefault="00D61B1D" w:rsidP="00D61B1D">
      <w:pPr>
        <w:spacing w:line="360" w:lineRule="auto"/>
        <w:rPr>
          <w:sz w:val="24"/>
          <w:szCs w:val="24"/>
        </w:rPr>
      </w:pPr>
      <w:r w:rsidRPr="00D61B1D">
        <w:rPr>
          <w:sz w:val="24"/>
          <w:szCs w:val="24"/>
        </w:rPr>
        <w:t>Various obstacles were addressed when conducting tests, such as resource scarcity, the need for qualified personnel to collect samples, ensuring testing accuracy, controlling costs, managing logistics, and maintaining reporting accuracy. Additionally, it was crucial to have an information policy in place, maintain crown control, and establish an operational flow that maximised the number of performed tests.</w:t>
      </w:r>
    </w:p>
    <w:p w14:paraId="3151E15D" w14:textId="77777777" w:rsidR="00D61B1D" w:rsidRPr="00D61B1D" w:rsidRDefault="00D61B1D" w:rsidP="00D61B1D">
      <w:pPr>
        <w:spacing w:line="360" w:lineRule="auto"/>
        <w:rPr>
          <w:sz w:val="24"/>
          <w:szCs w:val="24"/>
        </w:rPr>
      </w:pPr>
    </w:p>
    <w:p w14:paraId="2D3F8B93" w14:textId="77777777" w:rsidR="00D61B1D" w:rsidRPr="00D61B1D" w:rsidRDefault="00D61B1D" w:rsidP="00D61B1D">
      <w:pPr>
        <w:spacing w:line="360" w:lineRule="auto"/>
        <w:rPr>
          <w:sz w:val="24"/>
          <w:szCs w:val="24"/>
        </w:rPr>
      </w:pPr>
      <w:r w:rsidRPr="00D61B1D">
        <w:rPr>
          <w:sz w:val="24"/>
          <w:szCs w:val="24"/>
        </w:rPr>
        <w:t>To ensure the success of community testing centres, it was essential to understand the different types of knowledge, skills, and attitudes required to operate these centres effectively. The 3H framework, which focused on the interaction between heart, head, and hand domains, provided a useful lens to examine the key challenges and success factors for operating community testing centres during the COVID-19 pandemic.</w:t>
      </w:r>
    </w:p>
    <w:p w14:paraId="79DA3F0C" w14:textId="77777777" w:rsidR="00D61B1D" w:rsidRPr="00D61B1D" w:rsidRDefault="00D61B1D" w:rsidP="00D61B1D">
      <w:pPr>
        <w:spacing w:line="360" w:lineRule="auto"/>
        <w:rPr>
          <w:sz w:val="24"/>
          <w:szCs w:val="24"/>
        </w:rPr>
      </w:pPr>
    </w:p>
    <w:p w14:paraId="44B1957D" w14:textId="77777777" w:rsidR="00D61B1D" w:rsidRPr="00D61B1D" w:rsidRDefault="00D61B1D" w:rsidP="00D61B1D">
      <w:pPr>
        <w:spacing w:line="360" w:lineRule="auto"/>
        <w:rPr>
          <w:sz w:val="24"/>
          <w:szCs w:val="24"/>
        </w:rPr>
      </w:pPr>
      <w:r w:rsidRPr="00D61B1D">
        <w:rPr>
          <w:sz w:val="24"/>
          <w:szCs w:val="24"/>
        </w:rPr>
        <w:t>The study's scope focused on operating centres with all levels of strategy, with the area of laboratory management excluded from the discussion. The study provided valuable insights to healthcare managers and policymakers on optimising the functioning of community testing centres. The findings helped managers to identify the key challenges and success factors for operating these centres, which informed decision-making and resource allocation to improve the efficiency and effectiveness of the centres. Furthermore, the study helped managers to identify the types of knowledge, skills, and attitudes required to operate these centres, which informed recruitment and training programs to enhance the performance of testing centre staff.</w:t>
      </w:r>
    </w:p>
    <w:p w14:paraId="6BC0A610" w14:textId="77777777" w:rsidR="00D61B1D" w:rsidRPr="00D61B1D" w:rsidRDefault="00D61B1D" w:rsidP="00D61B1D">
      <w:pPr>
        <w:spacing w:line="360" w:lineRule="auto"/>
        <w:rPr>
          <w:sz w:val="24"/>
          <w:szCs w:val="24"/>
        </w:rPr>
      </w:pPr>
    </w:p>
    <w:p w14:paraId="58AFA2DB" w14:textId="77777777" w:rsidR="00D61B1D" w:rsidRPr="00D61B1D" w:rsidRDefault="00D61B1D" w:rsidP="00D61B1D">
      <w:pPr>
        <w:spacing w:line="360" w:lineRule="auto"/>
        <w:rPr>
          <w:sz w:val="24"/>
          <w:szCs w:val="24"/>
        </w:rPr>
      </w:pPr>
      <w:r w:rsidRPr="00D61B1D">
        <w:rPr>
          <w:sz w:val="24"/>
          <w:szCs w:val="24"/>
        </w:rPr>
        <w:t xml:space="preserve">The proposed research also contributed to a better understanding of the dynamics of interdisciplinary collaborations and how they impacted the success of community testing centres. </w:t>
      </w:r>
      <w:r w:rsidRPr="00D61B1D">
        <w:rPr>
          <w:sz w:val="24"/>
          <w:szCs w:val="24"/>
        </w:rPr>
        <w:lastRenderedPageBreak/>
        <w:t>By applying the 3H framework, the study provided a more holistic view of the factors that influenced the functioning of these centres, which informed future research on interdisciplinary collaborations in healthcare settings.</w:t>
      </w:r>
    </w:p>
    <w:p w14:paraId="65078CE3" w14:textId="77777777" w:rsidR="00D61B1D" w:rsidRPr="00D61B1D" w:rsidRDefault="00D61B1D" w:rsidP="00D61B1D">
      <w:pPr>
        <w:spacing w:line="360" w:lineRule="auto"/>
        <w:rPr>
          <w:sz w:val="24"/>
          <w:szCs w:val="24"/>
        </w:rPr>
      </w:pPr>
    </w:p>
    <w:p w14:paraId="6DB4DECB" w14:textId="77777777" w:rsidR="00D61B1D" w:rsidRPr="00D61B1D" w:rsidRDefault="00D61B1D" w:rsidP="00D61B1D">
      <w:pPr>
        <w:spacing w:line="360" w:lineRule="auto"/>
        <w:rPr>
          <w:sz w:val="24"/>
          <w:szCs w:val="24"/>
          <w:shd w:val="clear" w:color="auto" w:fill="FFFFFF"/>
        </w:rPr>
      </w:pPr>
      <w:r w:rsidRPr="00D61B1D">
        <w:rPr>
          <w:sz w:val="24"/>
          <w:szCs w:val="24"/>
        </w:rPr>
        <w:t>The insights gained from this research would also benefit the repeatability of future new business units in the company. As companies adapted to this changing world, they needed to establish new business units. The findings from this study informed the establishment and management of these new business units, ensuring that they were optimized for efficacy and success. (Amis &amp; Greenwood, 2021)</w:t>
      </w:r>
    </w:p>
    <w:p w14:paraId="4ED3F507" w14:textId="77777777" w:rsidR="00D61B1D" w:rsidRPr="00D61B1D" w:rsidRDefault="00D61B1D" w:rsidP="00D61B1D">
      <w:pPr>
        <w:spacing w:line="360" w:lineRule="auto"/>
        <w:rPr>
          <w:sz w:val="24"/>
          <w:szCs w:val="24"/>
          <w:shd w:val="clear" w:color="auto" w:fill="FFFFFF"/>
        </w:rPr>
      </w:pPr>
    </w:p>
    <w:p w14:paraId="346BDAF2" w14:textId="77777777" w:rsidR="00D61B1D" w:rsidRPr="00D61B1D" w:rsidRDefault="00D61B1D" w:rsidP="00D61B1D">
      <w:pPr>
        <w:pStyle w:val="ab"/>
        <w:widowControl w:val="0"/>
        <w:numPr>
          <w:ilvl w:val="0"/>
          <w:numId w:val="23"/>
        </w:numPr>
        <w:spacing w:line="360" w:lineRule="auto"/>
        <w:contextualSpacing w:val="0"/>
        <w:rPr>
          <w:caps/>
          <w:sz w:val="24"/>
          <w:szCs w:val="24"/>
          <w:shd w:val="clear" w:color="auto" w:fill="FFFFFF"/>
        </w:rPr>
      </w:pPr>
      <w:r w:rsidRPr="00D61B1D">
        <w:rPr>
          <w:caps/>
          <w:sz w:val="24"/>
          <w:szCs w:val="24"/>
          <w:u w:val="single"/>
          <w:shd w:val="clear" w:color="auto" w:fill="FFFFFF"/>
        </w:rPr>
        <w:t>Background of Company A</w:t>
      </w:r>
    </w:p>
    <w:p w14:paraId="28BB41BE" w14:textId="77777777" w:rsidR="00D61B1D" w:rsidRPr="00D61B1D" w:rsidRDefault="00D61B1D" w:rsidP="00D61B1D">
      <w:pPr>
        <w:spacing w:line="360" w:lineRule="auto"/>
        <w:rPr>
          <w:sz w:val="24"/>
          <w:szCs w:val="24"/>
          <w:shd w:val="clear" w:color="auto" w:fill="FFFFFF"/>
        </w:rPr>
      </w:pPr>
      <w:r w:rsidRPr="00D61B1D">
        <w:rPr>
          <w:sz w:val="24"/>
          <w:szCs w:val="24"/>
          <w:shd w:val="clear" w:color="auto" w:fill="FFFFFF"/>
        </w:rPr>
        <w:t>Company A was a healthcare organization that delivered medical services to the people of Hong Kong, with a workforce of over 800 healthcare professionals. Company A offered comprehensive medical services to the public. These services include General Practices, Specialty Services, Dental Services, Chinese Medicine, Physiotherapy, and Diagnostics &amp; Imaging, ensuring convenience for patients. With a network of medical centres across Hong Kong, Company A had built strong connections with nearly 3 million clients.</w:t>
      </w:r>
    </w:p>
    <w:p w14:paraId="32D5E8F8" w14:textId="77777777" w:rsidR="00D61B1D" w:rsidRPr="00D61B1D" w:rsidRDefault="00D61B1D" w:rsidP="00D61B1D">
      <w:pPr>
        <w:spacing w:line="360" w:lineRule="auto"/>
        <w:rPr>
          <w:sz w:val="24"/>
          <w:szCs w:val="24"/>
          <w:shd w:val="clear" w:color="auto" w:fill="FFFFFF"/>
        </w:rPr>
      </w:pPr>
      <w:r w:rsidRPr="00D61B1D">
        <w:rPr>
          <w:sz w:val="24"/>
          <w:szCs w:val="24"/>
          <w:shd w:val="clear" w:color="auto" w:fill="FFFFFF"/>
        </w:rPr>
        <w:t>During the COVID pandemic, revenue coming from consultations in clinics dramatically decreased because of different kinds of anti-pandemic policies by the government.</w:t>
      </w:r>
    </w:p>
    <w:p w14:paraId="53574EDB" w14:textId="77777777" w:rsidR="00D61B1D" w:rsidRPr="00D61B1D" w:rsidRDefault="00D61B1D" w:rsidP="00D61B1D">
      <w:pPr>
        <w:spacing w:line="360" w:lineRule="auto"/>
        <w:rPr>
          <w:sz w:val="24"/>
          <w:szCs w:val="24"/>
          <w:shd w:val="clear" w:color="auto" w:fill="FFFFFF"/>
        </w:rPr>
      </w:pPr>
    </w:p>
    <w:p w14:paraId="5778FC74" w14:textId="77777777" w:rsidR="00D61B1D" w:rsidRPr="00D61B1D" w:rsidRDefault="00D61B1D" w:rsidP="00D61B1D">
      <w:pPr>
        <w:pStyle w:val="ab"/>
        <w:widowControl w:val="0"/>
        <w:numPr>
          <w:ilvl w:val="0"/>
          <w:numId w:val="23"/>
        </w:numPr>
        <w:spacing w:line="360" w:lineRule="auto"/>
        <w:contextualSpacing w:val="0"/>
        <w:rPr>
          <w:caps/>
          <w:sz w:val="24"/>
          <w:szCs w:val="24"/>
          <w:shd w:val="clear" w:color="auto" w:fill="FFFFFF"/>
        </w:rPr>
      </w:pPr>
      <w:r w:rsidRPr="00D61B1D">
        <w:rPr>
          <w:caps/>
          <w:sz w:val="24"/>
          <w:szCs w:val="24"/>
          <w:u w:val="single"/>
          <w:shd w:val="clear" w:color="auto" w:fill="FFFFFF"/>
        </w:rPr>
        <w:t>Operating Community Testing Centre</w:t>
      </w:r>
    </w:p>
    <w:p w14:paraId="5779C043" w14:textId="77777777" w:rsidR="00D61B1D" w:rsidRPr="00D61B1D" w:rsidRDefault="00D61B1D" w:rsidP="00D61B1D">
      <w:pPr>
        <w:spacing w:line="360" w:lineRule="auto"/>
        <w:rPr>
          <w:sz w:val="24"/>
          <w:szCs w:val="24"/>
          <w:shd w:val="clear" w:color="auto" w:fill="FFFFFF"/>
        </w:rPr>
      </w:pPr>
      <w:r w:rsidRPr="00D61B1D">
        <w:rPr>
          <w:sz w:val="24"/>
          <w:szCs w:val="24"/>
          <w:shd w:val="clear" w:color="auto" w:fill="FFFFFF"/>
        </w:rPr>
        <w:t xml:space="preserve">As one of the anti-pandemic policies to control the spread of the virus, the government of Hong Kong decided to operate community testing centres (CTCs).  It provided DNA PCR testing to those citizens who needed to travel aboard within this period. The services extended for those who need compulsory tests, according to the notification by the Department of Health. </w:t>
      </w:r>
    </w:p>
    <w:p w14:paraId="74D1A72C" w14:textId="77777777" w:rsidR="00D61B1D" w:rsidRPr="00D61B1D" w:rsidRDefault="00D61B1D" w:rsidP="00D61B1D">
      <w:pPr>
        <w:spacing w:line="360" w:lineRule="auto"/>
        <w:rPr>
          <w:sz w:val="24"/>
          <w:szCs w:val="24"/>
          <w:shd w:val="clear" w:color="auto" w:fill="FFFFFF"/>
        </w:rPr>
      </w:pPr>
    </w:p>
    <w:p w14:paraId="2A074536" w14:textId="77777777" w:rsidR="00D61B1D" w:rsidRPr="00D61B1D" w:rsidRDefault="00D61B1D" w:rsidP="00D61B1D">
      <w:pPr>
        <w:spacing w:line="360" w:lineRule="auto"/>
        <w:rPr>
          <w:sz w:val="24"/>
          <w:szCs w:val="24"/>
          <w:shd w:val="clear" w:color="auto" w:fill="FFFFFF"/>
        </w:rPr>
      </w:pPr>
      <w:r w:rsidRPr="00D61B1D">
        <w:rPr>
          <w:sz w:val="24"/>
          <w:szCs w:val="24"/>
          <w:shd w:val="clear" w:color="auto" w:fill="FFFFFF"/>
        </w:rPr>
        <w:t>The objectives of operating CTCs were to collect samples and provide accurate samples as much as possible within the assigned period of time, and to minimize the chance of cross-infection during the sampling process. The design of the CTC, therefore, consisted of four main areas: the waiting area, registration area, sampling area, and report collection area. These areas were arranged in a single flow, preventing any reverse movement to minimize the risk of cross-infection during the sampling process.</w:t>
      </w:r>
    </w:p>
    <w:p w14:paraId="73F6F6C4" w14:textId="77777777" w:rsidR="00D61B1D" w:rsidRPr="00D61B1D" w:rsidRDefault="00D61B1D" w:rsidP="00D61B1D">
      <w:pPr>
        <w:spacing w:line="360" w:lineRule="auto"/>
        <w:rPr>
          <w:sz w:val="24"/>
          <w:szCs w:val="24"/>
          <w:shd w:val="clear" w:color="auto" w:fill="FFFFFF"/>
        </w:rPr>
      </w:pPr>
    </w:p>
    <w:p w14:paraId="6465A859" w14:textId="77777777" w:rsidR="00D61B1D" w:rsidRPr="00D61B1D" w:rsidRDefault="00D61B1D" w:rsidP="00D61B1D">
      <w:pPr>
        <w:spacing w:line="360" w:lineRule="auto"/>
        <w:rPr>
          <w:sz w:val="24"/>
          <w:szCs w:val="24"/>
          <w:shd w:val="clear" w:color="auto" w:fill="FFFFFF"/>
        </w:rPr>
      </w:pPr>
      <w:r w:rsidRPr="00D61B1D">
        <w:rPr>
          <w:sz w:val="24"/>
          <w:szCs w:val="24"/>
          <w:shd w:val="clear" w:color="auto" w:fill="FFFFFF"/>
        </w:rPr>
        <w:t xml:space="preserve">The government issued a tender to invite companies to operate community testing centres. The government provided the venue only, but the contractor must arrange all other necessary resources. </w:t>
      </w:r>
      <w:r w:rsidRPr="00D61B1D">
        <w:rPr>
          <w:sz w:val="24"/>
          <w:szCs w:val="24"/>
          <w:shd w:val="clear" w:color="auto" w:fill="FFFFFF"/>
        </w:rPr>
        <w:lastRenderedPageBreak/>
        <w:t>Company A showed a preference for the tender. Factors for Company A to consider included the location of the centre, the number of testing samples done in the area, the availability of qualified personnel to perform the tests, and the number of staff required for registration and crowd management.</w:t>
      </w:r>
    </w:p>
    <w:p w14:paraId="2AF854F2" w14:textId="77777777" w:rsidR="00D61B1D" w:rsidRPr="00D61B1D" w:rsidRDefault="00D61B1D" w:rsidP="00D61B1D">
      <w:pPr>
        <w:spacing w:line="360" w:lineRule="auto"/>
        <w:rPr>
          <w:sz w:val="24"/>
          <w:szCs w:val="24"/>
          <w:shd w:val="clear" w:color="auto" w:fill="FFFFFF"/>
        </w:rPr>
      </w:pPr>
    </w:p>
    <w:p w14:paraId="13DF9000" w14:textId="77777777" w:rsidR="00D61B1D" w:rsidRPr="00D61B1D" w:rsidRDefault="00D61B1D" w:rsidP="00D61B1D">
      <w:pPr>
        <w:spacing w:line="360" w:lineRule="auto"/>
        <w:rPr>
          <w:sz w:val="24"/>
          <w:szCs w:val="24"/>
          <w:u w:val="single"/>
          <w:shd w:val="clear" w:color="auto" w:fill="FFFFFF"/>
        </w:rPr>
      </w:pPr>
      <w:r w:rsidRPr="00D61B1D">
        <w:rPr>
          <w:sz w:val="24"/>
          <w:szCs w:val="24"/>
          <w:u w:val="single"/>
          <w:shd w:val="clear" w:color="auto" w:fill="FFFFFF"/>
        </w:rPr>
        <w:t>Factors and Challenge faced by Company A</w:t>
      </w:r>
    </w:p>
    <w:p w14:paraId="02A3F970" w14:textId="77777777" w:rsidR="00D61B1D" w:rsidRPr="00D61B1D" w:rsidRDefault="00D61B1D" w:rsidP="00D61B1D">
      <w:pPr>
        <w:spacing w:line="360" w:lineRule="auto"/>
        <w:rPr>
          <w:sz w:val="24"/>
          <w:szCs w:val="24"/>
          <w:shd w:val="clear" w:color="auto" w:fill="FFFFFF"/>
        </w:rPr>
      </w:pPr>
      <w:r w:rsidRPr="00D61B1D">
        <w:rPr>
          <w:sz w:val="24"/>
          <w:szCs w:val="24"/>
          <w:shd w:val="clear" w:color="auto" w:fill="FFFFFF"/>
        </w:rPr>
        <w:t>Resource management was crucial for the efficient operation of the CTCs. Crowd management equipment, such as marquees, queue tape separation barriers, ground instruction tapes, and signage, will be necessary. Adequate hardware, including tables, chairs, partition boards, computers, mobile WIFI, and internet connections, were needed to prepare. Office equipment such as stationery, signage, paper, cleaning equipment, and storage lockers were to be also required. Company A would procure testing agents and materials, such as testing tubes, swabs, alcohol swabs, storage racks, and labels. Moreover, personal protective equipment (PPE), including protective gowns, caps, face shields, gloves, and N95 masks, must be provided for the safety of the staff.</w:t>
      </w:r>
    </w:p>
    <w:p w14:paraId="67A50252" w14:textId="77777777" w:rsidR="00D61B1D" w:rsidRPr="00D61B1D" w:rsidRDefault="00D61B1D" w:rsidP="00D61B1D">
      <w:pPr>
        <w:spacing w:line="360" w:lineRule="auto"/>
        <w:rPr>
          <w:sz w:val="24"/>
          <w:szCs w:val="24"/>
          <w:shd w:val="clear" w:color="auto" w:fill="FFFFFF"/>
        </w:rPr>
      </w:pPr>
    </w:p>
    <w:p w14:paraId="4056EC51" w14:textId="77777777" w:rsidR="00D61B1D" w:rsidRPr="00D61B1D" w:rsidRDefault="00D61B1D" w:rsidP="00D61B1D">
      <w:pPr>
        <w:spacing w:line="360" w:lineRule="auto"/>
        <w:rPr>
          <w:sz w:val="24"/>
          <w:szCs w:val="24"/>
          <w:shd w:val="clear" w:color="auto" w:fill="FFFFFF"/>
        </w:rPr>
      </w:pPr>
      <w:r w:rsidRPr="00D61B1D">
        <w:rPr>
          <w:sz w:val="24"/>
          <w:szCs w:val="24"/>
          <w:shd w:val="clear" w:color="auto" w:fill="FFFFFF"/>
        </w:rPr>
        <w:t>Human resource management was another critical aspect of running the CTCs. Registered nurses and centre supervisors were needed, along with trained healthcare personnel, such as community healthcare workers. Security guards and clerks also played vital roles in the operation of the centres.</w:t>
      </w:r>
    </w:p>
    <w:p w14:paraId="61B4B8D0" w14:textId="77777777" w:rsidR="00D61B1D" w:rsidRPr="00D61B1D" w:rsidRDefault="00D61B1D" w:rsidP="00D61B1D">
      <w:pPr>
        <w:spacing w:line="360" w:lineRule="auto"/>
        <w:rPr>
          <w:sz w:val="24"/>
          <w:szCs w:val="24"/>
          <w:shd w:val="clear" w:color="auto" w:fill="FFFFFF"/>
        </w:rPr>
      </w:pPr>
    </w:p>
    <w:p w14:paraId="6D22F826" w14:textId="77777777" w:rsidR="00D61B1D" w:rsidRPr="00D61B1D" w:rsidRDefault="00D61B1D" w:rsidP="00D61B1D">
      <w:pPr>
        <w:spacing w:line="360" w:lineRule="auto"/>
        <w:rPr>
          <w:sz w:val="24"/>
          <w:szCs w:val="24"/>
          <w:shd w:val="clear" w:color="auto" w:fill="FFFFFF"/>
        </w:rPr>
      </w:pPr>
      <w:r w:rsidRPr="00D61B1D">
        <w:rPr>
          <w:sz w:val="24"/>
          <w:szCs w:val="24"/>
          <w:shd w:val="clear" w:color="auto" w:fill="FFFFFF"/>
        </w:rPr>
        <w:t>The process of operating the CTCs involved managing the crowd of citizens who come for testing. This includes addressing inquiries, handling walk-ins versus pre-booked appointments, determining if the test was compulsory or voluntary, and managing payments. Efficient registration procedures using government and laboratory reporting systems aimed to reduce waiting times. The sampling area should be comfortable for citizens, with quick disinfection and sample collection. It was crucial to ensure that each citizen was correctly matched with the appropriate testing tube and properly labeled with a barcode.</w:t>
      </w:r>
    </w:p>
    <w:p w14:paraId="7196BBEB" w14:textId="77777777" w:rsidR="00D61B1D" w:rsidRPr="00D61B1D" w:rsidRDefault="00D61B1D" w:rsidP="00D61B1D">
      <w:pPr>
        <w:spacing w:line="360" w:lineRule="auto"/>
        <w:rPr>
          <w:sz w:val="24"/>
          <w:szCs w:val="24"/>
          <w:shd w:val="clear" w:color="auto" w:fill="FFFFFF"/>
        </w:rPr>
      </w:pPr>
    </w:p>
    <w:p w14:paraId="3EB418C9" w14:textId="77777777" w:rsidR="00D61B1D" w:rsidRPr="00D61B1D" w:rsidRDefault="00D61B1D" w:rsidP="00D61B1D">
      <w:pPr>
        <w:spacing w:line="360" w:lineRule="auto"/>
        <w:rPr>
          <w:sz w:val="24"/>
          <w:szCs w:val="24"/>
          <w:shd w:val="clear" w:color="auto" w:fill="FFFFFF"/>
        </w:rPr>
      </w:pPr>
      <w:r w:rsidRPr="00D61B1D">
        <w:rPr>
          <w:sz w:val="24"/>
          <w:szCs w:val="24"/>
          <w:shd w:val="clear" w:color="auto" w:fill="FFFFFF"/>
        </w:rPr>
        <w:t xml:space="preserve">Several challenges may arise during the operation of the CTCs. Time management was critical, as any bottlenecks in the process can lead to longer waiting times for citizens, causing frustration and dissatisfaction. Dealing with citizen inquiries can also be time-consuming and may require additional manpower. Resource challenges include the need to replenish consumables like PPE and laboratory testing materials, as well as developing effective procurement strategies for cost control. Human resource challenges involved sourcing an adequate and stable workforce, as there was competition from other companies and the government itself. Additionally, some individuals may </w:t>
      </w:r>
      <w:r w:rsidRPr="00D61B1D">
        <w:rPr>
          <w:sz w:val="24"/>
          <w:szCs w:val="24"/>
          <w:shd w:val="clear" w:color="auto" w:fill="FFFFFF"/>
        </w:rPr>
        <w:lastRenderedPageBreak/>
        <w:t>be hesitant to join due to the perceived risks associated with the job and concerns about personal and family safety.</w:t>
      </w:r>
    </w:p>
    <w:p w14:paraId="1E27BEF3" w14:textId="77777777" w:rsidR="00D61B1D" w:rsidRPr="00D61B1D" w:rsidRDefault="00D61B1D" w:rsidP="00D61B1D">
      <w:pPr>
        <w:spacing w:line="360" w:lineRule="auto"/>
        <w:rPr>
          <w:sz w:val="24"/>
          <w:szCs w:val="24"/>
          <w:shd w:val="clear" w:color="auto" w:fill="FFFFFF"/>
        </w:rPr>
      </w:pPr>
    </w:p>
    <w:p w14:paraId="75D52147" w14:textId="77777777" w:rsidR="00D61B1D" w:rsidRPr="00D61B1D" w:rsidRDefault="00D61B1D" w:rsidP="00D61B1D">
      <w:pPr>
        <w:spacing w:line="360" w:lineRule="auto"/>
        <w:rPr>
          <w:sz w:val="24"/>
          <w:szCs w:val="24"/>
          <w:shd w:val="clear" w:color="auto" w:fill="FFFFFF"/>
        </w:rPr>
      </w:pPr>
      <w:r w:rsidRPr="00D61B1D">
        <w:rPr>
          <w:sz w:val="24"/>
          <w:szCs w:val="24"/>
          <w:shd w:val="clear" w:color="auto" w:fill="FFFFFF"/>
        </w:rPr>
        <w:t>Ensuring quality assurance was also a challenge. Community healthcare workers were properly trained, and regular monitoring and auditing of their sampling skills were conducted. It was suggested that registered nurses be utilized as trainers for community healthcare workers and leaders of the teams, as they were expensive, and their availability may be limited. This quality assurance team provided initial training, regular monitoring, and auditing to ensure the standardization of sampling techniques and the quality of services provided.</w:t>
      </w:r>
    </w:p>
    <w:p w14:paraId="0C6A990E" w14:textId="77777777" w:rsidR="00D61B1D" w:rsidRPr="00D61B1D" w:rsidRDefault="00D61B1D" w:rsidP="00D61B1D">
      <w:pPr>
        <w:spacing w:line="360" w:lineRule="auto"/>
        <w:rPr>
          <w:sz w:val="24"/>
          <w:szCs w:val="24"/>
          <w:shd w:val="clear" w:color="auto" w:fill="FFFFFF"/>
        </w:rPr>
      </w:pPr>
    </w:p>
    <w:p w14:paraId="707E7617" w14:textId="77777777" w:rsidR="00D61B1D" w:rsidRPr="00D61B1D" w:rsidRDefault="00D61B1D" w:rsidP="00D61B1D">
      <w:pPr>
        <w:pStyle w:val="ab"/>
        <w:widowControl w:val="0"/>
        <w:numPr>
          <w:ilvl w:val="0"/>
          <w:numId w:val="23"/>
        </w:numPr>
        <w:spacing w:line="360" w:lineRule="auto"/>
        <w:contextualSpacing w:val="0"/>
        <w:rPr>
          <w:caps/>
          <w:sz w:val="24"/>
          <w:szCs w:val="24"/>
          <w:u w:val="single"/>
        </w:rPr>
      </w:pPr>
      <w:r w:rsidRPr="00D61B1D">
        <w:rPr>
          <w:caps/>
          <w:sz w:val="24"/>
          <w:szCs w:val="24"/>
          <w:u w:val="single"/>
        </w:rPr>
        <w:t>Methodology</w:t>
      </w:r>
    </w:p>
    <w:p w14:paraId="3E853F8D" w14:textId="77777777" w:rsidR="00D61B1D" w:rsidRPr="00D61B1D" w:rsidRDefault="00D61B1D" w:rsidP="00D61B1D">
      <w:pPr>
        <w:spacing w:line="360" w:lineRule="auto"/>
        <w:rPr>
          <w:sz w:val="24"/>
          <w:szCs w:val="24"/>
        </w:rPr>
      </w:pPr>
      <w:r w:rsidRPr="00D61B1D">
        <w:rPr>
          <w:sz w:val="24"/>
          <w:szCs w:val="24"/>
        </w:rPr>
        <w:t>Factual information as evidence to support the project’s success were collected from various sources, such as the Health Bureau of Hong Kong and the Department of Health of Hong Kong. Triangulation validation of data was adopted to ensure the reliability and validity of the results, reduce bias, increase confidence in the results, and provide a more comprehensive understanding of the phenomenon being studied.</w:t>
      </w:r>
    </w:p>
    <w:p w14:paraId="18E3CCFB" w14:textId="77777777" w:rsidR="00D61B1D" w:rsidRPr="00D61B1D" w:rsidRDefault="00D61B1D" w:rsidP="00D61B1D">
      <w:pPr>
        <w:spacing w:line="360" w:lineRule="auto"/>
        <w:rPr>
          <w:sz w:val="24"/>
          <w:szCs w:val="24"/>
        </w:rPr>
      </w:pPr>
    </w:p>
    <w:p w14:paraId="763B7AF8" w14:textId="77777777" w:rsidR="00D61B1D" w:rsidRPr="00D61B1D" w:rsidRDefault="00D61B1D" w:rsidP="00D61B1D">
      <w:pPr>
        <w:spacing w:line="360" w:lineRule="auto"/>
        <w:rPr>
          <w:sz w:val="24"/>
          <w:szCs w:val="24"/>
        </w:rPr>
      </w:pPr>
      <w:r w:rsidRPr="00D61B1D">
        <w:rPr>
          <w:sz w:val="24"/>
          <w:szCs w:val="24"/>
        </w:rPr>
        <w:t xml:space="preserve">Part of the findings came from the observation on-site by authors and from news reports during peak seasons of infection. The research was also coupled with interviews at different levels of staff in the company to review different elements of the 3H framework. As this was a qualitative interview, the interview was conducted two times by the same interviewer to minimize inter-observer bias. This allowed us to check for the reliability and validity of the data collected. The identity of the participant was not disclosed to the author to minimize the ethical issues aroused by the data-collecting processes. </w:t>
      </w:r>
    </w:p>
    <w:p w14:paraId="62E9685D" w14:textId="77777777" w:rsidR="00D61B1D" w:rsidRPr="00D61B1D" w:rsidRDefault="00D61B1D" w:rsidP="00D61B1D">
      <w:pPr>
        <w:spacing w:line="360" w:lineRule="auto"/>
        <w:rPr>
          <w:sz w:val="24"/>
          <w:szCs w:val="24"/>
        </w:rPr>
      </w:pPr>
    </w:p>
    <w:p w14:paraId="2F55A3C2" w14:textId="77777777" w:rsidR="00D61B1D" w:rsidRDefault="00D61B1D" w:rsidP="00D61B1D">
      <w:pPr>
        <w:spacing w:line="360" w:lineRule="auto"/>
        <w:rPr>
          <w:sz w:val="24"/>
          <w:szCs w:val="24"/>
        </w:rPr>
      </w:pPr>
    </w:p>
    <w:p w14:paraId="28462960" w14:textId="77777777" w:rsidR="00D61B1D" w:rsidRDefault="00D61B1D" w:rsidP="00D61B1D">
      <w:pPr>
        <w:spacing w:line="360" w:lineRule="auto"/>
        <w:rPr>
          <w:sz w:val="24"/>
          <w:szCs w:val="24"/>
        </w:rPr>
      </w:pPr>
    </w:p>
    <w:p w14:paraId="7E64DCC6" w14:textId="77777777" w:rsidR="00D61B1D" w:rsidRDefault="00D61B1D" w:rsidP="00D61B1D">
      <w:pPr>
        <w:spacing w:line="360" w:lineRule="auto"/>
        <w:rPr>
          <w:sz w:val="24"/>
          <w:szCs w:val="24"/>
        </w:rPr>
      </w:pPr>
    </w:p>
    <w:p w14:paraId="263E6788" w14:textId="77777777" w:rsidR="00D61B1D" w:rsidRDefault="00D61B1D" w:rsidP="00D61B1D">
      <w:pPr>
        <w:spacing w:line="360" w:lineRule="auto"/>
        <w:rPr>
          <w:sz w:val="24"/>
          <w:szCs w:val="24"/>
        </w:rPr>
      </w:pPr>
    </w:p>
    <w:p w14:paraId="5522E582" w14:textId="77777777" w:rsidR="00D61B1D" w:rsidRDefault="00D61B1D" w:rsidP="00D61B1D">
      <w:pPr>
        <w:spacing w:line="360" w:lineRule="auto"/>
        <w:rPr>
          <w:sz w:val="24"/>
          <w:szCs w:val="24"/>
        </w:rPr>
      </w:pPr>
    </w:p>
    <w:p w14:paraId="3B21F1FC" w14:textId="77777777" w:rsidR="00D61B1D" w:rsidRDefault="00D61B1D" w:rsidP="00D61B1D">
      <w:pPr>
        <w:spacing w:line="360" w:lineRule="auto"/>
        <w:rPr>
          <w:sz w:val="24"/>
          <w:szCs w:val="24"/>
        </w:rPr>
      </w:pPr>
    </w:p>
    <w:p w14:paraId="4885CA7C" w14:textId="77777777" w:rsidR="00D61B1D" w:rsidRDefault="00D61B1D" w:rsidP="00D61B1D">
      <w:pPr>
        <w:spacing w:line="360" w:lineRule="auto"/>
        <w:rPr>
          <w:sz w:val="24"/>
          <w:szCs w:val="24"/>
        </w:rPr>
      </w:pPr>
    </w:p>
    <w:p w14:paraId="0EADD409" w14:textId="77777777" w:rsidR="00D61B1D" w:rsidRDefault="00D61B1D" w:rsidP="00D61B1D">
      <w:pPr>
        <w:spacing w:line="360" w:lineRule="auto"/>
        <w:rPr>
          <w:sz w:val="24"/>
          <w:szCs w:val="24"/>
        </w:rPr>
      </w:pPr>
    </w:p>
    <w:p w14:paraId="0CC0846D" w14:textId="77777777" w:rsidR="00D61B1D" w:rsidRDefault="00D61B1D" w:rsidP="00D61B1D">
      <w:pPr>
        <w:spacing w:line="360" w:lineRule="auto"/>
        <w:rPr>
          <w:sz w:val="24"/>
          <w:szCs w:val="24"/>
        </w:rPr>
      </w:pPr>
    </w:p>
    <w:p w14:paraId="634BA20F" w14:textId="77777777" w:rsidR="00D61B1D" w:rsidRPr="00D61B1D" w:rsidRDefault="00D61B1D" w:rsidP="00D61B1D">
      <w:pPr>
        <w:spacing w:line="360" w:lineRule="auto"/>
        <w:rPr>
          <w:sz w:val="24"/>
          <w:szCs w:val="24"/>
        </w:rPr>
      </w:pPr>
    </w:p>
    <w:p w14:paraId="03781981" w14:textId="77777777" w:rsidR="00D61B1D" w:rsidRPr="00D61B1D" w:rsidRDefault="00D61B1D" w:rsidP="00D61B1D">
      <w:pPr>
        <w:pStyle w:val="ab"/>
        <w:widowControl w:val="0"/>
        <w:numPr>
          <w:ilvl w:val="0"/>
          <w:numId w:val="23"/>
        </w:numPr>
        <w:autoSpaceDE w:val="0"/>
        <w:autoSpaceDN w:val="0"/>
        <w:adjustRightInd w:val="0"/>
        <w:spacing w:line="360" w:lineRule="auto"/>
        <w:contextualSpacing w:val="0"/>
        <w:rPr>
          <w:caps/>
          <w:sz w:val="24"/>
          <w:szCs w:val="24"/>
          <w:u w:val="single"/>
        </w:rPr>
      </w:pPr>
      <w:r w:rsidRPr="00D61B1D">
        <w:rPr>
          <w:caps/>
          <w:sz w:val="24"/>
          <w:szCs w:val="24"/>
          <w:u w:val="single"/>
        </w:rPr>
        <w:lastRenderedPageBreak/>
        <w:t>Findings</w:t>
      </w:r>
    </w:p>
    <w:p w14:paraId="31771D0A"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The program was successful in controlling the spread of the virus from the first to the fourth wave of COVID-19 infection. </w:t>
      </w:r>
    </w:p>
    <w:p w14:paraId="41A1E4CB" w14:textId="77777777" w:rsidR="00D61B1D" w:rsidRPr="00D61B1D" w:rsidRDefault="00D61B1D" w:rsidP="00D61B1D">
      <w:pPr>
        <w:autoSpaceDE w:val="0"/>
        <w:autoSpaceDN w:val="0"/>
        <w:adjustRightInd w:val="0"/>
        <w:spacing w:line="360" w:lineRule="auto"/>
        <w:rPr>
          <w:sz w:val="24"/>
          <w:szCs w:val="24"/>
        </w:rPr>
      </w:pPr>
      <w:r w:rsidRPr="00D61B1D">
        <w:rPr>
          <w:noProof/>
          <w:sz w:val="24"/>
          <w:szCs w:val="24"/>
        </w:rPr>
        <w:drawing>
          <wp:inline distT="0" distB="0" distL="0" distR="0" wp14:anchorId="30F809D1" wp14:editId="369D5DBC">
            <wp:extent cx="5997756" cy="2819400"/>
            <wp:effectExtent l="0" t="0" r="3175" b="0"/>
            <wp:docPr id="2042878087" name="圖片 1" descr="一張含有 文字, 螢幕擷取畫面, 字型, 行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878087" name="圖片 1" descr="一張含有 文字, 螢幕擷取畫面, 字型, 行 的圖片&#10;&#10;自動產生的描述"/>
                    <pic:cNvPicPr>
                      <a:picLocks noChangeAspect="1" noChangeArrowheads="1"/>
                    </pic:cNvPicPr>
                  </pic:nvPicPr>
                  <pic:blipFill rotWithShape="1">
                    <a:blip r:embed="rId13">
                      <a:extLst>
                        <a:ext uri="{BEBA8EAE-BF5A-486C-A8C5-ECC9F3942E4B}">
                          <a14:imgProps xmlns:a14="http://schemas.microsoft.com/office/drawing/2010/main">
                            <a14:imgLayer r:embed="rId14">
                              <a14:imgEffect>
                                <a14:saturation sat="0"/>
                              </a14:imgEffect>
                            </a14:imgLayer>
                          </a14:imgProps>
                        </a:ext>
                        <a:ext uri="{28A0092B-C50C-407E-A947-70E740481C1C}">
                          <a14:useLocalDpi xmlns:a14="http://schemas.microsoft.com/office/drawing/2010/main" val="0"/>
                        </a:ext>
                      </a:extLst>
                    </a:blip>
                    <a:srcRect l="890" t="1683" r="1064" b="1457"/>
                    <a:stretch/>
                  </pic:blipFill>
                  <pic:spPr bwMode="auto">
                    <a:xfrm>
                      <a:off x="0" y="0"/>
                      <a:ext cx="6011802" cy="2826002"/>
                    </a:xfrm>
                    <a:prstGeom prst="rect">
                      <a:avLst/>
                    </a:prstGeom>
                    <a:noFill/>
                    <a:ln>
                      <a:noFill/>
                    </a:ln>
                    <a:extLst>
                      <a:ext uri="{53640926-AAD7-44D8-BBD7-CCE9431645EC}">
                        <a14:shadowObscured xmlns:a14="http://schemas.microsoft.com/office/drawing/2010/main"/>
                      </a:ext>
                    </a:extLst>
                  </pic:spPr>
                </pic:pic>
              </a:graphicData>
            </a:graphic>
          </wp:inline>
        </w:drawing>
      </w:r>
    </w:p>
    <w:p w14:paraId="7AD3299E" w14:textId="77777777" w:rsidR="00D61B1D" w:rsidRPr="00D61B1D" w:rsidRDefault="00D61B1D" w:rsidP="00D61B1D">
      <w:pPr>
        <w:autoSpaceDE w:val="0"/>
        <w:autoSpaceDN w:val="0"/>
        <w:adjustRightInd w:val="0"/>
        <w:spacing w:line="360" w:lineRule="auto"/>
        <w:rPr>
          <w:u w:val="single"/>
        </w:rPr>
      </w:pPr>
      <w:r w:rsidRPr="00D61B1D">
        <w:rPr>
          <w:u w:val="single"/>
        </w:rPr>
        <w:t>Figure 1: Number of COVID DNA PCR testing sampled in community testing centre from Nov 2020 to Feb 2023</w:t>
      </w:r>
    </w:p>
    <w:p w14:paraId="11F0857E" w14:textId="77777777" w:rsidR="00D61B1D" w:rsidRPr="00D61B1D" w:rsidRDefault="00D61B1D" w:rsidP="00D61B1D">
      <w:pPr>
        <w:autoSpaceDE w:val="0"/>
        <w:autoSpaceDN w:val="0"/>
        <w:adjustRightInd w:val="0"/>
        <w:spacing w:line="360" w:lineRule="auto"/>
      </w:pPr>
      <w:r w:rsidRPr="00D61B1D">
        <w:t>Source: Department of health Hong Kong, https://www.chp.gov.hk/files/pdf/statwastics_on_covid_19_testing.pdf</w:t>
      </w:r>
    </w:p>
    <w:p w14:paraId="533DE640" w14:textId="77777777" w:rsidR="00D61B1D" w:rsidRPr="00D61B1D" w:rsidRDefault="00D61B1D" w:rsidP="00D61B1D">
      <w:pPr>
        <w:autoSpaceDE w:val="0"/>
        <w:autoSpaceDN w:val="0"/>
        <w:adjustRightInd w:val="0"/>
        <w:spacing w:line="360" w:lineRule="auto"/>
        <w:rPr>
          <w:sz w:val="24"/>
          <w:szCs w:val="24"/>
        </w:rPr>
      </w:pPr>
      <w:r w:rsidRPr="00D61B1D">
        <w:rPr>
          <w:noProof/>
          <w:sz w:val="24"/>
          <w:szCs w:val="24"/>
        </w:rPr>
        <mc:AlternateContent>
          <mc:Choice Requires="wpg">
            <w:drawing>
              <wp:anchor distT="0" distB="0" distL="114300" distR="114300" simplePos="0" relativeHeight="251660288" behindDoc="0" locked="0" layoutInCell="1" allowOverlap="1" wp14:anchorId="4E21C1B9" wp14:editId="0011BA8A">
                <wp:simplePos x="0" y="0"/>
                <wp:positionH relativeFrom="column">
                  <wp:posOffset>1560467</wp:posOffset>
                </wp:positionH>
                <wp:positionV relativeFrom="paragraph">
                  <wp:posOffset>1565910</wp:posOffset>
                </wp:positionV>
                <wp:extent cx="1170304" cy="762000"/>
                <wp:effectExtent l="0" t="0" r="11430" b="38100"/>
                <wp:wrapNone/>
                <wp:docPr id="1545554190" name="群組 2"/>
                <wp:cNvGraphicFramePr/>
                <a:graphic xmlns:a="http://schemas.openxmlformats.org/drawingml/2006/main">
                  <a:graphicData uri="http://schemas.microsoft.com/office/word/2010/wordprocessingGroup">
                    <wpg:wgp>
                      <wpg:cNvGrpSpPr/>
                      <wpg:grpSpPr>
                        <a:xfrm>
                          <a:off x="0" y="0"/>
                          <a:ext cx="1170304" cy="762000"/>
                          <a:chOff x="0" y="0"/>
                          <a:chExt cx="1170304" cy="762000"/>
                        </a:xfrm>
                      </wpg:grpSpPr>
                      <wps:wsp>
                        <wps:cNvPr id="1964885048" name="箭號: 向下 1"/>
                        <wps:cNvSpPr/>
                        <wps:spPr>
                          <a:xfrm>
                            <a:off x="449036" y="375557"/>
                            <a:ext cx="157843" cy="386443"/>
                          </a:xfrm>
                          <a:prstGeom prst="downArrow">
                            <a:avLst/>
                          </a:prstGeom>
                          <a:solidFill>
                            <a:schemeClr val="bg2">
                              <a:lumMod val="5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7" name="文字方塊 2"/>
                        <wps:cNvSpPr txBox="1">
                          <a:spLocks noChangeArrowheads="1"/>
                        </wps:cNvSpPr>
                        <wps:spPr bwMode="auto">
                          <a:xfrm>
                            <a:off x="0" y="0"/>
                            <a:ext cx="1170304" cy="247014"/>
                          </a:xfrm>
                          <a:prstGeom prst="rect">
                            <a:avLst/>
                          </a:prstGeom>
                          <a:solidFill>
                            <a:srgbClr val="FFFFFF"/>
                          </a:solidFill>
                          <a:ln w="9525">
                            <a:solidFill>
                              <a:srgbClr val="000000"/>
                            </a:solidFill>
                            <a:miter lim="800000"/>
                            <a:headEnd/>
                            <a:tailEnd/>
                          </a:ln>
                        </wps:spPr>
                        <wps:txbx>
                          <w:txbxContent>
                            <w:p w14:paraId="3B1D71C8" w14:textId="77777777" w:rsidR="00D61B1D" w:rsidRDefault="00D61B1D" w:rsidP="00D61B1D">
                              <w:r>
                                <w:t>Opening of CTC</w:t>
                              </w:r>
                            </w:p>
                          </w:txbxContent>
                        </wps:txbx>
                        <wps:bodyPr rot="0" vert="horz" wrap="square" lIns="91440" tIns="45720" rIns="91440" bIns="45720" anchor="t" anchorCtr="0">
                          <a:spAutoFit/>
                        </wps:bodyPr>
                      </wps:wsp>
                    </wpg:wgp>
                  </a:graphicData>
                </a:graphic>
              </wp:anchor>
            </w:drawing>
          </mc:Choice>
          <mc:Fallback>
            <w:pict>
              <v:group w14:anchorId="4E21C1B9" id="群組 2" o:spid="_x0000_s1026" style="position:absolute;margin-left:122.85pt;margin-top:123.3pt;width:92.15pt;height:60pt;z-index:251660288" coordsize="11703,7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">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箭號: 向下 1" o:spid="_x0000_s1027" type="#_x0000_t67" style="position:absolute;left:4490;top:3755;width:1578;height:38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" adj="17189" fillcolor="#938953 [1614]" strokecolor="#0a121c [484]" strokeweight="2pt"/>
                <v:shapetype id="_x0000_t202" coordsize="21600,21600" o:spt="202" path="m,l,21600r21600,l21600,xe">
                  <v:stroke joinstyle="miter"/>
                  <v:path gradientshapeok="t" o:connecttype="rect"/>
                </v:shapetype>
                <v:shape id="文字方塊 2" o:spid="_x0000_s1028" type="#_x0000_t202" style="position:absolute;width:11703;height:24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">
                  <v:textbox style="mso-fit-shape-to-text:t">
                    <w:txbxContent>
                      <w:p w14:paraId="3B1D71C8" w14:textId="77777777" w:rsidR="00D61B1D" w:rsidRDefault="00D61B1D" w:rsidP="00D61B1D">
                        <w:r>
                          <w:t>Opening of CTC</w:t>
                        </w:r>
                      </w:p>
                    </w:txbxContent>
                  </v:textbox>
                </v:shape>
              </v:group>
            </w:pict>
          </mc:Fallback>
        </mc:AlternateContent>
      </w:r>
      <w:r w:rsidRPr="00D61B1D">
        <w:rPr>
          <w:noProof/>
          <w:sz w:val="24"/>
          <w:szCs w:val="24"/>
        </w:rPr>
        <w:drawing>
          <wp:inline distT="0" distB="0" distL="0" distR="0" wp14:anchorId="432DFBED" wp14:editId="56268AFD">
            <wp:extent cx="6120130" cy="3230880"/>
            <wp:effectExtent l="0" t="0" r="0" b="7620"/>
            <wp:docPr id="3" name="圖片 2" descr="一張含有 文字, 螢幕擷取畫面, 軟體, 電腦圖示 的圖片&#10;&#10;自動產生的描述">
              <a:extLst xmlns:a="http://schemas.openxmlformats.org/drawingml/2006/main">
                <a:ext uri="{FF2B5EF4-FFF2-40B4-BE49-F238E27FC236}">
                  <a16:creationId xmlns:a16="http://schemas.microsoft.com/office/drawing/2014/main" id="{E715FFED-6788-ECD0-88CE-1D27730BDB5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圖片 2" descr="一張含有 文字, 螢幕擷取畫面, 軟體, 電腦圖示 的圖片&#10;&#10;自動產生的描述">
                      <a:extLst>
                        <a:ext uri="{FF2B5EF4-FFF2-40B4-BE49-F238E27FC236}">
                          <a16:creationId xmlns:a16="http://schemas.microsoft.com/office/drawing/2014/main" id="{E715FFED-6788-ECD0-88CE-1D27730BDB56}"/>
                        </a:ext>
                      </a:extLst>
                    </pic:cNvPr>
                    <pic:cNvPicPr>
                      <a:picLocks noChangeAspect="1"/>
                    </pic:cNvPicPr>
                  </pic:nvPicPr>
                  <pic:blipFill rotWithShape="1">
                    <a:blip r:embed="rId15">
                      <a:extLst>
                        <a:ext uri="{BEBA8EAE-BF5A-486C-A8C5-ECC9F3942E4B}">
                          <a14:imgProps xmlns:a14="http://schemas.microsoft.com/office/drawing/2010/main">
                            <a14:imgLayer r:embed="rId16">
                              <a14:imgEffect>
                                <a14:saturation sat="0"/>
                              </a14:imgEffect>
                            </a14:imgLayer>
                          </a14:imgProps>
                        </a:ext>
                      </a:extLst>
                    </a:blip>
                    <a:srcRect l="10502" t="33738" r="42298" b="26390"/>
                    <a:stretch/>
                  </pic:blipFill>
                  <pic:spPr>
                    <a:xfrm>
                      <a:off x="0" y="0"/>
                      <a:ext cx="6120130" cy="3230880"/>
                    </a:xfrm>
                    <a:prstGeom prst="rect">
                      <a:avLst/>
                    </a:prstGeom>
                    <a:ln>
                      <a:noFill/>
                    </a:ln>
                  </pic:spPr>
                </pic:pic>
              </a:graphicData>
            </a:graphic>
          </wp:inline>
        </w:drawing>
      </w:r>
    </w:p>
    <w:p w14:paraId="08B6F6ED" w14:textId="77777777" w:rsidR="00D61B1D" w:rsidRPr="00D61B1D" w:rsidRDefault="00D61B1D" w:rsidP="00D61B1D">
      <w:pPr>
        <w:autoSpaceDE w:val="0"/>
        <w:autoSpaceDN w:val="0"/>
        <w:adjustRightInd w:val="0"/>
        <w:spacing w:line="360" w:lineRule="auto"/>
        <w:rPr>
          <w:color w:val="495766"/>
          <w:u w:val="single"/>
          <w:shd w:val="clear" w:color="auto" w:fill="FFFFFF"/>
        </w:rPr>
      </w:pPr>
      <w:r w:rsidRPr="00D61B1D">
        <w:rPr>
          <w:color w:val="495766"/>
          <w:u w:val="single"/>
          <w:shd w:val="clear" w:color="auto" w:fill="FFFFFF"/>
        </w:rPr>
        <w:t>Figure 2: The Latest situation of reported cases of COVID-19 in Hong Kong </w:t>
      </w:r>
    </w:p>
    <w:p w14:paraId="6E2B951F" w14:textId="77777777" w:rsidR="00D61B1D" w:rsidRPr="00D61B1D" w:rsidRDefault="00D61B1D" w:rsidP="00D61B1D">
      <w:pPr>
        <w:autoSpaceDE w:val="0"/>
        <w:autoSpaceDN w:val="0"/>
        <w:adjustRightInd w:val="0"/>
        <w:spacing w:line="360" w:lineRule="auto"/>
      </w:pPr>
      <w:r w:rsidRPr="00D61B1D">
        <w:rPr>
          <w:color w:val="495766"/>
          <w:shd w:val="clear" w:color="auto" w:fill="FFFFFF"/>
        </w:rPr>
        <w:t>Source: https://data.gov.hk/en-data/dataset/hk-dh-chpsebcddr-novel-infectious-agent</w:t>
      </w:r>
    </w:p>
    <w:p w14:paraId="1904BADA"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The first wave of COVID-19 in Hong Kong started in January 2020. This was followed by a second wave in March and April 2020, which was dominated by the beta strain of the virus. In July 2020, the third wave hit Hong Kong, primarily affecting sea crew and domestic helpers. The fourth wave occurred from November 2020 to January 2021.</w:t>
      </w:r>
    </w:p>
    <w:p w14:paraId="658108F2" w14:textId="77777777" w:rsidR="00D61B1D" w:rsidRPr="00D61B1D" w:rsidRDefault="00D61B1D" w:rsidP="00D61B1D">
      <w:pPr>
        <w:autoSpaceDE w:val="0"/>
        <w:autoSpaceDN w:val="0"/>
        <w:adjustRightInd w:val="0"/>
        <w:spacing w:line="360" w:lineRule="auto"/>
        <w:rPr>
          <w:sz w:val="24"/>
          <w:szCs w:val="24"/>
        </w:rPr>
      </w:pPr>
      <w:r w:rsidRPr="00D61B1D">
        <w:rPr>
          <w:sz w:val="24"/>
          <w:szCs w:val="24"/>
        </w:rPr>
        <w:lastRenderedPageBreak/>
        <w:t xml:space="preserve">To detect early for any virus in the community, the Universal Community Testing Program (UCTP) was implemented by Hong Kong Government in September 2020. UCTP was on a voluntary baswas, and therefore only about 1.7 M samples were collected, which accounted for 23% of the population in Hong Kong. Although the detection rate was low, the necessary infrastructure for operating testing centres was made. In November 2020, the first community testing centres (CTCs) were opened, providing regular and compulsory testing for the citizens. </w:t>
      </w:r>
    </w:p>
    <w:p w14:paraId="22411E42"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Since then, the operation of community testing centres played a critical role in the early detection and isolation of infected people. The number of tests was closely related to the increased number of cases in the community, which was restricted to a small number compared to the fifth wave.  The pandemic in Hong Kong was considered to be controlled within that period. </w:t>
      </w:r>
    </w:p>
    <w:p w14:paraId="3732847F" w14:textId="77777777" w:rsidR="00D61B1D" w:rsidRPr="00D61B1D" w:rsidRDefault="00D61B1D" w:rsidP="00D61B1D">
      <w:pPr>
        <w:autoSpaceDE w:val="0"/>
        <w:autoSpaceDN w:val="0"/>
        <w:adjustRightInd w:val="0"/>
        <w:spacing w:line="360" w:lineRule="auto"/>
        <w:rPr>
          <w:sz w:val="24"/>
          <w:szCs w:val="24"/>
        </w:rPr>
      </w:pPr>
    </w:p>
    <w:p w14:paraId="2811D0A8"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There was an increased importance of operating community testing centres during the outbreak in the fifth wave. </w:t>
      </w:r>
    </w:p>
    <w:p w14:paraId="4E7E92AC"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Hong Kong has been facing its fifth wave of COVID-19 since Jan 2021. In response to an increase in infection numbers in the Yau Ma Tei and Jordan areas during this period, the Hong Kong Government imposed lockdown measures. On 23 January 2021, a lockdown was imposed on Jordan for 48 hours, affecting 10,000 residents who were required to undergo testing. Similar lockdowns were imposed in other areas, such as Yau Ma Tei, North Point, Yuen Long, Tsim Sha Tsui, and Kowloon City. These lockdowns aimed to find and isolate infected individuals actively. These lockdowns were sometimes announced, while others were unannounced, catching residents by surprise. The unannounced lockdown happened from evening to midnight, when the citizens usually stayed at home under a strict quarantine policy.</w:t>
      </w:r>
    </w:p>
    <w:p w14:paraId="68CDC1EC"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In February 2022, Hong Kong experienced a sudden surge in demand for COVID-19 testing. This increase in testing was likely due to the emergence of the highly infectious Omicron strain. </w:t>
      </w:r>
    </w:p>
    <w:p w14:paraId="38957B16" w14:textId="77777777" w:rsidR="00D61B1D" w:rsidRPr="00D61B1D" w:rsidRDefault="00D61B1D" w:rsidP="00D61B1D">
      <w:pPr>
        <w:autoSpaceDE w:val="0"/>
        <w:autoSpaceDN w:val="0"/>
        <w:adjustRightInd w:val="0"/>
        <w:spacing w:line="360" w:lineRule="auto"/>
        <w:rPr>
          <w:sz w:val="24"/>
          <w:szCs w:val="24"/>
        </w:rPr>
      </w:pPr>
    </w:p>
    <w:p w14:paraId="599FDA99" w14:textId="77777777" w:rsidR="00D61B1D" w:rsidRDefault="00D61B1D" w:rsidP="00D61B1D">
      <w:pPr>
        <w:autoSpaceDE w:val="0"/>
        <w:autoSpaceDN w:val="0"/>
        <w:adjustRightInd w:val="0"/>
        <w:spacing w:line="360" w:lineRule="auto"/>
        <w:rPr>
          <w:sz w:val="24"/>
          <w:szCs w:val="24"/>
        </w:rPr>
      </w:pPr>
      <w:r w:rsidRPr="00D61B1D">
        <w:rPr>
          <w:sz w:val="24"/>
          <w:szCs w:val="24"/>
        </w:rPr>
        <w:t>Company A has the leading position in operating CTCs in 2</w:t>
      </w:r>
      <w:r w:rsidRPr="00D61B1D">
        <w:rPr>
          <w:sz w:val="24"/>
          <w:szCs w:val="24"/>
          <w:vertAlign w:val="superscript"/>
        </w:rPr>
        <w:t>nd</w:t>
      </w:r>
      <w:r w:rsidRPr="00D61B1D">
        <w:rPr>
          <w:sz w:val="24"/>
          <w:szCs w:val="24"/>
        </w:rPr>
        <w:t xml:space="preserve"> and 3</w:t>
      </w:r>
      <w:r w:rsidRPr="00D61B1D">
        <w:rPr>
          <w:sz w:val="24"/>
          <w:szCs w:val="24"/>
          <w:vertAlign w:val="superscript"/>
        </w:rPr>
        <w:t>rd</w:t>
      </w:r>
      <w:r w:rsidRPr="00D61B1D">
        <w:rPr>
          <w:sz w:val="24"/>
          <w:szCs w:val="24"/>
        </w:rPr>
        <w:t xml:space="preserve"> tender offers by the government. There were three rounds of tender to invite contractors to join to operate CTCs. The first tender was in Nov 2020; the second tender was in June 2021, while the third one was in Oct 2022. </w:t>
      </w:r>
    </w:p>
    <w:p w14:paraId="5862EE43" w14:textId="77777777" w:rsidR="00D61B1D" w:rsidRDefault="00D61B1D" w:rsidP="00D61B1D">
      <w:pPr>
        <w:autoSpaceDE w:val="0"/>
        <w:autoSpaceDN w:val="0"/>
        <w:adjustRightInd w:val="0"/>
        <w:spacing w:line="360" w:lineRule="auto"/>
        <w:rPr>
          <w:sz w:val="24"/>
          <w:szCs w:val="24"/>
        </w:rPr>
      </w:pPr>
    </w:p>
    <w:p w14:paraId="5920EE12" w14:textId="77777777" w:rsidR="00D61B1D" w:rsidRDefault="00D61B1D" w:rsidP="00D61B1D">
      <w:pPr>
        <w:autoSpaceDE w:val="0"/>
        <w:autoSpaceDN w:val="0"/>
        <w:adjustRightInd w:val="0"/>
        <w:spacing w:line="360" w:lineRule="auto"/>
        <w:rPr>
          <w:sz w:val="24"/>
          <w:szCs w:val="24"/>
        </w:rPr>
      </w:pPr>
    </w:p>
    <w:p w14:paraId="3EC0FDC8" w14:textId="77777777" w:rsidR="00D61B1D" w:rsidRDefault="00D61B1D" w:rsidP="00D61B1D">
      <w:pPr>
        <w:autoSpaceDE w:val="0"/>
        <w:autoSpaceDN w:val="0"/>
        <w:adjustRightInd w:val="0"/>
        <w:spacing w:line="360" w:lineRule="auto"/>
        <w:rPr>
          <w:sz w:val="24"/>
          <w:szCs w:val="24"/>
        </w:rPr>
      </w:pPr>
    </w:p>
    <w:p w14:paraId="54DF8EB3" w14:textId="77777777" w:rsidR="00D61B1D" w:rsidRDefault="00D61B1D" w:rsidP="00D61B1D">
      <w:pPr>
        <w:autoSpaceDE w:val="0"/>
        <w:autoSpaceDN w:val="0"/>
        <w:adjustRightInd w:val="0"/>
        <w:spacing w:line="360" w:lineRule="auto"/>
        <w:rPr>
          <w:sz w:val="24"/>
          <w:szCs w:val="24"/>
        </w:rPr>
      </w:pPr>
    </w:p>
    <w:p w14:paraId="1F362594" w14:textId="77777777" w:rsidR="00D61B1D" w:rsidRDefault="00D61B1D" w:rsidP="00D61B1D">
      <w:pPr>
        <w:autoSpaceDE w:val="0"/>
        <w:autoSpaceDN w:val="0"/>
        <w:adjustRightInd w:val="0"/>
        <w:spacing w:line="360" w:lineRule="auto"/>
        <w:rPr>
          <w:sz w:val="24"/>
          <w:szCs w:val="24"/>
        </w:rPr>
      </w:pPr>
    </w:p>
    <w:p w14:paraId="3DD8B9B5" w14:textId="77777777" w:rsidR="00D61B1D" w:rsidRPr="00D61B1D" w:rsidRDefault="00D61B1D" w:rsidP="00D61B1D">
      <w:pPr>
        <w:autoSpaceDE w:val="0"/>
        <w:autoSpaceDN w:val="0"/>
        <w:adjustRightInd w:val="0"/>
        <w:spacing w:line="360" w:lineRule="auto"/>
        <w:rPr>
          <w:sz w:val="24"/>
          <w:szCs w:val="24"/>
        </w:rPr>
      </w:pPr>
    </w:p>
    <w:tbl>
      <w:tblPr>
        <w:tblpPr w:leftFromText="180" w:rightFromText="180" w:vertAnchor="text" w:tblpY="1"/>
        <w:tblOverlap w:val="never"/>
        <w:tblW w:w="42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28" w:type="dxa"/>
          <w:right w:w="28" w:type="dxa"/>
        </w:tblCellMar>
        <w:tblLook w:val="04A0" w:firstRow="1" w:lastRow="0" w:firstColumn="1" w:lastColumn="0" w:noHBand="0" w:noVBand="1"/>
      </w:tblPr>
      <w:tblGrid>
        <w:gridCol w:w="1416"/>
        <w:gridCol w:w="1416"/>
        <w:gridCol w:w="1416"/>
      </w:tblGrid>
      <w:tr w:rsidR="00D61B1D" w:rsidRPr="00D61B1D" w14:paraId="15F38B02" w14:textId="77777777" w:rsidTr="001D7929">
        <w:trPr>
          <w:trHeight w:val="276"/>
        </w:trPr>
        <w:tc>
          <w:tcPr>
            <w:tcW w:w="1416" w:type="dxa"/>
            <w:shd w:val="clear" w:color="auto" w:fill="auto"/>
            <w:hideMark/>
          </w:tcPr>
          <w:p w14:paraId="64921717" w14:textId="77777777" w:rsidR="00D61B1D" w:rsidRPr="00D61B1D" w:rsidRDefault="00D61B1D" w:rsidP="00D61B1D">
            <w:pPr>
              <w:spacing w:line="360" w:lineRule="auto"/>
              <w:jc w:val="center"/>
              <w:rPr>
                <w:color w:val="000000"/>
                <w:sz w:val="24"/>
                <w:szCs w:val="24"/>
              </w:rPr>
            </w:pPr>
            <w:r w:rsidRPr="00D61B1D">
              <w:rPr>
                <w:color w:val="000000"/>
                <w:sz w:val="24"/>
                <w:szCs w:val="24"/>
              </w:rPr>
              <w:lastRenderedPageBreak/>
              <w:t>Company</w:t>
            </w:r>
          </w:p>
        </w:tc>
        <w:tc>
          <w:tcPr>
            <w:tcW w:w="1416" w:type="dxa"/>
            <w:shd w:val="clear" w:color="auto" w:fill="auto"/>
            <w:noWrap/>
            <w:hideMark/>
          </w:tcPr>
          <w:p w14:paraId="538CC2B1"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2nd tender</w:t>
            </w:r>
          </w:p>
        </w:tc>
        <w:tc>
          <w:tcPr>
            <w:tcW w:w="1416" w:type="dxa"/>
            <w:shd w:val="clear" w:color="auto" w:fill="auto"/>
            <w:noWrap/>
            <w:hideMark/>
          </w:tcPr>
          <w:p w14:paraId="5A15EB5F"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3rd tender</w:t>
            </w:r>
          </w:p>
        </w:tc>
      </w:tr>
      <w:tr w:rsidR="00D61B1D" w:rsidRPr="00D61B1D" w14:paraId="442174D0" w14:textId="77777777" w:rsidTr="001D7929">
        <w:trPr>
          <w:trHeight w:val="264"/>
        </w:trPr>
        <w:tc>
          <w:tcPr>
            <w:tcW w:w="1416" w:type="dxa"/>
            <w:shd w:val="clear" w:color="auto" w:fill="auto"/>
            <w:noWrap/>
            <w:hideMark/>
          </w:tcPr>
          <w:p w14:paraId="3B2889FE" w14:textId="77777777" w:rsidR="00D61B1D" w:rsidRPr="00D61B1D" w:rsidRDefault="00D61B1D" w:rsidP="00D61B1D">
            <w:pPr>
              <w:spacing w:line="360" w:lineRule="auto"/>
              <w:jc w:val="center"/>
              <w:rPr>
                <w:rFonts w:eastAsia="Times New Roman"/>
                <w:b/>
                <w:bCs/>
                <w:color w:val="000000"/>
                <w:sz w:val="24"/>
                <w:szCs w:val="24"/>
              </w:rPr>
            </w:pPr>
            <w:r w:rsidRPr="00D61B1D">
              <w:rPr>
                <w:rFonts w:eastAsia="Times New Roman"/>
                <w:b/>
                <w:bCs/>
                <w:color w:val="000000"/>
                <w:sz w:val="24"/>
                <w:szCs w:val="24"/>
              </w:rPr>
              <w:t>A</w:t>
            </w:r>
          </w:p>
        </w:tc>
        <w:tc>
          <w:tcPr>
            <w:tcW w:w="1416" w:type="dxa"/>
            <w:shd w:val="clear" w:color="auto" w:fill="auto"/>
            <w:noWrap/>
            <w:hideMark/>
          </w:tcPr>
          <w:p w14:paraId="1D42ACF1" w14:textId="77777777" w:rsidR="00D61B1D" w:rsidRPr="00D61B1D" w:rsidRDefault="00D61B1D" w:rsidP="00D61B1D">
            <w:pPr>
              <w:spacing w:line="360" w:lineRule="auto"/>
              <w:jc w:val="center"/>
              <w:rPr>
                <w:rFonts w:eastAsia="Times New Roman"/>
                <w:b/>
                <w:bCs/>
                <w:i/>
                <w:iCs/>
                <w:color w:val="000000"/>
                <w:sz w:val="24"/>
                <w:szCs w:val="24"/>
              </w:rPr>
            </w:pPr>
            <w:r w:rsidRPr="00D61B1D">
              <w:rPr>
                <w:rFonts w:eastAsia="Times New Roman"/>
                <w:b/>
                <w:bCs/>
                <w:i/>
                <w:iCs/>
                <w:color w:val="000000"/>
                <w:sz w:val="24"/>
                <w:szCs w:val="24"/>
              </w:rPr>
              <w:t>25%</w:t>
            </w:r>
          </w:p>
        </w:tc>
        <w:tc>
          <w:tcPr>
            <w:tcW w:w="1416" w:type="dxa"/>
            <w:shd w:val="clear" w:color="auto" w:fill="auto"/>
            <w:noWrap/>
            <w:hideMark/>
          </w:tcPr>
          <w:p w14:paraId="21F160F6" w14:textId="77777777" w:rsidR="00D61B1D" w:rsidRPr="00D61B1D" w:rsidRDefault="00D61B1D" w:rsidP="00D61B1D">
            <w:pPr>
              <w:spacing w:line="360" w:lineRule="auto"/>
              <w:jc w:val="center"/>
              <w:rPr>
                <w:rFonts w:eastAsia="Times New Roman"/>
                <w:b/>
                <w:bCs/>
                <w:i/>
                <w:iCs/>
                <w:color w:val="000000"/>
                <w:sz w:val="24"/>
                <w:szCs w:val="24"/>
              </w:rPr>
            </w:pPr>
            <w:r w:rsidRPr="00D61B1D">
              <w:rPr>
                <w:rFonts w:eastAsia="Times New Roman"/>
                <w:b/>
                <w:bCs/>
                <w:i/>
                <w:iCs/>
                <w:color w:val="000000"/>
                <w:sz w:val="24"/>
                <w:szCs w:val="24"/>
              </w:rPr>
              <w:t>15%</w:t>
            </w:r>
          </w:p>
        </w:tc>
      </w:tr>
      <w:tr w:rsidR="00D61B1D" w:rsidRPr="00D61B1D" w14:paraId="5A54ED99" w14:textId="77777777" w:rsidTr="001D7929">
        <w:trPr>
          <w:trHeight w:val="264"/>
        </w:trPr>
        <w:tc>
          <w:tcPr>
            <w:tcW w:w="1416" w:type="dxa"/>
            <w:shd w:val="clear" w:color="auto" w:fill="auto"/>
            <w:noWrap/>
            <w:hideMark/>
          </w:tcPr>
          <w:p w14:paraId="528B3949"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B</w:t>
            </w:r>
          </w:p>
        </w:tc>
        <w:tc>
          <w:tcPr>
            <w:tcW w:w="1416" w:type="dxa"/>
            <w:shd w:val="clear" w:color="auto" w:fill="auto"/>
            <w:noWrap/>
            <w:hideMark/>
          </w:tcPr>
          <w:p w14:paraId="42218AAC"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19%</w:t>
            </w:r>
          </w:p>
        </w:tc>
        <w:tc>
          <w:tcPr>
            <w:tcW w:w="1416" w:type="dxa"/>
            <w:shd w:val="clear" w:color="auto" w:fill="auto"/>
            <w:noWrap/>
            <w:hideMark/>
          </w:tcPr>
          <w:p w14:paraId="1BD1CA91"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15%</w:t>
            </w:r>
          </w:p>
        </w:tc>
      </w:tr>
      <w:tr w:rsidR="00D61B1D" w:rsidRPr="00D61B1D" w14:paraId="6C9C8F8D" w14:textId="77777777" w:rsidTr="001D7929">
        <w:trPr>
          <w:trHeight w:val="264"/>
        </w:trPr>
        <w:tc>
          <w:tcPr>
            <w:tcW w:w="1416" w:type="dxa"/>
            <w:shd w:val="clear" w:color="auto" w:fill="auto"/>
            <w:noWrap/>
            <w:hideMark/>
          </w:tcPr>
          <w:p w14:paraId="072BE705"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C</w:t>
            </w:r>
          </w:p>
        </w:tc>
        <w:tc>
          <w:tcPr>
            <w:tcW w:w="1416" w:type="dxa"/>
            <w:shd w:val="clear" w:color="auto" w:fill="auto"/>
            <w:noWrap/>
            <w:hideMark/>
          </w:tcPr>
          <w:p w14:paraId="3A4A5587"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14%</w:t>
            </w:r>
          </w:p>
        </w:tc>
        <w:tc>
          <w:tcPr>
            <w:tcW w:w="1416" w:type="dxa"/>
            <w:shd w:val="clear" w:color="auto" w:fill="auto"/>
            <w:noWrap/>
            <w:hideMark/>
          </w:tcPr>
          <w:p w14:paraId="50BFE40C"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10%</w:t>
            </w:r>
          </w:p>
        </w:tc>
      </w:tr>
      <w:tr w:rsidR="00D61B1D" w:rsidRPr="00D61B1D" w14:paraId="3874C564" w14:textId="77777777" w:rsidTr="001D7929">
        <w:trPr>
          <w:trHeight w:val="264"/>
        </w:trPr>
        <w:tc>
          <w:tcPr>
            <w:tcW w:w="1416" w:type="dxa"/>
            <w:shd w:val="clear" w:color="auto" w:fill="auto"/>
            <w:noWrap/>
            <w:hideMark/>
          </w:tcPr>
          <w:p w14:paraId="4D3C0357"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D</w:t>
            </w:r>
          </w:p>
        </w:tc>
        <w:tc>
          <w:tcPr>
            <w:tcW w:w="1416" w:type="dxa"/>
            <w:shd w:val="clear" w:color="auto" w:fill="auto"/>
            <w:noWrap/>
            <w:hideMark/>
          </w:tcPr>
          <w:p w14:paraId="125908D5"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12%</w:t>
            </w:r>
          </w:p>
        </w:tc>
        <w:tc>
          <w:tcPr>
            <w:tcW w:w="1416" w:type="dxa"/>
            <w:shd w:val="clear" w:color="auto" w:fill="auto"/>
            <w:noWrap/>
            <w:hideMark/>
          </w:tcPr>
          <w:p w14:paraId="7CB4A041"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11%</w:t>
            </w:r>
          </w:p>
        </w:tc>
      </w:tr>
      <w:tr w:rsidR="00D61B1D" w:rsidRPr="00D61B1D" w14:paraId="0A168B3E" w14:textId="77777777" w:rsidTr="001D7929">
        <w:trPr>
          <w:trHeight w:val="264"/>
        </w:trPr>
        <w:tc>
          <w:tcPr>
            <w:tcW w:w="1416" w:type="dxa"/>
            <w:shd w:val="clear" w:color="auto" w:fill="auto"/>
            <w:noWrap/>
            <w:hideMark/>
          </w:tcPr>
          <w:p w14:paraId="72C556D4"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E</w:t>
            </w:r>
          </w:p>
        </w:tc>
        <w:tc>
          <w:tcPr>
            <w:tcW w:w="1416" w:type="dxa"/>
            <w:shd w:val="clear" w:color="auto" w:fill="auto"/>
            <w:noWrap/>
            <w:hideMark/>
          </w:tcPr>
          <w:p w14:paraId="17A10A7D"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8%</w:t>
            </w:r>
          </w:p>
        </w:tc>
        <w:tc>
          <w:tcPr>
            <w:tcW w:w="1416" w:type="dxa"/>
            <w:shd w:val="clear" w:color="auto" w:fill="auto"/>
            <w:noWrap/>
            <w:hideMark/>
          </w:tcPr>
          <w:p w14:paraId="181C2079"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8%</w:t>
            </w:r>
          </w:p>
        </w:tc>
      </w:tr>
      <w:tr w:rsidR="00D61B1D" w:rsidRPr="00D61B1D" w14:paraId="3C1EA7C6" w14:textId="77777777" w:rsidTr="001D7929">
        <w:trPr>
          <w:trHeight w:val="264"/>
        </w:trPr>
        <w:tc>
          <w:tcPr>
            <w:tcW w:w="1416" w:type="dxa"/>
            <w:shd w:val="clear" w:color="auto" w:fill="auto"/>
            <w:noWrap/>
            <w:hideMark/>
          </w:tcPr>
          <w:p w14:paraId="1DE86F5D"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F</w:t>
            </w:r>
          </w:p>
        </w:tc>
        <w:tc>
          <w:tcPr>
            <w:tcW w:w="1416" w:type="dxa"/>
            <w:shd w:val="clear" w:color="auto" w:fill="auto"/>
            <w:noWrap/>
            <w:hideMark/>
          </w:tcPr>
          <w:p w14:paraId="79051235"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8%</w:t>
            </w:r>
          </w:p>
        </w:tc>
        <w:tc>
          <w:tcPr>
            <w:tcW w:w="1416" w:type="dxa"/>
            <w:shd w:val="clear" w:color="auto" w:fill="auto"/>
            <w:noWrap/>
            <w:hideMark/>
          </w:tcPr>
          <w:p w14:paraId="529869C6"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13%</w:t>
            </w:r>
          </w:p>
        </w:tc>
      </w:tr>
      <w:tr w:rsidR="00D61B1D" w:rsidRPr="00D61B1D" w14:paraId="361435A4" w14:textId="77777777" w:rsidTr="001D7929">
        <w:trPr>
          <w:trHeight w:val="264"/>
        </w:trPr>
        <w:tc>
          <w:tcPr>
            <w:tcW w:w="1416" w:type="dxa"/>
            <w:shd w:val="clear" w:color="auto" w:fill="auto"/>
            <w:noWrap/>
            <w:hideMark/>
          </w:tcPr>
          <w:p w14:paraId="7F171E68"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G</w:t>
            </w:r>
          </w:p>
        </w:tc>
        <w:tc>
          <w:tcPr>
            <w:tcW w:w="1416" w:type="dxa"/>
            <w:shd w:val="clear" w:color="auto" w:fill="auto"/>
            <w:noWrap/>
            <w:hideMark/>
          </w:tcPr>
          <w:p w14:paraId="34F686ED"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4%</w:t>
            </w:r>
          </w:p>
        </w:tc>
        <w:tc>
          <w:tcPr>
            <w:tcW w:w="1416" w:type="dxa"/>
            <w:shd w:val="clear" w:color="auto" w:fill="auto"/>
            <w:noWrap/>
            <w:hideMark/>
          </w:tcPr>
          <w:p w14:paraId="70A2F169"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4%</w:t>
            </w:r>
          </w:p>
        </w:tc>
      </w:tr>
      <w:tr w:rsidR="00D61B1D" w:rsidRPr="00D61B1D" w14:paraId="50C9BD63" w14:textId="77777777" w:rsidTr="001D7929">
        <w:trPr>
          <w:trHeight w:val="264"/>
        </w:trPr>
        <w:tc>
          <w:tcPr>
            <w:tcW w:w="1416" w:type="dxa"/>
            <w:shd w:val="clear" w:color="auto" w:fill="auto"/>
            <w:noWrap/>
            <w:hideMark/>
          </w:tcPr>
          <w:p w14:paraId="405AAF04"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H</w:t>
            </w:r>
          </w:p>
        </w:tc>
        <w:tc>
          <w:tcPr>
            <w:tcW w:w="1416" w:type="dxa"/>
            <w:shd w:val="clear" w:color="auto" w:fill="auto"/>
            <w:noWrap/>
            <w:hideMark/>
          </w:tcPr>
          <w:p w14:paraId="71F90F81"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4%</w:t>
            </w:r>
          </w:p>
        </w:tc>
        <w:tc>
          <w:tcPr>
            <w:tcW w:w="1416" w:type="dxa"/>
            <w:shd w:val="clear" w:color="auto" w:fill="auto"/>
            <w:noWrap/>
            <w:hideMark/>
          </w:tcPr>
          <w:p w14:paraId="7AD4CD02"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5%</w:t>
            </w:r>
          </w:p>
        </w:tc>
      </w:tr>
      <w:tr w:rsidR="00D61B1D" w:rsidRPr="00D61B1D" w14:paraId="581E1037" w14:textId="77777777" w:rsidTr="001D7929">
        <w:trPr>
          <w:trHeight w:val="264"/>
        </w:trPr>
        <w:tc>
          <w:tcPr>
            <w:tcW w:w="1416" w:type="dxa"/>
            <w:shd w:val="clear" w:color="auto" w:fill="auto"/>
            <w:noWrap/>
            <w:hideMark/>
          </w:tcPr>
          <w:p w14:paraId="66735BF3"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I</w:t>
            </w:r>
          </w:p>
        </w:tc>
        <w:tc>
          <w:tcPr>
            <w:tcW w:w="1416" w:type="dxa"/>
            <w:shd w:val="clear" w:color="auto" w:fill="auto"/>
            <w:noWrap/>
            <w:hideMark/>
          </w:tcPr>
          <w:p w14:paraId="729B6313"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2%</w:t>
            </w:r>
          </w:p>
        </w:tc>
        <w:tc>
          <w:tcPr>
            <w:tcW w:w="1416" w:type="dxa"/>
            <w:shd w:val="clear" w:color="auto" w:fill="auto"/>
            <w:noWrap/>
            <w:hideMark/>
          </w:tcPr>
          <w:p w14:paraId="4E34BC06"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2%</w:t>
            </w:r>
          </w:p>
        </w:tc>
      </w:tr>
      <w:tr w:rsidR="00D61B1D" w:rsidRPr="00D61B1D" w14:paraId="16013E72" w14:textId="77777777" w:rsidTr="001D7929">
        <w:trPr>
          <w:trHeight w:val="264"/>
        </w:trPr>
        <w:tc>
          <w:tcPr>
            <w:tcW w:w="1416" w:type="dxa"/>
            <w:shd w:val="clear" w:color="auto" w:fill="auto"/>
            <w:noWrap/>
            <w:hideMark/>
          </w:tcPr>
          <w:p w14:paraId="1460E640"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J</w:t>
            </w:r>
          </w:p>
        </w:tc>
        <w:tc>
          <w:tcPr>
            <w:tcW w:w="1416" w:type="dxa"/>
            <w:shd w:val="clear" w:color="auto" w:fill="auto"/>
            <w:noWrap/>
            <w:hideMark/>
          </w:tcPr>
          <w:p w14:paraId="646DD7AD"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2%</w:t>
            </w:r>
          </w:p>
        </w:tc>
        <w:tc>
          <w:tcPr>
            <w:tcW w:w="1416" w:type="dxa"/>
            <w:shd w:val="clear" w:color="auto" w:fill="auto"/>
            <w:noWrap/>
            <w:hideMark/>
          </w:tcPr>
          <w:p w14:paraId="64F7EB0D"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7%</w:t>
            </w:r>
          </w:p>
        </w:tc>
      </w:tr>
      <w:tr w:rsidR="00D61B1D" w:rsidRPr="00D61B1D" w14:paraId="5023D03F" w14:textId="77777777" w:rsidTr="001D7929">
        <w:trPr>
          <w:trHeight w:val="264"/>
        </w:trPr>
        <w:tc>
          <w:tcPr>
            <w:tcW w:w="1416" w:type="dxa"/>
            <w:shd w:val="clear" w:color="auto" w:fill="auto"/>
            <w:noWrap/>
            <w:hideMark/>
          </w:tcPr>
          <w:p w14:paraId="48C56465"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K</w:t>
            </w:r>
          </w:p>
        </w:tc>
        <w:tc>
          <w:tcPr>
            <w:tcW w:w="1416" w:type="dxa"/>
            <w:shd w:val="clear" w:color="auto" w:fill="auto"/>
            <w:noWrap/>
            <w:hideMark/>
          </w:tcPr>
          <w:p w14:paraId="57A94D62"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1%</w:t>
            </w:r>
          </w:p>
        </w:tc>
        <w:tc>
          <w:tcPr>
            <w:tcW w:w="1416" w:type="dxa"/>
            <w:shd w:val="clear" w:color="auto" w:fill="auto"/>
            <w:noWrap/>
            <w:hideMark/>
          </w:tcPr>
          <w:p w14:paraId="150A8883"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2%</w:t>
            </w:r>
          </w:p>
        </w:tc>
      </w:tr>
      <w:tr w:rsidR="00D61B1D" w:rsidRPr="00D61B1D" w14:paraId="520ADF0A" w14:textId="77777777" w:rsidTr="001D7929">
        <w:trPr>
          <w:trHeight w:val="264"/>
        </w:trPr>
        <w:tc>
          <w:tcPr>
            <w:tcW w:w="1416" w:type="dxa"/>
            <w:shd w:val="clear" w:color="auto" w:fill="auto"/>
            <w:noWrap/>
            <w:hideMark/>
          </w:tcPr>
          <w:p w14:paraId="08F8E5BE"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L</w:t>
            </w:r>
          </w:p>
        </w:tc>
        <w:tc>
          <w:tcPr>
            <w:tcW w:w="1416" w:type="dxa"/>
            <w:shd w:val="clear" w:color="auto" w:fill="auto"/>
            <w:noWrap/>
            <w:hideMark/>
          </w:tcPr>
          <w:p w14:paraId="4F92703B"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w:t>
            </w:r>
          </w:p>
        </w:tc>
        <w:tc>
          <w:tcPr>
            <w:tcW w:w="1416" w:type="dxa"/>
            <w:shd w:val="clear" w:color="auto" w:fill="auto"/>
            <w:noWrap/>
            <w:hideMark/>
          </w:tcPr>
          <w:p w14:paraId="3FE868D7"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2%</w:t>
            </w:r>
          </w:p>
        </w:tc>
      </w:tr>
      <w:tr w:rsidR="00D61B1D" w:rsidRPr="00D61B1D" w14:paraId="22D9D05D" w14:textId="77777777" w:rsidTr="001D7929">
        <w:trPr>
          <w:trHeight w:val="264"/>
        </w:trPr>
        <w:tc>
          <w:tcPr>
            <w:tcW w:w="1416" w:type="dxa"/>
            <w:shd w:val="clear" w:color="auto" w:fill="auto"/>
            <w:noWrap/>
            <w:hideMark/>
          </w:tcPr>
          <w:p w14:paraId="061B61CC"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M</w:t>
            </w:r>
          </w:p>
        </w:tc>
        <w:tc>
          <w:tcPr>
            <w:tcW w:w="1416" w:type="dxa"/>
            <w:shd w:val="clear" w:color="auto" w:fill="auto"/>
            <w:noWrap/>
            <w:hideMark/>
          </w:tcPr>
          <w:p w14:paraId="63837672"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w:t>
            </w:r>
          </w:p>
        </w:tc>
        <w:tc>
          <w:tcPr>
            <w:tcW w:w="1416" w:type="dxa"/>
            <w:shd w:val="clear" w:color="auto" w:fill="auto"/>
            <w:noWrap/>
            <w:hideMark/>
          </w:tcPr>
          <w:p w14:paraId="4563DB1D"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2%</w:t>
            </w:r>
          </w:p>
        </w:tc>
      </w:tr>
      <w:tr w:rsidR="00D61B1D" w:rsidRPr="00D61B1D" w14:paraId="3A910FDF" w14:textId="77777777" w:rsidTr="001D7929">
        <w:trPr>
          <w:trHeight w:val="276"/>
        </w:trPr>
        <w:tc>
          <w:tcPr>
            <w:tcW w:w="1416" w:type="dxa"/>
            <w:shd w:val="clear" w:color="auto" w:fill="auto"/>
            <w:noWrap/>
            <w:hideMark/>
          </w:tcPr>
          <w:p w14:paraId="191B37AF"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N</w:t>
            </w:r>
          </w:p>
        </w:tc>
        <w:tc>
          <w:tcPr>
            <w:tcW w:w="1416" w:type="dxa"/>
            <w:shd w:val="clear" w:color="auto" w:fill="auto"/>
            <w:noWrap/>
            <w:hideMark/>
          </w:tcPr>
          <w:p w14:paraId="4433FB62"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w:t>
            </w:r>
          </w:p>
        </w:tc>
        <w:tc>
          <w:tcPr>
            <w:tcW w:w="1416" w:type="dxa"/>
            <w:shd w:val="clear" w:color="auto" w:fill="auto"/>
            <w:noWrap/>
            <w:hideMark/>
          </w:tcPr>
          <w:p w14:paraId="193FAB08" w14:textId="77777777" w:rsidR="00D61B1D" w:rsidRPr="00D61B1D" w:rsidRDefault="00D61B1D" w:rsidP="00D61B1D">
            <w:pPr>
              <w:spacing w:line="360" w:lineRule="auto"/>
              <w:jc w:val="center"/>
              <w:rPr>
                <w:rFonts w:eastAsia="Times New Roman"/>
                <w:color w:val="000000"/>
                <w:sz w:val="24"/>
                <w:szCs w:val="24"/>
              </w:rPr>
            </w:pPr>
            <w:r w:rsidRPr="00D61B1D">
              <w:rPr>
                <w:rFonts w:eastAsia="Times New Roman"/>
                <w:color w:val="000000"/>
                <w:sz w:val="24"/>
                <w:szCs w:val="24"/>
              </w:rPr>
              <w:t>2%</w:t>
            </w:r>
          </w:p>
        </w:tc>
      </w:tr>
    </w:tbl>
    <w:p w14:paraId="6A1AC02A" w14:textId="77777777" w:rsidR="00D61B1D" w:rsidRPr="00D61B1D" w:rsidRDefault="00D61B1D" w:rsidP="00D61B1D">
      <w:pPr>
        <w:autoSpaceDE w:val="0"/>
        <w:autoSpaceDN w:val="0"/>
        <w:adjustRightInd w:val="0"/>
        <w:spacing w:line="360" w:lineRule="auto"/>
        <w:rPr>
          <w:sz w:val="24"/>
          <w:szCs w:val="24"/>
        </w:rPr>
      </w:pPr>
    </w:p>
    <w:p w14:paraId="1F4B0984" w14:textId="77777777" w:rsidR="00D61B1D" w:rsidRDefault="00D61B1D" w:rsidP="00D61B1D">
      <w:pPr>
        <w:autoSpaceDE w:val="0"/>
        <w:autoSpaceDN w:val="0"/>
        <w:adjustRightInd w:val="0"/>
        <w:spacing w:line="360" w:lineRule="auto"/>
        <w:rPr>
          <w:sz w:val="24"/>
          <w:szCs w:val="24"/>
        </w:rPr>
      </w:pPr>
    </w:p>
    <w:p w14:paraId="2FA63FD1" w14:textId="77777777" w:rsidR="00D61B1D" w:rsidRDefault="00D61B1D" w:rsidP="00D61B1D">
      <w:pPr>
        <w:autoSpaceDE w:val="0"/>
        <w:autoSpaceDN w:val="0"/>
        <w:adjustRightInd w:val="0"/>
        <w:spacing w:line="360" w:lineRule="auto"/>
        <w:rPr>
          <w:sz w:val="24"/>
          <w:szCs w:val="24"/>
        </w:rPr>
      </w:pPr>
    </w:p>
    <w:p w14:paraId="2BF6512B" w14:textId="77777777" w:rsidR="00D61B1D" w:rsidRDefault="00D61B1D" w:rsidP="00D61B1D">
      <w:pPr>
        <w:autoSpaceDE w:val="0"/>
        <w:autoSpaceDN w:val="0"/>
        <w:adjustRightInd w:val="0"/>
        <w:spacing w:line="360" w:lineRule="auto"/>
        <w:rPr>
          <w:sz w:val="24"/>
          <w:szCs w:val="24"/>
        </w:rPr>
      </w:pPr>
    </w:p>
    <w:p w14:paraId="165F3320" w14:textId="77777777" w:rsidR="00D61B1D" w:rsidRDefault="00D61B1D" w:rsidP="00D61B1D">
      <w:pPr>
        <w:autoSpaceDE w:val="0"/>
        <w:autoSpaceDN w:val="0"/>
        <w:adjustRightInd w:val="0"/>
        <w:spacing w:line="360" w:lineRule="auto"/>
        <w:rPr>
          <w:sz w:val="24"/>
          <w:szCs w:val="24"/>
        </w:rPr>
      </w:pPr>
    </w:p>
    <w:p w14:paraId="73691A0C" w14:textId="77777777" w:rsidR="00D61B1D" w:rsidRPr="00D61B1D" w:rsidRDefault="00D61B1D" w:rsidP="00D61B1D">
      <w:pPr>
        <w:autoSpaceDE w:val="0"/>
        <w:autoSpaceDN w:val="0"/>
        <w:adjustRightInd w:val="0"/>
        <w:spacing w:line="360" w:lineRule="auto"/>
        <w:rPr>
          <w:sz w:val="24"/>
          <w:szCs w:val="24"/>
        </w:rPr>
      </w:pPr>
    </w:p>
    <w:p w14:paraId="1CB8C2E7" w14:textId="77777777" w:rsidR="00D61B1D" w:rsidRDefault="00D61B1D" w:rsidP="00D61B1D">
      <w:pPr>
        <w:autoSpaceDE w:val="0"/>
        <w:autoSpaceDN w:val="0"/>
        <w:adjustRightInd w:val="0"/>
        <w:spacing w:line="360" w:lineRule="auto"/>
        <w:rPr>
          <w:sz w:val="24"/>
          <w:szCs w:val="24"/>
        </w:rPr>
      </w:pPr>
    </w:p>
    <w:p w14:paraId="3FD15D52" w14:textId="77777777" w:rsidR="00E01058" w:rsidRDefault="00E01058" w:rsidP="00D61B1D">
      <w:pPr>
        <w:autoSpaceDE w:val="0"/>
        <w:autoSpaceDN w:val="0"/>
        <w:adjustRightInd w:val="0"/>
        <w:spacing w:line="360" w:lineRule="auto"/>
        <w:rPr>
          <w:sz w:val="24"/>
          <w:szCs w:val="24"/>
        </w:rPr>
      </w:pPr>
    </w:p>
    <w:p w14:paraId="3C41E828" w14:textId="77777777" w:rsidR="00E01058" w:rsidRPr="00D61B1D" w:rsidRDefault="00E01058" w:rsidP="00D61B1D">
      <w:pPr>
        <w:autoSpaceDE w:val="0"/>
        <w:autoSpaceDN w:val="0"/>
        <w:adjustRightInd w:val="0"/>
        <w:spacing w:line="360" w:lineRule="auto"/>
        <w:rPr>
          <w:sz w:val="24"/>
          <w:szCs w:val="24"/>
        </w:rPr>
      </w:pPr>
    </w:p>
    <w:p w14:paraId="7719E95D" w14:textId="77777777" w:rsidR="00D61B1D" w:rsidRPr="00D61B1D" w:rsidRDefault="00D61B1D" w:rsidP="00D61B1D">
      <w:pPr>
        <w:autoSpaceDE w:val="0"/>
        <w:autoSpaceDN w:val="0"/>
        <w:adjustRightInd w:val="0"/>
        <w:spacing w:line="360" w:lineRule="auto"/>
        <w:rPr>
          <w:u w:val="single"/>
        </w:rPr>
      </w:pPr>
      <w:r w:rsidRPr="00D61B1D">
        <w:rPr>
          <w:u w:val="single"/>
        </w:rPr>
        <w:t>Table 1: % of community test centres in Hong Kong operated by different companies in the second and third tender offered by the government of Hong Kong</w:t>
      </w:r>
      <w:r w:rsidRPr="00D61B1D">
        <w:rPr>
          <w:color w:val="000000"/>
        </w:rPr>
        <w:t xml:space="preserve"> </w:t>
      </w:r>
      <w:sdt>
        <w:sdtPr>
          <w:rPr>
            <w:color w:val="000000"/>
          </w:rPr>
          <w:tag w:val="MENDELEY_CITATION_v3_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"/>
          <w:id w:val="1731719040"/>
          <w:placeholder>
            <w:docPart w:val="4F6EAD484B144FCCBF4762BE3113BA0D"/>
          </w:placeholder>
        </w:sdtPr>
        <w:sdtContent>
          <w:r w:rsidRPr="00D61B1D">
            <w:rPr>
              <w:color w:val="000000"/>
            </w:rPr>
            <w:t>(HKSAR, 2022)</w:t>
          </w:r>
        </w:sdtContent>
      </w:sdt>
    </w:p>
    <w:p w14:paraId="381A7FA2" w14:textId="77777777" w:rsidR="00D61B1D" w:rsidRPr="00D61B1D" w:rsidRDefault="00D61B1D" w:rsidP="00D61B1D">
      <w:pPr>
        <w:autoSpaceDE w:val="0"/>
        <w:autoSpaceDN w:val="0"/>
        <w:adjustRightInd w:val="0"/>
        <w:spacing w:line="360" w:lineRule="auto"/>
      </w:pPr>
      <w:r w:rsidRPr="00D61B1D">
        <w:t xml:space="preserve">Source: </w:t>
      </w:r>
      <w:r w:rsidRPr="00D61B1D">
        <w:rPr>
          <w:color w:val="2E2E2E"/>
          <w:shd w:val="clear" w:color="auto" w:fill="FFFFFF"/>
        </w:rPr>
        <w:t xml:space="preserve">Government rolls out new measures to enhance community testing services starting today, 6-10-2022. </w:t>
      </w:r>
      <w:r w:rsidRPr="00D61B1D">
        <w:t>The government of the Hong Kong Special Administrative Region Press Release.</w:t>
      </w:r>
    </w:p>
    <w:p w14:paraId="6B9F4496" w14:textId="77777777" w:rsidR="00D61B1D" w:rsidRPr="00D61B1D" w:rsidRDefault="00D61B1D" w:rsidP="00D61B1D">
      <w:pPr>
        <w:autoSpaceDE w:val="0"/>
        <w:autoSpaceDN w:val="0"/>
        <w:adjustRightInd w:val="0"/>
        <w:spacing w:line="360" w:lineRule="auto"/>
        <w:rPr>
          <w:sz w:val="24"/>
          <w:szCs w:val="24"/>
        </w:rPr>
      </w:pPr>
    </w:p>
    <w:p w14:paraId="58172D6B"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Although there were new competitors entering the market, Company A still plays a leading role in operating CTCs, in terms of its numbers, in the second and third tenders.</w:t>
      </w:r>
    </w:p>
    <w:p w14:paraId="0C3656B0" w14:textId="77777777" w:rsidR="00D61B1D" w:rsidRPr="00D61B1D" w:rsidRDefault="00D61B1D" w:rsidP="00D61B1D">
      <w:pPr>
        <w:spacing w:line="360" w:lineRule="auto"/>
        <w:rPr>
          <w:sz w:val="24"/>
          <w:szCs w:val="24"/>
          <w:shd w:val="clear" w:color="auto" w:fill="FFFFFF"/>
        </w:rPr>
      </w:pPr>
    </w:p>
    <w:p w14:paraId="1BA8583C" w14:textId="77777777" w:rsidR="00D61B1D" w:rsidRPr="00D61B1D" w:rsidRDefault="00D61B1D" w:rsidP="00D61B1D">
      <w:pPr>
        <w:spacing w:line="360" w:lineRule="auto"/>
        <w:rPr>
          <w:sz w:val="24"/>
          <w:szCs w:val="24"/>
        </w:rPr>
      </w:pPr>
      <w:r w:rsidRPr="00D61B1D">
        <w:rPr>
          <w:sz w:val="24"/>
          <w:szCs w:val="24"/>
        </w:rPr>
        <w:t>The qualitative interview was done at different levels of staff in Company A to review different elements in the 3H framework. The results were summarized as follows:</w:t>
      </w:r>
    </w:p>
    <w:p w14:paraId="244DB56A" w14:textId="77777777" w:rsidR="00D61B1D" w:rsidRPr="00D61B1D" w:rsidRDefault="00D61B1D" w:rsidP="00D61B1D">
      <w:pPr>
        <w:spacing w:line="360" w:lineRule="auto"/>
        <w:rPr>
          <w:sz w:val="24"/>
          <w:szCs w:val="24"/>
        </w:rPr>
      </w:pPr>
      <w:r w:rsidRPr="00D61B1D">
        <w:rPr>
          <w:sz w:val="24"/>
          <w:szCs w:val="24"/>
        </w:rPr>
        <w:t xml:space="preserve">Feedback on the heart domain was mainly found in the top and middle management. They were more or less the same. </w:t>
      </w:r>
    </w:p>
    <w:p w14:paraId="54355F26" w14:textId="77777777" w:rsidR="00D61B1D" w:rsidRPr="00D61B1D" w:rsidRDefault="00D61B1D" w:rsidP="00D61B1D">
      <w:pPr>
        <w:pStyle w:val="ab"/>
        <w:widowControl w:val="0"/>
        <w:numPr>
          <w:ilvl w:val="0"/>
          <w:numId w:val="29"/>
        </w:numPr>
        <w:spacing w:line="360" w:lineRule="auto"/>
        <w:contextualSpacing w:val="0"/>
        <w:rPr>
          <w:sz w:val="24"/>
          <w:szCs w:val="24"/>
        </w:rPr>
      </w:pPr>
      <w:r w:rsidRPr="00D61B1D">
        <w:rPr>
          <w:sz w:val="24"/>
          <w:szCs w:val="24"/>
        </w:rPr>
        <w:t xml:space="preserve">“We foster a positive and supportive environment, effectively motivating and inspiring the staff.” </w:t>
      </w:r>
    </w:p>
    <w:p w14:paraId="1E902520" w14:textId="77777777" w:rsidR="00D61B1D" w:rsidRPr="00D61B1D" w:rsidRDefault="00D61B1D" w:rsidP="00D61B1D">
      <w:pPr>
        <w:pStyle w:val="ab"/>
        <w:widowControl w:val="0"/>
        <w:numPr>
          <w:ilvl w:val="0"/>
          <w:numId w:val="29"/>
        </w:numPr>
        <w:spacing w:line="360" w:lineRule="auto"/>
        <w:contextualSpacing w:val="0"/>
        <w:rPr>
          <w:sz w:val="24"/>
          <w:szCs w:val="24"/>
        </w:rPr>
      </w:pPr>
      <w:r w:rsidRPr="00D61B1D">
        <w:rPr>
          <w:sz w:val="24"/>
          <w:szCs w:val="24"/>
        </w:rPr>
        <w:t xml:space="preserve">“Change was managed well within the centre, and there were open lines of communication between top management and staff.” </w:t>
      </w:r>
    </w:p>
    <w:p w14:paraId="1AECFAD1" w14:textId="77777777" w:rsidR="00D61B1D" w:rsidRPr="00D61B1D" w:rsidRDefault="00D61B1D" w:rsidP="00D61B1D">
      <w:pPr>
        <w:pStyle w:val="ab"/>
        <w:widowControl w:val="0"/>
        <w:numPr>
          <w:ilvl w:val="0"/>
          <w:numId w:val="29"/>
        </w:numPr>
        <w:spacing w:line="360" w:lineRule="auto"/>
        <w:contextualSpacing w:val="0"/>
        <w:rPr>
          <w:sz w:val="24"/>
          <w:szCs w:val="24"/>
        </w:rPr>
      </w:pPr>
      <w:r w:rsidRPr="00D61B1D">
        <w:rPr>
          <w:sz w:val="24"/>
          <w:szCs w:val="24"/>
        </w:rPr>
        <w:t>“Communication channels were effectively utilized to disseminate important information and updates.”</w:t>
      </w:r>
    </w:p>
    <w:p w14:paraId="105EF4A0" w14:textId="77777777" w:rsidR="00D61B1D" w:rsidRPr="00D61B1D" w:rsidRDefault="00D61B1D" w:rsidP="00D61B1D">
      <w:pPr>
        <w:spacing w:line="360" w:lineRule="auto"/>
        <w:rPr>
          <w:sz w:val="24"/>
          <w:szCs w:val="24"/>
        </w:rPr>
      </w:pPr>
    </w:p>
    <w:p w14:paraId="25DB69A8" w14:textId="77777777" w:rsidR="00D61B1D" w:rsidRPr="00D61B1D" w:rsidRDefault="00D61B1D" w:rsidP="00D61B1D">
      <w:pPr>
        <w:spacing w:line="360" w:lineRule="auto"/>
        <w:rPr>
          <w:sz w:val="24"/>
          <w:szCs w:val="24"/>
        </w:rPr>
      </w:pPr>
      <w:r w:rsidRPr="00D61B1D">
        <w:rPr>
          <w:sz w:val="24"/>
          <w:szCs w:val="24"/>
        </w:rPr>
        <w:t xml:space="preserve">Feedback on the Head domain was also found on top and middle management, but their views were quite different. </w:t>
      </w:r>
    </w:p>
    <w:p w14:paraId="6D71091A" w14:textId="77777777" w:rsidR="00D61B1D" w:rsidRPr="00D61B1D" w:rsidRDefault="00D61B1D" w:rsidP="00D61B1D">
      <w:pPr>
        <w:spacing w:line="360" w:lineRule="auto"/>
        <w:rPr>
          <w:sz w:val="24"/>
          <w:szCs w:val="24"/>
        </w:rPr>
      </w:pPr>
      <w:r w:rsidRPr="00D61B1D">
        <w:rPr>
          <w:sz w:val="24"/>
          <w:szCs w:val="24"/>
        </w:rPr>
        <w:t xml:space="preserve">For the top management </w:t>
      </w:r>
    </w:p>
    <w:p w14:paraId="247717B1" w14:textId="77777777" w:rsidR="00D61B1D" w:rsidRPr="00D61B1D" w:rsidRDefault="00D61B1D" w:rsidP="00D61B1D">
      <w:pPr>
        <w:pStyle w:val="ab"/>
        <w:widowControl w:val="0"/>
        <w:numPr>
          <w:ilvl w:val="0"/>
          <w:numId w:val="33"/>
        </w:numPr>
        <w:spacing w:line="360" w:lineRule="auto"/>
        <w:contextualSpacing w:val="0"/>
        <w:rPr>
          <w:sz w:val="24"/>
          <w:szCs w:val="24"/>
        </w:rPr>
      </w:pPr>
      <w:r w:rsidRPr="00D61B1D">
        <w:rPr>
          <w:sz w:val="24"/>
          <w:szCs w:val="24"/>
        </w:rPr>
        <w:t>“We understand the purpose and objectives of the testing centre, and necessary resources were appropriately allocated for efficient operations.”</w:t>
      </w:r>
    </w:p>
    <w:p w14:paraId="07D4B4D9" w14:textId="77777777" w:rsidR="00D61B1D" w:rsidRPr="00D61B1D" w:rsidRDefault="00D61B1D" w:rsidP="00D61B1D">
      <w:pPr>
        <w:pStyle w:val="ab"/>
        <w:widowControl w:val="0"/>
        <w:numPr>
          <w:ilvl w:val="0"/>
          <w:numId w:val="33"/>
        </w:numPr>
        <w:spacing w:line="360" w:lineRule="auto"/>
        <w:contextualSpacing w:val="0"/>
        <w:rPr>
          <w:sz w:val="24"/>
          <w:szCs w:val="24"/>
        </w:rPr>
      </w:pPr>
      <w:r w:rsidRPr="00D61B1D">
        <w:rPr>
          <w:sz w:val="24"/>
          <w:szCs w:val="24"/>
        </w:rPr>
        <w:lastRenderedPageBreak/>
        <w:t>“The internal resource of our company makes the project success”</w:t>
      </w:r>
    </w:p>
    <w:p w14:paraId="062AB09E" w14:textId="77777777" w:rsidR="00D61B1D" w:rsidRPr="00D61B1D" w:rsidRDefault="00D61B1D" w:rsidP="00D61B1D">
      <w:pPr>
        <w:spacing w:line="360" w:lineRule="auto"/>
        <w:rPr>
          <w:sz w:val="24"/>
          <w:szCs w:val="24"/>
        </w:rPr>
      </w:pPr>
      <w:r w:rsidRPr="00D61B1D">
        <w:rPr>
          <w:sz w:val="24"/>
          <w:szCs w:val="24"/>
        </w:rPr>
        <w:t xml:space="preserve">For the middle management </w:t>
      </w:r>
    </w:p>
    <w:p w14:paraId="2EC65153" w14:textId="77777777" w:rsidR="00D61B1D" w:rsidRPr="00D61B1D" w:rsidRDefault="00D61B1D" w:rsidP="00D61B1D">
      <w:pPr>
        <w:pStyle w:val="ab"/>
        <w:widowControl w:val="0"/>
        <w:numPr>
          <w:ilvl w:val="0"/>
          <w:numId w:val="35"/>
        </w:numPr>
        <w:spacing w:line="360" w:lineRule="auto"/>
        <w:contextualSpacing w:val="0"/>
        <w:rPr>
          <w:sz w:val="24"/>
          <w:szCs w:val="24"/>
        </w:rPr>
      </w:pPr>
      <w:r w:rsidRPr="00D61B1D">
        <w:rPr>
          <w:sz w:val="24"/>
          <w:szCs w:val="24"/>
        </w:rPr>
        <w:t>“The staff was well-trained and equipped to handle their roles and responsibilities.”</w:t>
      </w:r>
    </w:p>
    <w:p w14:paraId="092AB246" w14:textId="77777777" w:rsidR="00D61B1D" w:rsidRPr="00D61B1D" w:rsidRDefault="00D61B1D" w:rsidP="00D61B1D">
      <w:pPr>
        <w:pStyle w:val="ab"/>
        <w:widowControl w:val="0"/>
        <w:numPr>
          <w:ilvl w:val="0"/>
          <w:numId w:val="35"/>
        </w:numPr>
        <w:spacing w:line="360" w:lineRule="auto"/>
        <w:contextualSpacing w:val="0"/>
        <w:rPr>
          <w:sz w:val="24"/>
          <w:szCs w:val="24"/>
        </w:rPr>
      </w:pPr>
      <w:r w:rsidRPr="00D61B1D">
        <w:rPr>
          <w:sz w:val="24"/>
          <w:szCs w:val="24"/>
        </w:rPr>
        <w:t>“There was a systematic approach to collecting and analyzing data, and the testing centre aligns with the overall strategic goals of the organization.”</w:t>
      </w:r>
    </w:p>
    <w:p w14:paraId="4605E818" w14:textId="77777777" w:rsidR="00D61B1D" w:rsidRPr="00D61B1D" w:rsidRDefault="00D61B1D" w:rsidP="00D61B1D">
      <w:pPr>
        <w:spacing w:line="360" w:lineRule="auto"/>
        <w:rPr>
          <w:sz w:val="24"/>
          <w:szCs w:val="24"/>
        </w:rPr>
      </w:pPr>
    </w:p>
    <w:p w14:paraId="6BA5B130" w14:textId="77777777" w:rsidR="00D61B1D" w:rsidRPr="00D61B1D" w:rsidRDefault="00D61B1D" w:rsidP="00D61B1D">
      <w:pPr>
        <w:spacing w:line="360" w:lineRule="auto"/>
        <w:rPr>
          <w:sz w:val="24"/>
          <w:szCs w:val="24"/>
        </w:rPr>
      </w:pPr>
      <w:r w:rsidRPr="00D61B1D">
        <w:rPr>
          <w:sz w:val="24"/>
          <w:szCs w:val="24"/>
        </w:rPr>
        <w:t xml:space="preserve">Feedback on the Hand domain was mainly by the frontline staff and middle management and focused on how to execute and its effectiveness. </w:t>
      </w:r>
    </w:p>
    <w:p w14:paraId="4E8B81C9" w14:textId="77777777" w:rsidR="00D61B1D" w:rsidRPr="00D61B1D" w:rsidRDefault="00D61B1D" w:rsidP="00D61B1D">
      <w:pPr>
        <w:pStyle w:val="ab"/>
        <w:widowControl w:val="0"/>
        <w:numPr>
          <w:ilvl w:val="0"/>
          <w:numId w:val="37"/>
        </w:numPr>
        <w:spacing w:line="360" w:lineRule="auto"/>
        <w:contextualSpacing w:val="0"/>
        <w:rPr>
          <w:sz w:val="24"/>
          <w:szCs w:val="24"/>
        </w:rPr>
      </w:pPr>
      <w:r w:rsidRPr="00D61B1D">
        <w:rPr>
          <w:sz w:val="24"/>
          <w:szCs w:val="24"/>
        </w:rPr>
        <w:t xml:space="preserve">“The community testing centre operates efficiently in meeting testing demands and timelines.” </w:t>
      </w:r>
    </w:p>
    <w:p w14:paraId="58FEE5E4" w14:textId="77777777" w:rsidR="00D61B1D" w:rsidRPr="00D61B1D" w:rsidRDefault="00D61B1D" w:rsidP="00D61B1D">
      <w:pPr>
        <w:pStyle w:val="ab"/>
        <w:widowControl w:val="0"/>
        <w:numPr>
          <w:ilvl w:val="0"/>
          <w:numId w:val="37"/>
        </w:numPr>
        <w:spacing w:line="360" w:lineRule="auto"/>
        <w:contextualSpacing w:val="0"/>
        <w:rPr>
          <w:sz w:val="24"/>
          <w:szCs w:val="24"/>
        </w:rPr>
      </w:pPr>
      <w:r w:rsidRPr="00D61B1D">
        <w:rPr>
          <w:sz w:val="24"/>
          <w:szCs w:val="24"/>
        </w:rPr>
        <w:t>“There were clearly defined processes and procedures for different aspects of the centre's operations.”</w:t>
      </w:r>
    </w:p>
    <w:p w14:paraId="45C64EEB" w14:textId="77777777" w:rsidR="00D61B1D" w:rsidRPr="00D61B1D" w:rsidRDefault="00D61B1D" w:rsidP="00D61B1D">
      <w:pPr>
        <w:pStyle w:val="ab"/>
        <w:widowControl w:val="0"/>
        <w:numPr>
          <w:ilvl w:val="0"/>
          <w:numId w:val="37"/>
        </w:numPr>
        <w:spacing w:line="360" w:lineRule="auto"/>
        <w:contextualSpacing w:val="0"/>
        <w:rPr>
          <w:sz w:val="24"/>
          <w:szCs w:val="24"/>
        </w:rPr>
      </w:pPr>
      <w:r w:rsidRPr="00D61B1D">
        <w:rPr>
          <w:sz w:val="24"/>
          <w:szCs w:val="24"/>
        </w:rPr>
        <w:t>“Logistics challenges, such as supply chain management and equipment maintenance, were well-addressed.”</w:t>
      </w:r>
    </w:p>
    <w:p w14:paraId="63CE6735" w14:textId="77777777" w:rsidR="00D61B1D" w:rsidRPr="00D61B1D" w:rsidRDefault="00D61B1D" w:rsidP="00D61B1D">
      <w:pPr>
        <w:pStyle w:val="ab"/>
        <w:widowControl w:val="0"/>
        <w:numPr>
          <w:ilvl w:val="0"/>
          <w:numId w:val="37"/>
        </w:numPr>
        <w:spacing w:line="360" w:lineRule="auto"/>
        <w:contextualSpacing w:val="0"/>
        <w:rPr>
          <w:sz w:val="24"/>
          <w:szCs w:val="24"/>
        </w:rPr>
      </w:pPr>
      <w:r w:rsidRPr="00D61B1D">
        <w:rPr>
          <w:sz w:val="24"/>
          <w:szCs w:val="24"/>
        </w:rPr>
        <w:t>“Mechanisms were in place to ensure the accuracy and quality of test results.”</w:t>
      </w:r>
    </w:p>
    <w:p w14:paraId="005A544B" w14:textId="77777777" w:rsidR="00D61B1D" w:rsidRPr="00D61B1D" w:rsidRDefault="00D61B1D" w:rsidP="00D61B1D">
      <w:pPr>
        <w:pStyle w:val="ab"/>
        <w:widowControl w:val="0"/>
        <w:numPr>
          <w:ilvl w:val="0"/>
          <w:numId w:val="37"/>
        </w:numPr>
        <w:spacing w:line="360" w:lineRule="auto"/>
        <w:contextualSpacing w:val="0"/>
        <w:rPr>
          <w:sz w:val="24"/>
          <w:szCs w:val="24"/>
        </w:rPr>
      </w:pPr>
      <w:r w:rsidRPr="00D61B1D">
        <w:rPr>
          <w:sz w:val="24"/>
          <w:szCs w:val="24"/>
        </w:rPr>
        <w:t>“The staff was trained and prepared to handle emergencies or unexpected situations.”</w:t>
      </w:r>
    </w:p>
    <w:p w14:paraId="24607446" w14:textId="77777777" w:rsidR="00D61B1D" w:rsidRPr="00D61B1D" w:rsidRDefault="00D61B1D" w:rsidP="00D61B1D">
      <w:pPr>
        <w:spacing w:line="360" w:lineRule="auto"/>
        <w:rPr>
          <w:sz w:val="24"/>
          <w:szCs w:val="24"/>
        </w:rPr>
      </w:pPr>
    </w:p>
    <w:p w14:paraId="391D5A2C" w14:textId="77777777" w:rsidR="00D61B1D" w:rsidRPr="00D61B1D" w:rsidRDefault="00D61B1D" w:rsidP="00D61B1D">
      <w:pPr>
        <w:pStyle w:val="ab"/>
        <w:widowControl w:val="0"/>
        <w:numPr>
          <w:ilvl w:val="0"/>
          <w:numId w:val="23"/>
        </w:numPr>
        <w:spacing w:line="360" w:lineRule="auto"/>
        <w:contextualSpacing w:val="0"/>
        <w:rPr>
          <w:caps/>
          <w:sz w:val="24"/>
          <w:szCs w:val="24"/>
          <w:u w:val="single"/>
          <w:shd w:val="clear" w:color="auto" w:fill="FFFFFF"/>
        </w:rPr>
      </w:pPr>
      <w:r w:rsidRPr="00D61B1D">
        <w:rPr>
          <w:caps/>
          <w:sz w:val="24"/>
          <w:szCs w:val="24"/>
          <w:u w:val="single"/>
          <w:shd w:val="clear" w:color="auto" w:fill="FFFFFF"/>
        </w:rPr>
        <w:t>Theory – 3H framework</w:t>
      </w:r>
    </w:p>
    <w:p w14:paraId="3619112B"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The 3H framework is a newly developed approach for managing people and organizational/national issues holistically. The framework consists of three key domains: Heart, Head, and Hand, representing different aspects of management. The 3H framework aims to provide a holistic solution to address people and national/organizational issues effectively. Each domain is supported by extensive theoretical groundwork from established literature in their respective fields. The framework suggests that the most effective way to manage these issues is through a holistic approach, with necessary and sufficient conditions to be fulfilled. Organizations and countries that only partially fulfill the 3H framework conditions may struggle to sustain long-term competitiveness. The 3H framework serves as a systematic guide for developing and executing strategic plans, emphasizing that it should not be treated as a recipe or a template, but rather as a paradigm of thought. When leaders internalize this framework, they can intuitively plan and execute strategies with a holistic approach. It is crucial to address all three domains in strategic planning and execution, as evidenced by the costly oversights of some country leaders in managing the COVID-19 outbreak.</w:t>
      </w:r>
    </w:p>
    <w:p w14:paraId="7AB46786" w14:textId="77777777" w:rsidR="00D61B1D" w:rsidRPr="00D61B1D" w:rsidRDefault="00D61B1D" w:rsidP="00D61B1D">
      <w:pPr>
        <w:autoSpaceDE w:val="0"/>
        <w:autoSpaceDN w:val="0"/>
        <w:adjustRightInd w:val="0"/>
        <w:spacing w:line="360" w:lineRule="auto"/>
        <w:rPr>
          <w:sz w:val="24"/>
          <w:szCs w:val="24"/>
        </w:rPr>
      </w:pPr>
    </w:p>
    <w:p w14:paraId="75F475C4"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The newly developed algebraic expression offers a fresh perspective on understanding the interconnections between the Heart (H1), Head (H2), and Hand (H3) domains in the 3H framework. </w:t>
      </w:r>
      <w:r w:rsidRPr="00D61B1D">
        <w:rPr>
          <w:sz w:val="24"/>
          <w:szCs w:val="24"/>
        </w:rPr>
        <w:lastRenderedPageBreak/>
        <w:t xml:space="preserve">These domains play a crucial role in determining a company's success, as they contributed to its overall performance. </w:t>
      </w:r>
    </w:p>
    <w:p w14:paraId="3E56C43C"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CP = </w:t>
      </w:r>
      <w:r w:rsidRPr="00D61B1D">
        <w:rPr>
          <w:i/>
          <w:iCs/>
          <w:sz w:val="24"/>
          <w:szCs w:val="24"/>
        </w:rPr>
        <w:t xml:space="preserve">f </w:t>
      </w:r>
      <w:r w:rsidRPr="00D61B1D">
        <w:rPr>
          <w:sz w:val="24"/>
          <w:szCs w:val="24"/>
        </w:rPr>
        <w:t>(H</w:t>
      </w:r>
      <w:r w:rsidRPr="00D61B1D">
        <w:rPr>
          <w:sz w:val="24"/>
          <w:szCs w:val="24"/>
          <w:vertAlign w:val="superscript"/>
        </w:rPr>
        <w:t>1</w:t>
      </w:r>
      <w:r w:rsidRPr="00D61B1D">
        <w:rPr>
          <w:sz w:val="24"/>
          <w:szCs w:val="24"/>
        </w:rPr>
        <w:t xml:space="preserve"> Ո H</w:t>
      </w:r>
      <w:r w:rsidRPr="00D61B1D">
        <w:rPr>
          <w:sz w:val="24"/>
          <w:szCs w:val="24"/>
          <w:vertAlign w:val="superscript"/>
        </w:rPr>
        <w:t>2</w:t>
      </w:r>
      <w:r w:rsidRPr="00D61B1D">
        <w:rPr>
          <w:sz w:val="24"/>
          <w:szCs w:val="24"/>
        </w:rPr>
        <w:t xml:space="preserve"> Ո H</w:t>
      </w:r>
      <w:r w:rsidRPr="00D61B1D">
        <w:rPr>
          <w:sz w:val="24"/>
          <w:szCs w:val="24"/>
          <w:vertAlign w:val="superscript"/>
        </w:rPr>
        <w:t>3</w:t>
      </w:r>
      <w:r w:rsidRPr="00D61B1D">
        <w:rPr>
          <w:sz w:val="24"/>
          <w:szCs w:val="24"/>
        </w:rPr>
        <w:t>)</w:t>
      </w:r>
    </w:p>
    <w:p w14:paraId="21B2F828"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CP – Company Performance</w:t>
      </w:r>
    </w:p>
    <w:p w14:paraId="69E6DF82"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H</w:t>
      </w:r>
      <w:r w:rsidRPr="00D61B1D">
        <w:rPr>
          <w:sz w:val="24"/>
          <w:szCs w:val="24"/>
          <w:vertAlign w:val="superscript"/>
        </w:rPr>
        <w:t>1</w:t>
      </w:r>
      <w:r w:rsidRPr="00D61B1D">
        <w:rPr>
          <w:sz w:val="24"/>
          <w:szCs w:val="24"/>
        </w:rPr>
        <w:t xml:space="preserve"> – Heart Domain (Leadership, motivation, communication, change management)</w:t>
      </w:r>
    </w:p>
    <w:p w14:paraId="59197B48"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H</w:t>
      </w:r>
      <w:r w:rsidRPr="00D61B1D">
        <w:rPr>
          <w:sz w:val="24"/>
          <w:szCs w:val="24"/>
          <w:vertAlign w:val="superscript"/>
        </w:rPr>
        <w:t>2</w:t>
      </w:r>
      <w:r w:rsidRPr="00D61B1D">
        <w:rPr>
          <w:sz w:val="24"/>
          <w:szCs w:val="24"/>
        </w:rPr>
        <w:t xml:space="preserve"> – Head Domain (Strategic planning, organization structure)</w:t>
      </w:r>
    </w:p>
    <w:p w14:paraId="419B5911"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H</w:t>
      </w:r>
      <w:r w:rsidRPr="00D61B1D">
        <w:rPr>
          <w:sz w:val="24"/>
          <w:szCs w:val="24"/>
          <w:vertAlign w:val="superscript"/>
        </w:rPr>
        <w:t>3</w:t>
      </w:r>
      <w:r w:rsidRPr="00D61B1D">
        <w:rPr>
          <w:sz w:val="24"/>
          <w:szCs w:val="24"/>
        </w:rPr>
        <w:t xml:space="preserve"> – Hand Domain (Competence, Skills, functional abilities)</w:t>
      </w:r>
    </w:p>
    <w:p w14:paraId="7FB4A7D4" w14:textId="77777777" w:rsidR="00D61B1D" w:rsidRDefault="00D61B1D" w:rsidP="00D61B1D">
      <w:pPr>
        <w:autoSpaceDE w:val="0"/>
        <w:autoSpaceDN w:val="0"/>
        <w:adjustRightInd w:val="0"/>
        <w:spacing w:line="360" w:lineRule="auto"/>
        <w:rPr>
          <w:sz w:val="24"/>
          <w:szCs w:val="24"/>
        </w:rPr>
      </w:pPr>
      <w:r w:rsidRPr="00D61B1D">
        <w:rPr>
          <w:sz w:val="24"/>
          <w:szCs w:val="24"/>
        </w:rPr>
        <w:t>Ո – Integration and connection</w:t>
      </w:r>
    </w:p>
    <w:p w14:paraId="1D2A630D" w14:textId="77777777" w:rsidR="00D61B1D" w:rsidRPr="00D61B1D" w:rsidRDefault="00D61B1D" w:rsidP="00D61B1D">
      <w:pPr>
        <w:autoSpaceDE w:val="0"/>
        <w:autoSpaceDN w:val="0"/>
        <w:adjustRightInd w:val="0"/>
        <w:spacing w:line="360" w:lineRule="auto"/>
        <w:rPr>
          <w:sz w:val="24"/>
          <w:szCs w:val="24"/>
        </w:rPr>
      </w:pPr>
    </w:p>
    <w:p w14:paraId="50977B3B"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While H1, H2, and H3 typically hold equal importance, the weight distribution may vary based on the management level. Effective leadership is key in inspiring and unifying subordinates to deal with the challenges posed by the COVID-19 pandemic effectively. Without strong leadership, even a company with advanced strategies and capabilities can crumble, resulting in a hostile work environment. The framework outlines four scenarios, with Case 1 representing the ideal situation where all three domains were integrated, leading to efficient and effective performance. The framework emphasises the need to synthesize the H1, H2, and H3 domains for successful operations management. This comprehensive approach aims to optimize outcomes while minimizing resource input and costs.</w:t>
      </w:r>
    </w:p>
    <w:p w14:paraId="5E5F7327" w14:textId="77777777" w:rsidR="00D61B1D" w:rsidRPr="00D61B1D" w:rsidRDefault="00D61B1D" w:rsidP="00D61B1D">
      <w:pPr>
        <w:autoSpaceDE w:val="0"/>
        <w:autoSpaceDN w:val="0"/>
        <w:adjustRightInd w:val="0"/>
        <w:spacing w:line="360" w:lineRule="auto"/>
        <w:rPr>
          <w:sz w:val="24"/>
          <w:szCs w:val="24"/>
        </w:rPr>
      </w:pPr>
    </w:p>
    <w:p w14:paraId="0ED18E84" w14:textId="77777777" w:rsidR="00D61B1D" w:rsidRPr="00D61B1D" w:rsidRDefault="00D61B1D" w:rsidP="00D61B1D">
      <w:pPr>
        <w:pStyle w:val="ab"/>
        <w:widowControl w:val="0"/>
        <w:numPr>
          <w:ilvl w:val="0"/>
          <w:numId w:val="23"/>
        </w:numPr>
        <w:autoSpaceDE w:val="0"/>
        <w:autoSpaceDN w:val="0"/>
        <w:adjustRightInd w:val="0"/>
        <w:spacing w:line="360" w:lineRule="auto"/>
        <w:contextualSpacing w:val="0"/>
        <w:rPr>
          <w:caps/>
          <w:sz w:val="24"/>
          <w:szCs w:val="24"/>
          <w:u w:val="single"/>
        </w:rPr>
      </w:pPr>
      <w:r w:rsidRPr="00D61B1D">
        <w:rPr>
          <w:caps/>
          <w:sz w:val="24"/>
          <w:szCs w:val="24"/>
          <w:u w:val="single"/>
        </w:rPr>
        <w:t>Discussion</w:t>
      </w:r>
    </w:p>
    <w:p w14:paraId="18550E49" w14:textId="77777777" w:rsidR="00D61B1D" w:rsidRPr="00D61B1D" w:rsidRDefault="00D61B1D" w:rsidP="00D61B1D">
      <w:pPr>
        <w:autoSpaceDE w:val="0"/>
        <w:autoSpaceDN w:val="0"/>
        <w:adjustRightInd w:val="0"/>
        <w:spacing w:line="360" w:lineRule="auto"/>
        <w:rPr>
          <w:sz w:val="24"/>
          <w:szCs w:val="24"/>
          <w:u w:val="single"/>
        </w:rPr>
      </w:pPr>
      <w:r w:rsidRPr="00D61B1D">
        <w:rPr>
          <w:sz w:val="24"/>
          <w:szCs w:val="24"/>
          <w:u w:val="single"/>
        </w:rPr>
        <w:t>Heart Domain</w:t>
      </w:r>
    </w:p>
    <w:p w14:paraId="1211C011"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This domain represented managing the people. It was the most difficult part in 3H framework because it required changing the attitudes and behavior of human beings. It involved how to motivate and engage the employee, which was essential for the project's performance. Most executives believed that their major weaknesses were in failure to motivate and challenge workers beyond the expected outcomes. </w:t>
      </w:r>
      <w:sdt>
        <w:sdtPr>
          <w:rPr>
            <w:sz w:val="24"/>
            <w:szCs w:val="24"/>
          </w:rPr>
          <w:tag w:val="MENDELEY_CITATION_v3_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"/>
          <w:id w:val="-427967187"/>
          <w:placeholder>
            <w:docPart w:val="09A80B593AF34F4C89C6E2FBBD182513"/>
          </w:placeholder>
        </w:sdtPr>
        <w:sdtContent>
          <w:r w:rsidRPr="00D61B1D">
            <w:rPr>
              <w:rFonts w:eastAsia="Times New Roman"/>
              <w:sz w:val="24"/>
              <w:szCs w:val="24"/>
            </w:rPr>
            <w:t xml:space="preserve">(Sarros &amp; Santora, 2001) </w:t>
          </w:r>
        </w:sdtContent>
      </w:sdt>
      <w:r w:rsidRPr="00D61B1D">
        <w:rPr>
          <w:sz w:val="24"/>
          <w:szCs w:val="24"/>
        </w:rPr>
        <w:t>The elements in this domain included change management, leadership, motivation, and communication.</w:t>
      </w:r>
    </w:p>
    <w:p w14:paraId="4E0212D5" w14:textId="77777777" w:rsidR="00D61B1D" w:rsidRPr="00D61B1D" w:rsidRDefault="00D61B1D" w:rsidP="00D61B1D">
      <w:pPr>
        <w:autoSpaceDE w:val="0"/>
        <w:autoSpaceDN w:val="0"/>
        <w:adjustRightInd w:val="0"/>
        <w:spacing w:line="360" w:lineRule="auto"/>
        <w:rPr>
          <w:sz w:val="24"/>
          <w:szCs w:val="24"/>
        </w:rPr>
      </w:pPr>
    </w:p>
    <w:p w14:paraId="40995A3C" w14:textId="77777777" w:rsidR="00D61B1D" w:rsidRPr="00D61B1D" w:rsidRDefault="00D61B1D" w:rsidP="00D61B1D">
      <w:pPr>
        <w:pStyle w:val="pf0"/>
        <w:spacing w:before="0" w:beforeAutospacing="0" w:after="0" w:afterAutospacing="0" w:line="360" w:lineRule="auto"/>
        <w:rPr>
          <w:i/>
          <w:iCs/>
        </w:rPr>
      </w:pPr>
      <w:r w:rsidRPr="00D61B1D">
        <w:rPr>
          <w:rStyle w:val="cf01"/>
          <w:rFonts w:ascii="Times New Roman" w:hAnsi="Times New Roman" w:hint="default"/>
          <w:i/>
          <w:iCs/>
          <w:sz w:val="24"/>
          <w:szCs w:val="24"/>
          <w:u w:val="single"/>
        </w:rPr>
        <w:t>Change management</w:t>
      </w:r>
    </w:p>
    <w:p w14:paraId="56277601" w14:textId="77777777" w:rsidR="00D61B1D" w:rsidRPr="00D61B1D" w:rsidRDefault="00D61B1D" w:rsidP="00D61B1D">
      <w:pPr>
        <w:pStyle w:val="pf0"/>
        <w:spacing w:before="0" w:beforeAutospacing="0" w:after="0" w:afterAutospacing="0" w:line="360" w:lineRule="auto"/>
        <w:rPr>
          <w:rStyle w:val="cf01"/>
          <w:rFonts w:ascii="Times New Roman" w:hAnsi="Times New Roman" w:hint="default"/>
          <w:sz w:val="24"/>
          <w:szCs w:val="24"/>
        </w:rPr>
      </w:pPr>
      <w:r w:rsidRPr="00D61B1D">
        <w:rPr>
          <w:rStyle w:val="cf01"/>
          <w:rFonts w:ascii="Times New Roman" w:hAnsi="Times New Roman" w:hint="default"/>
          <w:sz w:val="24"/>
          <w:szCs w:val="24"/>
        </w:rPr>
        <w:t xml:space="preserve">As Company A faced great changes in this COVID pandemic, it underwent large-scale transformations. The clinic staff was mobilized to support the operation of CTCs, which the operation was totally different. There was great resistance from employees at different levels. Changing the status quo was uncomfortable for many people, but achieving survival was necessary. Successful change initiatives increased employee productivity, enhanced business processes, and helped the company to adapt to this great challenge. </w:t>
      </w:r>
    </w:p>
    <w:p w14:paraId="42E6E5C5" w14:textId="77777777" w:rsidR="00D61B1D" w:rsidRPr="00D61B1D" w:rsidRDefault="00D61B1D" w:rsidP="00D61B1D">
      <w:pPr>
        <w:pStyle w:val="pf0"/>
        <w:spacing w:before="0" w:beforeAutospacing="0" w:after="0" w:afterAutospacing="0" w:line="360" w:lineRule="auto"/>
        <w:rPr>
          <w:rFonts w:eastAsia="微軟正黑體"/>
        </w:rPr>
      </w:pPr>
      <w:r w:rsidRPr="00D61B1D">
        <w:rPr>
          <w:rStyle w:val="cf01"/>
          <w:rFonts w:ascii="Times New Roman" w:hAnsi="Times New Roman" w:hint="default"/>
          <w:sz w:val="24"/>
          <w:szCs w:val="24"/>
        </w:rPr>
        <w:lastRenderedPageBreak/>
        <w:t>Change management was a strategic approach to effecting organizational change. With comprehensive training and support, change management guided employees through a transition or transformation. The process consists in addressing attitudes to change by focusing on employee resistance.</w:t>
      </w:r>
    </w:p>
    <w:p w14:paraId="2F099580" w14:textId="77777777" w:rsidR="00D61B1D" w:rsidRPr="00D61B1D" w:rsidRDefault="00D61B1D" w:rsidP="00D61B1D">
      <w:pPr>
        <w:pStyle w:val="pf0"/>
        <w:spacing w:before="0" w:beforeAutospacing="0" w:after="0" w:afterAutospacing="0" w:line="360" w:lineRule="auto"/>
      </w:pPr>
      <w:r w:rsidRPr="00D61B1D">
        <w:rPr>
          <w:rStyle w:val="cf01"/>
          <w:rFonts w:ascii="Times New Roman" w:hAnsi="Times New Roman" w:hint="default"/>
          <w:sz w:val="24"/>
          <w:szCs w:val="24"/>
        </w:rPr>
        <w:t>Changing initiatives, in this case, would focus on the frontline supervisory staff.  It attempted to change the job content and increase efficiency across processes, technologies, and goals to save the organization. </w:t>
      </w:r>
    </w:p>
    <w:p w14:paraId="1DB92EA9" w14:textId="77777777" w:rsidR="00D61B1D" w:rsidRPr="00D61B1D" w:rsidRDefault="00D61B1D" w:rsidP="00D61B1D">
      <w:pPr>
        <w:pStyle w:val="pf0"/>
        <w:spacing w:before="0" w:beforeAutospacing="0" w:after="0" w:afterAutospacing="0" w:line="360" w:lineRule="auto"/>
      </w:pPr>
      <w:r w:rsidRPr="00D61B1D">
        <w:rPr>
          <w:rStyle w:val="cf01"/>
          <w:rFonts w:ascii="Times New Roman" w:hAnsi="Times New Roman" w:hint="default"/>
          <w:sz w:val="24"/>
          <w:szCs w:val="24"/>
        </w:rPr>
        <w:t xml:space="preserve">Mid-level management applied Kurt Lewin's change management model </w:t>
      </w:r>
      <w:sdt>
        <w:sdtPr>
          <w:rPr>
            <w:rStyle w:val="cf01"/>
            <w:rFonts w:ascii="Times New Roman" w:hAnsi="Times New Roman" w:hint="default"/>
            <w:color w:val="000000"/>
            <w:sz w:val="24"/>
            <w:szCs w:val="24"/>
          </w:rPr>
          <w:tag w:val="MENDELEY_CITATION_v3_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"/>
          <w:id w:val="-124473927"/>
          <w:placeholder>
            <w:docPart w:val="09A80B593AF34F4C89C6E2FBBD182513"/>
          </w:placeholder>
        </w:sdtPr>
        <w:sdtContent>
          <w:r w:rsidRPr="00D61B1D">
            <w:rPr>
              <w:rStyle w:val="cf01"/>
              <w:rFonts w:ascii="Times New Roman" w:hAnsi="Times New Roman" w:hint="default"/>
              <w:color w:val="000000"/>
              <w:sz w:val="24"/>
              <w:szCs w:val="24"/>
            </w:rPr>
            <w:t>(Cummings et al., 2016)</w:t>
          </w:r>
        </w:sdtContent>
      </w:sdt>
      <w:r w:rsidRPr="00D61B1D">
        <w:rPr>
          <w:rStyle w:val="cf01"/>
          <w:rFonts w:ascii="Times New Roman" w:hAnsi="Times New Roman" w:hint="default"/>
          <w:sz w:val="24"/>
          <w:szCs w:val="24"/>
        </w:rPr>
        <w:t xml:space="preserve"> for the pandemic change as it was simple to understand and shared with employees in the initial stage. It consisted of three steps: unfreezing, transition, and freezing. Unfreezing involved overcoming inertia and dismantling current viewpoints. The middle management tried to explain the necessity of the change to all frontline supervisors and assisted them in further explaining to their frontline staff. After gaining the support of frontline supervisors, they were arranged to CTCs for operation in a gradual manner.  This was the transition stage where change occurs, often accompanied by confusion and uncertainty. Ongoing guidance, support, monitoring, and evaluation were throughout this stage. Learning a new system or process was challenging, and the team was regularly explained why they were crucial, the value of their skills, and how they integrated the workforce. The old ways of thinking were frozen and replaced, and the new system was operating and returning to a new status quo. </w:t>
      </w:r>
    </w:p>
    <w:p w14:paraId="643FD718" w14:textId="77777777" w:rsidR="00D61B1D" w:rsidRPr="00D61B1D" w:rsidRDefault="00D61B1D" w:rsidP="00D61B1D">
      <w:pPr>
        <w:pStyle w:val="pf0"/>
        <w:spacing w:before="0" w:beforeAutospacing="0" w:after="0" w:afterAutospacing="0" w:line="360" w:lineRule="auto"/>
      </w:pPr>
      <w:r w:rsidRPr="00D61B1D">
        <w:rPr>
          <w:rStyle w:val="cf01"/>
          <w:rFonts w:ascii="Times New Roman" w:hAnsi="Times New Roman" w:hint="default"/>
          <w:sz w:val="24"/>
          <w:szCs w:val="24"/>
        </w:rPr>
        <w:t xml:space="preserve">The ADKAR change management framework also supported the change in this case. </w:t>
      </w:r>
      <w:sdt>
        <w:sdtPr>
          <w:rPr>
            <w:rStyle w:val="cf01"/>
            <w:rFonts w:ascii="Times New Roman" w:hAnsi="Times New Roman" w:hint="default"/>
            <w:color w:val="000000"/>
            <w:sz w:val="24"/>
            <w:szCs w:val="24"/>
          </w:rPr>
          <w:tag w:val="MENDELEY_CITATION_v3_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"/>
          <w:id w:val="-1160227772"/>
          <w:placeholder>
            <w:docPart w:val="09A80B593AF34F4C89C6E2FBBD182513"/>
          </w:placeholder>
        </w:sdtPr>
        <w:sdtContent>
          <w:r w:rsidRPr="00D61B1D">
            <w:rPr>
              <w:rStyle w:val="cf01"/>
              <w:rFonts w:ascii="Times New Roman" w:hAnsi="Times New Roman" w:hint="default"/>
              <w:color w:val="000000"/>
              <w:sz w:val="24"/>
              <w:szCs w:val="24"/>
            </w:rPr>
            <w:t>(Balluck et al., 2020)</w:t>
          </w:r>
        </w:sdtContent>
      </w:sdt>
      <w:r w:rsidRPr="00D61B1D">
        <w:rPr>
          <w:rStyle w:val="cf01"/>
          <w:rFonts w:ascii="Times New Roman" w:hAnsi="Times New Roman" w:hint="default"/>
          <w:color w:val="000000"/>
          <w:sz w:val="24"/>
          <w:szCs w:val="24"/>
        </w:rPr>
        <w:t xml:space="preserve"> </w:t>
      </w:r>
      <w:r w:rsidRPr="00D61B1D">
        <w:rPr>
          <w:rStyle w:val="cf01"/>
          <w:rFonts w:ascii="Times New Roman" w:hAnsi="Times New Roman" w:hint="default"/>
          <w:sz w:val="24"/>
          <w:szCs w:val="24"/>
        </w:rPr>
        <w:t>Developed by Jeff Hiatt of Prosci, the ADKAR model consisted of five stages: awareness, desire, knowledge, ability, and reinforcement. It was a theory that provided a roadmap and execution plan for change. This model also focused on achieving change first and then training employees to handle the transformation effectively. It prioritized the employees and emphasized creating a system supporting them throughout the change process. As manpower was very important for the success of the program, active participation from employees was encouraged by raising their awareness and showing the benefits of change. The resistance of employees was substantially reduced after providing adequate ongoing support during changes of job nature.</w:t>
      </w:r>
    </w:p>
    <w:p w14:paraId="002B9B6C" w14:textId="77777777" w:rsidR="00D61B1D" w:rsidRPr="00D61B1D" w:rsidRDefault="00D61B1D" w:rsidP="00D61B1D">
      <w:pPr>
        <w:pStyle w:val="pf0"/>
        <w:spacing w:before="0" w:beforeAutospacing="0" w:after="0" w:afterAutospacing="0" w:line="360" w:lineRule="auto"/>
        <w:rPr>
          <w:rStyle w:val="cf01"/>
          <w:rFonts w:ascii="Times New Roman" w:hAnsi="Times New Roman" w:hint="default"/>
          <w:sz w:val="24"/>
          <w:szCs w:val="24"/>
        </w:rPr>
      </w:pPr>
      <w:r w:rsidRPr="00D61B1D">
        <w:rPr>
          <w:rStyle w:val="cf01"/>
          <w:rFonts w:ascii="Times New Roman" w:hAnsi="Times New Roman" w:hint="default"/>
          <w:sz w:val="24"/>
          <w:szCs w:val="24"/>
        </w:rPr>
        <w:t xml:space="preserve">The change would elicit an emotional response. Definitely, certain staff would experience emotions associated with some loss during changes. The Kübler-Ross Change Curve is a well-known model that acknowledges the emotional reactions people have to change. </w:t>
      </w:r>
      <w:sdt>
        <w:sdtPr>
          <w:rPr>
            <w:rStyle w:val="cf01"/>
            <w:rFonts w:ascii="Times New Roman" w:hAnsi="Times New Roman" w:hint="default"/>
            <w:color w:val="000000"/>
            <w:sz w:val="24"/>
            <w:szCs w:val="24"/>
          </w:rPr>
          <w:tag w:val="MENDELEY_CITATION_v3_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"/>
          <w:id w:val="-1475595065"/>
          <w:placeholder>
            <w:docPart w:val="09A80B593AF34F4C89C6E2FBBD182513"/>
          </w:placeholder>
        </w:sdtPr>
        <w:sdtContent>
          <w:r w:rsidRPr="00D61B1D">
            <w:rPr>
              <w:rStyle w:val="cf01"/>
              <w:rFonts w:ascii="Times New Roman" w:hAnsi="Times New Roman" w:hint="default"/>
              <w:color w:val="000000"/>
              <w:sz w:val="24"/>
              <w:szCs w:val="24"/>
            </w:rPr>
            <w:t>(Wiggins, 2009)</w:t>
          </w:r>
        </w:sdtContent>
      </w:sdt>
      <w:r w:rsidRPr="00D61B1D">
        <w:rPr>
          <w:rStyle w:val="cf01"/>
          <w:rFonts w:ascii="Times New Roman" w:hAnsi="Times New Roman" w:hint="default"/>
          <w:color w:val="000000"/>
          <w:sz w:val="24"/>
          <w:szCs w:val="24"/>
        </w:rPr>
        <w:t xml:space="preserve"> </w:t>
      </w:r>
      <w:r w:rsidRPr="00D61B1D">
        <w:rPr>
          <w:rStyle w:val="cf01"/>
          <w:rFonts w:ascii="Times New Roman" w:hAnsi="Times New Roman" w:hint="default"/>
          <w:sz w:val="24"/>
          <w:szCs w:val="24"/>
        </w:rPr>
        <w:t>The model highlights that individuals may go through denial, anger, bargaining, depression, and acceptance when faced with change. By showing empathy and communication with middle management in the transformation process, they helped the frontline staff to pass through these stages, and the talent pool in the company was maintained.</w:t>
      </w:r>
    </w:p>
    <w:p w14:paraId="391CCAED" w14:textId="77777777" w:rsidR="00D61B1D" w:rsidRPr="00D61B1D" w:rsidRDefault="00D61B1D" w:rsidP="00D61B1D">
      <w:pPr>
        <w:pStyle w:val="pf0"/>
        <w:spacing w:before="0" w:beforeAutospacing="0" w:after="0" w:afterAutospacing="0" w:line="360" w:lineRule="auto"/>
        <w:rPr>
          <w:rFonts w:eastAsiaTheme="minorEastAsia"/>
          <w:i/>
          <w:iCs/>
          <w:u w:val="single"/>
        </w:rPr>
      </w:pPr>
      <w:r w:rsidRPr="00D61B1D">
        <w:rPr>
          <w:rFonts w:eastAsiaTheme="minorEastAsia"/>
          <w:i/>
          <w:iCs/>
          <w:u w:val="single"/>
        </w:rPr>
        <w:lastRenderedPageBreak/>
        <w:t>Leadership</w:t>
      </w:r>
    </w:p>
    <w:p w14:paraId="20A1BB4B"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The leadership style for the top management in Company A is transformational leadership.  Transformational leaders drive change and progress within their organizations. </w:t>
      </w:r>
      <w:sdt>
        <w:sdtPr>
          <w:rPr>
            <w:sz w:val="24"/>
            <w:szCs w:val="24"/>
          </w:rPr>
          <w:tag w:val="MENDELEY_CITATION_v3_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"/>
          <w:id w:val="-1523089608"/>
          <w:placeholder>
            <w:docPart w:val="09A80B593AF34F4C89C6E2FBBD182513"/>
          </w:placeholder>
        </w:sdtPr>
        <w:sdtContent>
          <w:r w:rsidRPr="00D61B1D">
            <w:rPr>
              <w:rFonts w:eastAsia="Times New Roman"/>
              <w:sz w:val="24"/>
              <w:szCs w:val="24"/>
            </w:rPr>
            <w:t>(Bruce A. Tucker &amp; Robert F. Russell, 2004)</w:t>
          </w:r>
        </w:sdtContent>
      </w:sdt>
      <w:r w:rsidRPr="00D61B1D">
        <w:rPr>
          <w:sz w:val="24"/>
          <w:szCs w:val="24"/>
        </w:rPr>
        <w:t xml:space="preserve"> They aimed to modify the current framework and persuade individuals to embrace a new vision and potential. Exceptional transformational leaders utilize their authority and influence to inspire and motivate others, gaining their trust and encouraging them to follow their lead.</w:t>
      </w:r>
    </w:p>
    <w:p w14:paraId="779AF3E0"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However, in such extreme conditions during the pandemic, what the top management faced was the tight and limited manpower resources to operate a large number of CTCs. They demonstrated mixed types of leadership in this great period of change. For the existing staff, the leadership style is more likely to be transformational, while that for the new staff employed is more transactional. </w:t>
      </w:r>
    </w:p>
    <w:p w14:paraId="0E8ACB18"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For the existing staff, top management showed four elements of transformational leadership, which is idealized influence, inspirational motivation, intellectual stimulation, and individualized consideration. All top and middle management acted as a worker in CTCs, to be role models and inspire frontline staff through their behavior. They were respected and admired by the frontline staff. This motivated them to trust and emulate them. During the daily interaction at CTCs, top and middle management inspired and motivated their followers through a compelling vision and a strong sense of purpose. They communicate clear and inspiring goals, creating enthusiasm and excitement among followers. They encouraged thinking beyond self-interests and working towards a common goal which fight against the virus during this pandemic. The middle management also emphasized frontline in charge’s ability to stimulate their creativity and innovation on how to maximise the testing capacity, think critically, deal with challenging conditions, and explore new ideas. They create an environment that fosters learning, growth, and curiosity, empowering frontline in charge to develop their skills. The middle management also provided individual attention and support to their frontline staff. Leaders with individualized consideration genuinely care about the personal and professional development of their followers.</w:t>
      </w:r>
      <w:r w:rsidRPr="00D61B1D">
        <w:rPr>
          <w:color w:val="000000"/>
          <w:sz w:val="24"/>
          <w:szCs w:val="24"/>
        </w:rPr>
        <w:t xml:space="preserve"> </w:t>
      </w:r>
      <w:sdt>
        <w:sdtPr>
          <w:rPr>
            <w:color w:val="000000"/>
            <w:sz w:val="24"/>
            <w:szCs w:val="24"/>
          </w:rPr>
          <w:tag w:val="MENDELEY_CITATION_v3_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"/>
          <w:id w:val="1809359576"/>
          <w:placeholder>
            <w:docPart w:val="B80FD70D97B14890AE5E67F675A180CA"/>
          </w:placeholder>
        </w:sdtPr>
        <w:sdtContent>
          <w:r w:rsidRPr="00D61B1D">
            <w:rPr>
              <w:color w:val="000000"/>
              <w:sz w:val="24"/>
              <w:szCs w:val="24"/>
            </w:rPr>
            <w:t>(Roberts, 1985)</w:t>
          </w:r>
        </w:sdtContent>
      </w:sdt>
      <w:r w:rsidRPr="00D61B1D">
        <w:rPr>
          <w:sz w:val="24"/>
          <w:szCs w:val="24"/>
        </w:rPr>
        <w:t xml:space="preserve"> The middle management provided feedback and offered coaching and mentoring tailored to the unique needs and abilities of each frontline in charge. When these four elements were present and integrated, they work together to inspire and motivate followers, encourage innovation, and create a supportive work environment. Transformational leaders who embody these qualities have a significant impact on the growth and success of their followers and organizations.</w:t>
      </w:r>
    </w:p>
    <w:p w14:paraId="7D9E0ECA" w14:textId="77777777" w:rsidR="00D61B1D" w:rsidRPr="00D61B1D" w:rsidRDefault="00D61B1D" w:rsidP="00D61B1D">
      <w:pPr>
        <w:autoSpaceDE w:val="0"/>
        <w:autoSpaceDN w:val="0"/>
        <w:adjustRightInd w:val="0"/>
        <w:spacing w:line="360" w:lineRule="auto"/>
        <w:rPr>
          <w:sz w:val="24"/>
          <w:szCs w:val="24"/>
        </w:rPr>
      </w:pPr>
    </w:p>
    <w:p w14:paraId="33AA48A1"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However, as mentioned above, the top and middle management should employ a large number of staff in short period of time. To engage and motivate the new joined staff, they showed their transactional leadership. It was frequently described as a give-and-take relationship between leaders </w:t>
      </w:r>
      <w:r w:rsidRPr="00D61B1D">
        <w:rPr>
          <w:sz w:val="24"/>
          <w:szCs w:val="24"/>
        </w:rPr>
        <w:lastRenderedPageBreak/>
        <w:t>and their followers, where both parties exchange benefits and costs.</w:t>
      </w:r>
      <w:sdt>
        <w:sdtPr>
          <w:rPr>
            <w:color w:val="000000"/>
            <w:sz w:val="24"/>
            <w:szCs w:val="24"/>
          </w:rPr>
          <w:tag w:val="MENDELEY_CITATION_v3_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"/>
          <w:id w:val="-1065715997"/>
          <w:placeholder>
            <w:docPart w:val="09A80B593AF34F4C89C6E2FBBD182513"/>
          </w:placeholder>
        </w:sdtPr>
        <w:sdtContent>
          <w:r w:rsidRPr="00D61B1D">
            <w:rPr>
              <w:rFonts w:eastAsia="Times New Roman"/>
              <w:color w:val="000000"/>
              <w:sz w:val="24"/>
              <w:szCs w:val="24"/>
            </w:rPr>
            <w:t>(Kuhnert &amp; Lewwas, 1987)</w:t>
          </w:r>
        </w:sdtContent>
      </w:sdt>
      <w:r w:rsidRPr="00D61B1D">
        <w:rPr>
          <w:color w:val="000000"/>
          <w:sz w:val="24"/>
          <w:szCs w:val="24"/>
        </w:rPr>
        <w:t xml:space="preserve"> </w:t>
      </w:r>
      <w:r w:rsidRPr="00D61B1D">
        <w:rPr>
          <w:sz w:val="24"/>
          <w:szCs w:val="24"/>
        </w:rPr>
        <w:t xml:space="preserve">The transaction or exchange takes place when the leader offers something valuable that they possess or have control over, and the follower reciprocates by providing their services in return for what they desire. Transactional leadership entails leaders clearly stating and defining goals and objectives, and effectively communicating to coordinate tasks and activities with the collaboration of their employees, all to achieve broader organizational goals. (Burns, 1978) This project required a large amount of manpower for operating large number of CTCs. The transaction exchanges apply to those newcomers to this field who were unemployed in other industries due to pandemics. </w:t>
      </w:r>
    </w:p>
    <w:p w14:paraId="26B11C09"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It was common for transformational leaders to display a combination of transformational and transactional behaviors, </w:t>
      </w:r>
      <w:sdt>
        <w:sdtPr>
          <w:rPr>
            <w:color w:val="000000"/>
            <w:sz w:val="24"/>
            <w:szCs w:val="24"/>
          </w:rPr>
          <w:tag w:val="MENDELEY_CITATION_v3_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"/>
          <w:id w:val="116268618"/>
          <w:placeholder>
            <w:docPart w:val="09A80B593AF34F4C89C6E2FBBD182513"/>
          </w:placeholder>
        </w:sdtPr>
        <w:sdtContent>
          <w:r w:rsidRPr="00D61B1D">
            <w:rPr>
              <w:color w:val="000000"/>
              <w:sz w:val="24"/>
              <w:szCs w:val="24"/>
            </w:rPr>
            <w:t>(Bass, 1999)</w:t>
          </w:r>
        </w:sdtContent>
      </w:sdt>
      <w:r w:rsidRPr="00D61B1D">
        <w:rPr>
          <w:sz w:val="24"/>
          <w:szCs w:val="24"/>
        </w:rPr>
        <w:t xml:space="preserve"> Recent studies have demonstrated that the impact of transformational leadership on affective commitment and organizational citizenship behavior, mediated through work engagement, was more significant compared to the indirect effect of transactional leadership.</w:t>
      </w:r>
      <w:sdt>
        <w:sdtPr>
          <w:rPr>
            <w:sz w:val="24"/>
            <w:szCs w:val="24"/>
          </w:rPr>
          <w:tag w:val="MENDELEY_CITATION_v3_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"/>
          <w:id w:val="-1662076178"/>
          <w:placeholder>
            <w:docPart w:val="09A80B593AF34F4C89C6E2FBBD182513"/>
          </w:placeholder>
        </w:sdtPr>
        <w:sdtContent>
          <w:r w:rsidRPr="00D61B1D">
            <w:rPr>
              <w:rFonts w:eastAsia="Times New Roman"/>
              <w:sz w:val="24"/>
              <w:szCs w:val="24"/>
            </w:rPr>
            <w:t>(Aboramadan &amp; Kundi, 2020)</w:t>
          </w:r>
        </w:sdtContent>
      </w:sdt>
    </w:p>
    <w:p w14:paraId="738D4D0C" w14:textId="77777777" w:rsidR="00D61B1D" w:rsidRPr="00D61B1D" w:rsidRDefault="00D61B1D" w:rsidP="00D61B1D">
      <w:pPr>
        <w:autoSpaceDE w:val="0"/>
        <w:autoSpaceDN w:val="0"/>
        <w:adjustRightInd w:val="0"/>
        <w:spacing w:line="360" w:lineRule="auto"/>
        <w:rPr>
          <w:sz w:val="24"/>
          <w:szCs w:val="24"/>
        </w:rPr>
      </w:pPr>
    </w:p>
    <w:p w14:paraId="0ED1C604" w14:textId="77777777" w:rsidR="00D61B1D" w:rsidRPr="00D61B1D" w:rsidRDefault="00D61B1D" w:rsidP="00D61B1D">
      <w:pPr>
        <w:autoSpaceDE w:val="0"/>
        <w:autoSpaceDN w:val="0"/>
        <w:adjustRightInd w:val="0"/>
        <w:spacing w:line="360" w:lineRule="auto"/>
        <w:rPr>
          <w:i/>
          <w:iCs/>
          <w:sz w:val="24"/>
          <w:szCs w:val="24"/>
          <w:u w:val="single"/>
        </w:rPr>
      </w:pPr>
      <w:r w:rsidRPr="00D61B1D">
        <w:rPr>
          <w:i/>
          <w:iCs/>
          <w:sz w:val="24"/>
          <w:szCs w:val="24"/>
          <w:u w:val="single"/>
        </w:rPr>
        <w:t>Motivation</w:t>
      </w:r>
    </w:p>
    <w:p w14:paraId="20A63649" w14:textId="77777777" w:rsidR="00D61B1D" w:rsidRPr="00D61B1D" w:rsidRDefault="00D61B1D" w:rsidP="00D61B1D">
      <w:pPr>
        <w:spacing w:line="360" w:lineRule="auto"/>
        <w:rPr>
          <w:sz w:val="24"/>
          <w:szCs w:val="24"/>
          <w:shd w:val="clear" w:color="auto" w:fill="FFFFFF"/>
        </w:rPr>
      </w:pPr>
      <w:r w:rsidRPr="00D61B1D">
        <w:rPr>
          <w:sz w:val="24"/>
          <w:szCs w:val="24"/>
          <w:shd w:val="clear" w:color="auto" w:fill="FFFFFF"/>
        </w:rPr>
        <w:t xml:space="preserve">During large-scale public health emergencies or disasters, there was likely to be a shortage of healthcare providers. Company A planned ahead to ensure they have enough trained professionals to care for casualties. Motivating healthcare workers to come to work during these extraordinary circumstances was a challenge. Expectancy Theory suggests that motivation is influenced by the belief that a task is achievable and rewarding and that the reward is worth the effort. Factors such as physiological needs, safety concerns, a sense of belonging, and external factors like fear of litigation can impact healthcare workers' motivation. </w:t>
      </w:r>
      <w:sdt>
        <w:sdtPr>
          <w:rPr>
            <w:sz w:val="24"/>
            <w:szCs w:val="24"/>
            <w:shd w:val="clear" w:color="auto" w:fill="FFFFFF"/>
          </w:rPr>
          <w:tag w:val="MENDELEY_CITATION_v3_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"/>
          <w:id w:val="1178001002"/>
          <w:placeholder>
            <w:docPart w:val="46223FDB4BDB402FA033FEAF64237635"/>
          </w:placeholder>
        </w:sdtPr>
        <w:sdtContent>
          <w:r w:rsidRPr="00D61B1D">
            <w:rPr>
              <w:rFonts w:eastAsia="Times New Roman"/>
              <w:sz w:val="24"/>
              <w:szCs w:val="24"/>
            </w:rPr>
            <w:t>(Valdez &amp; Nichols, 2013)</w:t>
          </w:r>
        </w:sdtContent>
      </w:sdt>
      <w:r w:rsidRPr="00D61B1D">
        <w:rPr>
          <w:sz w:val="24"/>
          <w:szCs w:val="24"/>
          <w:shd w:val="clear" w:color="auto" w:fill="FFFFFF"/>
        </w:rPr>
        <w:t xml:space="preserve"> Providing support, addressing safety concerns, and offering tangible and intangible rewards were offered to motivate healthcare workers. Additionally, education on emergency preparedness and integrating it into medical and nursing education was also provided by mid-level managers.</w:t>
      </w:r>
    </w:p>
    <w:p w14:paraId="237D5627" w14:textId="77777777" w:rsidR="00D61B1D" w:rsidRPr="00D61B1D" w:rsidRDefault="00D61B1D" w:rsidP="00D61B1D">
      <w:pPr>
        <w:spacing w:line="360" w:lineRule="auto"/>
        <w:rPr>
          <w:sz w:val="24"/>
          <w:szCs w:val="24"/>
          <w:shd w:val="clear" w:color="auto" w:fill="FFFFFF"/>
        </w:rPr>
      </w:pPr>
    </w:p>
    <w:p w14:paraId="1A5EE286" w14:textId="77777777" w:rsidR="00D61B1D" w:rsidRPr="00D61B1D" w:rsidRDefault="00D61B1D" w:rsidP="00D61B1D">
      <w:pPr>
        <w:spacing w:line="360" w:lineRule="auto"/>
        <w:rPr>
          <w:sz w:val="24"/>
          <w:szCs w:val="24"/>
          <w:shd w:val="clear" w:color="auto" w:fill="FFFFFF"/>
        </w:rPr>
      </w:pPr>
      <w:r w:rsidRPr="00D61B1D">
        <w:rPr>
          <w:sz w:val="24"/>
          <w:szCs w:val="24"/>
          <w:shd w:val="clear" w:color="auto" w:fill="FFFFFF"/>
        </w:rPr>
        <w:t xml:space="preserve">In experimental research </w:t>
      </w:r>
      <w:sdt>
        <w:sdtPr>
          <w:rPr>
            <w:color w:val="000000"/>
            <w:sz w:val="24"/>
            <w:szCs w:val="24"/>
            <w:shd w:val="clear" w:color="auto" w:fill="FFFFFF"/>
          </w:rPr>
          <w:tag w:val="MENDELEY_CITATION_v3_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"/>
          <w:id w:val="-447626483"/>
          <w:placeholder>
            <w:docPart w:val="DC8326B9186447D6885F491D733F5E4A"/>
          </w:placeholder>
        </w:sdtPr>
        <w:sdtContent>
          <w:r w:rsidRPr="00D61B1D">
            <w:rPr>
              <w:rFonts w:eastAsia="Times New Roman"/>
              <w:sz w:val="24"/>
              <w:szCs w:val="24"/>
            </w:rPr>
            <w:t>(Klehe &amp; Anderson, 2007)</w:t>
          </w:r>
        </w:sdtContent>
      </w:sdt>
      <w:r w:rsidRPr="00D61B1D">
        <w:rPr>
          <w:color w:val="000000"/>
          <w:sz w:val="24"/>
          <w:szCs w:val="24"/>
          <w:shd w:val="clear" w:color="auto" w:fill="FFFFFF"/>
        </w:rPr>
        <w:t xml:space="preserve"> </w:t>
      </w:r>
      <w:r w:rsidRPr="00D61B1D">
        <w:rPr>
          <w:sz w:val="24"/>
          <w:szCs w:val="24"/>
          <w:shd w:val="clear" w:color="auto" w:fill="FFFFFF"/>
        </w:rPr>
        <w:t xml:space="preserve">the participants worked harder under the maximum performance condition, leading to better performance. Measures of motivation and participants' perceived self-efficacy and intrinsic enjoyment correlated higher with performance under typical conditions, while measures of declarative knowledge and procedural skills correlated higher with performance under the maximum condition. </w:t>
      </w:r>
    </w:p>
    <w:p w14:paraId="4524E5AD" w14:textId="77777777" w:rsidR="00D61B1D" w:rsidRPr="00D61B1D" w:rsidRDefault="00D61B1D" w:rsidP="00D61B1D">
      <w:pPr>
        <w:spacing w:line="360" w:lineRule="auto"/>
        <w:rPr>
          <w:sz w:val="24"/>
          <w:szCs w:val="24"/>
          <w:shd w:val="clear" w:color="auto" w:fill="FFFFFF"/>
        </w:rPr>
      </w:pPr>
      <w:r w:rsidRPr="00D61B1D">
        <w:rPr>
          <w:sz w:val="24"/>
          <w:szCs w:val="24"/>
          <w:shd w:val="clear" w:color="auto" w:fill="FFFFFF"/>
        </w:rPr>
        <w:t xml:space="preserve">Motivation also plays a crucial role in determining job satisfaction and employee job performance, as they have a positive and significant impact on both. Motivation, leadership, and organizational culture have a positive and significant influence on job satisfaction and hence drive employee performance. </w:t>
      </w:r>
      <w:sdt>
        <w:sdtPr>
          <w:rPr>
            <w:color w:val="000000"/>
            <w:sz w:val="24"/>
            <w:szCs w:val="24"/>
            <w:shd w:val="clear" w:color="auto" w:fill="FFFFFF"/>
          </w:rPr>
          <w:tag w:val="MENDELEY_CITATION_v3_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"/>
          <w:id w:val="-1632932283"/>
          <w:placeholder>
            <w:docPart w:val="B77E769DC1C346EF9FDDB299FDD45103"/>
          </w:placeholder>
        </w:sdtPr>
        <w:sdtContent>
          <w:r w:rsidRPr="00D61B1D">
            <w:rPr>
              <w:color w:val="000000"/>
              <w:sz w:val="24"/>
              <w:szCs w:val="24"/>
              <w:shd w:val="clear" w:color="auto" w:fill="FFFFFF"/>
            </w:rPr>
            <w:t>(Sumantri et al., 2022)</w:t>
          </w:r>
        </w:sdtContent>
      </w:sdt>
      <w:r w:rsidRPr="00D61B1D">
        <w:rPr>
          <w:color w:val="000000"/>
          <w:sz w:val="24"/>
          <w:szCs w:val="24"/>
          <w:shd w:val="clear" w:color="auto" w:fill="FFFFFF"/>
        </w:rPr>
        <w:t xml:space="preserve"> Observation showed that the job performance of employees </w:t>
      </w:r>
      <w:r w:rsidRPr="00D61B1D">
        <w:rPr>
          <w:color w:val="000000"/>
          <w:sz w:val="24"/>
          <w:szCs w:val="24"/>
          <w:shd w:val="clear" w:color="auto" w:fill="FFFFFF"/>
        </w:rPr>
        <w:lastRenderedPageBreak/>
        <w:t xml:space="preserve">and their willingness to take up Ad-hoc duties was higher for those who were motivated by both tangible and intangible means. Among all CTCs, Company A was one of contractor that provides air conditions, cold drinks, individual air cooler, frequent resting time, and extra hardship bonus to those who work in outdoor CTCs during summer. </w:t>
      </w:r>
    </w:p>
    <w:p w14:paraId="338C0420" w14:textId="77777777" w:rsidR="00D61B1D" w:rsidRPr="00D61B1D" w:rsidRDefault="00D61B1D" w:rsidP="00D61B1D">
      <w:pPr>
        <w:spacing w:line="360" w:lineRule="auto"/>
        <w:rPr>
          <w:sz w:val="24"/>
          <w:szCs w:val="24"/>
          <w:shd w:val="clear" w:color="auto" w:fill="FFFFFF"/>
        </w:rPr>
      </w:pPr>
    </w:p>
    <w:p w14:paraId="1D871725" w14:textId="77777777" w:rsidR="00D61B1D" w:rsidRPr="00D61B1D" w:rsidRDefault="00D61B1D" w:rsidP="00D61B1D">
      <w:pPr>
        <w:autoSpaceDE w:val="0"/>
        <w:autoSpaceDN w:val="0"/>
        <w:adjustRightInd w:val="0"/>
        <w:spacing w:line="360" w:lineRule="auto"/>
        <w:rPr>
          <w:i/>
          <w:iCs/>
          <w:sz w:val="24"/>
          <w:szCs w:val="24"/>
          <w:u w:val="single"/>
        </w:rPr>
      </w:pPr>
      <w:r w:rsidRPr="00D61B1D">
        <w:rPr>
          <w:i/>
          <w:iCs/>
          <w:sz w:val="24"/>
          <w:szCs w:val="24"/>
          <w:u w:val="single"/>
        </w:rPr>
        <w:t>Communication</w:t>
      </w:r>
    </w:p>
    <w:p w14:paraId="628F9FE9"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Communication in a company was usually overlooked. Messages were usually stayed at the top management level without cascading down to the middle management and frontline staff if miscommunication occurs.  </w:t>
      </w:r>
    </w:p>
    <w:p w14:paraId="3AF693B3" w14:textId="77777777" w:rsidR="00D61B1D" w:rsidRPr="00D61B1D" w:rsidRDefault="00D61B1D" w:rsidP="00D61B1D">
      <w:pPr>
        <w:autoSpaceDE w:val="0"/>
        <w:autoSpaceDN w:val="0"/>
        <w:adjustRightInd w:val="0"/>
        <w:spacing w:line="360" w:lineRule="auto"/>
        <w:rPr>
          <w:sz w:val="24"/>
          <w:szCs w:val="24"/>
        </w:rPr>
      </w:pPr>
    </w:p>
    <w:p w14:paraId="208CFCA4"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The Shannon-Weaver Model </w:t>
      </w:r>
      <w:sdt>
        <w:sdtPr>
          <w:rPr>
            <w:color w:val="000000"/>
            <w:sz w:val="24"/>
            <w:szCs w:val="24"/>
          </w:rPr>
          <w:tag w:val="MENDELEY_CITATION_v3_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"/>
          <w:id w:val="-2011279850"/>
          <w:placeholder>
            <w:docPart w:val="09A80B593AF34F4C89C6E2FBBD182513"/>
          </w:placeholder>
        </w:sdtPr>
        <w:sdtContent>
          <w:r w:rsidRPr="00D61B1D">
            <w:rPr>
              <w:rFonts w:eastAsia="Times New Roman"/>
              <w:color w:val="000000"/>
              <w:sz w:val="24"/>
              <w:szCs w:val="24"/>
            </w:rPr>
            <w:t>(computing, 2012)</w:t>
          </w:r>
        </w:sdtContent>
      </w:sdt>
      <w:r w:rsidRPr="00D61B1D">
        <w:rPr>
          <w:sz w:val="24"/>
          <w:szCs w:val="24"/>
        </w:rPr>
        <w:t xml:space="preserve">views communication as a linear process involving a sender, message, channel, receiver, noise, and feedback. The sender encodes a message and transmits it through a channel to the receiver, which decodes and interprets it. Noise can disrupt the communication process, and feedback helps to improve communication. The model also acknowledges the importance of contextual factors such as relationships, culture, and purpose. </w:t>
      </w:r>
    </w:p>
    <w:p w14:paraId="5BC4E569" w14:textId="77777777" w:rsidR="00D61B1D" w:rsidRPr="00D61B1D" w:rsidRDefault="00D61B1D" w:rsidP="00D61B1D">
      <w:pPr>
        <w:autoSpaceDE w:val="0"/>
        <w:autoSpaceDN w:val="0"/>
        <w:adjustRightInd w:val="0"/>
        <w:spacing w:line="360" w:lineRule="auto"/>
        <w:rPr>
          <w:sz w:val="24"/>
          <w:szCs w:val="24"/>
        </w:rPr>
      </w:pPr>
    </w:p>
    <w:p w14:paraId="2BA1D213"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The means of communication within an organization can greatly influence employee satisfaction. </w:t>
      </w:r>
    </w:p>
    <w:p w14:paraId="7A04F013"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As this project competes with time, town hall meetings were arranged to provide opportunities for senior leaders to address employees, share company updates, and answer questions. These meetings promote transparency, open communication, and a sense of belonging, thereby boosting employee satisfaction. For those who still have any questions about the changes, face-to-face communication was arranged. This in-person communication allows for immediate feedback, clarification, and a personal connection. It can help build trust and rapport among team members and enhance job satisfaction.</w:t>
      </w:r>
    </w:p>
    <w:p w14:paraId="2A7B0C8E"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All these communications were heart to heart communication which refers to a deep, genuine, and heartfelt form of interpersonal communication. It goes beyond superficial conversations and involves a level of emotional connection and understanding between individuals. In heart to heart communication, the top management and frontline staff communicate openly and honestly, sharing their true thoughts, feelings, and vulnerabilities. It was characterized by empathy, compassion, and active listening, where they truly try to understand and connect with each other on an emotional level. Heart-to-heart communication fosters trust, intimacy, and stronger relationships, as it allows for a deeper understanding of each other's needs, desires, and concerns. They were all present, authentic, and non-judgmental, creating a safe space for open and meaningful conversations. </w:t>
      </w:r>
    </w:p>
    <w:p w14:paraId="4D9D5C9B" w14:textId="77777777" w:rsidR="00D61B1D" w:rsidRPr="00D61B1D" w:rsidRDefault="00D61B1D" w:rsidP="00D61B1D">
      <w:pPr>
        <w:autoSpaceDE w:val="0"/>
        <w:autoSpaceDN w:val="0"/>
        <w:adjustRightInd w:val="0"/>
        <w:spacing w:line="360" w:lineRule="auto"/>
        <w:rPr>
          <w:sz w:val="24"/>
          <w:szCs w:val="24"/>
        </w:rPr>
      </w:pPr>
    </w:p>
    <w:p w14:paraId="28F688EA" w14:textId="77777777" w:rsidR="00D61B1D" w:rsidRPr="00D61B1D" w:rsidRDefault="00D61B1D" w:rsidP="00D61B1D">
      <w:pPr>
        <w:autoSpaceDE w:val="0"/>
        <w:autoSpaceDN w:val="0"/>
        <w:adjustRightInd w:val="0"/>
        <w:spacing w:line="360" w:lineRule="auto"/>
        <w:rPr>
          <w:sz w:val="24"/>
          <w:szCs w:val="24"/>
        </w:rPr>
      </w:pPr>
      <w:r w:rsidRPr="00D61B1D">
        <w:rPr>
          <w:sz w:val="24"/>
          <w:szCs w:val="24"/>
        </w:rPr>
        <w:lastRenderedPageBreak/>
        <w:t xml:space="preserve">All the essential supervisors and members, mid-level managers form a group in WhatsApp Software for immediate and quick updates and discussion about the problems encountered in the frontline. Utilizing collaboration tools can enhance communication and collaboration among team members. Real-time discussions, file sharing, and easy access to information lead to increased employee satisfaction. Email communication was used for sharing information, updates, and instructions, including the procedural protocol. </w:t>
      </w:r>
    </w:p>
    <w:p w14:paraId="14EF5459" w14:textId="77777777" w:rsidR="00D61B1D" w:rsidRPr="00D61B1D" w:rsidRDefault="00D61B1D" w:rsidP="00D61B1D">
      <w:pPr>
        <w:autoSpaceDE w:val="0"/>
        <w:autoSpaceDN w:val="0"/>
        <w:adjustRightInd w:val="0"/>
        <w:spacing w:line="360" w:lineRule="auto"/>
        <w:rPr>
          <w:sz w:val="24"/>
          <w:szCs w:val="24"/>
        </w:rPr>
      </w:pPr>
    </w:p>
    <w:p w14:paraId="3C839DEB"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To use these combinations of communication methods, align with the organization's culture, goals, and the needs of its employees. Effective communication not only enhances employee satisfaction </w:t>
      </w:r>
      <w:sdt>
        <w:sdtPr>
          <w:rPr>
            <w:sz w:val="24"/>
            <w:szCs w:val="24"/>
          </w:rPr>
          <w:tag w:val="MENDELEY_CITATION_v3_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"/>
          <w:id w:val="176473245"/>
          <w:placeholder>
            <w:docPart w:val="09A80B593AF34F4C89C6E2FBBD182513"/>
          </w:placeholder>
        </w:sdtPr>
        <w:sdtContent>
          <w:r w:rsidRPr="00D61B1D">
            <w:rPr>
              <w:rFonts w:eastAsia="Times New Roman"/>
              <w:sz w:val="24"/>
              <w:szCs w:val="24"/>
            </w:rPr>
            <w:t>(Giri &amp; Pavan Kumar, 2010; J. David Pincus, 1986; Mikkelson et al., 2015)</w:t>
          </w:r>
        </w:sdtContent>
      </w:sdt>
      <w:r w:rsidRPr="00D61B1D">
        <w:rPr>
          <w:sz w:val="24"/>
          <w:szCs w:val="24"/>
        </w:rPr>
        <w:t xml:space="preserve"> but also promotes productivity, collaboration, and overall organizational success. These employees would emotionally engage easily and be highly involved in their job with great enthusiasm, going the extra mile beyond their commitment to the company. </w:t>
      </w:r>
      <w:sdt>
        <w:sdtPr>
          <w:rPr>
            <w:sz w:val="24"/>
            <w:szCs w:val="24"/>
          </w:rPr>
          <w:tag w:val="MENDELEY_CITATION_v3_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"/>
          <w:id w:val="-1667083832"/>
          <w:placeholder>
            <w:docPart w:val="09A80B593AF34F4C89C6E2FBBD182513"/>
          </w:placeholder>
        </w:sdtPr>
        <w:sdtContent>
          <w:r w:rsidRPr="00D61B1D">
            <w:rPr>
              <w:rFonts w:eastAsia="Times New Roman"/>
              <w:sz w:val="24"/>
              <w:szCs w:val="24"/>
            </w:rPr>
            <w:t>(Markos &amp; Sridevi, 2010)</w:t>
          </w:r>
        </w:sdtContent>
      </w:sdt>
    </w:p>
    <w:p w14:paraId="204E1411" w14:textId="77777777" w:rsidR="00D61B1D" w:rsidRPr="00D61B1D" w:rsidRDefault="00D61B1D" w:rsidP="00D61B1D">
      <w:pPr>
        <w:autoSpaceDE w:val="0"/>
        <w:autoSpaceDN w:val="0"/>
        <w:adjustRightInd w:val="0"/>
        <w:spacing w:line="360" w:lineRule="auto"/>
        <w:rPr>
          <w:i/>
          <w:iCs/>
          <w:sz w:val="24"/>
          <w:szCs w:val="24"/>
          <w:u w:val="single"/>
        </w:rPr>
      </w:pPr>
    </w:p>
    <w:p w14:paraId="6E64A5E4" w14:textId="77777777" w:rsidR="00D61B1D" w:rsidRPr="00D61B1D" w:rsidRDefault="00D61B1D" w:rsidP="00D61B1D">
      <w:pPr>
        <w:autoSpaceDE w:val="0"/>
        <w:autoSpaceDN w:val="0"/>
        <w:adjustRightInd w:val="0"/>
        <w:spacing w:line="360" w:lineRule="auto"/>
        <w:rPr>
          <w:sz w:val="24"/>
          <w:szCs w:val="24"/>
          <w:u w:val="single"/>
        </w:rPr>
      </w:pPr>
      <w:r w:rsidRPr="00D61B1D">
        <w:rPr>
          <w:sz w:val="24"/>
          <w:szCs w:val="24"/>
          <w:u w:val="single"/>
        </w:rPr>
        <w:t>Head Domain</w:t>
      </w:r>
    </w:p>
    <w:p w14:paraId="263D143D"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Head Domain involves strategic planning of the company. </w:t>
      </w:r>
    </w:p>
    <w:p w14:paraId="103E3E1B" w14:textId="77777777" w:rsidR="00D61B1D" w:rsidRPr="00D61B1D" w:rsidRDefault="00D61B1D" w:rsidP="00D61B1D">
      <w:pPr>
        <w:autoSpaceDE w:val="0"/>
        <w:autoSpaceDN w:val="0"/>
        <w:adjustRightInd w:val="0"/>
        <w:spacing w:line="360" w:lineRule="auto"/>
        <w:rPr>
          <w:i/>
          <w:iCs/>
          <w:sz w:val="24"/>
          <w:szCs w:val="24"/>
          <w:u w:val="single"/>
        </w:rPr>
      </w:pPr>
      <w:r w:rsidRPr="00D61B1D">
        <w:rPr>
          <w:i/>
          <w:iCs/>
          <w:sz w:val="24"/>
          <w:szCs w:val="24"/>
          <w:u w:val="single"/>
        </w:rPr>
        <w:t xml:space="preserve">Macro and organizational environment analysis by STEEP framework </w:t>
      </w:r>
      <w:sdt>
        <w:sdtPr>
          <w:rPr>
            <w:i/>
            <w:iCs/>
            <w:color w:val="000000"/>
            <w:sz w:val="24"/>
            <w:szCs w:val="24"/>
          </w:rPr>
          <w:tag w:val="MENDELEY_CITATION_v3_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"/>
          <w:id w:val="1240370156"/>
          <w:placeholder>
            <w:docPart w:val="09A80B593AF34F4C89C6E2FBBD182513"/>
          </w:placeholder>
        </w:sdtPr>
        <w:sdtContent>
          <w:r w:rsidRPr="00D61B1D">
            <w:rPr>
              <w:i/>
              <w:iCs/>
              <w:color w:val="000000"/>
              <w:sz w:val="24"/>
              <w:szCs w:val="24"/>
            </w:rPr>
            <w:t>(Schmidt et al., 2015)</w:t>
          </w:r>
        </w:sdtContent>
      </w:sdt>
    </w:p>
    <w:p w14:paraId="3EE15266"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The COVID-19 pandemic has had a profound impact on society. In order to control the spread of virus effectively, the Hong Kong government decided to own the ownership of testing and its critical infrastructure to achieve the target as early as possible. It directly controls over whole medical and diagnostic industries, which impacts competition dynamics and market conditions.</w:t>
      </w:r>
    </w:p>
    <w:p w14:paraId="6522DC8F"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It aimed at early detection of the virus and early isolation of infected persons. The technology used, termed DNA PCR testing, was highly specific and needed special machines and equipment and trained personnel for operations. It has become essential in detecting and diagnosing COVID-19 cases. </w:t>
      </w:r>
    </w:p>
    <w:p w14:paraId="05743B0F"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However, the virus causing COVID-19 has been continuously mutating and changing strains, posing challenges for public health and organizations in terms of controlling the spread and developing effective countermeasures. Strict anti-pandemic measures, such as lockdowns, have been implemented, effectively locking down whole cities and drastically altering people's daily lives. This has created challenges for businesses as consumer behavior and demand patterns have shifted. The lockdown measures have greatly affected the economy of whole cities. Businesses have faced closures, reduced demand, and financial strain. The government has been urged to control the pandemic before resuming all economic activities, further adding to the uncertainty and challenges faced by organizations.</w:t>
      </w:r>
    </w:p>
    <w:p w14:paraId="570A7182" w14:textId="77777777" w:rsidR="00D61B1D" w:rsidRPr="00D61B1D" w:rsidRDefault="00D61B1D" w:rsidP="00D61B1D">
      <w:pPr>
        <w:autoSpaceDE w:val="0"/>
        <w:autoSpaceDN w:val="0"/>
        <w:adjustRightInd w:val="0"/>
        <w:spacing w:line="360" w:lineRule="auto"/>
        <w:rPr>
          <w:sz w:val="24"/>
          <w:szCs w:val="24"/>
        </w:rPr>
      </w:pPr>
    </w:p>
    <w:p w14:paraId="46B177DF" w14:textId="77777777" w:rsidR="00D61B1D" w:rsidRPr="00D61B1D" w:rsidRDefault="00D61B1D" w:rsidP="00D61B1D">
      <w:pPr>
        <w:autoSpaceDE w:val="0"/>
        <w:autoSpaceDN w:val="0"/>
        <w:adjustRightInd w:val="0"/>
        <w:spacing w:line="360" w:lineRule="auto"/>
        <w:rPr>
          <w:i/>
          <w:iCs/>
          <w:sz w:val="24"/>
          <w:szCs w:val="24"/>
          <w:u w:val="single"/>
        </w:rPr>
      </w:pPr>
      <w:r w:rsidRPr="00D61B1D">
        <w:rPr>
          <w:i/>
          <w:iCs/>
          <w:sz w:val="24"/>
          <w:szCs w:val="24"/>
          <w:u w:val="single"/>
        </w:rPr>
        <w:lastRenderedPageBreak/>
        <w:t xml:space="preserve">Industrial analysis with Porter’s 5-Force model </w:t>
      </w:r>
    </w:p>
    <w:p w14:paraId="21507237"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Porter's Five Forces framework provides a comprehensive analysis of the competitive forces within an industry. </w:t>
      </w:r>
      <w:sdt>
        <w:sdtPr>
          <w:rPr>
            <w:color w:val="000000"/>
            <w:sz w:val="24"/>
            <w:szCs w:val="24"/>
          </w:rPr>
          <w:tag w:val="MENDELEY_CITATION_v3_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"/>
          <w:id w:val="2009787279"/>
          <w:placeholder>
            <w:docPart w:val="09A80B593AF34F4C89C6E2FBBD182513"/>
          </w:placeholder>
        </w:sdtPr>
        <w:sdtContent>
          <w:r w:rsidRPr="00D61B1D">
            <w:rPr>
              <w:color w:val="000000"/>
              <w:sz w:val="24"/>
              <w:szCs w:val="24"/>
            </w:rPr>
            <w:t>(Goyal, 2020)</w:t>
          </w:r>
        </w:sdtContent>
      </w:sdt>
      <w:r w:rsidRPr="00D61B1D">
        <w:rPr>
          <w:color w:val="000000"/>
          <w:sz w:val="24"/>
          <w:szCs w:val="24"/>
        </w:rPr>
        <w:t xml:space="preserve"> </w:t>
      </w:r>
      <w:r w:rsidRPr="00D61B1D">
        <w:rPr>
          <w:sz w:val="24"/>
          <w:szCs w:val="24"/>
        </w:rPr>
        <w:t>The first force, the threat of new entrants, assesses the barriers that potential competitors face when entering the market. These barriers could include high capital requirements, strong brand loyalty, economies of scale, and specific knowledge skills required that existing firms have already established. In the later part of the pandemic, The Hong Kong Government invited smaller laboratories to join the services aimed at risk management and invited competition. However, due to the scale of economy, experience, and operative effectiveness, the newly joined laboratory posed minimal risk to market sharing.</w:t>
      </w:r>
    </w:p>
    <w:p w14:paraId="263A7768"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In the fifth wave, from Jan 2022 to Jun 2022, the virus was mutated to omicron strains, with its infectious capacity so fast that traditional DNA PCR tests cannot cope with the situation. Eventually, Hong Kong Government adopted the use of the Rapid Antigen Test to substitute PCR Test. It allowed the citizen to perform the test by themselves, which was time-saving and reduced the chance of cross-infection during sampling in CTCs. Citizens had more options and could easily switch to this option. This greatly reduced the number of citizens to attend CTCs for PCR testing and hence the subsidies for tests from Hong Kong Government,</w:t>
      </w:r>
    </w:p>
    <w:p w14:paraId="2C0398F0"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The third force, the bargaining power of buyers, analyzes the influence that customers have over the industry. In operating CTCs, the only buyer was Hong Kong Government. It had strong bargaining power which demanded lower prices or better terms, and greatly impacted the profitability of firms. </w:t>
      </w:r>
    </w:p>
    <w:p w14:paraId="210F05F5"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The fourth force, the bargaining power of suppliers, examined the influence that suppliers have over the industry. Suppliers with strong bargaining power demand higher prices or impose stricter supply terms, which greatly increased the cost structure and hence reduce the profitability of the company. </w:t>
      </w:r>
    </w:p>
    <w:p w14:paraId="58644884"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The final force was the intensity of competitive rivalry, which evaluated the level of competition among existing firms in the industry. For this project, the number of CTCs that the government offer, the number of sampling staff, logistic arrangement, resource availability, and the capacity of the laboratory for testing all influence the intensity of rivalry. </w:t>
      </w:r>
    </w:p>
    <w:p w14:paraId="1A3ED8DB"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After analyzing these five forces, Company A operated nearly 15-25% of total CTCs in Hong Kong during different periods of time of the pandemic. Businesses gained a deeper understanding of the competitive landscape they operated in. The analysis allowed firms to identify strategic opportunities, assess potential threats, and develop effective competitive strategies to thrive in the industry.</w:t>
      </w:r>
    </w:p>
    <w:p w14:paraId="7812086C" w14:textId="77777777" w:rsidR="00D61B1D" w:rsidRDefault="00D61B1D" w:rsidP="00D61B1D">
      <w:pPr>
        <w:autoSpaceDE w:val="0"/>
        <w:autoSpaceDN w:val="0"/>
        <w:adjustRightInd w:val="0"/>
        <w:spacing w:line="360" w:lineRule="auto"/>
        <w:rPr>
          <w:sz w:val="24"/>
          <w:szCs w:val="24"/>
        </w:rPr>
      </w:pPr>
    </w:p>
    <w:p w14:paraId="7B38D638" w14:textId="77777777" w:rsidR="00D61B1D" w:rsidRDefault="00D61B1D" w:rsidP="00D61B1D">
      <w:pPr>
        <w:autoSpaceDE w:val="0"/>
        <w:autoSpaceDN w:val="0"/>
        <w:adjustRightInd w:val="0"/>
        <w:spacing w:line="360" w:lineRule="auto"/>
        <w:rPr>
          <w:sz w:val="24"/>
          <w:szCs w:val="24"/>
        </w:rPr>
      </w:pPr>
    </w:p>
    <w:p w14:paraId="7EFE1F5C" w14:textId="77777777" w:rsidR="00D61B1D" w:rsidRPr="00D61B1D" w:rsidRDefault="00D61B1D" w:rsidP="00D61B1D">
      <w:pPr>
        <w:autoSpaceDE w:val="0"/>
        <w:autoSpaceDN w:val="0"/>
        <w:adjustRightInd w:val="0"/>
        <w:spacing w:line="360" w:lineRule="auto"/>
        <w:rPr>
          <w:sz w:val="24"/>
          <w:szCs w:val="24"/>
        </w:rPr>
      </w:pPr>
    </w:p>
    <w:p w14:paraId="66DA0048" w14:textId="77777777" w:rsidR="00D61B1D" w:rsidRPr="00D61B1D" w:rsidRDefault="00D61B1D" w:rsidP="00D61B1D">
      <w:pPr>
        <w:autoSpaceDE w:val="0"/>
        <w:autoSpaceDN w:val="0"/>
        <w:adjustRightInd w:val="0"/>
        <w:spacing w:line="360" w:lineRule="auto"/>
        <w:rPr>
          <w:sz w:val="24"/>
          <w:szCs w:val="24"/>
        </w:rPr>
      </w:pPr>
    </w:p>
    <w:p w14:paraId="5449BD78" w14:textId="77777777" w:rsidR="00D61B1D" w:rsidRPr="00D61B1D" w:rsidRDefault="00D61B1D" w:rsidP="00D61B1D">
      <w:pPr>
        <w:autoSpaceDE w:val="0"/>
        <w:autoSpaceDN w:val="0"/>
        <w:adjustRightInd w:val="0"/>
        <w:spacing w:line="360" w:lineRule="auto"/>
        <w:rPr>
          <w:i/>
          <w:iCs/>
          <w:sz w:val="24"/>
          <w:szCs w:val="24"/>
          <w:u w:val="single"/>
        </w:rPr>
      </w:pPr>
      <w:r w:rsidRPr="00D61B1D">
        <w:rPr>
          <w:i/>
          <w:iCs/>
          <w:sz w:val="24"/>
          <w:szCs w:val="24"/>
          <w:u w:val="single"/>
        </w:rPr>
        <w:lastRenderedPageBreak/>
        <w:t xml:space="preserve">Internal analysis </w:t>
      </w:r>
    </w:p>
    <w:p w14:paraId="2BF69357"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The McKinsey 7S framework, developed by McKinsey &amp; Company, was a management model that evaluates the internal elements of an organization to determine its overall performance and effectiveness. </w:t>
      </w:r>
      <w:sdt>
        <w:sdtPr>
          <w:rPr>
            <w:color w:val="000000"/>
            <w:sz w:val="24"/>
            <w:szCs w:val="24"/>
          </w:rPr>
          <w:tag w:val="MENDELEY_CITATION_v3_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"/>
          <w:id w:val="-667633605"/>
          <w:placeholder>
            <w:docPart w:val="09A80B593AF34F4C89C6E2FBBD182513"/>
          </w:placeholder>
        </w:sdtPr>
        <w:sdtContent>
          <w:r w:rsidRPr="00D61B1D">
            <w:rPr>
              <w:color w:val="000000"/>
              <w:sz w:val="24"/>
              <w:szCs w:val="24"/>
            </w:rPr>
            <w:t>(Singh, 2013)</w:t>
          </w:r>
        </w:sdtContent>
      </w:sdt>
      <w:r w:rsidRPr="00D61B1D">
        <w:rPr>
          <w:color w:val="000000"/>
          <w:sz w:val="24"/>
          <w:szCs w:val="24"/>
        </w:rPr>
        <w:t xml:space="preserve"> </w:t>
      </w:r>
      <w:r w:rsidRPr="00D61B1D">
        <w:rPr>
          <w:sz w:val="24"/>
          <w:szCs w:val="24"/>
        </w:rPr>
        <w:t>The framework consists of seven interconnected elements that must be aligned for the organization to achieve its objectives.</w:t>
      </w:r>
    </w:p>
    <w:p w14:paraId="2D7F35EA" w14:textId="77777777" w:rsidR="00D61B1D" w:rsidRPr="00D61B1D" w:rsidRDefault="00D61B1D" w:rsidP="00D61B1D">
      <w:pPr>
        <w:autoSpaceDE w:val="0"/>
        <w:autoSpaceDN w:val="0"/>
        <w:adjustRightInd w:val="0"/>
        <w:spacing w:line="360" w:lineRule="auto"/>
        <w:rPr>
          <w:sz w:val="24"/>
          <w:szCs w:val="24"/>
        </w:rPr>
      </w:pPr>
    </w:p>
    <w:p w14:paraId="04442C86"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The first element was strategy, which encompasses the organization's plan for achieving its goals and objectives. Clearly, this COVID pandemic has had a great impact on the revenue of Company A, despite there being a medical organization. The number of consultations dropped dramatically due to anti-infectious measures by the public. The project would help Company A navigate through the challenges in terms of revenue. </w:t>
      </w:r>
    </w:p>
    <w:p w14:paraId="466CD457"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The second element was structure, in which the organizational structure was simple. The message could quickly deliver to the middle management and frontline staff, and the allocation of jobs and mobilization of resources was fast to cope with such changes. The original hierarchy, reporting lines, and coordination mechanisms were changed and reorganized to focus on the success of this project.</w:t>
      </w:r>
    </w:p>
    <w:p w14:paraId="581AE844"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Systems, which refer to the processes and procedures that guide the flow of information and resources within the organization, also changed. Daily report for the sampling, revenue generation, difficulty in operative processes and its daily evaluation, and information technology infrastructure was reconstructed in a short period of time. </w:t>
      </w:r>
    </w:p>
    <w:p w14:paraId="1B4D70AA"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Communication was excellent all staff in the company hold shared values, which encompassed the core values and beliefs that guide the behavior and actions. The importance of this project, which aimed to save lives and manage the pandemic, was fully acknowledged and aligned with the organization's culture, norms, and shared beliefs.</w:t>
      </w:r>
    </w:p>
    <w:p w14:paraId="04E7FC2F"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The fifth element was skills, which referred to the capabilities and competencies of the organization's employees. This involved assessing the skills, knowledge, and expertise required to operate CTCs. The HR department underwent a restructuring process, resulting in a change in its recruitment strategies. They shifted their focus from hiring professionals to non-professionals while also expanding their recruitment methods and media platforms. Additionally, they revised their assessment criteria. The objective behind these changes was to ensure an adequate workforce and to provide in-house training with effective monitoring and auditing mechanisms in place.</w:t>
      </w:r>
    </w:p>
    <w:p w14:paraId="52C2430E"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For the staff workforce, the HR department has implemented several strategies to enhance it. They have focused on improving the quality and deployment of staff through rigorous evaluation processes. Regular training sessions have been conducted to enhance accuracy and speed among employees. A promotion and bonus system has been established to incentivize and motivate the </w:t>
      </w:r>
      <w:r w:rsidRPr="00D61B1D">
        <w:rPr>
          <w:sz w:val="24"/>
          <w:szCs w:val="24"/>
        </w:rPr>
        <w:lastRenderedPageBreak/>
        <w:t>workforce. In order to maintain a competent workforce, the department has also implemented a system to identify and lay off individuals who did not meet the required qualifications. Additionally, the Vroom expectancy theory has been integrated into the evaluation process, ensuring that employees' skills, experience, and fit with the organization's strategy were thoroughly assessed.</w:t>
      </w:r>
    </w:p>
    <w:p w14:paraId="019361D5"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The final element was style, which referred to the leadership style and behavior of top management within the organization. This involved examining the leadership approach and how it influences the organization's culture and decision-making processes.</w:t>
      </w:r>
    </w:p>
    <w:p w14:paraId="0E1CD185" w14:textId="77777777" w:rsidR="00D61B1D" w:rsidRPr="00D61B1D" w:rsidRDefault="00D61B1D" w:rsidP="00D61B1D">
      <w:pPr>
        <w:autoSpaceDE w:val="0"/>
        <w:autoSpaceDN w:val="0"/>
        <w:adjustRightInd w:val="0"/>
        <w:spacing w:line="360" w:lineRule="auto"/>
        <w:rPr>
          <w:sz w:val="24"/>
          <w:szCs w:val="24"/>
        </w:rPr>
      </w:pPr>
    </w:p>
    <w:p w14:paraId="029E8415"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The McKinsey 7S framework emphasizes the interdependence and alignment of these seven elements. The company can improve its performance, adapt to changes, and achieve its strategic goals. The framework provides a holistic approach to organizational management and enables companies to identify areas of improvement and implement effective strategies for success. </w:t>
      </w:r>
    </w:p>
    <w:p w14:paraId="163DD16A" w14:textId="77777777" w:rsidR="00D61B1D" w:rsidRPr="00D61B1D" w:rsidRDefault="00D61B1D" w:rsidP="00D61B1D">
      <w:pPr>
        <w:autoSpaceDE w:val="0"/>
        <w:autoSpaceDN w:val="0"/>
        <w:adjustRightInd w:val="0"/>
        <w:spacing w:line="360" w:lineRule="auto"/>
        <w:rPr>
          <w:sz w:val="24"/>
          <w:szCs w:val="24"/>
        </w:rPr>
      </w:pPr>
    </w:p>
    <w:p w14:paraId="5C979F0C"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Another internal evaluation was to assess the resource of Company A. According to Barney’s resource-based theory, for the company to achieve a sustainable competitive advantage, it must possess resources and capabilities that are valuable, rare, difficult to imitate, and non-substitutable (VRIN). The intangible of Company A assets like intellectual property or human capital such as skilled employees were the resource for competitive advantage. </w:t>
      </w:r>
      <w:sdt>
        <w:sdtPr>
          <w:rPr>
            <w:color w:val="000000"/>
            <w:sz w:val="24"/>
            <w:szCs w:val="24"/>
          </w:rPr>
          <w:tag w:val="MENDELEY_CITATION_v3_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"/>
          <w:id w:val="1308353426"/>
          <w:placeholder>
            <w:docPart w:val="09A80B593AF34F4C89C6E2FBBD182513"/>
          </w:placeholder>
        </w:sdtPr>
        <w:sdtContent>
          <w:r w:rsidRPr="00D61B1D">
            <w:rPr>
              <w:color w:val="000000"/>
              <w:sz w:val="24"/>
              <w:szCs w:val="24"/>
            </w:rPr>
            <w:t>(Pankaj Madhani, 2010)</w:t>
          </w:r>
        </w:sdtContent>
      </w:sdt>
    </w:p>
    <w:p w14:paraId="3FBD65CA" w14:textId="77777777" w:rsidR="00D61B1D" w:rsidRPr="00D61B1D" w:rsidRDefault="00D61B1D" w:rsidP="00D61B1D">
      <w:pPr>
        <w:autoSpaceDE w:val="0"/>
        <w:autoSpaceDN w:val="0"/>
        <w:adjustRightInd w:val="0"/>
        <w:spacing w:line="360" w:lineRule="auto"/>
        <w:rPr>
          <w:sz w:val="24"/>
          <w:szCs w:val="24"/>
        </w:rPr>
      </w:pPr>
    </w:p>
    <w:p w14:paraId="5FF6D10B"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Barney argues that resources must meet specific criteria to become sources of competitive advantage. Firstly, they must be valuable, meaning they enable a firm to exploit opportunities or neutralize threats in the market. Secondly, they must be rare, meaning not readily available to competitors. If a resource was common, it was unlikely to provide a long-term competitive advantage. Thirdly, the resource must be difficult to imitate, meaning competitors cannot easily replicate or acquire it. Finally, the resource must be non-substitutable, meaning no equivalent or alternative resource can provide the same advantage. Our company can differentiate itself from its competitors and achieve a sustainable competitive advantage.</w:t>
      </w:r>
    </w:p>
    <w:p w14:paraId="1ABE8AF5" w14:textId="77777777" w:rsidR="00D61B1D" w:rsidRPr="00D61B1D" w:rsidRDefault="00D61B1D" w:rsidP="00D61B1D">
      <w:pPr>
        <w:autoSpaceDE w:val="0"/>
        <w:autoSpaceDN w:val="0"/>
        <w:adjustRightInd w:val="0"/>
        <w:spacing w:line="360" w:lineRule="auto"/>
        <w:rPr>
          <w:sz w:val="24"/>
          <w:szCs w:val="24"/>
        </w:rPr>
      </w:pPr>
    </w:p>
    <w:p w14:paraId="1AE5AB6D" w14:textId="77777777" w:rsidR="00D61B1D" w:rsidRPr="00D61B1D" w:rsidRDefault="00D61B1D" w:rsidP="00D61B1D">
      <w:pPr>
        <w:autoSpaceDE w:val="0"/>
        <w:autoSpaceDN w:val="0"/>
        <w:adjustRightInd w:val="0"/>
        <w:spacing w:line="360" w:lineRule="auto"/>
        <w:rPr>
          <w:i/>
          <w:iCs/>
          <w:sz w:val="24"/>
          <w:szCs w:val="24"/>
          <w:u w:val="single"/>
        </w:rPr>
      </w:pPr>
      <w:r w:rsidRPr="00D61B1D">
        <w:rPr>
          <w:i/>
          <w:iCs/>
          <w:sz w:val="24"/>
          <w:szCs w:val="24"/>
          <w:u w:val="single"/>
        </w:rPr>
        <w:t>Competitor analysis</w:t>
      </w:r>
    </w:p>
    <w:p w14:paraId="77EE46F1"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Competitor analysis was the process of evaluating and understanding the strengths and weaknesses of competitors in a particular market. It involved identifying competitors, understanding their strategies, assessing their strengths and weaknesses, and identifying opportunities and threats. This analysis helped in developing competitive strategies and gaining a competitive advantage.</w:t>
      </w:r>
    </w:p>
    <w:p w14:paraId="0B247D4C" w14:textId="77777777" w:rsidR="00D61B1D" w:rsidRPr="00D61B1D" w:rsidRDefault="00D61B1D" w:rsidP="00D61B1D">
      <w:pPr>
        <w:autoSpaceDE w:val="0"/>
        <w:autoSpaceDN w:val="0"/>
        <w:adjustRightInd w:val="0"/>
        <w:spacing w:line="360" w:lineRule="auto"/>
        <w:rPr>
          <w:sz w:val="24"/>
          <w:szCs w:val="24"/>
        </w:rPr>
      </w:pPr>
    </w:p>
    <w:p w14:paraId="11E775E6" w14:textId="77777777" w:rsidR="00D61B1D" w:rsidRPr="00D61B1D" w:rsidRDefault="00D61B1D" w:rsidP="00D61B1D">
      <w:pPr>
        <w:autoSpaceDE w:val="0"/>
        <w:autoSpaceDN w:val="0"/>
        <w:adjustRightInd w:val="0"/>
        <w:spacing w:line="360" w:lineRule="auto"/>
        <w:rPr>
          <w:sz w:val="24"/>
          <w:szCs w:val="24"/>
          <w:u w:val="single"/>
        </w:rPr>
      </w:pPr>
      <w:r w:rsidRPr="00D61B1D">
        <w:rPr>
          <w:sz w:val="24"/>
          <w:szCs w:val="24"/>
          <w:u w:val="single"/>
        </w:rPr>
        <w:lastRenderedPageBreak/>
        <w:t xml:space="preserve">Hand Domain </w:t>
      </w:r>
    </w:p>
    <w:p w14:paraId="77A2AF40"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No matter how great the strategy or plan was, it was finally the frontline workforce to have them implemented. </w:t>
      </w:r>
    </w:p>
    <w:p w14:paraId="372A1B05" w14:textId="77777777" w:rsidR="00D61B1D" w:rsidRPr="00D61B1D" w:rsidRDefault="00D61B1D" w:rsidP="00D61B1D">
      <w:pPr>
        <w:autoSpaceDE w:val="0"/>
        <w:autoSpaceDN w:val="0"/>
        <w:adjustRightInd w:val="0"/>
        <w:spacing w:line="360" w:lineRule="auto"/>
        <w:rPr>
          <w:sz w:val="24"/>
          <w:szCs w:val="24"/>
        </w:rPr>
      </w:pPr>
    </w:p>
    <w:p w14:paraId="655B5087"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Quality was the most important factor that Company A was aimed to achieve. It refers to the level of excellence or standard achieved in a performance. It assesses whether the desired outcomes or goals have been met effectively and efficiently. In operating the centre, the quality of the sampling refers to the accuracy of the sampling, which would greatly affect the amount of viruses detected. Virus concentration was highest at the nasopharynx, and the degree of nasal swab would therefore be affecting the reliability of test results. Accuracy evaluates the level of precision and correctness in the performance, assessing whether the work was free from errors, mistakes, or inaccuracies. For the laboratory result, the accuracy can be increased by machine learning. </w:t>
      </w:r>
      <w:sdt>
        <w:sdtPr>
          <w:rPr>
            <w:color w:val="000000"/>
            <w:sz w:val="24"/>
            <w:szCs w:val="24"/>
          </w:rPr>
          <w:tag w:val="MENDELEY_CITATION_v3_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"/>
          <w:id w:val="641089868"/>
          <w:placeholder>
            <w:docPart w:val="38E560CD34C244639672D30B54CEE1DD"/>
          </w:placeholder>
        </w:sdtPr>
        <w:sdtContent>
          <w:r w:rsidRPr="00D61B1D">
            <w:rPr>
              <w:color w:val="000000"/>
              <w:sz w:val="24"/>
              <w:szCs w:val="24"/>
            </w:rPr>
            <w:t>(Wu et al., 2020)</w:t>
          </w:r>
        </w:sdtContent>
      </w:sdt>
    </w:p>
    <w:p w14:paraId="7B2D3058"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Company A provided central training classes to the frontline staff, in which the underlying theory was taught by medical personnel in training sessions, and practice for sampling and gear up and down the PPE would be instructed. The practice was assessed, and those who failed the assessment were not allowed to enter the frontline to work. Once they passed the examination, their on-site work performance was continuously assessed by the centre-in-charge for the standardization of sampling. The centre in charge should also pass the weekly assessment by the centre operation team to make sure the frontline staff has enough training, so to ensure quality control and to protect them from infection. </w:t>
      </w:r>
    </w:p>
    <w:p w14:paraId="0FA48FFD" w14:textId="77777777" w:rsidR="00D61B1D" w:rsidRPr="00D61B1D" w:rsidRDefault="00D61B1D" w:rsidP="00D61B1D">
      <w:pPr>
        <w:autoSpaceDE w:val="0"/>
        <w:autoSpaceDN w:val="0"/>
        <w:adjustRightInd w:val="0"/>
        <w:spacing w:line="360" w:lineRule="auto"/>
        <w:rPr>
          <w:sz w:val="24"/>
          <w:szCs w:val="24"/>
        </w:rPr>
      </w:pPr>
    </w:p>
    <w:p w14:paraId="3734A5AB"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Quantity was another parameter for measuring the success of the project. It evaluated the amount or volume of tests completed. As competing with the spread of the virus, it was important to complete as many samples as possible daily to detect any silent infection and break the infection chain. Every step in the process could affect the number of tests done. It started with queuing, registration, the process of sampling, and the logistic transport from CTCs to the laboratory. The process of sampling included checking the identities of the citizens, change of gloves, disinfecting the sampling area, storage of samples collected, and finally, strictly following the protocol for collected samples handling. Timeliness assessed whether the performance was completed within the specified timeframe or deadline, measuring the ability to meet time-related expectations and requirements. </w:t>
      </w:r>
      <w:sdt>
        <w:sdtPr>
          <w:rPr>
            <w:color w:val="000000"/>
            <w:sz w:val="24"/>
            <w:szCs w:val="24"/>
          </w:rPr>
          <w:tag w:val="MENDELEY_CITATION_v3_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"/>
          <w:id w:val="-1683199822"/>
          <w:placeholder>
            <w:docPart w:val="09A80B593AF34F4C89C6E2FBBD182513"/>
          </w:placeholder>
        </w:sdtPr>
        <w:sdtContent>
          <w:r w:rsidRPr="00D61B1D">
            <w:rPr>
              <w:color w:val="000000"/>
              <w:sz w:val="24"/>
              <w:szCs w:val="24"/>
            </w:rPr>
            <w:t>(Wideman, 1989)</w:t>
          </w:r>
        </w:sdtContent>
      </w:sdt>
      <w:r w:rsidRPr="00D61B1D">
        <w:rPr>
          <w:color w:val="000000"/>
          <w:sz w:val="24"/>
          <w:szCs w:val="24"/>
        </w:rPr>
        <w:t xml:space="preserve"> It </w:t>
      </w:r>
      <w:r w:rsidRPr="00D61B1D">
        <w:rPr>
          <w:sz w:val="24"/>
          <w:szCs w:val="24"/>
        </w:rPr>
        <w:t xml:space="preserve">measured how quickly tests were processed, and results were delivered. The test results were required to send out within 24 hours. </w:t>
      </w:r>
    </w:p>
    <w:p w14:paraId="79C452E8"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Consistency refers to the ability to maintain a stable and reliable level of performance over time, assessing whether the performance was consistent and predictable. </w:t>
      </w:r>
      <w:sdt>
        <w:sdtPr>
          <w:rPr>
            <w:color w:val="000000"/>
            <w:sz w:val="24"/>
            <w:szCs w:val="24"/>
          </w:rPr>
          <w:tag w:val="MENDELEY_CITATION_v3_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"/>
          <w:id w:val="-1211258365"/>
          <w:placeholder>
            <w:docPart w:val="09A80B593AF34F4C89C6E2FBBD182513"/>
          </w:placeholder>
        </w:sdtPr>
        <w:sdtContent>
          <w:r w:rsidRPr="00D61B1D">
            <w:rPr>
              <w:color w:val="000000"/>
              <w:sz w:val="24"/>
              <w:szCs w:val="24"/>
            </w:rPr>
            <w:t>(Friedrich, 2002)</w:t>
          </w:r>
        </w:sdtContent>
      </w:sdt>
      <w:r w:rsidRPr="00D61B1D">
        <w:rPr>
          <w:color w:val="000000"/>
          <w:sz w:val="24"/>
          <w:szCs w:val="24"/>
        </w:rPr>
        <w:t xml:space="preserve"> </w:t>
      </w:r>
      <w:r w:rsidRPr="00D61B1D">
        <w:rPr>
          <w:sz w:val="24"/>
          <w:szCs w:val="24"/>
        </w:rPr>
        <w:t xml:space="preserve">To enhance accuracy and consistency, the stability of manpower was critical. However, the supply of healthcare </w:t>
      </w:r>
      <w:r w:rsidRPr="00D61B1D">
        <w:rPr>
          <w:sz w:val="24"/>
          <w:szCs w:val="24"/>
        </w:rPr>
        <w:lastRenderedPageBreak/>
        <w:t xml:space="preserve">personnel was limited. Therefore, Company A introduced community health workers during the pandemic. The role of Community Health Workers (CHWs) varies widely across different countries, including their tasks, level of education and training, mode of engagement with the health system, and remuneration. </w:t>
      </w:r>
      <w:sdt>
        <w:sdtPr>
          <w:rPr>
            <w:color w:val="000000"/>
            <w:sz w:val="24"/>
            <w:szCs w:val="24"/>
          </w:rPr>
          <w:tag w:val="MENDELEY_CITATION_v3_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"/>
          <w:id w:val="1366956530"/>
          <w:placeholder>
            <w:docPart w:val="140713F20D4D40678977084C7F6AF25B"/>
          </w:placeholder>
        </w:sdtPr>
        <w:sdtContent>
          <w:r w:rsidRPr="00D61B1D">
            <w:rPr>
              <w:color w:val="000000"/>
              <w:sz w:val="24"/>
              <w:szCs w:val="24"/>
            </w:rPr>
            <w:t>(Bhaumik et al., 2020)</w:t>
          </w:r>
        </w:sdtContent>
      </w:sdt>
      <w:r w:rsidRPr="00D61B1D">
        <w:rPr>
          <w:sz w:val="24"/>
          <w:szCs w:val="24"/>
        </w:rPr>
        <w:t xml:space="preserve"> These workers were not working in the medical field but in other industries. They were unemployed during the pandemic. Clear guidance on their changed roles and tasks, as well as essential activities, non-essential tasks, and additional pandemic activities, was clearly explained. Psychosocial support, including peer support and professional help, was provided to them. The availability of personal protective equipment (PPE) increased their confidence. Their base salary and other employment benefits were ensured, which could improve their performance and rights. Additional provisions such as transport allowance and awards and recognition were arranged. </w:t>
      </w:r>
    </w:p>
    <w:p w14:paraId="7BAD7A8D" w14:textId="77777777" w:rsidR="00D61B1D" w:rsidRPr="00D61B1D" w:rsidRDefault="00D61B1D" w:rsidP="00D61B1D">
      <w:pPr>
        <w:autoSpaceDE w:val="0"/>
        <w:autoSpaceDN w:val="0"/>
        <w:adjustRightInd w:val="0"/>
        <w:spacing w:line="360" w:lineRule="auto"/>
        <w:rPr>
          <w:sz w:val="24"/>
          <w:szCs w:val="24"/>
        </w:rPr>
      </w:pPr>
    </w:p>
    <w:p w14:paraId="49435F32"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The virus was mutating, and the anti-pandemic policy was changing all the time. High adaptability was owned by the middle management in Company A which reflect the flexibility and ability to respond to changing circumstances. From Nov 2020 to Dec 2022, Hong Kong experienced a fourth and fifth wave of COVID infection. Community testing centres were stationary facilities that were set up in various locations within a community. The advantage of community testing centres was that they provided a consistent and accessible location for testing, making it convenient for individuals to get tested regularly or as required. However, it was inconvenient for the citizen to reach underserved or remote areas and those areas where outbreaks occur.  Therefore, mobile testing stations were advised by the government, and requested the current contractor to respond to these extra duties. They provided a flexible and adaptable approach to testing, ensuring that individuals in all areas have access to the necessary testing services. While community testing centres were first designed for voluntary testing, compulsory testing was also required by the government within the tender to identify asymptomatic carriers. The middle management reacted very fast to these changes. They identified the bottleneck every day for the quality and quantity requirements and made subsequent responses to the changes. </w:t>
      </w:r>
    </w:p>
    <w:p w14:paraId="38A7D143"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Examples were redesigning the sampling and registration area, so to increase the number of sampling stations to speed up the sampling; introducing technology such as using iPad to register for the citizen. It reflected high problem-solving and creativity in finding solutions by our middle management. </w:t>
      </w:r>
    </w:p>
    <w:p w14:paraId="1913D7DA" w14:textId="77777777" w:rsidR="00D61B1D" w:rsidRDefault="00D61B1D" w:rsidP="00D61B1D">
      <w:pPr>
        <w:autoSpaceDE w:val="0"/>
        <w:autoSpaceDN w:val="0"/>
        <w:adjustRightInd w:val="0"/>
        <w:spacing w:line="360" w:lineRule="auto"/>
        <w:rPr>
          <w:sz w:val="24"/>
          <w:szCs w:val="24"/>
        </w:rPr>
      </w:pPr>
    </w:p>
    <w:p w14:paraId="62023DBA" w14:textId="77777777" w:rsidR="00D61B1D" w:rsidRDefault="00D61B1D" w:rsidP="00D61B1D">
      <w:pPr>
        <w:autoSpaceDE w:val="0"/>
        <w:autoSpaceDN w:val="0"/>
        <w:adjustRightInd w:val="0"/>
        <w:spacing w:line="360" w:lineRule="auto"/>
        <w:rPr>
          <w:sz w:val="24"/>
          <w:szCs w:val="24"/>
        </w:rPr>
      </w:pPr>
    </w:p>
    <w:p w14:paraId="2724EE66" w14:textId="77777777" w:rsidR="00D61B1D" w:rsidRDefault="00D61B1D" w:rsidP="00D61B1D">
      <w:pPr>
        <w:autoSpaceDE w:val="0"/>
        <w:autoSpaceDN w:val="0"/>
        <w:adjustRightInd w:val="0"/>
        <w:spacing w:line="360" w:lineRule="auto"/>
        <w:rPr>
          <w:sz w:val="24"/>
          <w:szCs w:val="24"/>
        </w:rPr>
      </w:pPr>
    </w:p>
    <w:p w14:paraId="2F17C9AE" w14:textId="77777777" w:rsidR="00D61B1D" w:rsidRPr="00D61B1D" w:rsidRDefault="00D61B1D" w:rsidP="00D61B1D">
      <w:pPr>
        <w:autoSpaceDE w:val="0"/>
        <w:autoSpaceDN w:val="0"/>
        <w:adjustRightInd w:val="0"/>
        <w:spacing w:line="360" w:lineRule="auto"/>
        <w:rPr>
          <w:sz w:val="24"/>
          <w:szCs w:val="24"/>
        </w:rPr>
      </w:pPr>
    </w:p>
    <w:p w14:paraId="294C77E0" w14:textId="77777777" w:rsidR="00D61B1D" w:rsidRPr="00D61B1D" w:rsidRDefault="00D61B1D" w:rsidP="00D61B1D">
      <w:pPr>
        <w:autoSpaceDE w:val="0"/>
        <w:autoSpaceDN w:val="0"/>
        <w:adjustRightInd w:val="0"/>
        <w:spacing w:line="360" w:lineRule="auto"/>
        <w:rPr>
          <w:sz w:val="24"/>
          <w:szCs w:val="24"/>
          <w:u w:val="single"/>
        </w:rPr>
      </w:pPr>
      <w:r w:rsidRPr="00D61B1D">
        <w:rPr>
          <w:sz w:val="24"/>
          <w:szCs w:val="24"/>
          <w:u w:val="single"/>
        </w:rPr>
        <w:lastRenderedPageBreak/>
        <w:t xml:space="preserve">Integration of 3 Domains to make the program success </w:t>
      </w:r>
    </w:p>
    <w:p w14:paraId="759F9042"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Committed and capable of managing the right thing in a holistic way, was most likely to achieve organizational goals. Integrating the heart (motivation), head (strategy), and hand (execution) domains by all levels of management was the key to success. </w:t>
      </w:r>
      <w:sdt>
        <w:sdtPr>
          <w:rPr>
            <w:sz w:val="24"/>
            <w:szCs w:val="24"/>
          </w:rPr>
          <w:tag w:val="MENDELEY_CITATION_v3_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"/>
          <w:id w:val="-237944354"/>
          <w:placeholder>
            <w:docPart w:val="09A80B593AF34F4C89C6E2FBBD182513"/>
          </w:placeholder>
        </w:sdtPr>
        <w:sdtContent>
          <w:r w:rsidRPr="00D61B1D">
            <w:rPr>
              <w:rFonts w:eastAsia="Times New Roman"/>
              <w:sz w:val="24"/>
              <w:szCs w:val="24"/>
            </w:rPr>
            <w:t>(Szelwach &amp; Matthews, 2023)</w:t>
          </w:r>
        </w:sdtContent>
      </w:sdt>
    </w:p>
    <w:p w14:paraId="056E238C"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Top management demonstrates genuine commitment and heart to heart (H2H) communication.</w:t>
      </w:r>
    </w:p>
    <w:p w14:paraId="6D56772A"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An open and transparent communication culture was created in Company A, where frontline staffs felt heard and valued. Their commitment was gained, and the company provided them with the necessary knowledge and skills.</w:t>
      </w:r>
    </w:p>
    <w:p w14:paraId="29268723"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The top management "walks the talk" to support these practices. This meant that they not only endorsed the concept but also actively participated and led by example. Their commitment set the tone for the rest of the organization and showed that these practices were taken seriously. It would help to build trust between management and staff. When there was trust and mutual respect between top management and frontline staff, it created a positive work environment and enhanced the effectiveness of the 3-H driven HR practices. Furthermore, this sound vision and strategic goals inspired frontline staff and other key stakeholders. When there was a clear direction and purpose, frontline staff were more likely to understand and embrace the 3-H driven HR practices. </w:t>
      </w:r>
    </w:p>
    <w:p w14:paraId="461B0D60" w14:textId="77777777" w:rsidR="00D61B1D" w:rsidRPr="00D61B1D" w:rsidRDefault="00D61B1D" w:rsidP="00D61B1D">
      <w:pPr>
        <w:autoSpaceDE w:val="0"/>
        <w:autoSpaceDN w:val="0"/>
        <w:adjustRightInd w:val="0"/>
        <w:spacing w:line="360" w:lineRule="auto"/>
        <w:rPr>
          <w:sz w:val="24"/>
          <w:szCs w:val="24"/>
        </w:rPr>
      </w:pPr>
    </w:p>
    <w:p w14:paraId="16DCF68B"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However, even if the entire organization was motivated, engaged, and enthusiastic in supporting the corporate initiatives, the intended goals need to be achieved if the strategies of an organization were properly planned (having H2 Head) or effectively implemented (having the necessary H3 Hand competence).</w:t>
      </w:r>
    </w:p>
    <w:p w14:paraId="35EADDBB" w14:textId="77777777" w:rsidR="00D61B1D" w:rsidRPr="00D61B1D" w:rsidRDefault="00D61B1D" w:rsidP="00D61B1D">
      <w:pPr>
        <w:autoSpaceDE w:val="0"/>
        <w:autoSpaceDN w:val="0"/>
        <w:adjustRightInd w:val="0"/>
        <w:spacing w:line="360" w:lineRule="auto"/>
        <w:rPr>
          <w:sz w:val="24"/>
          <w:szCs w:val="24"/>
        </w:rPr>
      </w:pPr>
    </w:p>
    <w:p w14:paraId="0E49215C"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Company A developed an effective performance management system that evaluates, and rewards employees based on the 3-H principles. This system was fair, transparent, and aligned with the organization's overall goals. Frontline staff understood how their performance was being evaluated and the purpose of maintaining quality. These effective heart to heart (H2H) communication and buy-in strategies were necessary for successful implementation. </w:t>
      </w:r>
    </w:p>
    <w:p w14:paraId="26917268"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 xml:space="preserve">Lastly, structure, system, and skill dimensions were effectively alignment among the 3-H driven strategy. </w:t>
      </w:r>
    </w:p>
    <w:p w14:paraId="34DECB29"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This meant that all aspects of the organization, from its strategy and structure to its systems and skills, should be in harmony with the 3-H principles. This alignment ensured consistency and reinforced the importance of the 3-H practices throughout the organization.</w:t>
      </w:r>
    </w:p>
    <w:p w14:paraId="6224B364" w14:textId="77777777" w:rsidR="00D61B1D" w:rsidRDefault="00D61B1D" w:rsidP="00D61B1D">
      <w:pPr>
        <w:autoSpaceDE w:val="0"/>
        <w:autoSpaceDN w:val="0"/>
        <w:adjustRightInd w:val="0"/>
        <w:spacing w:line="360" w:lineRule="auto"/>
        <w:rPr>
          <w:sz w:val="24"/>
          <w:szCs w:val="24"/>
        </w:rPr>
      </w:pPr>
    </w:p>
    <w:p w14:paraId="3EBAB6AC" w14:textId="77777777" w:rsidR="00D61B1D" w:rsidRDefault="00D61B1D" w:rsidP="00D61B1D">
      <w:pPr>
        <w:autoSpaceDE w:val="0"/>
        <w:autoSpaceDN w:val="0"/>
        <w:adjustRightInd w:val="0"/>
        <w:spacing w:line="360" w:lineRule="auto"/>
        <w:rPr>
          <w:sz w:val="24"/>
          <w:szCs w:val="24"/>
        </w:rPr>
      </w:pPr>
    </w:p>
    <w:p w14:paraId="160F10E1" w14:textId="77777777" w:rsidR="00D61B1D" w:rsidRPr="00D61B1D" w:rsidRDefault="00D61B1D" w:rsidP="00D61B1D">
      <w:pPr>
        <w:autoSpaceDE w:val="0"/>
        <w:autoSpaceDN w:val="0"/>
        <w:adjustRightInd w:val="0"/>
        <w:spacing w:line="360" w:lineRule="auto"/>
        <w:rPr>
          <w:sz w:val="24"/>
          <w:szCs w:val="24"/>
        </w:rPr>
      </w:pPr>
    </w:p>
    <w:p w14:paraId="3502F8D1" w14:textId="77777777" w:rsidR="00D61B1D" w:rsidRPr="00D61B1D" w:rsidRDefault="00D61B1D" w:rsidP="00D61B1D">
      <w:pPr>
        <w:pStyle w:val="ab"/>
        <w:widowControl w:val="0"/>
        <w:numPr>
          <w:ilvl w:val="0"/>
          <w:numId w:val="23"/>
        </w:numPr>
        <w:autoSpaceDE w:val="0"/>
        <w:autoSpaceDN w:val="0"/>
        <w:adjustRightInd w:val="0"/>
        <w:spacing w:line="360" w:lineRule="auto"/>
        <w:contextualSpacing w:val="0"/>
        <w:rPr>
          <w:caps/>
          <w:sz w:val="24"/>
          <w:szCs w:val="24"/>
          <w:u w:val="single"/>
        </w:rPr>
      </w:pPr>
      <w:r w:rsidRPr="00D61B1D">
        <w:rPr>
          <w:caps/>
          <w:sz w:val="24"/>
          <w:szCs w:val="24"/>
          <w:u w:val="single"/>
        </w:rPr>
        <w:lastRenderedPageBreak/>
        <w:t>Conclusion</w:t>
      </w:r>
    </w:p>
    <w:p w14:paraId="4E103C92"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The study investigated the effectiveness of Company A's strategy for operating Community Testing Centres during the COVID-19 pandemic using the 3H framework. The author discovered that the number of CTCs varied based on the number of infected individuals and the strictness of government policies for controlling the virus spread. Company A operated the largest proportion of CTCs in Hong Kong for most of the pandemic period, and the initiative was considered successful. The top management focused on the heart domain, which includes change management, leadership, motivation, and communication, while the frontline staff was more interested in the hand domain. The study analyzed the attitude, skill, and structure of Company A and how the top management made decisions to operate the CTCs by evaluating the external and internal environment, competitor analysis, and industrial analysis. The integration of the heart, head, and hand domains in the 3H framework was crucial for success.</w:t>
      </w:r>
    </w:p>
    <w:p w14:paraId="5FF0944A" w14:textId="77777777" w:rsidR="00D61B1D" w:rsidRPr="00D61B1D" w:rsidRDefault="00D61B1D" w:rsidP="00D61B1D">
      <w:pPr>
        <w:autoSpaceDE w:val="0"/>
        <w:autoSpaceDN w:val="0"/>
        <w:adjustRightInd w:val="0"/>
        <w:spacing w:line="360" w:lineRule="auto"/>
        <w:rPr>
          <w:sz w:val="24"/>
          <w:szCs w:val="24"/>
        </w:rPr>
      </w:pPr>
    </w:p>
    <w:p w14:paraId="2B75C043"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However, the study has some limitations. The assumption was made that the performance and number of tests were the same for every CTC operated by different contractors, and there was no information on the capacity of each CTC. The findings were based solely on Company A, and the subjective nature of the different levels of management who focused on different domains in the 3H framework was noted. Further research involving more companies or contractors could provide a more representative view of the topic, and potential future research directions were suggested.</w:t>
      </w:r>
    </w:p>
    <w:p w14:paraId="5F5D9AF6" w14:textId="77777777" w:rsidR="00D61B1D" w:rsidRPr="00D61B1D" w:rsidRDefault="00D61B1D" w:rsidP="00D61B1D">
      <w:pPr>
        <w:autoSpaceDE w:val="0"/>
        <w:autoSpaceDN w:val="0"/>
        <w:adjustRightInd w:val="0"/>
        <w:spacing w:line="360" w:lineRule="auto"/>
        <w:rPr>
          <w:sz w:val="24"/>
          <w:szCs w:val="24"/>
        </w:rPr>
      </w:pPr>
    </w:p>
    <w:p w14:paraId="250EBA4B" w14:textId="77777777" w:rsidR="00D61B1D" w:rsidRPr="00D61B1D" w:rsidRDefault="00D61B1D" w:rsidP="00D61B1D">
      <w:pPr>
        <w:autoSpaceDE w:val="0"/>
        <w:autoSpaceDN w:val="0"/>
        <w:adjustRightInd w:val="0"/>
        <w:spacing w:line="360" w:lineRule="auto"/>
        <w:rPr>
          <w:sz w:val="24"/>
          <w:szCs w:val="24"/>
        </w:rPr>
      </w:pPr>
      <w:r w:rsidRPr="00D61B1D">
        <w:rPr>
          <w:sz w:val="24"/>
          <w:szCs w:val="24"/>
        </w:rPr>
        <w:t>(7512 words)</w:t>
      </w:r>
    </w:p>
    <w:p w14:paraId="410D8A71" w14:textId="77777777" w:rsidR="00D61B1D" w:rsidRPr="00D61B1D" w:rsidRDefault="00D61B1D" w:rsidP="00D61B1D">
      <w:pPr>
        <w:autoSpaceDE w:val="0"/>
        <w:autoSpaceDN w:val="0"/>
        <w:adjustRightInd w:val="0"/>
        <w:spacing w:line="360" w:lineRule="auto"/>
        <w:rPr>
          <w:sz w:val="24"/>
          <w:szCs w:val="24"/>
        </w:rPr>
      </w:pPr>
    </w:p>
    <w:p w14:paraId="3F84D78F" w14:textId="77777777" w:rsidR="00D61B1D" w:rsidRPr="00D61B1D" w:rsidRDefault="00D61B1D" w:rsidP="00D61B1D">
      <w:pPr>
        <w:pStyle w:val="ab"/>
        <w:widowControl w:val="0"/>
        <w:numPr>
          <w:ilvl w:val="0"/>
          <w:numId w:val="23"/>
        </w:numPr>
        <w:autoSpaceDE w:val="0"/>
        <w:autoSpaceDN w:val="0"/>
        <w:adjustRightInd w:val="0"/>
        <w:spacing w:line="360" w:lineRule="auto"/>
        <w:contextualSpacing w:val="0"/>
        <w:rPr>
          <w:caps/>
          <w:sz w:val="24"/>
          <w:szCs w:val="24"/>
          <w:u w:val="single"/>
        </w:rPr>
      </w:pPr>
      <w:r w:rsidRPr="00D61B1D">
        <w:rPr>
          <w:caps/>
          <w:sz w:val="24"/>
          <w:szCs w:val="24"/>
          <w:u w:val="single"/>
        </w:rPr>
        <w:t>Reference</w:t>
      </w:r>
    </w:p>
    <w:sdt>
      <w:sdtPr>
        <w:rPr>
          <w:sz w:val="24"/>
          <w:szCs w:val="24"/>
        </w:rPr>
        <w:tag w:val="MENDELEY_BIBLIOGRAPHY"/>
        <w:id w:val="1733808231"/>
        <w:placeholder>
          <w:docPart w:val="09A80B593AF34F4C89C6E2FBBD182513"/>
        </w:placeholder>
      </w:sdtPr>
      <w:sdtContent>
        <w:p w14:paraId="664E5FDD" w14:textId="77777777" w:rsidR="00D61B1D" w:rsidRPr="00D61B1D" w:rsidRDefault="00D61B1D" w:rsidP="00D61B1D">
          <w:pPr>
            <w:autoSpaceDE w:val="0"/>
            <w:autoSpaceDN w:val="0"/>
            <w:spacing w:line="360" w:lineRule="auto"/>
            <w:ind w:hanging="480"/>
            <w:rPr>
              <w:rFonts w:eastAsia="Times New Roman"/>
              <w:sz w:val="24"/>
              <w:szCs w:val="24"/>
            </w:rPr>
          </w:pPr>
          <w:r w:rsidRPr="00D61B1D">
            <w:rPr>
              <w:rFonts w:eastAsia="Times New Roman"/>
              <w:sz w:val="24"/>
              <w:szCs w:val="24"/>
            </w:rPr>
            <w:t xml:space="preserve">Aboramadan, M., &amp; Kundi, Y. M. (2020). Does Transformational Leadership Better Predict Work-Related Outcomes Than Transactional Leadership in the NPO Context? Evidence from Italy. </w:t>
          </w:r>
          <w:r w:rsidRPr="00D61B1D">
            <w:rPr>
              <w:rFonts w:eastAsia="Times New Roman"/>
              <w:i/>
              <w:iCs/>
              <w:sz w:val="24"/>
              <w:szCs w:val="24"/>
            </w:rPr>
            <w:t>Voluntas</w:t>
          </w:r>
          <w:r w:rsidRPr="00D61B1D">
            <w:rPr>
              <w:rFonts w:eastAsia="Times New Roman"/>
              <w:sz w:val="24"/>
              <w:szCs w:val="24"/>
            </w:rPr>
            <w:t xml:space="preserve">, </w:t>
          </w:r>
          <w:r w:rsidRPr="00D61B1D">
            <w:rPr>
              <w:rFonts w:eastAsia="Times New Roman"/>
              <w:i/>
              <w:iCs/>
              <w:sz w:val="24"/>
              <w:szCs w:val="24"/>
            </w:rPr>
            <w:t>31</w:t>
          </w:r>
          <w:r w:rsidRPr="00D61B1D">
            <w:rPr>
              <w:rFonts w:eastAsia="Times New Roman"/>
              <w:sz w:val="24"/>
              <w:szCs w:val="24"/>
            </w:rPr>
            <w:t>(6), 1254–1267. https://doi.org/10.1007/s11266-020-00278-7</w:t>
          </w:r>
        </w:p>
        <w:p w14:paraId="67C09619" w14:textId="77777777" w:rsidR="00D61B1D" w:rsidRPr="00D61B1D" w:rsidRDefault="00D61B1D" w:rsidP="00D61B1D">
          <w:pPr>
            <w:autoSpaceDE w:val="0"/>
            <w:autoSpaceDN w:val="0"/>
            <w:spacing w:line="360" w:lineRule="auto"/>
            <w:ind w:hanging="480"/>
            <w:rPr>
              <w:rFonts w:eastAsia="Times New Roman"/>
              <w:sz w:val="24"/>
              <w:szCs w:val="24"/>
            </w:rPr>
          </w:pPr>
          <w:r w:rsidRPr="00D61B1D">
            <w:rPr>
              <w:rFonts w:eastAsia="Times New Roman"/>
              <w:sz w:val="24"/>
              <w:szCs w:val="24"/>
            </w:rPr>
            <w:t xml:space="preserve">Balluck, J., Asturi, E., &amp; Brockman, V. (2020). Use of the ADKAR® and CLARC ® Change Models to Navigate Staffing Model Changes During the COVID-19 Pandemic. </w:t>
          </w:r>
          <w:r w:rsidRPr="00D61B1D">
            <w:rPr>
              <w:rFonts w:eastAsia="Times New Roman"/>
              <w:i/>
              <w:iCs/>
              <w:sz w:val="24"/>
              <w:szCs w:val="24"/>
            </w:rPr>
            <w:t>Nurse Leader</w:t>
          </w:r>
          <w:r w:rsidRPr="00D61B1D">
            <w:rPr>
              <w:rFonts w:eastAsia="Times New Roman"/>
              <w:sz w:val="24"/>
              <w:szCs w:val="24"/>
            </w:rPr>
            <w:t xml:space="preserve">, </w:t>
          </w:r>
          <w:r w:rsidRPr="00D61B1D">
            <w:rPr>
              <w:rFonts w:eastAsia="Times New Roman"/>
              <w:i/>
              <w:iCs/>
              <w:sz w:val="24"/>
              <w:szCs w:val="24"/>
            </w:rPr>
            <w:t>18</w:t>
          </w:r>
          <w:r w:rsidRPr="00D61B1D">
            <w:rPr>
              <w:rFonts w:eastAsia="Times New Roman"/>
              <w:sz w:val="24"/>
              <w:szCs w:val="24"/>
            </w:rPr>
            <w:t>(6), 539–546. https://doi.org/10.1016/J.MNL.2020.08.006</w:t>
          </w:r>
        </w:p>
        <w:p w14:paraId="624B1DBD" w14:textId="77777777" w:rsidR="00D61B1D" w:rsidRPr="00D61B1D" w:rsidRDefault="00D61B1D" w:rsidP="00D61B1D">
          <w:pPr>
            <w:autoSpaceDE w:val="0"/>
            <w:autoSpaceDN w:val="0"/>
            <w:spacing w:line="360" w:lineRule="auto"/>
            <w:ind w:hanging="480"/>
            <w:rPr>
              <w:rFonts w:eastAsia="Times New Roman"/>
              <w:sz w:val="24"/>
              <w:szCs w:val="24"/>
            </w:rPr>
          </w:pPr>
          <w:r w:rsidRPr="00D61B1D">
            <w:rPr>
              <w:rFonts w:eastAsia="Times New Roman"/>
              <w:sz w:val="24"/>
              <w:szCs w:val="24"/>
            </w:rPr>
            <w:t xml:space="preserve">Bass, B. M. (1999). Two Decades of Research and Development in Transformational Leadership. </w:t>
          </w:r>
          <w:r w:rsidRPr="00D61B1D">
            <w:rPr>
              <w:rFonts w:eastAsia="Times New Roman"/>
              <w:i/>
              <w:iCs/>
              <w:sz w:val="24"/>
              <w:szCs w:val="24"/>
            </w:rPr>
            <w:t>European Journal of Work and Organizational Psychology</w:t>
          </w:r>
          <w:r w:rsidRPr="00D61B1D">
            <w:rPr>
              <w:rFonts w:eastAsia="Times New Roman"/>
              <w:sz w:val="24"/>
              <w:szCs w:val="24"/>
            </w:rPr>
            <w:t xml:space="preserve">, </w:t>
          </w:r>
          <w:r w:rsidRPr="00D61B1D">
            <w:rPr>
              <w:rFonts w:eastAsia="Times New Roman"/>
              <w:i/>
              <w:iCs/>
              <w:sz w:val="24"/>
              <w:szCs w:val="24"/>
            </w:rPr>
            <w:t>8</w:t>
          </w:r>
          <w:r w:rsidRPr="00D61B1D">
            <w:rPr>
              <w:rFonts w:eastAsia="Times New Roman"/>
              <w:sz w:val="24"/>
              <w:szCs w:val="24"/>
            </w:rPr>
            <w:t>(1), 9–32. https://doi.org/10.1080/135943299398410</w:t>
          </w:r>
        </w:p>
        <w:p w14:paraId="76C0C1A2" w14:textId="77777777" w:rsidR="00D61B1D" w:rsidRPr="00D61B1D" w:rsidRDefault="00D61B1D" w:rsidP="00D61B1D">
          <w:pPr>
            <w:autoSpaceDE w:val="0"/>
            <w:autoSpaceDN w:val="0"/>
            <w:spacing w:line="360" w:lineRule="auto"/>
            <w:ind w:hanging="480"/>
            <w:rPr>
              <w:rFonts w:eastAsia="Times New Roman"/>
              <w:sz w:val="24"/>
              <w:szCs w:val="24"/>
            </w:rPr>
          </w:pPr>
          <w:r w:rsidRPr="00D61B1D">
            <w:rPr>
              <w:rFonts w:eastAsia="Times New Roman"/>
              <w:sz w:val="24"/>
              <w:szCs w:val="24"/>
            </w:rPr>
            <w:t xml:space="preserve">Bhaumik, S., Moola, S., Tyagi, J., Nambiar, D., &amp; Kakoti, M. (2020). Community health workers for pandemic response: A rapid evidence synthesis. </w:t>
          </w:r>
          <w:r w:rsidRPr="00D61B1D">
            <w:rPr>
              <w:rFonts w:eastAsia="Times New Roman"/>
              <w:i/>
              <w:iCs/>
              <w:sz w:val="24"/>
              <w:szCs w:val="24"/>
            </w:rPr>
            <w:t>BMJ Global Health</w:t>
          </w:r>
          <w:r w:rsidRPr="00D61B1D">
            <w:rPr>
              <w:rFonts w:eastAsia="Times New Roman"/>
              <w:sz w:val="24"/>
              <w:szCs w:val="24"/>
            </w:rPr>
            <w:t xml:space="preserve">, </w:t>
          </w:r>
          <w:r w:rsidRPr="00D61B1D">
            <w:rPr>
              <w:rFonts w:eastAsia="Times New Roman"/>
              <w:i/>
              <w:iCs/>
              <w:sz w:val="24"/>
              <w:szCs w:val="24"/>
            </w:rPr>
            <w:t>5</w:t>
          </w:r>
          <w:r w:rsidRPr="00D61B1D">
            <w:rPr>
              <w:rFonts w:eastAsia="Times New Roman"/>
              <w:sz w:val="24"/>
              <w:szCs w:val="24"/>
            </w:rPr>
            <w:t>(6). https://doi.org/10.1136/bmjgh-2020-002769</w:t>
          </w:r>
        </w:p>
        <w:p w14:paraId="5BD16C38" w14:textId="77777777" w:rsidR="00D61B1D" w:rsidRPr="00D61B1D" w:rsidRDefault="00D61B1D" w:rsidP="00D61B1D">
          <w:pPr>
            <w:autoSpaceDE w:val="0"/>
            <w:autoSpaceDN w:val="0"/>
            <w:spacing w:line="360" w:lineRule="auto"/>
            <w:ind w:hanging="480"/>
            <w:rPr>
              <w:rFonts w:eastAsia="Times New Roman"/>
              <w:sz w:val="24"/>
              <w:szCs w:val="24"/>
            </w:rPr>
          </w:pPr>
          <w:r w:rsidRPr="00D61B1D">
            <w:rPr>
              <w:rFonts w:eastAsia="Times New Roman"/>
              <w:sz w:val="24"/>
              <w:szCs w:val="24"/>
            </w:rPr>
            <w:lastRenderedPageBreak/>
            <w:t xml:space="preserve">Bruce A. Tucker, &amp; Robert F. Russell. (2004). The influence of the transformational leader. </w:t>
          </w:r>
          <w:r w:rsidRPr="00D61B1D">
            <w:rPr>
              <w:rFonts w:eastAsia="Times New Roman"/>
              <w:i/>
              <w:iCs/>
              <w:sz w:val="24"/>
              <w:szCs w:val="24"/>
            </w:rPr>
            <w:t>Journal of Leadership &amp; Organizational Studies</w:t>
          </w:r>
          <w:r w:rsidRPr="00D61B1D">
            <w:rPr>
              <w:rFonts w:eastAsia="Times New Roman"/>
              <w:sz w:val="24"/>
              <w:szCs w:val="24"/>
            </w:rPr>
            <w:t xml:space="preserve">, </w:t>
          </w:r>
          <w:r w:rsidRPr="00D61B1D">
            <w:rPr>
              <w:rFonts w:eastAsia="Times New Roman"/>
              <w:i/>
              <w:iCs/>
              <w:sz w:val="24"/>
              <w:szCs w:val="24"/>
            </w:rPr>
            <w:t>10</w:t>
          </w:r>
          <w:r w:rsidRPr="00D61B1D">
            <w:rPr>
              <w:rFonts w:eastAsia="Times New Roman"/>
              <w:sz w:val="24"/>
              <w:szCs w:val="24"/>
            </w:rPr>
            <w:t>(4), 103–111.</w:t>
          </w:r>
        </w:p>
        <w:p w14:paraId="0C3190AA" w14:textId="77777777" w:rsidR="00D61B1D" w:rsidRPr="00D61B1D" w:rsidRDefault="00D61B1D" w:rsidP="00D61B1D">
          <w:pPr>
            <w:autoSpaceDE w:val="0"/>
            <w:autoSpaceDN w:val="0"/>
            <w:spacing w:line="360" w:lineRule="auto"/>
            <w:ind w:hanging="480"/>
            <w:rPr>
              <w:rFonts w:eastAsia="Times New Roman"/>
              <w:sz w:val="24"/>
              <w:szCs w:val="24"/>
            </w:rPr>
          </w:pPr>
          <w:r w:rsidRPr="00D61B1D">
            <w:rPr>
              <w:sz w:val="24"/>
              <w:szCs w:val="24"/>
            </w:rPr>
            <w:t>Burns, J. M. (1978). Leadership. New York, NY: HarperCollins.</w:t>
          </w:r>
        </w:p>
        <w:p w14:paraId="648787F2" w14:textId="77777777" w:rsidR="00D61B1D" w:rsidRPr="00D61B1D" w:rsidRDefault="00D61B1D" w:rsidP="00D61B1D">
          <w:pPr>
            <w:autoSpaceDE w:val="0"/>
            <w:autoSpaceDN w:val="0"/>
            <w:spacing w:line="360" w:lineRule="auto"/>
            <w:ind w:hanging="480"/>
            <w:rPr>
              <w:rFonts w:eastAsia="Times New Roman"/>
              <w:sz w:val="24"/>
              <w:szCs w:val="24"/>
            </w:rPr>
          </w:pPr>
          <w:r w:rsidRPr="00D61B1D">
            <w:rPr>
              <w:rFonts w:eastAsia="Times New Roman"/>
              <w:sz w:val="24"/>
              <w:szCs w:val="24"/>
            </w:rPr>
            <w:t xml:space="preserve">Computing, S. A.-F.-I. journal of soft, &amp; 2012, undefined. (2012). A conceptual foundation for the Shannon-Weaver model of communication. </w:t>
          </w:r>
          <w:r w:rsidRPr="00D61B1D">
            <w:rPr>
              <w:rFonts w:eastAsia="Times New Roman"/>
              <w:i/>
              <w:iCs/>
              <w:sz w:val="24"/>
              <w:szCs w:val="24"/>
            </w:rPr>
            <w:t>Researchgate.Net</w:t>
          </w:r>
          <w:r w:rsidRPr="00D61B1D">
            <w:rPr>
              <w:rFonts w:eastAsia="Times New Roman"/>
              <w:sz w:val="24"/>
              <w:szCs w:val="24"/>
            </w:rPr>
            <w:t>. https://doi.org/10.3923/ijscomp.2012.12.19</w:t>
          </w:r>
        </w:p>
        <w:p w14:paraId="3E7745FA" w14:textId="77777777" w:rsidR="00D61B1D" w:rsidRPr="00D61B1D" w:rsidRDefault="00D61B1D" w:rsidP="00D61B1D">
          <w:pPr>
            <w:autoSpaceDE w:val="0"/>
            <w:autoSpaceDN w:val="0"/>
            <w:spacing w:line="360" w:lineRule="auto"/>
            <w:ind w:hanging="480"/>
            <w:rPr>
              <w:rFonts w:eastAsia="Times New Roman"/>
              <w:sz w:val="24"/>
              <w:szCs w:val="24"/>
            </w:rPr>
          </w:pPr>
          <w:r w:rsidRPr="00D61B1D">
            <w:rPr>
              <w:rFonts w:eastAsia="Times New Roman"/>
              <w:sz w:val="24"/>
              <w:szCs w:val="24"/>
            </w:rPr>
            <w:t xml:space="preserve">Cummings, S., Bridgman, T., &amp; Brown, K. G. (2016). Unfreezing change as three steps: Rethinking Kurt Lewin’s legacy for change management. </w:t>
          </w:r>
          <w:r w:rsidRPr="00D61B1D">
            <w:rPr>
              <w:rFonts w:eastAsia="Times New Roman"/>
              <w:i/>
              <w:iCs/>
              <w:sz w:val="24"/>
              <w:szCs w:val="24"/>
            </w:rPr>
            <w:t>Human Relations</w:t>
          </w:r>
          <w:r w:rsidRPr="00D61B1D">
            <w:rPr>
              <w:rFonts w:eastAsia="Times New Roman"/>
              <w:sz w:val="24"/>
              <w:szCs w:val="24"/>
            </w:rPr>
            <w:t xml:space="preserve">, </w:t>
          </w:r>
          <w:r w:rsidRPr="00D61B1D">
            <w:rPr>
              <w:rFonts w:eastAsia="Times New Roman"/>
              <w:i/>
              <w:iCs/>
              <w:sz w:val="24"/>
              <w:szCs w:val="24"/>
            </w:rPr>
            <w:t>69</w:t>
          </w:r>
          <w:r w:rsidRPr="00D61B1D">
            <w:rPr>
              <w:rFonts w:eastAsia="Times New Roman"/>
              <w:sz w:val="24"/>
              <w:szCs w:val="24"/>
            </w:rPr>
            <w:t>(1), 33–60. https://doi.org/10.1177/0018726715577707/ASSET/IMAGES/LARGE/10.1177_0018726715577707-FIG2.JPEG</w:t>
          </w:r>
        </w:p>
        <w:p w14:paraId="00C4535A" w14:textId="77777777" w:rsidR="00D61B1D" w:rsidRPr="00D61B1D" w:rsidRDefault="00D61B1D" w:rsidP="00D61B1D">
          <w:pPr>
            <w:autoSpaceDE w:val="0"/>
            <w:autoSpaceDN w:val="0"/>
            <w:spacing w:line="360" w:lineRule="auto"/>
            <w:ind w:hanging="480"/>
            <w:rPr>
              <w:rFonts w:eastAsia="Times New Roman"/>
              <w:sz w:val="24"/>
              <w:szCs w:val="24"/>
            </w:rPr>
          </w:pPr>
          <w:r w:rsidRPr="00D61B1D">
            <w:rPr>
              <w:rFonts w:eastAsia="Times New Roman"/>
              <w:sz w:val="24"/>
              <w:szCs w:val="24"/>
            </w:rPr>
            <w:t xml:space="preserve">Friedrich, M. J. (2002). Practice makes perfect: Risk-free medical training with patient simulators. </w:t>
          </w:r>
          <w:r w:rsidRPr="00D61B1D">
            <w:rPr>
              <w:rFonts w:eastAsia="Times New Roman"/>
              <w:i/>
              <w:iCs/>
              <w:sz w:val="24"/>
              <w:szCs w:val="24"/>
            </w:rPr>
            <w:t>JAMA</w:t>
          </w:r>
          <w:r w:rsidRPr="00D61B1D">
            <w:rPr>
              <w:rFonts w:eastAsia="Times New Roman"/>
              <w:sz w:val="24"/>
              <w:szCs w:val="24"/>
            </w:rPr>
            <w:t xml:space="preserve">, </w:t>
          </w:r>
          <w:r w:rsidRPr="00D61B1D">
            <w:rPr>
              <w:rFonts w:eastAsia="Times New Roman"/>
              <w:i/>
              <w:iCs/>
              <w:sz w:val="24"/>
              <w:szCs w:val="24"/>
            </w:rPr>
            <w:t>288</w:t>
          </w:r>
          <w:r w:rsidRPr="00D61B1D">
            <w:rPr>
              <w:rFonts w:eastAsia="Times New Roman"/>
              <w:sz w:val="24"/>
              <w:szCs w:val="24"/>
            </w:rPr>
            <w:t>(22). https://doi.org/10.1001/JAMA.288.22.2808</w:t>
          </w:r>
        </w:p>
        <w:p w14:paraId="06BE5AC5" w14:textId="77777777" w:rsidR="00D61B1D" w:rsidRPr="00D61B1D" w:rsidRDefault="00D61B1D" w:rsidP="00D61B1D">
          <w:pPr>
            <w:autoSpaceDE w:val="0"/>
            <w:autoSpaceDN w:val="0"/>
            <w:spacing w:line="360" w:lineRule="auto"/>
            <w:ind w:hanging="480"/>
            <w:rPr>
              <w:rFonts w:eastAsia="Times New Roman"/>
              <w:sz w:val="24"/>
              <w:szCs w:val="24"/>
            </w:rPr>
          </w:pPr>
          <w:r w:rsidRPr="00D61B1D">
            <w:rPr>
              <w:rFonts w:eastAsia="Times New Roman"/>
              <w:sz w:val="24"/>
              <w:szCs w:val="24"/>
            </w:rPr>
            <w:t xml:space="preserve">Giri, V. N., &amp; Pavan Kumar, B. (2010). Assessing the impact of organizational communication on job satisfaction and job performance. </w:t>
          </w:r>
          <w:r w:rsidRPr="00D61B1D">
            <w:rPr>
              <w:rFonts w:eastAsia="Times New Roman"/>
              <w:i/>
              <w:iCs/>
              <w:sz w:val="24"/>
              <w:szCs w:val="24"/>
            </w:rPr>
            <w:t>Psychological Studies</w:t>
          </w:r>
          <w:r w:rsidRPr="00D61B1D">
            <w:rPr>
              <w:rFonts w:eastAsia="Times New Roman"/>
              <w:sz w:val="24"/>
              <w:szCs w:val="24"/>
            </w:rPr>
            <w:t xml:space="preserve">, </w:t>
          </w:r>
          <w:r w:rsidRPr="00D61B1D">
            <w:rPr>
              <w:rFonts w:eastAsia="Times New Roman"/>
              <w:i/>
              <w:iCs/>
              <w:sz w:val="24"/>
              <w:szCs w:val="24"/>
            </w:rPr>
            <w:t>55</w:t>
          </w:r>
          <w:r w:rsidRPr="00D61B1D">
            <w:rPr>
              <w:rFonts w:eastAsia="Times New Roman"/>
              <w:sz w:val="24"/>
              <w:szCs w:val="24"/>
            </w:rPr>
            <w:t>(2), 137–143. https://doi.org/10.1007/s12646-010-0013-6</w:t>
          </w:r>
        </w:p>
        <w:p w14:paraId="4FACFE73" w14:textId="77777777" w:rsidR="00D61B1D" w:rsidRPr="00D61B1D" w:rsidRDefault="00D61B1D" w:rsidP="00D61B1D">
          <w:pPr>
            <w:autoSpaceDE w:val="0"/>
            <w:autoSpaceDN w:val="0"/>
            <w:spacing w:line="360" w:lineRule="auto"/>
            <w:ind w:hanging="480"/>
            <w:rPr>
              <w:rFonts w:eastAsia="Times New Roman"/>
              <w:sz w:val="24"/>
              <w:szCs w:val="24"/>
            </w:rPr>
          </w:pPr>
          <w:r w:rsidRPr="00D61B1D">
            <w:rPr>
              <w:rFonts w:eastAsia="Times New Roman"/>
              <w:sz w:val="24"/>
              <w:szCs w:val="24"/>
            </w:rPr>
            <w:t xml:space="preserve">Goyal, A. (2020). </w:t>
          </w:r>
          <w:r w:rsidRPr="00D61B1D">
            <w:rPr>
              <w:rFonts w:eastAsia="Times New Roman"/>
              <w:i/>
              <w:iCs/>
              <w:sz w:val="24"/>
              <w:szCs w:val="24"/>
            </w:rPr>
            <w:t>A Critical Analysis of Porter’s 5 Forces Model of Competitive Advantage</w:t>
          </w:r>
          <w:r w:rsidRPr="00D61B1D">
            <w:rPr>
              <w:rFonts w:eastAsia="Times New Roman"/>
              <w:sz w:val="24"/>
              <w:szCs w:val="24"/>
            </w:rPr>
            <w:t>. https://doi.org/10.1729/JOURNAL.25126</w:t>
          </w:r>
        </w:p>
        <w:p w14:paraId="3AAA60AD" w14:textId="77777777" w:rsidR="00D61B1D" w:rsidRPr="00D61B1D" w:rsidRDefault="00D61B1D" w:rsidP="00D61B1D">
          <w:pPr>
            <w:autoSpaceDE w:val="0"/>
            <w:autoSpaceDN w:val="0"/>
            <w:spacing w:line="360" w:lineRule="auto"/>
            <w:ind w:hanging="480"/>
            <w:rPr>
              <w:rFonts w:eastAsia="Times New Roman"/>
              <w:sz w:val="24"/>
              <w:szCs w:val="24"/>
            </w:rPr>
          </w:pPr>
          <w:r w:rsidRPr="00D61B1D">
            <w:rPr>
              <w:rFonts w:eastAsia="Times New Roman"/>
              <w:sz w:val="24"/>
              <w:szCs w:val="24"/>
            </w:rPr>
            <w:t xml:space="preserve">HKSAR. (2022, October 6). Government rolls out new measures to enhance community testing services starting today. </w:t>
          </w:r>
          <w:r w:rsidRPr="00D61B1D">
            <w:rPr>
              <w:rFonts w:eastAsia="Times New Roman"/>
              <w:i/>
              <w:iCs/>
              <w:sz w:val="24"/>
              <w:szCs w:val="24"/>
            </w:rPr>
            <w:t>HKSAR Press Release</w:t>
          </w:r>
          <w:r w:rsidRPr="00D61B1D">
            <w:rPr>
              <w:rFonts w:eastAsia="Times New Roman"/>
              <w:sz w:val="24"/>
              <w:szCs w:val="24"/>
            </w:rPr>
            <w:t>.</w:t>
          </w:r>
        </w:p>
        <w:p w14:paraId="354B9561" w14:textId="77777777" w:rsidR="00D61B1D" w:rsidRPr="00D61B1D" w:rsidRDefault="00D61B1D" w:rsidP="00D61B1D">
          <w:pPr>
            <w:autoSpaceDE w:val="0"/>
            <w:autoSpaceDN w:val="0"/>
            <w:spacing w:line="360" w:lineRule="auto"/>
            <w:ind w:hanging="480"/>
            <w:rPr>
              <w:rFonts w:eastAsia="Times New Roman"/>
              <w:sz w:val="24"/>
              <w:szCs w:val="24"/>
            </w:rPr>
          </w:pPr>
          <w:r w:rsidRPr="00D61B1D">
            <w:rPr>
              <w:rFonts w:eastAsia="Times New Roman"/>
              <w:sz w:val="24"/>
              <w:szCs w:val="24"/>
            </w:rPr>
            <w:t xml:space="preserve">J. David Pincus. (1986). Communication Satisfaction, Job Satisfaction, and Job Performance. </w:t>
          </w:r>
          <w:r w:rsidRPr="00D61B1D">
            <w:rPr>
              <w:rFonts w:eastAsia="Times New Roman"/>
              <w:i/>
              <w:iCs/>
              <w:sz w:val="24"/>
              <w:szCs w:val="24"/>
            </w:rPr>
            <w:t>Human Communication Research</w:t>
          </w:r>
          <w:r w:rsidRPr="00D61B1D">
            <w:rPr>
              <w:rFonts w:eastAsia="Times New Roman"/>
              <w:sz w:val="24"/>
              <w:szCs w:val="24"/>
            </w:rPr>
            <w:t xml:space="preserve">, </w:t>
          </w:r>
          <w:r w:rsidRPr="00D61B1D">
            <w:rPr>
              <w:rFonts w:eastAsia="Times New Roman"/>
              <w:i/>
              <w:iCs/>
              <w:sz w:val="24"/>
              <w:szCs w:val="24"/>
            </w:rPr>
            <w:t>12</w:t>
          </w:r>
          <w:r w:rsidRPr="00D61B1D">
            <w:rPr>
              <w:rFonts w:eastAsia="Times New Roman"/>
              <w:sz w:val="24"/>
              <w:szCs w:val="24"/>
            </w:rPr>
            <w:t>(3), 395–419.</w:t>
          </w:r>
        </w:p>
        <w:p w14:paraId="2FAE7D7C" w14:textId="77777777" w:rsidR="00D61B1D" w:rsidRPr="00D61B1D" w:rsidRDefault="00D61B1D" w:rsidP="00D61B1D">
          <w:pPr>
            <w:autoSpaceDE w:val="0"/>
            <w:autoSpaceDN w:val="0"/>
            <w:spacing w:line="360" w:lineRule="auto"/>
            <w:ind w:hanging="480"/>
            <w:rPr>
              <w:rFonts w:eastAsia="Times New Roman"/>
              <w:sz w:val="24"/>
              <w:szCs w:val="24"/>
            </w:rPr>
          </w:pPr>
          <w:r w:rsidRPr="00D61B1D">
            <w:rPr>
              <w:rFonts w:eastAsia="Times New Roman"/>
              <w:sz w:val="24"/>
              <w:szCs w:val="24"/>
            </w:rPr>
            <w:t xml:space="preserve">Klehe, U. C., &amp; Anderson, N. (2007). Working Hard and Working Smart: Motivation and Ability During Typical and Maximum Performance. </w:t>
          </w:r>
          <w:r w:rsidRPr="00D61B1D">
            <w:rPr>
              <w:rFonts w:eastAsia="Times New Roman"/>
              <w:i/>
              <w:iCs/>
              <w:sz w:val="24"/>
              <w:szCs w:val="24"/>
            </w:rPr>
            <w:t>Journal of Applied Psychology</w:t>
          </w:r>
          <w:r w:rsidRPr="00D61B1D">
            <w:rPr>
              <w:rFonts w:eastAsia="Times New Roman"/>
              <w:sz w:val="24"/>
              <w:szCs w:val="24"/>
            </w:rPr>
            <w:t xml:space="preserve">, </w:t>
          </w:r>
          <w:r w:rsidRPr="00D61B1D">
            <w:rPr>
              <w:rFonts w:eastAsia="Times New Roman"/>
              <w:i/>
              <w:iCs/>
              <w:sz w:val="24"/>
              <w:szCs w:val="24"/>
            </w:rPr>
            <w:t>92</w:t>
          </w:r>
          <w:r w:rsidRPr="00D61B1D">
            <w:rPr>
              <w:rFonts w:eastAsia="Times New Roman"/>
              <w:sz w:val="24"/>
              <w:szCs w:val="24"/>
            </w:rPr>
            <w:t>(4), 978–992. https://doi.org/10.1037/0021-9010.92.4.978</w:t>
          </w:r>
        </w:p>
        <w:p w14:paraId="5410D051" w14:textId="77777777" w:rsidR="00D61B1D" w:rsidRPr="00D61B1D" w:rsidRDefault="00D61B1D" w:rsidP="00D61B1D">
          <w:pPr>
            <w:autoSpaceDE w:val="0"/>
            <w:autoSpaceDN w:val="0"/>
            <w:spacing w:line="360" w:lineRule="auto"/>
            <w:ind w:hanging="480"/>
            <w:rPr>
              <w:rFonts w:eastAsia="Times New Roman"/>
              <w:sz w:val="24"/>
              <w:szCs w:val="24"/>
            </w:rPr>
          </w:pPr>
          <w:r w:rsidRPr="00D61B1D">
            <w:rPr>
              <w:rFonts w:eastAsia="Times New Roman"/>
              <w:sz w:val="24"/>
              <w:szCs w:val="24"/>
            </w:rPr>
            <w:t xml:space="preserve">Kuhnert, K. W., &amp; Lewis, P. (1987). Transactional and Transformational Leadership: A Constructive/Developmental Analysis. </w:t>
          </w:r>
          <w:r w:rsidRPr="00D61B1D">
            <w:rPr>
              <w:rFonts w:eastAsia="Times New Roman"/>
              <w:i/>
              <w:iCs/>
              <w:sz w:val="24"/>
              <w:szCs w:val="24"/>
            </w:rPr>
            <w:t>Academy of Management Review</w:t>
          </w:r>
          <w:r w:rsidRPr="00D61B1D">
            <w:rPr>
              <w:rFonts w:eastAsia="Times New Roman"/>
              <w:sz w:val="24"/>
              <w:szCs w:val="24"/>
            </w:rPr>
            <w:t xml:space="preserve">, </w:t>
          </w:r>
          <w:r w:rsidRPr="00D61B1D">
            <w:rPr>
              <w:rFonts w:eastAsia="Times New Roman"/>
              <w:i/>
              <w:iCs/>
              <w:sz w:val="24"/>
              <w:szCs w:val="24"/>
            </w:rPr>
            <w:t>12</w:t>
          </w:r>
          <w:r w:rsidRPr="00D61B1D">
            <w:rPr>
              <w:rFonts w:eastAsia="Times New Roman"/>
              <w:sz w:val="24"/>
              <w:szCs w:val="24"/>
            </w:rPr>
            <w:t>(4), 648–657.</w:t>
          </w:r>
        </w:p>
        <w:p w14:paraId="24149E33" w14:textId="77777777" w:rsidR="00D61B1D" w:rsidRPr="00D61B1D" w:rsidRDefault="00D61B1D" w:rsidP="00D61B1D">
          <w:pPr>
            <w:autoSpaceDE w:val="0"/>
            <w:autoSpaceDN w:val="0"/>
            <w:spacing w:line="360" w:lineRule="auto"/>
            <w:ind w:hanging="480"/>
            <w:rPr>
              <w:rFonts w:eastAsia="Times New Roman"/>
              <w:sz w:val="24"/>
              <w:szCs w:val="24"/>
            </w:rPr>
          </w:pPr>
          <w:r w:rsidRPr="00D61B1D">
            <w:rPr>
              <w:rFonts w:eastAsia="Times New Roman"/>
              <w:sz w:val="24"/>
              <w:szCs w:val="24"/>
            </w:rPr>
            <w:t xml:space="preserve">Markos, S., &amp; Sridevi, M. S. (2010). Employee Engagement: The Key to Improving Performance. </w:t>
          </w:r>
          <w:r w:rsidRPr="00D61B1D">
            <w:rPr>
              <w:rFonts w:eastAsia="Times New Roman"/>
              <w:i/>
              <w:iCs/>
              <w:sz w:val="24"/>
              <w:szCs w:val="24"/>
            </w:rPr>
            <w:t>International Journal of Business and Management</w:t>
          </w:r>
          <w:r w:rsidRPr="00D61B1D">
            <w:rPr>
              <w:rFonts w:eastAsia="Times New Roman"/>
              <w:sz w:val="24"/>
              <w:szCs w:val="24"/>
            </w:rPr>
            <w:t xml:space="preserve">, </w:t>
          </w:r>
          <w:r w:rsidRPr="00D61B1D">
            <w:rPr>
              <w:rFonts w:eastAsia="Times New Roman"/>
              <w:i/>
              <w:iCs/>
              <w:sz w:val="24"/>
              <w:szCs w:val="24"/>
            </w:rPr>
            <w:t>5</w:t>
          </w:r>
          <w:r w:rsidRPr="00D61B1D">
            <w:rPr>
              <w:rFonts w:eastAsia="Times New Roman"/>
              <w:sz w:val="24"/>
              <w:szCs w:val="24"/>
            </w:rPr>
            <w:t>(12), 89–96. www.ccsenet.org/ijbm</w:t>
          </w:r>
        </w:p>
        <w:p w14:paraId="4605DE26" w14:textId="77777777" w:rsidR="00D61B1D" w:rsidRPr="00D61B1D" w:rsidRDefault="00D61B1D" w:rsidP="00D61B1D">
          <w:pPr>
            <w:autoSpaceDE w:val="0"/>
            <w:autoSpaceDN w:val="0"/>
            <w:spacing w:line="360" w:lineRule="auto"/>
            <w:ind w:hanging="480"/>
            <w:rPr>
              <w:rFonts w:eastAsia="Times New Roman"/>
              <w:sz w:val="24"/>
              <w:szCs w:val="24"/>
            </w:rPr>
          </w:pPr>
          <w:r w:rsidRPr="00D61B1D">
            <w:rPr>
              <w:rFonts w:eastAsia="Times New Roman"/>
              <w:sz w:val="24"/>
              <w:szCs w:val="24"/>
            </w:rPr>
            <w:t xml:space="preserve">Mikkelson, A. C., York, J. A., &amp; Arritola, J. (2015). Communication Competence, Leadership Behaviors, and Employee Outcomes in Supervisor-Employee Relationships. </w:t>
          </w:r>
          <w:r w:rsidRPr="00D61B1D">
            <w:rPr>
              <w:rFonts w:eastAsia="Times New Roman"/>
              <w:i/>
              <w:iCs/>
              <w:sz w:val="24"/>
              <w:szCs w:val="24"/>
            </w:rPr>
            <w:t>Business and Professional Communication Quarterly</w:t>
          </w:r>
          <w:r w:rsidRPr="00D61B1D">
            <w:rPr>
              <w:rFonts w:eastAsia="Times New Roman"/>
              <w:sz w:val="24"/>
              <w:szCs w:val="24"/>
            </w:rPr>
            <w:t xml:space="preserve">, </w:t>
          </w:r>
          <w:r w:rsidRPr="00D61B1D">
            <w:rPr>
              <w:rFonts w:eastAsia="Times New Roman"/>
              <w:i/>
              <w:iCs/>
              <w:sz w:val="24"/>
              <w:szCs w:val="24"/>
            </w:rPr>
            <w:t>78</w:t>
          </w:r>
          <w:r w:rsidRPr="00D61B1D">
            <w:rPr>
              <w:rFonts w:eastAsia="Times New Roman"/>
              <w:sz w:val="24"/>
              <w:szCs w:val="24"/>
            </w:rPr>
            <w:t>(3), 336–354.</w:t>
          </w:r>
        </w:p>
        <w:p w14:paraId="6A28268D" w14:textId="77777777" w:rsidR="00D61B1D" w:rsidRPr="00D61B1D" w:rsidRDefault="00D61B1D" w:rsidP="00D61B1D">
          <w:pPr>
            <w:autoSpaceDE w:val="0"/>
            <w:autoSpaceDN w:val="0"/>
            <w:spacing w:line="360" w:lineRule="auto"/>
            <w:ind w:hanging="480"/>
            <w:rPr>
              <w:rFonts w:eastAsia="Times New Roman"/>
              <w:sz w:val="24"/>
              <w:szCs w:val="24"/>
            </w:rPr>
          </w:pPr>
          <w:r w:rsidRPr="00D61B1D">
            <w:rPr>
              <w:rFonts w:eastAsia="Times New Roman"/>
              <w:sz w:val="24"/>
              <w:szCs w:val="24"/>
            </w:rPr>
            <w:t xml:space="preserve">Pankaj Madhani. (2010). Resource Based View (RBV) of Competitive Advantage: An Overview. In </w:t>
          </w:r>
          <w:r w:rsidRPr="00D61B1D">
            <w:rPr>
              <w:rFonts w:eastAsia="Times New Roman"/>
              <w:i/>
              <w:iCs/>
              <w:sz w:val="24"/>
              <w:szCs w:val="24"/>
            </w:rPr>
            <w:t>RESOURCE BASED VIEW: CONCEPTS AND PRACTICES</w:t>
          </w:r>
          <w:r w:rsidRPr="00D61B1D">
            <w:rPr>
              <w:rFonts w:eastAsia="Times New Roman"/>
              <w:sz w:val="24"/>
              <w:szCs w:val="24"/>
            </w:rPr>
            <w:t xml:space="preserve"> (pp. 3–22). https://papers.ssrn.com/sol3/papers.cfm?abstract_id=1578704</w:t>
          </w:r>
        </w:p>
        <w:p w14:paraId="215BEBC1" w14:textId="77777777" w:rsidR="00D61B1D" w:rsidRPr="00D61B1D" w:rsidRDefault="00D61B1D" w:rsidP="00D61B1D">
          <w:pPr>
            <w:autoSpaceDE w:val="0"/>
            <w:autoSpaceDN w:val="0"/>
            <w:spacing w:line="360" w:lineRule="auto"/>
            <w:ind w:hanging="480"/>
            <w:rPr>
              <w:rFonts w:eastAsia="Times New Roman"/>
              <w:sz w:val="24"/>
              <w:szCs w:val="24"/>
            </w:rPr>
          </w:pPr>
          <w:r w:rsidRPr="00D61B1D">
            <w:rPr>
              <w:rFonts w:eastAsia="Times New Roman"/>
              <w:sz w:val="24"/>
              <w:szCs w:val="24"/>
            </w:rPr>
            <w:lastRenderedPageBreak/>
            <w:t xml:space="preserve">Roberts, N. C. (1985). Transforming Leadership: A Process of Collective Actio. </w:t>
          </w:r>
          <w:r w:rsidRPr="00D61B1D">
            <w:rPr>
              <w:rFonts w:eastAsia="Times New Roman"/>
              <w:i/>
              <w:iCs/>
              <w:sz w:val="24"/>
              <w:szCs w:val="24"/>
            </w:rPr>
            <w:t>Human Relations</w:t>
          </w:r>
          <w:r w:rsidRPr="00D61B1D">
            <w:rPr>
              <w:rFonts w:eastAsia="Times New Roman"/>
              <w:sz w:val="24"/>
              <w:szCs w:val="24"/>
            </w:rPr>
            <w:t xml:space="preserve">, </w:t>
          </w:r>
          <w:r w:rsidRPr="00D61B1D">
            <w:rPr>
              <w:rFonts w:eastAsia="Times New Roman"/>
              <w:i/>
              <w:iCs/>
              <w:sz w:val="24"/>
              <w:szCs w:val="24"/>
            </w:rPr>
            <w:t>38</w:t>
          </w:r>
          <w:r w:rsidRPr="00D61B1D">
            <w:rPr>
              <w:rFonts w:eastAsia="Times New Roman"/>
              <w:sz w:val="24"/>
              <w:szCs w:val="24"/>
            </w:rPr>
            <w:t>(11), 1023–1046. https://doi.org/10.1177/001872678503801103</w:t>
          </w:r>
        </w:p>
        <w:p w14:paraId="5E70209B" w14:textId="77777777" w:rsidR="00D61B1D" w:rsidRPr="00D61B1D" w:rsidRDefault="00D61B1D" w:rsidP="00D61B1D">
          <w:pPr>
            <w:autoSpaceDE w:val="0"/>
            <w:autoSpaceDN w:val="0"/>
            <w:spacing w:line="360" w:lineRule="auto"/>
            <w:ind w:hanging="480"/>
            <w:rPr>
              <w:rFonts w:eastAsia="Times New Roman"/>
              <w:sz w:val="24"/>
              <w:szCs w:val="24"/>
            </w:rPr>
          </w:pPr>
          <w:r w:rsidRPr="00D61B1D">
            <w:rPr>
              <w:rFonts w:eastAsia="Times New Roman"/>
              <w:sz w:val="24"/>
              <w:szCs w:val="24"/>
            </w:rPr>
            <w:t xml:space="preserve">Sarros, J. C. ;, &amp; Santora, J. C. (2001). The transformational-transactional leadership model in practice. In </w:t>
          </w:r>
          <w:r w:rsidRPr="00D61B1D">
            <w:rPr>
              <w:rFonts w:eastAsia="Times New Roman"/>
              <w:i/>
              <w:iCs/>
              <w:sz w:val="24"/>
              <w:szCs w:val="24"/>
            </w:rPr>
            <w:t>Leadership &amp; Organization Development Journal</w:t>
          </w:r>
          <w:r w:rsidRPr="00D61B1D">
            <w:rPr>
              <w:rFonts w:eastAsia="Times New Roman"/>
              <w:sz w:val="24"/>
              <w:szCs w:val="24"/>
            </w:rPr>
            <w:t xml:space="preserve"> (Vol. 22).</w:t>
          </w:r>
        </w:p>
        <w:p w14:paraId="0E9FBDD1" w14:textId="77777777" w:rsidR="00D61B1D" w:rsidRPr="00D61B1D" w:rsidRDefault="00D61B1D" w:rsidP="00D61B1D">
          <w:pPr>
            <w:autoSpaceDE w:val="0"/>
            <w:autoSpaceDN w:val="0"/>
            <w:spacing w:line="360" w:lineRule="auto"/>
            <w:ind w:hanging="480"/>
            <w:rPr>
              <w:rFonts w:eastAsia="Times New Roman"/>
              <w:sz w:val="24"/>
              <w:szCs w:val="24"/>
            </w:rPr>
          </w:pPr>
          <w:r w:rsidRPr="00D61B1D">
            <w:rPr>
              <w:rFonts w:eastAsia="Times New Roman"/>
              <w:sz w:val="24"/>
              <w:szCs w:val="24"/>
            </w:rPr>
            <w:t xml:space="preserve">Schmidt, K., Lee, R., Lorenz, W., Singh, P., &amp; McGrail, M. (2015). Use of steep framework as basis for sustainable engineering education. </w:t>
          </w:r>
          <w:r w:rsidRPr="00D61B1D">
            <w:rPr>
              <w:rFonts w:eastAsia="Times New Roman"/>
              <w:i/>
              <w:iCs/>
              <w:sz w:val="24"/>
              <w:szCs w:val="24"/>
            </w:rPr>
            <w:t>Canada</w:t>
          </w:r>
          <w:r w:rsidRPr="00D61B1D">
            <w:rPr>
              <w:rFonts w:eastAsia="Times New Roman"/>
              <w:sz w:val="24"/>
              <w:szCs w:val="24"/>
            </w:rPr>
            <w:t xml:space="preserve">, </w:t>
          </w:r>
          <w:r w:rsidRPr="00D61B1D">
            <w:rPr>
              <w:rFonts w:eastAsia="Times New Roman"/>
              <w:i/>
              <w:iCs/>
              <w:sz w:val="24"/>
              <w:szCs w:val="24"/>
            </w:rPr>
            <w:t>12</w:t>
          </w:r>
          <w:r w:rsidRPr="00D61B1D">
            <w:rPr>
              <w:rFonts w:eastAsia="Times New Roman"/>
              <w:sz w:val="24"/>
              <w:szCs w:val="24"/>
            </w:rPr>
            <w:t>. https://doi.org/10.14288/1.0064738</w:t>
          </w:r>
        </w:p>
        <w:p w14:paraId="2141B6CC" w14:textId="77777777" w:rsidR="00D61B1D" w:rsidRPr="00D61B1D" w:rsidRDefault="00D61B1D" w:rsidP="00D61B1D">
          <w:pPr>
            <w:autoSpaceDE w:val="0"/>
            <w:autoSpaceDN w:val="0"/>
            <w:spacing w:line="360" w:lineRule="auto"/>
            <w:ind w:hanging="480"/>
            <w:rPr>
              <w:rFonts w:eastAsia="Times New Roman"/>
              <w:sz w:val="24"/>
              <w:szCs w:val="24"/>
            </w:rPr>
          </w:pPr>
          <w:r w:rsidRPr="00D61B1D">
            <w:rPr>
              <w:rFonts w:eastAsia="Times New Roman"/>
              <w:sz w:val="24"/>
              <w:szCs w:val="24"/>
            </w:rPr>
            <w:t xml:space="preserve">Singh, A. (2013). A Study of Role of McKinsey’s 7S Framework in Achieving Organizational Excellence. </w:t>
          </w:r>
          <w:r w:rsidRPr="00D61B1D">
            <w:rPr>
              <w:rFonts w:eastAsia="Times New Roman"/>
              <w:i/>
              <w:iCs/>
              <w:sz w:val="24"/>
              <w:szCs w:val="24"/>
            </w:rPr>
            <w:t>Organization Development Journal</w:t>
          </w:r>
          <w:r w:rsidRPr="00D61B1D">
            <w:rPr>
              <w:rFonts w:eastAsia="Times New Roman"/>
              <w:sz w:val="24"/>
              <w:szCs w:val="24"/>
            </w:rPr>
            <w:t xml:space="preserve">, </w:t>
          </w:r>
          <w:r w:rsidRPr="00D61B1D">
            <w:rPr>
              <w:rFonts w:eastAsia="Times New Roman"/>
              <w:i/>
              <w:iCs/>
              <w:sz w:val="24"/>
              <w:szCs w:val="24"/>
            </w:rPr>
            <w:t>31</w:t>
          </w:r>
          <w:r w:rsidRPr="00D61B1D">
            <w:rPr>
              <w:rFonts w:eastAsia="Times New Roman"/>
              <w:sz w:val="24"/>
              <w:szCs w:val="24"/>
            </w:rPr>
            <w:t>(3), 39–51.</w:t>
          </w:r>
        </w:p>
        <w:p w14:paraId="710E689A" w14:textId="77777777" w:rsidR="00D61B1D" w:rsidRPr="00D61B1D" w:rsidRDefault="00D61B1D" w:rsidP="00D61B1D">
          <w:pPr>
            <w:autoSpaceDE w:val="0"/>
            <w:autoSpaceDN w:val="0"/>
            <w:spacing w:line="360" w:lineRule="auto"/>
            <w:ind w:hanging="480"/>
            <w:rPr>
              <w:rFonts w:eastAsia="Times New Roman"/>
              <w:sz w:val="24"/>
              <w:szCs w:val="24"/>
            </w:rPr>
          </w:pPr>
          <w:r w:rsidRPr="00D61B1D">
            <w:rPr>
              <w:rFonts w:eastAsia="Times New Roman"/>
              <w:sz w:val="24"/>
              <w:szCs w:val="24"/>
            </w:rPr>
            <w:t xml:space="preserve">Sumantri, S., Wibisono, C., Olenka, R. I. G., &amp; Hidayat, F. (2022). Effect of Motivation, Leadership and Organizational Culture on Employee Performance during the COVID-19 Pandemic. </w:t>
          </w:r>
          <w:r w:rsidRPr="00D61B1D">
            <w:rPr>
              <w:rFonts w:eastAsia="Times New Roman"/>
              <w:i/>
              <w:iCs/>
              <w:sz w:val="24"/>
              <w:szCs w:val="24"/>
            </w:rPr>
            <w:t>International Journal of Finance, Economics and Business</w:t>
          </w:r>
          <w:r w:rsidRPr="00D61B1D">
            <w:rPr>
              <w:rFonts w:eastAsia="Times New Roman"/>
              <w:sz w:val="24"/>
              <w:szCs w:val="24"/>
            </w:rPr>
            <w:t xml:space="preserve">, </w:t>
          </w:r>
          <w:r w:rsidRPr="00D61B1D">
            <w:rPr>
              <w:rFonts w:eastAsia="Times New Roman"/>
              <w:i/>
              <w:iCs/>
              <w:sz w:val="24"/>
              <w:szCs w:val="24"/>
            </w:rPr>
            <w:t>1</w:t>
          </w:r>
          <w:r w:rsidRPr="00D61B1D">
            <w:rPr>
              <w:rFonts w:eastAsia="Times New Roman"/>
              <w:sz w:val="24"/>
              <w:szCs w:val="24"/>
            </w:rPr>
            <w:t>(3), 237–249. https://doi.org/10.56225/ijfeb.v1i3.63</w:t>
          </w:r>
        </w:p>
        <w:p w14:paraId="50CFDA80" w14:textId="77777777" w:rsidR="00D61B1D" w:rsidRPr="00D61B1D" w:rsidRDefault="00D61B1D" w:rsidP="00D61B1D">
          <w:pPr>
            <w:autoSpaceDE w:val="0"/>
            <w:autoSpaceDN w:val="0"/>
            <w:spacing w:line="360" w:lineRule="auto"/>
            <w:ind w:hanging="480"/>
            <w:rPr>
              <w:rFonts w:eastAsia="Times New Roman"/>
              <w:sz w:val="24"/>
              <w:szCs w:val="24"/>
            </w:rPr>
          </w:pPr>
          <w:r w:rsidRPr="00D61B1D">
            <w:rPr>
              <w:rFonts w:eastAsia="Times New Roman"/>
              <w:sz w:val="24"/>
              <w:szCs w:val="24"/>
            </w:rPr>
            <w:t xml:space="preserve">Szelwach, C., &amp; Matthews, T. L. (2023). Holistic Embodied OD: Integrating Head, Heart, Hands, and Whole Body for Change. In </w:t>
          </w:r>
          <w:r w:rsidRPr="00D61B1D">
            <w:rPr>
              <w:rFonts w:eastAsia="Times New Roman"/>
              <w:i/>
              <w:iCs/>
              <w:sz w:val="24"/>
              <w:szCs w:val="24"/>
            </w:rPr>
            <w:t>Organization Development Journal l Summer</w:t>
          </w:r>
          <w:r w:rsidRPr="00D61B1D">
            <w:rPr>
              <w:rFonts w:eastAsia="Times New Roman"/>
              <w:sz w:val="24"/>
              <w:szCs w:val="24"/>
            </w:rPr>
            <w:t>.</w:t>
          </w:r>
        </w:p>
        <w:p w14:paraId="50FE3265" w14:textId="77777777" w:rsidR="00D61B1D" w:rsidRPr="00D61B1D" w:rsidRDefault="00D61B1D" w:rsidP="00D61B1D">
          <w:pPr>
            <w:autoSpaceDE w:val="0"/>
            <w:autoSpaceDN w:val="0"/>
            <w:spacing w:line="360" w:lineRule="auto"/>
            <w:ind w:hanging="480"/>
            <w:rPr>
              <w:rFonts w:eastAsia="Times New Roman"/>
              <w:sz w:val="24"/>
              <w:szCs w:val="24"/>
            </w:rPr>
          </w:pPr>
          <w:r w:rsidRPr="00D61B1D">
            <w:rPr>
              <w:rFonts w:eastAsia="Times New Roman"/>
              <w:sz w:val="24"/>
              <w:szCs w:val="24"/>
            </w:rPr>
            <w:t xml:space="preserve">Valdez, C. D., &amp; Nichols, T. W. (2013). Motivating Healthcare Workers to Work During a Crisis: A Literature Review. </w:t>
          </w:r>
          <w:r w:rsidRPr="00D61B1D">
            <w:rPr>
              <w:rFonts w:eastAsia="Times New Roman"/>
              <w:i/>
              <w:iCs/>
              <w:sz w:val="24"/>
              <w:szCs w:val="24"/>
            </w:rPr>
            <w:t>Journal of Management Policy and Practice</w:t>
          </w:r>
          <w:r w:rsidRPr="00D61B1D">
            <w:rPr>
              <w:rFonts w:eastAsia="Times New Roman"/>
              <w:sz w:val="24"/>
              <w:szCs w:val="24"/>
            </w:rPr>
            <w:t xml:space="preserve">, </w:t>
          </w:r>
          <w:r w:rsidRPr="00D61B1D">
            <w:rPr>
              <w:rFonts w:eastAsia="Times New Roman"/>
              <w:i/>
              <w:iCs/>
              <w:sz w:val="24"/>
              <w:szCs w:val="24"/>
            </w:rPr>
            <w:t>14</w:t>
          </w:r>
          <w:r w:rsidRPr="00D61B1D">
            <w:rPr>
              <w:rFonts w:eastAsia="Times New Roman"/>
              <w:sz w:val="24"/>
              <w:szCs w:val="24"/>
            </w:rPr>
            <w:t>(4), 43–51.</w:t>
          </w:r>
        </w:p>
        <w:p w14:paraId="42E03AFC" w14:textId="77777777" w:rsidR="00D61B1D" w:rsidRPr="00D61B1D" w:rsidRDefault="00D61B1D" w:rsidP="00D61B1D">
          <w:pPr>
            <w:autoSpaceDE w:val="0"/>
            <w:autoSpaceDN w:val="0"/>
            <w:spacing w:line="360" w:lineRule="auto"/>
            <w:ind w:hanging="480"/>
            <w:rPr>
              <w:rFonts w:eastAsia="Times New Roman"/>
              <w:sz w:val="24"/>
              <w:szCs w:val="24"/>
            </w:rPr>
          </w:pPr>
          <w:r w:rsidRPr="00D61B1D">
            <w:rPr>
              <w:rFonts w:eastAsia="Times New Roman"/>
              <w:sz w:val="24"/>
              <w:szCs w:val="24"/>
            </w:rPr>
            <w:t xml:space="preserve">Wideman, R. M. (1989). Successful project control and execution. </w:t>
          </w:r>
          <w:r w:rsidRPr="00D61B1D">
            <w:rPr>
              <w:rFonts w:eastAsia="Times New Roman"/>
              <w:i/>
              <w:iCs/>
              <w:sz w:val="24"/>
              <w:szCs w:val="24"/>
            </w:rPr>
            <w:t>International Journal of Project Management</w:t>
          </w:r>
          <w:r w:rsidRPr="00D61B1D">
            <w:rPr>
              <w:rFonts w:eastAsia="Times New Roman"/>
              <w:sz w:val="24"/>
              <w:szCs w:val="24"/>
            </w:rPr>
            <w:t xml:space="preserve">, </w:t>
          </w:r>
          <w:r w:rsidRPr="00D61B1D">
            <w:rPr>
              <w:rFonts w:eastAsia="Times New Roman"/>
              <w:i/>
              <w:iCs/>
              <w:sz w:val="24"/>
              <w:szCs w:val="24"/>
            </w:rPr>
            <w:t>7</w:t>
          </w:r>
          <w:r w:rsidRPr="00D61B1D">
            <w:rPr>
              <w:rFonts w:eastAsia="Times New Roman"/>
              <w:sz w:val="24"/>
              <w:szCs w:val="24"/>
            </w:rPr>
            <w:t>(2), 109–113. https://doi.org/10.1016/0263-7863(89)90024-0</w:t>
          </w:r>
        </w:p>
        <w:p w14:paraId="2F43BDC6" w14:textId="77777777" w:rsidR="00D61B1D" w:rsidRPr="00D61B1D" w:rsidRDefault="00D61B1D" w:rsidP="00D61B1D">
          <w:pPr>
            <w:autoSpaceDE w:val="0"/>
            <w:autoSpaceDN w:val="0"/>
            <w:spacing w:line="360" w:lineRule="auto"/>
            <w:ind w:hanging="480"/>
            <w:rPr>
              <w:rFonts w:eastAsia="Times New Roman"/>
              <w:sz w:val="24"/>
              <w:szCs w:val="24"/>
            </w:rPr>
          </w:pPr>
          <w:r w:rsidRPr="00D61B1D">
            <w:rPr>
              <w:rFonts w:eastAsia="Times New Roman"/>
              <w:sz w:val="24"/>
              <w:szCs w:val="24"/>
            </w:rPr>
            <w:t xml:space="preserve">Wiggins, L. (2009). Managing the ups and downs of change communication. </w:t>
          </w:r>
          <w:r w:rsidRPr="00D61B1D">
            <w:rPr>
              <w:rFonts w:eastAsia="Times New Roman"/>
              <w:i/>
              <w:iCs/>
              <w:sz w:val="24"/>
              <w:szCs w:val="24"/>
            </w:rPr>
            <w:t>Strategic Communication Management</w:t>
          </w:r>
          <w:r w:rsidRPr="00D61B1D">
            <w:rPr>
              <w:rFonts w:eastAsia="Times New Roman"/>
              <w:sz w:val="24"/>
              <w:szCs w:val="24"/>
            </w:rPr>
            <w:t xml:space="preserve">, </w:t>
          </w:r>
          <w:r w:rsidRPr="00D61B1D">
            <w:rPr>
              <w:rFonts w:eastAsia="Times New Roman"/>
              <w:i/>
              <w:iCs/>
              <w:sz w:val="24"/>
              <w:szCs w:val="24"/>
            </w:rPr>
            <w:t>13</w:t>
          </w:r>
          <w:r w:rsidRPr="00D61B1D">
            <w:rPr>
              <w:rFonts w:eastAsia="Times New Roman"/>
              <w:sz w:val="24"/>
              <w:szCs w:val="24"/>
            </w:rPr>
            <w:t>(1), 20–23. https://www.proquest.com/docview/203574984?pq-origsite=gscholar&amp;fromopenview=true</w:t>
          </w:r>
        </w:p>
        <w:p w14:paraId="54D421CE" w14:textId="77777777" w:rsidR="00D61B1D" w:rsidRPr="00D61B1D" w:rsidRDefault="00D61B1D" w:rsidP="00D61B1D">
          <w:pPr>
            <w:autoSpaceDE w:val="0"/>
            <w:autoSpaceDN w:val="0"/>
            <w:spacing w:line="360" w:lineRule="auto"/>
            <w:ind w:hanging="480"/>
            <w:rPr>
              <w:rFonts w:eastAsia="Times New Roman"/>
              <w:sz w:val="24"/>
              <w:szCs w:val="24"/>
            </w:rPr>
          </w:pPr>
          <w:r w:rsidRPr="00D61B1D">
            <w:rPr>
              <w:rFonts w:eastAsia="Times New Roman"/>
              <w:sz w:val="24"/>
              <w:szCs w:val="24"/>
            </w:rPr>
            <w:t xml:space="preserve">Wu, J., Zhang, P., Zhang, L., Meng, W., Li, J., Tong, C., Li, Y., Cai, J., Yang, Z., Zhu, J., Zhao, M., Huang, H., Xie, X., &amp; Li, S. (2020). Rapid and accurate identification of COVID-19 infection through machine learning based on clinical available blood test results. </w:t>
          </w:r>
          <w:r w:rsidRPr="00D61B1D">
            <w:rPr>
              <w:rFonts w:eastAsia="Times New Roman"/>
              <w:i/>
              <w:iCs/>
              <w:sz w:val="24"/>
              <w:szCs w:val="24"/>
            </w:rPr>
            <w:t>MedRxiv</w:t>
          </w:r>
          <w:r w:rsidRPr="00D61B1D">
            <w:rPr>
              <w:rFonts w:eastAsia="Times New Roman"/>
              <w:sz w:val="24"/>
              <w:szCs w:val="24"/>
            </w:rPr>
            <w:t>, 2020.04.02.20051136. https://doi.org/10.1101/2020.04.02.20051136</w:t>
          </w:r>
        </w:p>
        <w:p w14:paraId="6921C39C" w14:textId="77777777" w:rsidR="00D61B1D" w:rsidRPr="00D61B1D" w:rsidRDefault="00D61B1D" w:rsidP="00D61B1D">
          <w:pPr>
            <w:autoSpaceDE w:val="0"/>
            <w:autoSpaceDN w:val="0"/>
            <w:adjustRightInd w:val="0"/>
            <w:spacing w:line="360" w:lineRule="auto"/>
            <w:rPr>
              <w:sz w:val="24"/>
              <w:szCs w:val="24"/>
            </w:rPr>
          </w:pPr>
          <w:r w:rsidRPr="00D61B1D">
            <w:rPr>
              <w:rFonts w:eastAsia="Times New Roman"/>
              <w:sz w:val="24"/>
              <w:szCs w:val="24"/>
            </w:rPr>
            <w:t> </w:t>
          </w:r>
        </w:p>
      </w:sdtContent>
    </w:sdt>
    <w:p w14:paraId="4F5A2777" w14:textId="77777777" w:rsidR="00D61B1D" w:rsidRPr="00D61B1D" w:rsidRDefault="00D61B1D" w:rsidP="00D61B1D">
      <w:pPr>
        <w:autoSpaceDE w:val="0"/>
        <w:autoSpaceDN w:val="0"/>
        <w:adjustRightInd w:val="0"/>
        <w:spacing w:line="360" w:lineRule="auto"/>
        <w:rPr>
          <w:sz w:val="24"/>
          <w:szCs w:val="24"/>
        </w:rPr>
      </w:pPr>
    </w:p>
    <w:p w14:paraId="50A8DA5E" w14:textId="77777777" w:rsidR="00D61B1D" w:rsidRPr="00D61B1D" w:rsidRDefault="00D61B1D" w:rsidP="00D61B1D">
      <w:pPr>
        <w:autoSpaceDE w:val="0"/>
        <w:autoSpaceDN w:val="0"/>
        <w:adjustRightInd w:val="0"/>
        <w:spacing w:line="360" w:lineRule="auto"/>
        <w:rPr>
          <w:sz w:val="24"/>
          <w:szCs w:val="24"/>
        </w:rPr>
      </w:pPr>
    </w:p>
    <w:p w14:paraId="78CE35B1" w14:textId="77777777" w:rsidR="00D61B1D" w:rsidRPr="00D61B1D" w:rsidRDefault="00D61B1D" w:rsidP="00D61B1D">
      <w:pPr>
        <w:autoSpaceDE w:val="0"/>
        <w:autoSpaceDN w:val="0"/>
        <w:adjustRightInd w:val="0"/>
        <w:spacing w:line="360" w:lineRule="auto"/>
        <w:rPr>
          <w:sz w:val="24"/>
          <w:szCs w:val="24"/>
        </w:rPr>
      </w:pPr>
    </w:p>
    <w:p w14:paraId="19EEB692" w14:textId="77777777" w:rsidR="00D61B1D" w:rsidRPr="00D61B1D" w:rsidRDefault="00D61B1D" w:rsidP="00D61B1D">
      <w:pPr>
        <w:autoSpaceDE w:val="0"/>
        <w:autoSpaceDN w:val="0"/>
        <w:adjustRightInd w:val="0"/>
        <w:spacing w:line="360" w:lineRule="auto"/>
        <w:rPr>
          <w:sz w:val="24"/>
          <w:szCs w:val="24"/>
        </w:rPr>
      </w:pPr>
    </w:p>
    <w:p w14:paraId="75DECED6" w14:textId="77777777" w:rsidR="00D61B1D" w:rsidRPr="00D61B1D" w:rsidRDefault="00D61B1D" w:rsidP="00D61B1D">
      <w:pPr>
        <w:autoSpaceDE w:val="0"/>
        <w:autoSpaceDN w:val="0"/>
        <w:adjustRightInd w:val="0"/>
        <w:spacing w:line="360" w:lineRule="auto"/>
        <w:rPr>
          <w:sz w:val="24"/>
          <w:szCs w:val="24"/>
        </w:rPr>
      </w:pPr>
    </w:p>
    <w:p w14:paraId="7FB1D2BC" w14:textId="77777777" w:rsidR="00D61B1D" w:rsidRPr="00D61B1D" w:rsidRDefault="00D61B1D" w:rsidP="00D61B1D">
      <w:pPr>
        <w:spacing w:line="360" w:lineRule="auto"/>
        <w:rPr>
          <w:sz w:val="24"/>
          <w:szCs w:val="24"/>
        </w:rPr>
      </w:pPr>
    </w:p>
    <w:p w14:paraId="63EE852F" w14:textId="77777777" w:rsidR="00D61B1D" w:rsidRPr="00D61B1D" w:rsidRDefault="00D61B1D" w:rsidP="00D61B1D">
      <w:pPr>
        <w:spacing w:line="360" w:lineRule="auto"/>
        <w:rPr>
          <w:sz w:val="24"/>
          <w:szCs w:val="24"/>
          <w:shd w:val="clear" w:color="auto" w:fill="FFFFFF"/>
        </w:rPr>
      </w:pPr>
    </w:p>
    <w:p w14:paraId="507844E6" w14:textId="77777777" w:rsidR="00D61B1D" w:rsidRPr="00D61B1D" w:rsidRDefault="00D61B1D" w:rsidP="00D61B1D">
      <w:pPr>
        <w:spacing w:line="360" w:lineRule="auto"/>
        <w:rPr>
          <w:sz w:val="24"/>
          <w:szCs w:val="24"/>
        </w:rPr>
      </w:pPr>
    </w:p>
    <w:p w14:paraId="5FB1F387" w14:textId="77777777" w:rsidR="00050AF9" w:rsidRPr="00D61B1D" w:rsidRDefault="00050AF9" w:rsidP="00D61B1D">
      <w:pPr>
        <w:pStyle w:val="Web"/>
        <w:spacing w:line="360" w:lineRule="auto"/>
        <w:rPr>
          <w:color w:val="303B44"/>
          <w:szCs w:val="24"/>
        </w:rPr>
      </w:pPr>
    </w:p>
    <w:p w14:paraId="12498F78" w14:textId="77777777" w:rsidR="00D61B1D" w:rsidRPr="00D61B1D" w:rsidRDefault="00D61B1D" w:rsidP="00D61B1D">
      <w:pPr>
        <w:pStyle w:val="Web"/>
        <w:spacing w:line="360" w:lineRule="auto"/>
        <w:rPr>
          <w:color w:val="303B44"/>
          <w:szCs w:val="24"/>
        </w:rPr>
      </w:pPr>
    </w:p>
    <w:sectPr w:rsidR="00D61B1D" w:rsidRPr="00D61B1D" w:rsidSect="00D61B1D">
      <w:footerReference w:type="default" r:id="rId17"/>
      <w:pgSz w:w="11894" w:h="16834"/>
      <w:pgMar w:top="1134" w:right="1134" w:bottom="1134" w:left="1134" w:header="709" w:footer="709"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493FBD" w14:textId="77777777" w:rsidR="00C45A1A" w:rsidRDefault="00C45A1A">
      <w:r>
        <w:separator/>
      </w:r>
    </w:p>
  </w:endnote>
  <w:endnote w:type="continuationSeparator" w:id="0">
    <w:p w14:paraId="14D9933F" w14:textId="77777777" w:rsidR="00C45A1A" w:rsidRDefault="00C45A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微軟正黑體">
    <w:panose1 w:val="020B0604030504040204"/>
    <w:charset w:val="88"/>
    <w:family w:val="swiss"/>
    <w:pitch w:val="variable"/>
    <w:sig w:usb0="000002A7" w:usb1="28CF4400" w:usb2="00000016" w:usb3="00000000" w:csb0="00100009"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4892374"/>
      <w:docPartObj>
        <w:docPartGallery w:val="Page Numbers (Bottom of Page)"/>
        <w:docPartUnique/>
      </w:docPartObj>
    </w:sdtPr>
    <w:sdtContent>
      <w:p w14:paraId="62977C8A" w14:textId="12269254" w:rsidR="00D61B1D" w:rsidRDefault="00D61B1D">
        <w:pPr>
          <w:pStyle w:val="a5"/>
          <w:jc w:val="right"/>
        </w:pPr>
        <w:r>
          <w:fldChar w:fldCharType="begin"/>
        </w:r>
        <w:r>
          <w:instrText>PAGE   \* MERGEFORMAT</w:instrText>
        </w:r>
        <w:r>
          <w:fldChar w:fldCharType="separate"/>
        </w:r>
        <w:r>
          <w:rPr>
            <w:lang w:val="zh-TW" w:eastAsia="zh-TW"/>
          </w:rPr>
          <w:t>2</w:t>
        </w:r>
        <w:r>
          <w:fldChar w:fldCharType="end"/>
        </w:r>
      </w:p>
    </w:sdtContent>
  </w:sdt>
  <w:p w14:paraId="6BF22F69" w14:textId="77777777" w:rsidR="00152E9D" w:rsidRDefault="00152E9D">
    <w:pPr>
      <w:pStyle w:val="a5"/>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A4646C" w14:textId="77777777" w:rsidR="00C45A1A" w:rsidRDefault="00C45A1A">
      <w:r>
        <w:separator/>
      </w:r>
    </w:p>
  </w:footnote>
  <w:footnote w:type="continuationSeparator" w:id="0">
    <w:p w14:paraId="3353E281" w14:textId="77777777" w:rsidR="00C45A1A" w:rsidRDefault="00C45A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B611A"/>
    <w:multiLevelType w:val="hybridMultilevel"/>
    <w:tmpl w:val="FE78FEE8"/>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0200668F"/>
    <w:multiLevelType w:val="hybridMultilevel"/>
    <w:tmpl w:val="7A7EA0B4"/>
    <w:lvl w:ilvl="0" w:tplc="9656FC16">
      <w:start w:val="1"/>
      <w:numFmt w:val="upperLetter"/>
      <w:lvlText w:val="(%1)"/>
      <w:lvlJc w:val="left"/>
      <w:pPr>
        <w:ind w:left="480" w:hanging="48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0CC93D64"/>
    <w:multiLevelType w:val="hybridMultilevel"/>
    <w:tmpl w:val="E632C59A"/>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D5300D"/>
    <w:multiLevelType w:val="hybridMultilevel"/>
    <w:tmpl w:val="3ACCED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7F1D7C"/>
    <w:multiLevelType w:val="hybridMultilevel"/>
    <w:tmpl w:val="A3DA873E"/>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39543D5"/>
    <w:multiLevelType w:val="hybridMultilevel"/>
    <w:tmpl w:val="0042387A"/>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C602693"/>
    <w:multiLevelType w:val="multilevel"/>
    <w:tmpl w:val="2C602693"/>
    <w:lvl w:ilvl="0">
      <w:start w:val="1"/>
      <w:numFmt w:val="decimal"/>
      <w:lvlText w:val="%1."/>
      <w:lvlJc w:val="left"/>
      <w:pPr>
        <w:ind w:left="108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1C10077"/>
    <w:multiLevelType w:val="hybridMultilevel"/>
    <w:tmpl w:val="DB76F898"/>
    <w:lvl w:ilvl="0" w:tplc="0409000F">
      <w:start w:val="1"/>
      <w:numFmt w:val="decimal"/>
      <w:lvlText w:val="%1."/>
      <w:lvlJc w:val="left"/>
      <w:pPr>
        <w:ind w:left="480" w:hanging="48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C36897"/>
    <w:multiLevelType w:val="hybridMultilevel"/>
    <w:tmpl w:val="838AE532"/>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09E32CC"/>
    <w:multiLevelType w:val="hybridMultilevel"/>
    <w:tmpl w:val="D8221F36"/>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1" w15:restartNumberingAfterBreak="0">
    <w:nsid w:val="43BB3123"/>
    <w:multiLevelType w:val="hybridMultilevel"/>
    <w:tmpl w:val="B57A8B24"/>
    <w:lvl w:ilvl="0" w:tplc="0409000F">
      <w:start w:val="1"/>
      <w:numFmt w:val="decimal"/>
      <w:lvlText w:val="%1."/>
      <w:lvlJc w:val="left"/>
      <w:pPr>
        <w:ind w:left="1920" w:hanging="480"/>
      </w:pPr>
    </w:lvl>
    <w:lvl w:ilvl="1" w:tplc="04090019" w:tentative="1">
      <w:start w:val="1"/>
      <w:numFmt w:val="ideographTraditional"/>
      <w:lvlText w:val="%2、"/>
      <w:lvlJc w:val="left"/>
      <w:pPr>
        <w:ind w:left="2400" w:hanging="480"/>
      </w:pPr>
    </w:lvl>
    <w:lvl w:ilvl="2" w:tplc="0409001B" w:tentative="1">
      <w:start w:val="1"/>
      <w:numFmt w:val="lowerRoman"/>
      <w:lvlText w:val="%3."/>
      <w:lvlJc w:val="right"/>
      <w:pPr>
        <w:ind w:left="2880" w:hanging="480"/>
      </w:pPr>
    </w:lvl>
    <w:lvl w:ilvl="3" w:tplc="0409000F" w:tentative="1">
      <w:start w:val="1"/>
      <w:numFmt w:val="decimal"/>
      <w:lvlText w:val="%4."/>
      <w:lvlJc w:val="left"/>
      <w:pPr>
        <w:ind w:left="3360" w:hanging="480"/>
      </w:pPr>
    </w:lvl>
    <w:lvl w:ilvl="4" w:tplc="04090019" w:tentative="1">
      <w:start w:val="1"/>
      <w:numFmt w:val="ideographTraditional"/>
      <w:lvlText w:val="%5、"/>
      <w:lvlJc w:val="left"/>
      <w:pPr>
        <w:ind w:left="3840" w:hanging="480"/>
      </w:pPr>
    </w:lvl>
    <w:lvl w:ilvl="5" w:tplc="0409001B" w:tentative="1">
      <w:start w:val="1"/>
      <w:numFmt w:val="lowerRoman"/>
      <w:lvlText w:val="%6."/>
      <w:lvlJc w:val="right"/>
      <w:pPr>
        <w:ind w:left="4320" w:hanging="480"/>
      </w:pPr>
    </w:lvl>
    <w:lvl w:ilvl="6" w:tplc="0409000F" w:tentative="1">
      <w:start w:val="1"/>
      <w:numFmt w:val="decimal"/>
      <w:lvlText w:val="%7."/>
      <w:lvlJc w:val="left"/>
      <w:pPr>
        <w:ind w:left="4800" w:hanging="480"/>
      </w:pPr>
    </w:lvl>
    <w:lvl w:ilvl="7" w:tplc="04090019" w:tentative="1">
      <w:start w:val="1"/>
      <w:numFmt w:val="ideographTraditional"/>
      <w:lvlText w:val="%8、"/>
      <w:lvlJc w:val="left"/>
      <w:pPr>
        <w:ind w:left="5280" w:hanging="480"/>
      </w:pPr>
    </w:lvl>
    <w:lvl w:ilvl="8" w:tplc="0409001B" w:tentative="1">
      <w:start w:val="1"/>
      <w:numFmt w:val="lowerRoman"/>
      <w:lvlText w:val="%9."/>
      <w:lvlJc w:val="right"/>
      <w:pPr>
        <w:ind w:left="5760" w:hanging="480"/>
      </w:p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D0C078F"/>
    <w:multiLevelType w:val="hybridMultilevel"/>
    <w:tmpl w:val="3232F634"/>
    <w:lvl w:ilvl="0" w:tplc="04090011">
      <w:start w:val="1"/>
      <w:numFmt w:val="upperLetter"/>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4" w15:restartNumberingAfterBreak="0">
    <w:nsid w:val="4D707CF4"/>
    <w:multiLevelType w:val="hybridMultilevel"/>
    <w:tmpl w:val="4CC82044"/>
    <w:lvl w:ilvl="0" w:tplc="0409000F">
      <w:start w:val="1"/>
      <w:numFmt w:val="decimal"/>
      <w:lvlText w:val="%1."/>
      <w:lvlJc w:val="left"/>
      <w:pPr>
        <w:ind w:left="480" w:hanging="480"/>
      </w:pPr>
    </w:lvl>
    <w:lvl w:ilvl="1" w:tplc="FFFFFFFF" w:tentative="1">
      <w:start w:val="1"/>
      <w:numFmt w:val="ideographTraditional"/>
      <w:lvlText w:val="%2、"/>
      <w:lvlJc w:val="left"/>
      <w:pPr>
        <w:ind w:left="960" w:hanging="480"/>
      </w:pPr>
    </w:lvl>
    <w:lvl w:ilvl="2" w:tplc="FFFFFFFF" w:tentative="1">
      <w:start w:val="1"/>
      <w:numFmt w:val="lowerRoman"/>
      <w:lvlText w:val="%3."/>
      <w:lvlJc w:val="right"/>
      <w:pPr>
        <w:ind w:left="1440" w:hanging="480"/>
      </w:pPr>
    </w:lvl>
    <w:lvl w:ilvl="3" w:tplc="FFFFFFFF" w:tentative="1">
      <w:start w:val="1"/>
      <w:numFmt w:val="decimal"/>
      <w:lvlText w:val="%4."/>
      <w:lvlJc w:val="left"/>
      <w:pPr>
        <w:ind w:left="1920" w:hanging="480"/>
      </w:pPr>
    </w:lvl>
    <w:lvl w:ilvl="4" w:tplc="FFFFFFFF" w:tentative="1">
      <w:start w:val="1"/>
      <w:numFmt w:val="ideographTraditional"/>
      <w:lvlText w:val="%5、"/>
      <w:lvlJc w:val="left"/>
      <w:pPr>
        <w:ind w:left="2400" w:hanging="480"/>
      </w:pPr>
    </w:lvl>
    <w:lvl w:ilvl="5" w:tplc="FFFFFFFF" w:tentative="1">
      <w:start w:val="1"/>
      <w:numFmt w:val="lowerRoman"/>
      <w:lvlText w:val="%6."/>
      <w:lvlJc w:val="right"/>
      <w:pPr>
        <w:ind w:left="2880" w:hanging="480"/>
      </w:pPr>
    </w:lvl>
    <w:lvl w:ilvl="6" w:tplc="FFFFFFFF" w:tentative="1">
      <w:start w:val="1"/>
      <w:numFmt w:val="decimal"/>
      <w:lvlText w:val="%7."/>
      <w:lvlJc w:val="left"/>
      <w:pPr>
        <w:ind w:left="3360" w:hanging="480"/>
      </w:pPr>
    </w:lvl>
    <w:lvl w:ilvl="7" w:tplc="FFFFFFFF" w:tentative="1">
      <w:start w:val="1"/>
      <w:numFmt w:val="ideographTraditional"/>
      <w:lvlText w:val="%8、"/>
      <w:lvlJc w:val="left"/>
      <w:pPr>
        <w:ind w:left="3840" w:hanging="480"/>
      </w:pPr>
    </w:lvl>
    <w:lvl w:ilvl="8" w:tplc="FFFFFFFF" w:tentative="1">
      <w:start w:val="1"/>
      <w:numFmt w:val="lowerRoman"/>
      <w:lvlText w:val="%9."/>
      <w:lvlJc w:val="right"/>
      <w:pPr>
        <w:ind w:left="4320" w:hanging="480"/>
      </w:pPr>
    </w:lvl>
  </w:abstractNum>
  <w:abstractNum w:abstractNumId="25" w15:restartNumberingAfterBreak="0">
    <w:nsid w:val="551F3C73"/>
    <w:multiLevelType w:val="hybridMultilevel"/>
    <w:tmpl w:val="8814E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ED9777E"/>
    <w:multiLevelType w:val="hybridMultilevel"/>
    <w:tmpl w:val="E4DEC85E"/>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4DE60E1"/>
    <w:multiLevelType w:val="hybridMultilevel"/>
    <w:tmpl w:val="BA585F2E"/>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1" w15:restartNumberingAfterBreak="0">
    <w:nsid w:val="6ED40823"/>
    <w:multiLevelType w:val="hybridMultilevel"/>
    <w:tmpl w:val="8D8CC668"/>
    <w:lvl w:ilvl="0" w:tplc="0409000F">
      <w:start w:val="1"/>
      <w:numFmt w:val="decimal"/>
      <w:lvlText w:val="%1."/>
      <w:lvlJc w:val="left"/>
      <w:pPr>
        <w:ind w:left="960" w:hanging="480"/>
      </w:p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32" w15:restartNumberingAfterBreak="0">
    <w:nsid w:val="709E3100"/>
    <w:multiLevelType w:val="hybridMultilevel"/>
    <w:tmpl w:val="33581EAA"/>
    <w:lvl w:ilvl="0" w:tplc="0409001B">
      <w:start w:val="1"/>
      <w:numFmt w:val="low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3" w15:restartNumberingAfterBreak="0">
    <w:nsid w:val="712572D4"/>
    <w:multiLevelType w:val="hybridMultilevel"/>
    <w:tmpl w:val="F14A384E"/>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AEB67ED"/>
    <w:multiLevelType w:val="hybridMultilevel"/>
    <w:tmpl w:val="7E84EE22"/>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7B14092D"/>
    <w:multiLevelType w:val="hybridMultilevel"/>
    <w:tmpl w:val="5EC05D86"/>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16cid:durableId="713962362">
    <w:abstractNumId w:val="4"/>
  </w:num>
  <w:num w:numId="2" w16cid:durableId="1802838910">
    <w:abstractNumId w:val="18"/>
  </w:num>
  <w:num w:numId="3" w16cid:durableId="2048556465">
    <w:abstractNumId w:val="35"/>
  </w:num>
  <w:num w:numId="4" w16cid:durableId="318925611">
    <w:abstractNumId w:val="22"/>
  </w:num>
  <w:num w:numId="5" w16cid:durableId="451562527">
    <w:abstractNumId w:val="14"/>
  </w:num>
  <w:num w:numId="6" w16cid:durableId="239873473">
    <w:abstractNumId w:val="34"/>
  </w:num>
  <w:num w:numId="7" w16cid:durableId="250821797">
    <w:abstractNumId w:val="5"/>
  </w:num>
  <w:num w:numId="8" w16cid:durableId="503782895">
    <w:abstractNumId w:val="29"/>
  </w:num>
  <w:num w:numId="9" w16cid:durableId="496656573">
    <w:abstractNumId w:val="19"/>
  </w:num>
  <w:num w:numId="10" w16cid:durableId="785126376">
    <w:abstractNumId w:val="9"/>
  </w:num>
  <w:num w:numId="11" w16cid:durableId="312417164">
    <w:abstractNumId w:val="10"/>
  </w:num>
  <w:num w:numId="12" w16cid:durableId="549656234">
    <w:abstractNumId w:val="16"/>
  </w:num>
  <w:num w:numId="13" w16cid:durableId="2076271192">
    <w:abstractNumId w:val="27"/>
  </w:num>
  <w:num w:numId="14" w16cid:durableId="848762442">
    <w:abstractNumId w:val="8"/>
  </w:num>
  <w:num w:numId="15" w16cid:durableId="2009207119">
    <w:abstractNumId w:val="0"/>
  </w:num>
  <w:num w:numId="16" w16cid:durableId="307394986">
    <w:abstractNumId w:val="12"/>
  </w:num>
  <w:num w:numId="17" w16cid:durableId="1940797539">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391029395">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68023024">
    <w:abstractNumId w:val="6"/>
  </w:num>
  <w:num w:numId="20" w16cid:durableId="1711806205">
    <w:abstractNumId w:val="36"/>
  </w:num>
  <w:num w:numId="21" w16cid:durableId="88938268">
    <w:abstractNumId w:val="32"/>
  </w:num>
  <w:num w:numId="22" w16cid:durableId="428737748">
    <w:abstractNumId w:val="25"/>
  </w:num>
  <w:num w:numId="23" w16cid:durableId="267156291">
    <w:abstractNumId w:val="23"/>
  </w:num>
  <w:num w:numId="24" w16cid:durableId="217787920">
    <w:abstractNumId w:val="2"/>
  </w:num>
  <w:num w:numId="25" w16cid:durableId="1295135216">
    <w:abstractNumId w:val="24"/>
  </w:num>
  <w:num w:numId="26" w16cid:durableId="2109619611">
    <w:abstractNumId w:val="7"/>
  </w:num>
  <w:num w:numId="27" w16cid:durableId="800731657">
    <w:abstractNumId w:val="3"/>
  </w:num>
  <w:num w:numId="28" w16cid:durableId="1374689689">
    <w:abstractNumId w:val="17"/>
  </w:num>
  <w:num w:numId="29" w16cid:durableId="738329449">
    <w:abstractNumId w:val="15"/>
  </w:num>
  <w:num w:numId="30" w16cid:durableId="40399669">
    <w:abstractNumId w:val="20"/>
  </w:num>
  <w:num w:numId="31" w16cid:durableId="335305333">
    <w:abstractNumId w:val="21"/>
  </w:num>
  <w:num w:numId="32" w16cid:durableId="81876697">
    <w:abstractNumId w:val="11"/>
  </w:num>
  <w:num w:numId="33" w16cid:durableId="2110537918">
    <w:abstractNumId w:val="26"/>
  </w:num>
  <w:num w:numId="34" w16cid:durableId="189951858">
    <w:abstractNumId w:val="31"/>
  </w:num>
  <w:num w:numId="35" w16cid:durableId="758872221">
    <w:abstractNumId w:val="33"/>
  </w:num>
  <w:num w:numId="36" w16cid:durableId="2094736911">
    <w:abstractNumId w:val="30"/>
  </w:num>
  <w:num w:numId="37" w16cid:durableId="1165779414">
    <w:abstractNumId w:val="1"/>
  </w:num>
  <w:num w:numId="38" w16cid:durableId="434862803">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7"/>
  <w:bordersDoNotSurroundHeader/>
  <w:bordersDoNotSurroundFooter/>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10C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115F"/>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579B"/>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C52"/>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E53E0"/>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43EBE"/>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57577"/>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5A1A"/>
    <w:rsid w:val="00C61FC2"/>
    <w:rsid w:val="00C6547D"/>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1B1D"/>
    <w:rsid w:val="00D62ACD"/>
    <w:rsid w:val="00DA36EE"/>
    <w:rsid w:val="00DB116D"/>
    <w:rsid w:val="00DB3DAB"/>
    <w:rsid w:val="00DB444C"/>
    <w:rsid w:val="00DD17CC"/>
    <w:rsid w:val="00DE217A"/>
    <w:rsid w:val="00DF321B"/>
    <w:rsid w:val="00E01058"/>
    <w:rsid w:val="00E230E0"/>
    <w:rsid w:val="00E51AAC"/>
    <w:rsid w:val="00E61D43"/>
    <w:rsid w:val="00E6688E"/>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67C0F"/>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F2B208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新細明體"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uiPriority w:val="99"/>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 w:type="character" w:styleId="ad">
    <w:name w:val="Placeholder Text"/>
    <w:basedOn w:val="a0"/>
    <w:uiPriority w:val="99"/>
    <w:semiHidden/>
    <w:rsid w:val="00D61B1D"/>
    <w:rPr>
      <w:color w:val="808080"/>
    </w:rPr>
  </w:style>
  <w:style w:type="character" w:customStyle="1" w:styleId="css-220">
    <w:name w:val="css-220"/>
    <w:basedOn w:val="a0"/>
    <w:rsid w:val="00D61B1D"/>
  </w:style>
  <w:style w:type="character" w:customStyle="1" w:styleId="css-221">
    <w:name w:val="css-221"/>
    <w:basedOn w:val="a0"/>
    <w:rsid w:val="00D61B1D"/>
  </w:style>
  <w:style w:type="character" w:customStyle="1" w:styleId="css-222">
    <w:name w:val="css-222"/>
    <w:basedOn w:val="a0"/>
    <w:rsid w:val="00D61B1D"/>
  </w:style>
  <w:style w:type="paragraph" w:customStyle="1" w:styleId="pf0">
    <w:name w:val="pf0"/>
    <w:basedOn w:val="a"/>
    <w:rsid w:val="00D61B1D"/>
    <w:pPr>
      <w:spacing w:before="100" w:beforeAutospacing="1" w:after="100" w:afterAutospacing="1"/>
    </w:pPr>
    <w:rPr>
      <w:rFonts w:eastAsia="Times New Roman"/>
      <w:sz w:val="24"/>
      <w:szCs w:val="24"/>
      <w:lang w:val="en-US" w:eastAsia="zh-TW"/>
    </w:rPr>
  </w:style>
  <w:style w:type="character" w:customStyle="1" w:styleId="cf01">
    <w:name w:val="cf01"/>
    <w:basedOn w:val="a0"/>
    <w:rsid w:val="00D61B1D"/>
    <w:rPr>
      <w:rFonts w:ascii="微軟正黑體" w:eastAsia="微軟正黑體" w:hAnsi="微軟正黑體" w:hint="eastAsia"/>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31835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5077946">
      <w:bodyDiv w:val="1"/>
      <w:marLeft w:val="0"/>
      <w:marRight w:val="0"/>
      <w:marTop w:val="0"/>
      <w:marBottom w:val="0"/>
      <w:divBdr>
        <w:top w:val="none" w:sz="0" w:space="0" w:color="auto"/>
        <w:left w:val="none" w:sz="0" w:space="0" w:color="auto"/>
        <w:bottom w:val="none" w:sz="0" w:space="0" w:color="auto"/>
        <w:right w:val="none" w:sz="0" w:space="0" w:color="auto"/>
      </w:divBdr>
    </w:div>
    <w:div w:id="78141638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oter" Target="footer1.xml"/><Relationship Id="rId2" Type="http://schemas.openxmlformats.org/officeDocument/2006/relationships/customXml" Target="../customXml/item2.xml"/><Relationship Id="rId16" Type="http://schemas.microsoft.com/office/2007/relationships/hdphoto" Target="media/hdphoto2.wdp"/><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07/relationships/hdphoto" Target="media/hdphoto1.wdp"/></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F6EAD484B144FCCBF4762BE3113BA0D"/>
        <w:category>
          <w:name w:val="一般"/>
          <w:gallery w:val="placeholder"/>
        </w:category>
        <w:types>
          <w:type w:val="bbPlcHdr"/>
        </w:types>
        <w:behaviors>
          <w:behavior w:val="content"/>
        </w:behaviors>
        <w:guid w:val="{00D81ED6-49A8-4C70-8811-F9D82351D9C6}"/>
      </w:docPartPr>
      <w:docPartBody>
        <w:p w:rsidR="00000000" w:rsidRDefault="006119C0" w:rsidP="006119C0">
          <w:pPr>
            <w:pStyle w:val="4F6EAD484B144FCCBF4762BE3113BA0D"/>
          </w:pPr>
          <w:r w:rsidRPr="0067146E">
            <w:rPr>
              <w:rStyle w:val="a3"/>
              <w:rFonts w:hint="eastAsia"/>
            </w:rPr>
            <w:t>按一下或點選這裡以輸入文字。</w:t>
          </w:r>
        </w:p>
      </w:docPartBody>
    </w:docPart>
    <w:docPart>
      <w:docPartPr>
        <w:name w:val="09A80B593AF34F4C89C6E2FBBD182513"/>
        <w:category>
          <w:name w:val="一般"/>
          <w:gallery w:val="placeholder"/>
        </w:category>
        <w:types>
          <w:type w:val="bbPlcHdr"/>
        </w:types>
        <w:behaviors>
          <w:behavior w:val="content"/>
        </w:behaviors>
        <w:guid w:val="{4A2A5EF7-EEC6-42B5-89D5-9B9364B6F17E}"/>
      </w:docPartPr>
      <w:docPartBody>
        <w:p w:rsidR="00000000" w:rsidRDefault="006119C0" w:rsidP="006119C0">
          <w:pPr>
            <w:pStyle w:val="09A80B593AF34F4C89C6E2FBBD182513"/>
          </w:pPr>
          <w:r w:rsidRPr="0067146E">
            <w:rPr>
              <w:rStyle w:val="a3"/>
              <w:rFonts w:hint="eastAsia"/>
            </w:rPr>
            <w:t>按一下或點選這裡以輸入文字。</w:t>
          </w:r>
        </w:p>
      </w:docPartBody>
    </w:docPart>
    <w:docPart>
      <w:docPartPr>
        <w:name w:val="B80FD70D97B14890AE5E67F675A180CA"/>
        <w:category>
          <w:name w:val="一般"/>
          <w:gallery w:val="placeholder"/>
        </w:category>
        <w:types>
          <w:type w:val="bbPlcHdr"/>
        </w:types>
        <w:behaviors>
          <w:behavior w:val="content"/>
        </w:behaviors>
        <w:guid w:val="{85FFADD2-C405-4651-A6BA-B606C4179DB0}"/>
      </w:docPartPr>
      <w:docPartBody>
        <w:p w:rsidR="00000000" w:rsidRDefault="006119C0" w:rsidP="006119C0">
          <w:pPr>
            <w:pStyle w:val="B80FD70D97B14890AE5E67F675A180CA"/>
          </w:pPr>
          <w:r w:rsidRPr="0067146E">
            <w:rPr>
              <w:rStyle w:val="a3"/>
              <w:rFonts w:hint="eastAsia"/>
            </w:rPr>
            <w:t>按一下或點選這裡以輸入文字。</w:t>
          </w:r>
        </w:p>
      </w:docPartBody>
    </w:docPart>
    <w:docPart>
      <w:docPartPr>
        <w:name w:val="46223FDB4BDB402FA033FEAF64237635"/>
        <w:category>
          <w:name w:val="一般"/>
          <w:gallery w:val="placeholder"/>
        </w:category>
        <w:types>
          <w:type w:val="bbPlcHdr"/>
        </w:types>
        <w:behaviors>
          <w:behavior w:val="content"/>
        </w:behaviors>
        <w:guid w:val="{94FD5B41-5575-49F9-952D-A34CD0B342AA}"/>
      </w:docPartPr>
      <w:docPartBody>
        <w:p w:rsidR="00000000" w:rsidRDefault="006119C0" w:rsidP="006119C0">
          <w:pPr>
            <w:pStyle w:val="46223FDB4BDB402FA033FEAF64237635"/>
          </w:pPr>
          <w:r w:rsidRPr="0067146E">
            <w:rPr>
              <w:rStyle w:val="a3"/>
              <w:rFonts w:hint="eastAsia"/>
            </w:rPr>
            <w:t>按一下或點選這裡以輸入文字。</w:t>
          </w:r>
        </w:p>
      </w:docPartBody>
    </w:docPart>
    <w:docPart>
      <w:docPartPr>
        <w:name w:val="DC8326B9186447D6885F491D733F5E4A"/>
        <w:category>
          <w:name w:val="一般"/>
          <w:gallery w:val="placeholder"/>
        </w:category>
        <w:types>
          <w:type w:val="bbPlcHdr"/>
        </w:types>
        <w:behaviors>
          <w:behavior w:val="content"/>
        </w:behaviors>
        <w:guid w:val="{FBD0A14A-6DD0-401A-BFAC-F0954BB4026E}"/>
      </w:docPartPr>
      <w:docPartBody>
        <w:p w:rsidR="00000000" w:rsidRDefault="006119C0" w:rsidP="006119C0">
          <w:pPr>
            <w:pStyle w:val="DC8326B9186447D6885F491D733F5E4A"/>
          </w:pPr>
          <w:r w:rsidRPr="0067146E">
            <w:rPr>
              <w:rStyle w:val="a3"/>
              <w:rFonts w:hint="eastAsia"/>
            </w:rPr>
            <w:t>按一下或點選這裡以輸入文字。</w:t>
          </w:r>
        </w:p>
      </w:docPartBody>
    </w:docPart>
    <w:docPart>
      <w:docPartPr>
        <w:name w:val="B77E769DC1C346EF9FDDB299FDD45103"/>
        <w:category>
          <w:name w:val="一般"/>
          <w:gallery w:val="placeholder"/>
        </w:category>
        <w:types>
          <w:type w:val="bbPlcHdr"/>
        </w:types>
        <w:behaviors>
          <w:behavior w:val="content"/>
        </w:behaviors>
        <w:guid w:val="{B0674E08-C070-4ED2-BA44-0C15037456E1}"/>
      </w:docPartPr>
      <w:docPartBody>
        <w:p w:rsidR="00000000" w:rsidRDefault="006119C0" w:rsidP="006119C0">
          <w:pPr>
            <w:pStyle w:val="B77E769DC1C346EF9FDDB299FDD45103"/>
          </w:pPr>
          <w:r w:rsidRPr="0067146E">
            <w:rPr>
              <w:rStyle w:val="a3"/>
              <w:rFonts w:hint="eastAsia"/>
            </w:rPr>
            <w:t>按一下或點選這裡以輸入文字。</w:t>
          </w:r>
        </w:p>
      </w:docPartBody>
    </w:docPart>
    <w:docPart>
      <w:docPartPr>
        <w:name w:val="38E560CD34C244639672D30B54CEE1DD"/>
        <w:category>
          <w:name w:val="一般"/>
          <w:gallery w:val="placeholder"/>
        </w:category>
        <w:types>
          <w:type w:val="bbPlcHdr"/>
        </w:types>
        <w:behaviors>
          <w:behavior w:val="content"/>
        </w:behaviors>
        <w:guid w:val="{30BF76F5-BD6B-4F25-8A64-C697F5A6B5E1}"/>
      </w:docPartPr>
      <w:docPartBody>
        <w:p w:rsidR="00000000" w:rsidRDefault="006119C0" w:rsidP="006119C0">
          <w:pPr>
            <w:pStyle w:val="38E560CD34C244639672D30B54CEE1DD"/>
          </w:pPr>
          <w:r w:rsidRPr="0067146E">
            <w:rPr>
              <w:rStyle w:val="a3"/>
              <w:rFonts w:hint="eastAsia"/>
            </w:rPr>
            <w:t>按一下或點選這裡以輸入文字。</w:t>
          </w:r>
        </w:p>
      </w:docPartBody>
    </w:docPart>
    <w:docPart>
      <w:docPartPr>
        <w:name w:val="140713F20D4D40678977084C7F6AF25B"/>
        <w:category>
          <w:name w:val="一般"/>
          <w:gallery w:val="placeholder"/>
        </w:category>
        <w:types>
          <w:type w:val="bbPlcHdr"/>
        </w:types>
        <w:behaviors>
          <w:behavior w:val="content"/>
        </w:behaviors>
        <w:guid w:val="{EDF7297D-8416-44ED-A024-021625A1465D}"/>
      </w:docPartPr>
      <w:docPartBody>
        <w:p w:rsidR="00000000" w:rsidRDefault="006119C0" w:rsidP="006119C0">
          <w:pPr>
            <w:pStyle w:val="140713F20D4D40678977084C7F6AF25B"/>
          </w:pPr>
          <w:r w:rsidRPr="0067146E">
            <w:rPr>
              <w:rStyle w:val="a3"/>
              <w:rFonts w:hint="eastAsia"/>
            </w:rPr>
            <w:t>按一下或點選這裡以輸入文字。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微軟正黑體">
    <w:panose1 w:val="020B0604030504040204"/>
    <w:charset w:val="88"/>
    <w:family w:val="swiss"/>
    <w:pitch w:val="variable"/>
    <w:sig w:usb0="000002A7" w:usb1="28CF4400" w:usb2="00000016" w:usb3="00000000" w:csb0="00100009"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9C0"/>
    <w:rsid w:val="006119C0"/>
    <w:rsid w:val="0075261B"/>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2"/>
        <w:lang w:val="en-US"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Placeholder Text"/>
    <w:basedOn w:val="a0"/>
    <w:uiPriority w:val="99"/>
    <w:semiHidden/>
    <w:rsid w:val="006119C0"/>
    <w:rPr>
      <w:color w:val="808080"/>
    </w:rPr>
  </w:style>
  <w:style w:type="paragraph" w:customStyle="1" w:styleId="4F6EAD484B144FCCBF4762BE3113BA0D">
    <w:name w:val="4F6EAD484B144FCCBF4762BE3113BA0D"/>
    <w:rsid w:val="006119C0"/>
    <w:pPr>
      <w:widowControl w:val="0"/>
    </w:pPr>
  </w:style>
  <w:style w:type="paragraph" w:customStyle="1" w:styleId="09A80B593AF34F4C89C6E2FBBD182513">
    <w:name w:val="09A80B593AF34F4C89C6E2FBBD182513"/>
    <w:rsid w:val="006119C0"/>
    <w:pPr>
      <w:widowControl w:val="0"/>
    </w:pPr>
  </w:style>
  <w:style w:type="paragraph" w:customStyle="1" w:styleId="B80FD70D97B14890AE5E67F675A180CA">
    <w:name w:val="B80FD70D97B14890AE5E67F675A180CA"/>
    <w:rsid w:val="006119C0"/>
    <w:pPr>
      <w:widowControl w:val="0"/>
    </w:pPr>
  </w:style>
  <w:style w:type="paragraph" w:customStyle="1" w:styleId="46223FDB4BDB402FA033FEAF64237635">
    <w:name w:val="46223FDB4BDB402FA033FEAF64237635"/>
    <w:rsid w:val="006119C0"/>
    <w:pPr>
      <w:widowControl w:val="0"/>
    </w:pPr>
  </w:style>
  <w:style w:type="paragraph" w:customStyle="1" w:styleId="DC8326B9186447D6885F491D733F5E4A">
    <w:name w:val="DC8326B9186447D6885F491D733F5E4A"/>
    <w:rsid w:val="006119C0"/>
    <w:pPr>
      <w:widowControl w:val="0"/>
    </w:pPr>
  </w:style>
  <w:style w:type="paragraph" w:customStyle="1" w:styleId="B77E769DC1C346EF9FDDB299FDD45103">
    <w:name w:val="B77E769DC1C346EF9FDDB299FDD45103"/>
    <w:rsid w:val="006119C0"/>
    <w:pPr>
      <w:widowControl w:val="0"/>
    </w:pPr>
  </w:style>
  <w:style w:type="paragraph" w:customStyle="1" w:styleId="38E560CD34C244639672D30B54CEE1DD">
    <w:name w:val="38E560CD34C244639672D30B54CEE1DD"/>
    <w:rsid w:val="006119C0"/>
    <w:pPr>
      <w:widowControl w:val="0"/>
    </w:pPr>
  </w:style>
  <w:style w:type="paragraph" w:customStyle="1" w:styleId="140713F20D4D40678977084C7F6AF25B">
    <w:name w:val="140713F20D4D40678977084C7F6AF25B"/>
    <w:rsid w:val="006119C0"/>
    <w:pPr>
      <w:widowControl w:val="0"/>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文件" ma:contentTypeID="0x0101006433CEC32F900A4D99BF5C767A7C7994" ma:contentTypeVersion="16" ma:contentTypeDescription="建立新的文件。" ma:contentTypeScope="" ma:versionID="d5c6e8ae591363c34c50c1382cd2324e">
  <xsd:schema xmlns:xsd="http://www.w3.org/2001/XMLSchema" xmlns:xs="http://www.w3.org/2001/XMLSchema" xmlns:p="http://schemas.microsoft.com/office/2006/metadata/properties" xmlns:ns2="3fde1b07-2a80-4d84-8cbb-7161d4815bd1" xmlns:ns3="d6bc121f-ed2e-4615-91c3-82a6ff910a7d" targetNamespace="http://schemas.microsoft.com/office/2006/metadata/properties" ma:root="true" ma:fieldsID="931bd993ae06a9bf59ca7c5b1e7f83f1" ns2:_="" ns3:_="">
    <xsd:import namespace="3fde1b07-2a80-4d84-8cbb-7161d4815bd1"/>
    <xsd:import namespace="d6bc121f-ed2e-4615-91c3-82a6ff910a7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fde1b07-2a80-4d84-8cbb-7161d4815bd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影像標籤"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6bc121f-ed2e-4615-91c3-82a6ff910a7d"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def5f76a-3bd1-48fd-88db-a82b0c63573b}" ma:internalName="TaxCatchAll" ma:showField="CatchAllData" ma:web="d6bc121f-ed2e-4615-91c3-82a6ff910a7d">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共用對象:"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共用詳細資料"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內容類型"/>
        <xsd:element ref="dc:title" minOccurs="0" maxOccurs="1" ma:index="4" ma:displayName="標題"/>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d6bc121f-ed2e-4615-91c3-82a6ff910a7d" xsi:nil="true"/>
    <lcf76f155ced4ddcb4097134ff3c332f xmlns="3fde1b07-2a80-4d84-8cbb-7161d4815bd1">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54EEAD2-B5C7-44E7-8BE8-9022D5FEBC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fde1b07-2a80-4d84-8cbb-7161d4815bd1"/>
    <ds:schemaRef ds:uri="d6bc121f-ed2e-4615-91c3-82a6ff910a7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A094CA6-1340-456F-B8F3-692383304F26}">
  <ds:schemaRefs>
    <ds:schemaRef ds:uri="http://schemas.microsoft.com/office/2006/metadata/properties"/>
    <ds:schemaRef ds:uri="http://schemas.microsoft.com/office/infopath/2007/PartnerControls"/>
    <ds:schemaRef ds:uri="d6bc121f-ed2e-4615-91c3-82a6ff910a7d"/>
    <ds:schemaRef ds:uri="3fde1b07-2a80-4d84-8cbb-7161d4815bd1"/>
  </ds:schemaRefs>
</ds:datastoreItem>
</file>

<file path=customXml/itemProps3.xml><?xml version="1.0" encoding="utf-8"?>
<ds:datastoreItem xmlns:ds="http://schemas.openxmlformats.org/officeDocument/2006/customXml" ds:itemID="{1E85CAE8-ACA5-495E-B4AB-D2AEFDFC5565}">
  <ds:schemaRefs>
    <ds:schemaRef ds:uri="http://schemas.openxmlformats.org/officeDocument/2006/bibliography"/>
  </ds:schemaRefs>
</ds:datastoreItem>
</file>

<file path=customXml/itemProps4.xml><?xml version="1.0" encoding="utf-8"?>
<ds:datastoreItem xmlns:ds="http://schemas.openxmlformats.org/officeDocument/2006/customXml" ds:itemID="{0C404034-C85F-4288-B217-3806C687569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24</Pages>
  <Words>8238</Words>
  <Characters>49759</Characters>
  <Application>Microsoft Office Word</Application>
  <DocSecurity>0</DocSecurity>
  <Lines>2764</Lines>
  <Paragraphs>487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57510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Dr Kwong</cp:lastModifiedBy>
  <cp:revision>3</cp:revision>
  <cp:lastPrinted>2014-10-10T07:42:00Z</cp:lastPrinted>
  <dcterms:created xsi:type="dcterms:W3CDTF">2023-07-30T02:17:00Z</dcterms:created>
  <dcterms:modified xsi:type="dcterms:W3CDTF">2023-07-30T02:17:00Z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0x0101006433CEC32F900A4D99BF5C767A7C7994</vt:lpwstr>
  </property>
  <property fmtid="{D5CDD505-2E9C-101B-9397-08002B2CF9AE}" pid="6" name="GrammarlyDocumentId">
    <vt:lpwstr>086c5e3d229dd1883eda0250e921b18d5eb1c6da4f54f350a048f08ad177d354</vt:lpwstr>
  </property>
</Properties>
</file>