
<file path=[Content_Types].xml><?xml version="1.0" encoding="utf-8"?>
<Types xmlns="http://schemas.openxmlformats.org/package/2006/content-types">
  <Default Extension="xml" ContentType="application/xml"/>
  <Default Extension="rels" ContentType="application/vnd.openxmlformats-package.relationships+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word/document.xml" ContentType="application/vnd.openxmlformats-officedocument.wordprocessingml.document.main+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footer1.xml" ContentType="application/vnd.openxmlformats-officedocument.wordprocessingml.footer+xml"/>
  <Override PartName="/docProps/custom.xml" ContentType="application/vnd.openxmlformats-officedocument.custom-properties+xml"/>
</Types>
</file>

<file path=_rels/.rels><?xml version="1.0" encoding="UTF-8" standalone="yes"?><Relationships xmlns="http://schemas.openxmlformats.org/package/2006/relationships"><Relationship Id="rId3" Type="http://schemas.openxmlformats.org/officeDocument/2006/relationships/custom-properties" Target="docProps/custom.xml" /><Relationship Id="rId2" Type="http://schemas.openxmlformats.org/officeDocument/2006/relationships/extended-properties" Target="docProps/app.xml" /><Relationship Id="rId1" Type="http://schemas.openxmlformats.org/package/2006/relationships/metadata/core-properties" Target="docProps/core.xml" /><Relationship Id="rId0" Type="http://schemas.openxmlformats.org/officeDocument/2006/relationships/officeDocument" Target="word/document.xml" /></Relationships>
</file>

<file path=word/document.xml><?xml version="1.0" encoding="utf-8"?>
<w:document xmlns:wps="http://schemas.microsoft.com/office/word/2010/wordprocessingShape" xmlns:wne="http://schemas.microsoft.com/office/word/2006/wordml" xmlns:wpg="http://schemas.microsoft.com/office/word/2010/wordprocessingGroup" xmlns:w15="http://schemas.microsoft.com/office/word/2012/wordml" xmlns:wpi="http://schemas.microsoft.com/office/word/2010/wordprocessingInk" xmlns:w10="urn:schemas-microsoft-com:office:word" xmlns:w14="http://schemas.microsoft.com/office/word/2010/wordml" xmlns:wp="http://schemas.openxmlformats.org/drawingml/2006/wordprocessingDrawing" xmlns:wp14="http://schemas.microsoft.com/office/word/2010/wordprocessingDrawing" xmlns:v="urn:schemas-microsoft-com:vml" xmlns:r="http://schemas.openxmlformats.org/officeDocument/2006/relationships" xmlns:m="http://schemas.openxmlformats.org/officeDocument/2006/math" xmlns:wpsCustomData="http://www.wps.cn/officeDocument/2013/wpsCustomData" xmlns:w="http://schemas.openxmlformats.org/wordprocessingml/2006/main" xmlns:o="urn:schemas-microsoft-com:office:office" xmlns:mc="http://schemas.openxmlformats.org/markup-compatibility/2006" xmlns:wpc="http://schemas.microsoft.com/office/word/2010/wordprocessingCanvas" mc:Ignorable="w14 w15 wp14">
  <w:body>
    <w:p>
      <w:pPr>
        <w:pStyle w:val="5"/>
        <w:tabs>
          <w:tab w:val="right" w:leader="dot" w:pos="9632"/>
        </w:tabs>
        <w:ind w:firstLine="4160" w:firstLineChars="1300"/>
        <w:rPr>
          <w:lang w:val="en-US" w:eastAsia="zh-CN"/>
          <w:rFonts w:eastAsia="宋体" w:hint="default"/>
        </w:rPr>
      </w:pPr>
      <w:r>
        <w:rPr>
          <w:b w:val="1"/>
          <w:lang w:val="en-US" w:eastAsia="zh-CN"/>
          <w:rFonts w:eastAsia="宋体" w:hint="eastAsia"/>
        </w:rPr>
        <w:t>Contents</w:t>
      </w:r>
      <w:bookmarkStart w:id="7" w:name="_GoBack"/>
      <w:bookmarkEnd w:id="7"/>
    </w:p>
    <w:p>
      <w:pPr>
        <w:pStyle w:val="5"/>
        <w:tabs>
          <w:tab w:val="right" w:leader="dot" w:pos="9632"/>
        </w:tabs>
      </w:pPr>
      <w:r>
        <w:rPr>
          <w:rFonts w:hint="eastAsia"/>
        </w:rPr>
        <w:fldChar w:fldCharType="begin"/>
      </w:r>
      <w:r>
        <w:rPr>
          <w:rFonts w:hint="eastAsia"/>
        </w:rPr>
        <w:instrText xml:space="preserve">TOC \o "1-3" \h \u </w:instrText>
      </w:r>
      <w:r>
        <w:rPr>
          <w:rFonts w:hint="eastAsia"/>
        </w:rPr>
        <w:fldChar w:fldCharType="separate"/>
      </w:r>
      <w:r>
        <w:rPr>
          <w:rFonts w:hint="eastAsia"/>
        </w:rPr>
        <w:fldChar w:fldCharType="begin"/>
      </w:r>
      <w:r>
        <w:rPr>
          <w:rFonts w:hint="eastAsia"/>
        </w:rPr>
        <w:instrText xml:space="preserve"> HYPERLINK \l _Toc16006 </w:instrText>
      </w:r>
      <w:r>
        <w:rPr>
          <w:rFonts w:hint="eastAsia"/>
        </w:rPr>
        <w:fldChar w:fldCharType="separate"/>
      </w:r>
      <w:r>
        <w:rPr>
          <w:rFonts w:hint="eastAsia"/>
        </w:rPr>
        <w:t>introduction</w:t>
      </w:r>
      <w:r>
        <w:tab/>
      </w:r>
      <w:r>
        <w:fldChar w:fldCharType="begin"/>
      </w:r>
      <w:r>
        <w:instrText xml:space="preserve"> PAGEREF _Toc16006 \h </w:instrText>
      </w:r>
      <w:r>
        <w:fldChar w:fldCharType="separate"/>
      </w:r>
      <w:r>
        <w:t>2</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_Toc24626 </w:instrText>
      </w:r>
      <w:r>
        <w:rPr>
          <w:rFonts w:hint="eastAsia"/>
        </w:rPr>
        <w:fldChar w:fldCharType="separate"/>
      </w:r>
      <w:r>
        <w:rPr>
          <w:rFonts w:hint="eastAsia"/>
        </w:rPr>
        <w:t>external analysis</w:t>
      </w:r>
      <w:r>
        <w:tab/>
      </w:r>
      <w:r>
        <w:fldChar w:fldCharType="begin"/>
      </w:r>
      <w:r>
        <w:instrText xml:space="preserve"> PAGEREF _Toc24626 \h </w:instrText>
      </w:r>
      <w:r>
        <w:fldChar w:fldCharType="separate"/>
      </w:r>
      <w:r>
        <w:t>3</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_Toc7028 </w:instrText>
      </w:r>
      <w:r>
        <w:rPr>
          <w:rFonts w:hint="eastAsia"/>
        </w:rPr>
        <w:fldChar w:fldCharType="separate"/>
      </w:r>
      <w:r>
        <w:rPr>
          <w:rFonts w:hint="eastAsia"/>
        </w:rPr>
        <w:t>Internal analysis</w:t>
      </w:r>
      <w:r>
        <w:tab/>
      </w:r>
      <w:r>
        <w:fldChar w:fldCharType="begin"/>
      </w:r>
      <w:r>
        <w:instrText xml:space="preserve"> PAGEREF _Toc7028 \h </w:instrText>
      </w:r>
      <w:r>
        <w:fldChar w:fldCharType="separate"/>
      </w:r>
      <w:r>
        <w:t>7</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_Toc29135 </w:instrText>
      </w:r>
      <w:r>
        <w:rPr>
          <w:rFonts w:hint="eastAsia"/>
        </w:rPr>
        <w:fldChar w:fldCharType="separate"/>
      </w:r>
      <w:r>
        <w:rPr>
          <w:rFonts w:hint="eastAsia"/>
        </w:rPr>
        <w:t>Strategic Formulation and Competitive Positioning</w:t>
      </w:r>
      <w:r>
        <w:tab/>
      </w:r>
      <w:r>
        <w:fldChar w:fldCharType="begin"/>
      </w:r>
      <w:r>
        <w:instrText xml:space="preserve"> PAGEREF _Toc29135 \h </w:instrText>
      </w:r>
      <w:r>
        <w:fldChar w:fldCharType="separate"/>
      </w:r>
      <w:r>
        <w:t>9</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_Toc23439 </w:instrText>
      </w:r>
      <w:r>
        <w:rPr>
          <w:rFonts w:hint="eastAsia"/>
        </w:rPr>
        <w:fldChar w:fldCharType="separate"/>
      </w:r>
      <w:r>
        <w:rPr>
          <w:rFonts w:hint="eastAsia"/>
        </w:rPr>
        <w:t>Sustainability and strategic recommendations</w:t>
      </w:r>
      <w:r>
        <w:tab/>
      </w:r>
      <w:r>
        <w:fldChar w:fldCharType="begin"/>
      </w:r>
      <w:r>
        <w:instrText xml:space="preserve"> PAGEREF _Toc23439 \h </w:instrText>
      </w:r>
      <w:r>
        <w:fldChar w:fldCharType="separate"/>
      </w:r>
      <w:r>
        <w:t>11</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_Toc2121 </w:instrText>
      </w:r>
      <w:r>
        <w:rPr>
          <w:rFonts w:hint="eastAsia"/>
        </w:rPr>
        <w:fldChar w:fldCharType="separate"/>
      </w:r>
      <w:r>
        <w:rPr>
          <w:rFonts w:hint="eastAsia"/>
        </w:rPr>
        <w:t>conclusion</w:t>
      </w:r>
      <w:r>
        <w:tab/>
      </w:r>
      <w:r>
        <w:fldChar w:fldCharType="begin"/>
      </w:r>
      <w:r>
        <w:instrText xml:space="preserve"> PAGEREF _Toc2121 \h </w:instrText>
      </w:r>
      <w:r>
        <w:fldChar w:fldCharType="separate"/>
      </w:r>
      <w:r>
        <w:t>12</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_Toc29399 </w:instrText>
      </w:r>
      <w:r>
        <w:rPr>
          <w:rFonts w:hint="eastAsia"/>
        </w:rPr>
        <w:fldChar w:fldCharType="separate"/>
      </w:r>
      <w:r>
        <w:rPr>
          <w:lang w:val="en-US" w:eastAsia="zh-CN" w:bidi="ar-SA"/>
          <w:kern w:val="44"/>
          <w:szCs w:val="24"/>
          <w:rFonts w:ascii="Times New Roman" w:hAnsi="Times New Roman" w:eastAsia="Times New Roman" w:cs="Times New Roman" w:hint="eastAsia"/>
        </w:rPr>
        <w:t>references</w:t>
      </w:r>
      <w:r>
        <w:tab/>
      </w:r>
      <w:r>
        <w:fldChar w:fldCharType="begin"/>
      </w:r>
      <w:r>
        <w:instrText xml:space="preserve"> PAGEREF _Toc29399 \h </w:instrText>
      </w:r>
      <w:r>
        <w:fldChar w:fldCharType="separate"/>
      </w:r>
      <w:r>
        <w:t>15</w:t>
      </w:r>
      <w:r>
        <w:fldChar w:fldCharType="end"/>
      </w:r>
      <w:r>
        <w:rPr>
          <w:rFonts w:hint="eastAsia"/>
        </w:rPr>
        <w:fldChar w:fldCharType="end"/>
      </w:r>
    </w:p>
    <w:p>
      <w:pPr>
        <w:pStyle w:val="2"/>
        <w:bidi w:val="0"/>
        <w:rPr>
          <w:rFonts w:hint="eastAsia"/>
        </w:rPr>
        <w:sectPr>
          <w:footerReference r:id="rId4" w:type="default"/>
          <w:docGrid w:type="lines" w:linePitch="312" w:charSpace="0"/>
          <w:pgSz w:w="11900" w:h="16840"/>
          <w:pgMar w:top="1134" w:right="1134" w:bottom="1134" w:left="1134" w:header="851" w:footer="992" w:gutter="0"/>
          <w:cols w:space="425" w:num="1"/>
        </w:sectPr>
      </w:pPr>
      <w:r>
        <w:rPr>
          <w:rFonts w:hint="eastAsia"/>
        </w:rPr>
        <w:fldChar w:fldCharType="end"/>
      </w:r>
    </w:p>
    <w:p>
      <w:pPr>
        <w:pStyle w:val="2"/>
        <w:bidi w:val="0"/>
        <w:rPr>
          <w:rFonts w:hint="eastAsia"/>
        </w:rPr>
      </w:pPr>
      <w:bookmarkStart w:id="0" w:name="_Toc16006"/>
      <w:r>
        <w:rPr>
          <w:rFonts w:hint="eastAsia"/>
        </w:rPr>
        <w:t>introduction</w:t>
      </w:r>
      <w:bookmarkEnd w:id="0"/>
    </w:p>
    <w:p>
      <w:pPr>
        <w:bidi w:val="0"/>
        <w:rPr>
          <w:rFonts w:hint="eastAsia"/>
        </w:rPr>
      </w:pPr>
    </w:p>
    <w:p>
      <w:pPr>
        <w:bidi w:val="0"/>
        <w:rPr>
          <w:rFonts w:hint="eastAsia"/>
        </w:rPr>
      </w:pPr>
      <w:r>
        <w:rPr>
          <w:rFonts w:hint="eastAsia"/>
        </w:rPr>
        <w:t>Nestle was founded in 1866, headquartered in Weiwei, Switzerland. It is the world's largest food and beverage company with annual revenue of nearly 100 billion Swiss francs. It operates in 189 countries and owns more than 2,000 brands. Nestle, as a benchmark in the consumer goods industry, can make better use of economic knowledge by studying its strategic planning. Nestle's products cover coffee, dairy products, pet food, etc. Its diversification strategy reflects the rich experience of multinational enterprises in dealing with complex market environment. Nestle is currently facing many challenges, such as economy and strategy. On the economic level, the cost of Nestle's products has increased due to the pressure of inflation, and the growth of international emerging markets is also slowing down, facing challenges from local enterprises in other countries. At the strategic level, consumers demand more and more, so Nestle needs product innovation. This paper will use some economic theories to study and analyze Nestle's business strategy through systematic analysis of internal and external environment.</w:t>
      </w:r>
    </w:p>
    <w:p>
      <w:pPr>
        <w:bidi w:val="0"/>
        <w:rPr>
          <w:rFonts w:hint="eastAsia"/>
        </w:rPr>
      </w:pPr>
    </w:p>
    <w:p>
      <w:pPr>
        <w:bidi w:val="0"/>
        <w:rPr>
          <w:rFonts w:hint="eastAsia"/>
        </w:rPr>
      </w:pPr>
    </w:p>
    <w:p>
      <w:pPr>
        <w:pStyle w:val="2"/>
        <w:bidi w:val="0"/>
        <w:rPr>
          <w:rFonts w:hint="eastAsia"/>
        </w:rPr>
      </w:pPr>
      <w:bookmarkStart w:id="1" w:name="_Toc24626"/>
      <w:r>
        <w:rPr>
          <w:rFonts w:hint="eastAsia"/>
        </w:rPr>
        <w:t>external analysis</w:t>
      </w:r>
      <w:bookmarkEnd w:id="1"/>
    </w:p>
    <w:p>
      <w:pPr>
        <w:bidi w:val="0"/>
        <w:rPr>
          <w:rFonts w:hint="eastAsia"/>
        </w:rPr>
      </w:pPr>
    </w:p>
    <w:p>
      <w:pPr>
        <w:bidi w:val="0"/>
        <w:rPr>
          <w:rFonts w:hint="eastAsia"/>
        </w:rPr>
      </w:pPr>
      <w:r>
        <w:rPr>
          <w:rFonts w:hint="eastAsia"/>
        </w:rPr>
        <w:t>Analysis using the PESTEL model: At the political level, the EU's "Green New Deal" requires a 65% recovery rate for packaging materials by 2030, which results in Nestlé having to invest and use degradable materials. On the economic level, according to news reports, the global food inflation rate reached 7.4% in 2023, but demand for high-end products was strong, so Nestle's sales of high-end coffee increased by 12%. On the social level, Nestle's Garden Gourmet brand has reached 80% of the retail channels in Europe. At the technical level, artificial intelligence technology is now more and more developed. According to the case study and forecast of Nestle's Mexico factory, the system driven by artificial intelligence should be able to reduce the inventory cost by 15%. On the environmental level, Nestle's coffee industry depends on the production of coffee beans. Extreme climate has been threatening the supply of coffee beans. For example, Nestle's production of coffee beans in Brazil dropped by 18% in 2023.</w:t>
      </w:r>
    </w:p>
    <w:p>
      <w:pPr>
        <w:bidi w:val="0"/>
        <w:rPr>
          <w:rFonts w:hint="eastAsia"/>
        </w:rPr>
      </w:pPr>
    </w:p>
    <w:p>
      <w:pPr>
        <w:bidi w:val="0"/>
        <w:rPr>
          <w:rFonts w:hint="eastAsia"/>
        </w:rPr>
      </w:pPr>
      <w:r>
        <w:rPr>
          <w:rFonts w:hint="eastAsia"/>
        </w:rPr>
        <w:t xml:space="preserve">Five forces model analysis: the competition intensity of competitors is high. Because Nestle has been in fierce competition with Unilever and Danone in the field of health food, but Nestle is in an advantage by virtue of scale effect. The operating profit margin of Nestle is larger than the average operating profit margin of the industry. The threat from new entrants is low. Because some start-ups, such as Oatly, can split up consumers' buying demand through the niche health brand's track, but nestle already has a mature product line, so distribution network barriers will limit the expansion of new competitors. The threat of alternatives is low. Because food is a hard demand and Nestle's industrial chain is spread all over the world, it is difficult to find substitutes in a short time. The bargaining power of the suppliers is medium. Because Nestle usually reduces the risk through centralized procurement and has a large number of long-term cooperation channels. The buy's bargaining pow is high. Because retailer channels, such as Wal-Mart, account for 40% of Nestle's revenue, this will increase the bargaining power of large retailers. </w:t>
      </w:r>
    </w:p>
    <w:p>
      <w:pPr>
        <w:bidi w:val="0"/>
        <w:rPr>
          <w:rFonts w:hint="eastAsia"/>
        </w:rPr>
      </w:pPr>
    </w:p>
    <w:p>
      <w:pPr>
        <w:bidi w:val="0"/>
        <w:rPr>
          <w:rFonts w:hint="eastAsia"/>
        </w:rPr>
      </w:pPr>
      <w:r>
        <w:rPr>
          <w:rFonts w:hint="eastAsia"/>
        </w:rPr>
        <w:t>In the context of the complex and volatile global economic environment, the key economic trends affecting Nestle's business strategy are mainly reflected in the following four aspects: Inflation pressure and cost control is one aspect, the global food inflation rate is getting higher and higher, the cost of food raw materials such as coffee beans, dairy products, and energy costs continue to rise, which is gradually reducing Nestle's profit margin. To meet this challenge, Nestle has adopted two strategies: selective price increase and production efficiency optimization. Nestle reduces cost pressures through brand premiums, while the Volkswagen product line reduces costs and increases efficiency by closing inefficient factories and introducing new industrial technologies. This trend has forced Nestlé to focus more strategically on product mix layering to balance the needs of price-sensitive markets with those of high value-added markets. Consumption upgrading and healthy demand are on the one hand. Consumer preferences are gradually tilting towards high-end and health, which has become the core driving force for product innovation. In 2023, EU restrictions on high-sugar food advertising and WHO's sugar reduction initiative are also accelerating Nestle's product innovation, such as plans to reduce the sugar content of key market products by 30% by 2025. This trend has prompted Nestle to tilt its resources to high-growth categories such as functional drinks and sugar-reducing videos, while Nestle has divested its low-profit business. Supply chain resilience and technology empowerment are one of the aspects. Extreme weather and geopolitical conflicts have exacerbated supply chain risks. Through technological upgrading and industrial cooperation,It is hoped to stabilize the supply of raw materials through sustainable agricultural practices. These initiatives not only reduce operational risk, but also respond to the concerns of governments and investors about environmental, social and governance performance. The slowdown of emerging market growth and localization competition are on the one hand. Nestle's emerging markets, such as China, have seen a decline in growth, and local brands in China have hit Nestle's sales in the infant milk powder industry by virtue of channel sinking and price advantage. To this end, Nestle has adjusted its strategic focus and reduced its dependence on imports through localized production.At the same time, we will expand the development and research of new products with high potential to avoid competition in the Red Sea market. These are the four key economic trends. Through the above trend analysis, it is not difficult to see that Nestle has encountered challenges in the direction of scale expansion, trying to turn to the strategic direction of value priority. Nestle is further building and upgrading its competitive barriers, while aiming at sustainable development and enhancing long-term brand value. It can be seen that balancing cost pressure and consumption upgrading demand and deepening localized operation will be the key to Nestle's successful strategic landing in the future.</w:t>
      </w:r>
    </w:p>
    <w:p>
      <w:pPr>
        <w:bidi w:val="0"/>
        <w:rPr>
          <w:rFonts w:hint="eastAsia"/>
        </w:rPr>
      </w:pPr>
    </w:p>
    <w:p>
      <w:pPr>
        <w:bidi w:val="0"/>
        <w:rPr>
          <w:rFonts w:hint="eastAsia"/>
        </w:rPr>
      </w:pPr>
    </w:p>
    <w:p>
      <w:pPr>
        <w:pStyle w:val="2"/>
        <w:bidi w:val="0"/>
        <w:rPr>
          <w:rFonts w:hint="eastAsia"/>
        </w:rPr>
      </w:pPr>
      <w:bookmarkStart w:id="2" w:name="_Toc7028"/>
      <w:r>
        <w:rPr>
          <w:rFonts w:hint="eastAsia"/>
        </w:rPr>
        <w:t>Internal analysis</w:t>
      </w:r>
      <w:bookmarkEnd w:id="2"/>
    </w:p>
    <w:p>
      <w:pPr>
        <w:bidi w:val="0"/>
        <w:rPr>
          <w:rFonts w:hint="eastAsia"/>
        </w:rPr>
      </w:pPr>
    </w:p>
    <w:p>
      <w:pPr>
        <w:bidi w:val="0"/>
        <w:rPr>
          <w:rFonts w:hint="eastAsia"/>
        </w:rPr>
      </w:pPr>
      <w:r>
        <w:rPr>
          <w:rFonts w:hint="eastAsia"/>
        </w:rPr>
        <w:t>RBV: With regard to physical resources, Nestlé has 128 factories and developed intelligent logistics network in the world, which can deliver products to major cities in Europe within 48 hours. With regard to intangible resources, Nestlé' s patent pool contains more than 5,000 patents for food technology, as well as brand equity, which is valued at $24 billion by Brand Finance in 2023. With regard to competence, 89% of Nestle's senior executives have experience in various countries, so their cross-cultural management ability is excellent. Nestle's rapid product iteration ability is also excellent. The average time from research and development to market of new products is only 8 months.</w:t>
      </w:r>
    </w:p>
    <w:p>
      <w:pPr>
        <w:bidi w:val="0"/>
        <w:rPr>
          <w:rFonts w:hint="eastAsia"/>
        </w:rPr>
      </w:pPr>
    </w:p>
    <w:p>
      <w:pPr>
        <w:bidi w:val="0"/>
        <w:rPr>
          <w:rFonts w:hint="eastAsia"/>
        </w:rPr>
      </w:pPr>
      <w:r>
        <w:rPr>
          <w:rFonts w:hint="eastAsia"/>
        </w:rPr>
        <w:t>Value chain analysis: based on the analysis of the industry value chain, Nestle has cooperated with IBM to trace back the source of coffee beans through the block chain to improve the company's quality control capability. Through the analysis of the company's value chain, Nestle's factory in Germany adopted industrial 4.0 technology, which reduced energy consumption by 22%. Through the analysis of the operation value chain, Nespresso membership system owned by Nestle contributed 30% of the coffee business profit of the Company. Through the analysis of the industrial chain, Nestle has shown high operational efficiency in all aspects, and its core advantages are reflected in technology-driven, cost optimization and rapid response capabilities. So Nestle has achieved significant operational efficiency improvement in all links of the industrial chain through technology embedding and value chain integration, but the full achievement of its sustainable goals still needs to solve the problems of logistics carbon footprint and regional adaptability.</w:t>
      </w:r>
    </w:p>
    <w:p>
      <w:pPr>
        <w:bidi w:val="0"/>
        <w:rPr>
          <w:rFonts w:hint="eastAsia"/>
        </w:rPr>
      </w:pPr>
    </w:p>
    <w:p>
      <w:pPr>
        <w:bidi w:val="0"/>
        <w:rPr>
          <w:rFonts w:hint="eastAsia"/>
        </w:rPr>
      </w:pPr>
      <w:r>
        <w:rPr>
          <w:rFonts w:hint="eastAsia"/>
        </w:rPr>
        <w:t>SWOT-TOWS Matrix Model Analysis: From the perspective of Advantage+Opportunity (SO), Nestlé uses its new product research and development capabilities to develop a number of sugar reduction products in response to health trends. Judging from the disadvantage+threat (WT), Nestlé' s performance in China has grown slowly in recent years and is difficult to transform.</w:t>
      </w:r>
    </w:p>
    <w:p>
      <w:pPr>
        <w:bidi w:val="0"/>
        <w:rPr>
          <w:rFonts w:hint="eastAsia"/>
        </w:rPr>
      </w:pPr>
    </w:p>
    <w:p>
      <w:pPr>
        <w:bidi w:val="0"/>
        <w:rPr>
          <w:rFonts w:hint="eastAsia"/>
        </w:rPr>
      </w:pPr>
    </w:p>
    <w:p>
      <w:pPr>
        <w:pStyle w:val="2"/>
        <w:bidi w:val="0"/>
        <w:rPr>
          <w:rFonts w:hint="eastAsia"/>
        </w:rPr>
      </w:pPr>
      <w:bookmarkStart w:id="3" w:name="_Toc29135"/>
      <w:r>
        <w:rPr>
          <w:rFonts w:hint="eastAsia"/>
        </w:rPr>
        <w:t>Strategic Formulation and Competitive Positioning</w:t>
      </w:r>
      <w:bookmarkEnd w:id="3"/>
    </w:p>
    <w:p>
      <w:pPr>
        <w:bidi w:val="0"/>
        <w:rPr>
          <w:rFonts w:hint="eastAsia"/>
        </w:rPr>
      </w:pPr>
    </w:p>
    <w:p>
      <w:pPr>
        <w:bidi w:val="0"/>
        <w:rPr>
          <w:rFonts w:hint="eastAsia"/>
        </w:rPr>
      </w:pPr>
      <w:r>
        <w:rPr>
          <w:rFonts w:hint="eastAsia"/>
        </w:rPr>
        <w:t>Regarding the positioning of the strategic clock, Nestlé has adopted a differentiated and centralized strategy: Nestlé is pricing premium prices in multiple segments, such as high-end coffee (Nespresso) and pet medical food (Prerina Pro Plan), while maintaining the competitiveness of mass product lines, such as Meijishi Soup, through cost control.</w:t>
      </w:r>
    </w:p>
    <w:p>
      <w:pPr>
        <w:bidi w:val="0"/>
        <w:rPr>
          <w:rFonts w:hint="eastAsia"/>
        </w:rPr>
      </w:pPr>
    </w:p>
    <w:p>
      <w:pPr>
        <w:bidi w:val="0"/>
        <w:rPr>
          <w:rFonts w:hint="eastAsia"/>
        </w:rPr>
      </w:pPr>
      <w:r>
        <w:rPr>
          <w:rFonts w:hint="eastAsia"/>
        </w:rPr>
        <w:t xml:space="preserve">Ansoff Matrix: With regard to market penetration, Nestle promoted the "Coffee Subscription System" in North America to increase the unit price of customers, and the subscribers increased by 25% in 2023. Regarding product development, Nestle plans to launch adult milk powder containing probiotics in 2024. </w:t>
      </w:r>
    </w:p>
    <w:p>
      <w:pPr>
        <w:bidi w:val="0"/>
        <w:rPr>
          <w:rFonts w:hint="eastAsia"/>
        </w:rPr>
      </w:pPr>
    </w:p>
    <w:p>
      <w:pPr>
        <w:bidi w:val="0"/>
        <w:rPr>
          <w:rFonts w:hint="eastAsia"/>
        </w:rPr>
      </w:pPr>
      <w:r>
        <w:rPr>
          <w:rFonts w:hint="eastAsia"/>
        </w:rPr>
        <w:t>In relation to the merger case, Nestle acquired a health care company named Atrium Innovations in 2017 to strengthen the business segment in the health sector. Nestle acquired Atrium Innovations, a Canadian health product company (which owns Garden of Life and other brands) in 2017. This acquisition is a decisive measure in Nestle's transformation to the field of health and nutrition. The acquisition was eventually completed at a price of $2.3 billion, and Nestle hopes to make up for the growth bottleneck of its traditional food business through Atrium's technology accumulation in high-end categories such as natural organic vitamins and dietary supplements.After the acquisition, Atrium's product line was integrated into Nestle's health science division, which increased revenue by 9% year-on-year in 2023, significantly higher than overall growth rate of the group, proving that strategic synergies are significant. However, although relying on mergers and acquisitions to expand has brought many benefits, Nestle may still face some integration risks. Atrium's niche brand positioning and Nestle's popular channels need to be further integrated, and the competition in the healthy food track is intensifying, such as Danone and Bayer. Overall, the case reflects the effectiveness of Nestle's "high value-added" strategy, but the follow-up still needs to continue to invest in R &amp; D to maintain the differentiation advantage.</w:t>
      </w:r>
    </w:p>
    <w:p>
      <w:pPr>
        <w:bidi w:val="0"/>
        <w:rPr>
          <w:rFonts w:hint="eastAsia"/>
        </w:rPr>
      </w:pPr>
    </w:p>
    <w:p>
      <w:pPr>
        <w:bidi w:val="0"/>
        <w:rPr>
          <w:rFonts w:hint="eastAsia"/>
        </w:rPr>
      </w:pPr>
    </w:p>
    <w:p>
      <w:pPr>
        <w:pStyle w:val="2"/>
        <w:bidi w:val="0"/>
        <w:rPr>
          <w:rFonts w:hint="eastAsia"/>
        </w:rPr>
      </w:pPr>
      <w:bookmarkStart w:id="4" w:name="_Toc23439"/>
      <w:r>
        <w:rPr>
          <w:rFonts w:hint="eastAsia"/>
        </w:rPr>
        <w:t>Sustainability and strategic recommendations</w:t>
      </w:r>
      <w:bookmarkEnd w:id="4"/>
    </w:p>
    <w:p>
      <w:pPr>
        <w:bidi w:val="0"/>
        <w:rPr>
          <w:rFonts w:hint="eastAsia"/>
        </w:rPr>
      </w:pPr>
    </w:p>
    <w:p>
      <w:pPr>
        <w:bidi w:val="0"/>
        <w:rPr>
          <w:rFonts w:hint="eastAsia"/>
        </w:rPr>
      </w:pPr>
      <w:r>
        <w:rPr>
          <w:rFonts w:hint="eastAsia"/>
        </w:rPr>
        <w:t>Sustainability assessment: Nestle's renewable agriculture program already covers 30% of raw material procurement, but according to the carbon footprint report, third-party transportation accounts for 38% of Nestle's total carbon emissions, indicating that the company is highly dependent on third-party transportation.</w:t>
      </w:r>
    </w:p>
    <w:p>
      <w:pPr>
        <w:bidi w:val="0"/>
        <w:rPr>
          <w:rFonts w:hint="eastAsia"/>
        </w:rPr>
      </w:pPr>
    </w:p>
    <w:p>
      <w:pPr>
        <w:bidi w:val="0"/>
        <w:rPr>
          <w:rFonts w:hint="eastAsia"/>
        </w:rPr>
      </w:pPr>
      <w:r>
        <w:rPr>
          <w:rFonts w:hint="eastAsia"/>
        </w:rPr>
        <w:t>Strategic suggestion: Nestle should adopt circular economy model. Nestle can refer to the successful case of Unilever in Indonesia, and improve the recovery rate by piloting the "packaging recovery points system" in some Southeast Asian countries with excellent economies. As for the localization of supply chains, according to the FAO report, Nestlé can try to build dairy processing plants in several convenient transportation countries in Africa to reduce the difficulty of transportation in the African market.</w:t>
      </w:r>
    </w:p>
    <w:p>
      <w:pPr>
        <w:bidi w:val="0"/>
        <w:rPr>
          <w:rFonts w:hint="eastAsia"/>
        </w:rPr>
      </w:pPr>
    </w:p>
    <w:p>
      <w:pPr>
        <w:bidi w:val="0"/>
        <w:rPr>
          <w:rFonts w:hint="eastAsia"/>
        </w:rPr>
      </w:pPr>
    </w:p>
    <w:p>
      <w:pPr>
        <w:pStyle w:val="2"/>
        <w:bidi w:val="0"/>
        <w:rPr>
          <w:rFonts w:hint="eastAsia"/>
        </w:rPr>
      </w:pPr>
      <w:bookmarkStart w:id="5" w:name="_Toc2121"/>
      <w:r>
        <w:rPr>
          <w:rFonts w:hint="eastAsia"/>
        </w:rPr>
        <w:t>conclusion</w:t>
      </w:r>
      <w:bookmarkEnd w:id="5"/>
    </w:p>
    <w:p>
      <w:pPr>
        <w:bidi w:val="0"/>
        <w:rPr>
          <w:rFonts w:hint="eastAsia"/>
        </w:rPr>
      </w:pPr>
    </w:p>
    <w:p>
      <w:pPr>
        <w:bidi w:val="0"/>
        <w:rPr>
          <w:rFonts w:hint="eastAsia"/>
        </w:rPr>
      </w:pPr>
      <w:r>
        <w:rPr>
          <w:rFonts w:hint="eastAsia"/>
        </w:rPr>
        <w:t>Taking Nestle as an example, this paper systematically discusses the strategic planning logic and sustainable development path of global enterprises under the complex economic environment. Although facing some challenges, Nestle's case proves that global enterprises can build resilience by upgrading technologies such as artificial intelligence and block chains, as well as resource restructuring to cope with risks such as inflation and competition from local enterprises. Sustainability is competitiveness. Although government regulations increase product costs in the short term, they can improve brand premium and policy compliance and translate into market advantages in the long term. Under the trend of gradual health and high-end, enterprises need to optimize the product mix and operation efficiency simultaneously. Nestlé needs to continue to coordinate its localization efforts with global operations to ease the local competitive pressure in emerging markets through the construction of regional supply chains. The importance of strategic management in a sustainable business environment is mainly reflected in risk resistance, but also in the potential for value co-creation. However, enterprises need to break through the traditional thinking of shareholder supremacy and turn to stakeholder orientation. Nestle's regenerative agriculture program has been successful, not only reducing environmental risks, but also indirectly enhancing supply chain stability and social acceptance. It can be seen that this "shared value" model internalizes social responsibility into competitive advantage and provides ethical legitimacy for long-term growth.Sustainable strategies need to be combined with capabilities. Faced with climate change and policy iteration (such as EU carbon border tax), Nestle combines blockchain with AI technology to monitor carbon footprint in real time and adjust production layout dynamically. This agility not only optimizes the allocation of resources, but also wins the voice for enterprises to participate in the formulation of global standards such as international sustainable accounting standards. Sustainability should drive business model innovation, bind consumer behavior with the goal of circular economy, and create new customer interaction scenarios. The case study shows that sustainable strategy is not a cost burden, but a lever to open up differentiated markets. In the future, enterprises need to improve the strategic evaluation system, balance short-term profits and long-term resilience through quantitative tools, and realize Nestle's paradigm transformation to a sustainable business company.</w:t>
      </w:r>
    </w:p>
    <w:p>
      <w:pPr>
        <w:snapToGrid w:val="0"/>
        <w:rPr>
          <w:sz w:val="28"/>
          <w:rFonts w:ascii="Times New Roman" w:hAnsi="Times New Roman" w:cs="Times New Roman" w:hint="eastAsia"/>
        </w:rPr>
      </w:pPr>
    </w:p>
    <w:p>
      <w:pPr>
        <w:snapToGrid w:val="0"/>
        <w:rPr>
          <w:sz w:val="28"/>
          <w:rFonts w:ascii="Times New Roman" w:hAnsi="Times New Roman" w:cs="Times New Roman" w:hint="eastAsia"/>
        </w:rPr>
      </w:pPr>
    </w:p>
    <w:p>
      <w:pPr>
        <w:snapToGrid w:val="0"/>
        <w:rPr>
          <w:sz w:val="28"/>
          <w:rFonts w:ascii="Times New Roman" w:hAnsi="Times New Roman" w:cs="Times New Roman" w:hint="eastAsia"/>
        </w:rPr>
      </w:pPr>
    </w:p>
    <w:p>
      <w:pPr>
        <w:snapToGrid w:val="0"/>
        <w:rPr>
          <w:sz w:val="28"/>
          <w:rFonts w:ascii="Times New Roman" w:hAnsi="Times New Roman" w:cs="Times New Roman" w:hint="eastAsia"/>
        </w:rPr>
      </w:pPr>
    </w:p>
    <w:p>
      <w:pPr>
        <w:snapToGrid w:val="0"/>
        <w:rPr>
          <w:sz w:val="28"/>
          <w:rFonts w:ascii="Times New Roman" w:hAnsi="Times New Roman" w:cs="Times New Roman" w:hint="eastAsia"/>
        </w:rPr>
      </w:pPr>
    </w:p>
    <w:p>
      <w:pPr>
        <w:snapToGrid w:val="0"/>
        <w:rPr>
          <w:sz w:val="36"/>
          <w:rFonts w:ascii="Times New Roman" w:hAnsi="Times New Roman" w:cs="Times New Roman" w:hint="eastAsia"/>
        </w:rPr>
        <w:sectPr>
          <w:docGrid w:type="lines" w:linePitch="312" w:charSpace="0"/>
          <w:pgSz w:w="11900" w:h="16840"/>
          <w:pgMar w:top="1440" w:right="1800" w:bottom="1440" w:left="1800" w:header="851" w:footer="992" w:gutter="0"/>
          <w:cols w:space="425" w:num="1"/>
        </w:sectPr>
      </w:pPr>
    </w:p>
    <w:p>
      <w:pPr>
        <w:widowControl w:val="0"/>
        <w:keepNext w:val="1"/>
        <w:keepLines w:val="1"/>
        <w:bidi w:val="0"/>
        <w:jc w:val="both"/>
        <w:outlineLvl w:val="0"/>
        <w:spacing w:after="330" w:afterLines="0" w:afterAutospacing="0" w:before="340" w:beforeLines="0" w:beforeAutospacing="0" w:line="576" w:lineRule="auto"/>
        <w:rPr>
          <w:b w:val="1"/>
          <w:sz w:val="36"/>
          <w:lang w:val="en-US" w:eastAsia="zh-CN" w:bidi="ar-SA"/>
          <w:kern w:val="44"/>
          <w:szCs w:val="24"/>
          <w:rFonts w:ascii="Times New Roman" w:hAnsi="Times New Roman" w:eastAsia="Times New Roman" w:cs="Times New Roman" w:hint="eastAsia"/>
        </w:rPr>
      </w:pPr>
      <w:bookmarkStart w:id="6" w:name="_Toc29399"/>
      <w:r>
        <w:rPr>
          <w:b w:val="1"/>
          <w:sz w:val="36"/>
          <w:lang w:val="en-US" w:eastAsia="zh-CN" w:bidi="ar-SA"/>
          <w:kern w:val="44"/>
          <w:szCs w:val="24"/>
          <w:rFonts w:ascii="Times New Roman" w:hAnsi="Times New Roman" w:eastAsia="Times New Roman" w:cs="Times New Roman" w:hint="eastAsia"/>
        </w:rPr>
        <w:t>references</w:t>
      </w:r>
      <w:bookmarkEnd w:id="6"/>
    </w:p>
    <w:p>
      <w:pPr>
        <w:snapToGrid w:val="0"/>
        <w:rPr>
          <w:sz w:val="28"/>
          <w:rFonts w:ascii="Times New Roman" w:hAnsi="Times New Roman" w:cs="Times New Roman" w:hint="eastAsia"/>
        </w:rPr>
      </w:pPr>
    </w:p>
    <w:p>
      <w:pPr>
        <w:snapToGrid w:val="0"/>
        <w:rPr>
          <w:sz w:val="28"/>
          <w:rFonts w:ascii="Times New Roman" w:hAnsi="Times New Roman" w:cs="Times New Roman" w:hint="eastAsia"/>
        </w:rPr>
      </w:pPr>
      <w:r>
        <w:rPr>
          <w:sz w:val="36"/>
          <w:rFonts w:ascii="Times New Roman" w:hAnsi="Times New Roman" w:cs="Times New Roman" w:hint="eastAsia"/>
        </w:rPr>
        <w:t>1. European Parliament. (2022). EU Green Deal: Packaging and packaging waste directive. https://eur-lex.europa.eu/legal-content/EN/TXT/? uri=CELEX:52022PC0677</w:t>
      </w:r>
    </w:p>
    <w:p>
      <w:pPr>
        <w:snapToGrid w:val="0"/>
        <w:rPr>
          <w:sz w:val="28"/>
          <w:rFonts w:ascii="Times New Roman" w:hAnsi="Times New Roman" w:cs="Times New Roman" w:hint="eastAsia"/>
        </w:rPr>
      </w:pPr>
      <w:r>
        <w:rPr>
          <w:sz w:val="36"/>
          <w:rFonts w:ascii="Times New Roman" w:hAnsi="Times New Roman" w:cs="Times New Roman" w:hint="eastAsia"/>
        </w:rPr>
        <w:t>2. World Bank. (2023). Food inflation update Q4 2023.  https://www.worldbank.org/en/topic/agriculture</w:t>
      </w:r>
    </w:p>
    <w:p>
      <w:pPr>
        <w:snapToGrid w:val="0"/>
        <w:rPr>
          <w:sz w:val="28"/>
          <w:rFonts w:ascii="Times New Roman" w:hAnsi="Times New Roman" w:cs="Times New Roman" w:hint="eastAsia"/>
        </w:rPr>
      </w:pPr>
      <w:r>
        <w:rPr>
          <w:sz w:val="36"/>
          <w:rFonts w:ascii="Times New Roman" w:hAnsi="Times New Roman" w:cs="Times New Roman" w:hint="eastAsia"/>
        </w:rPr>
        <w:t>3. Nestlé. (2023). Q3 2023 trading statement: Premium coffee growth.  https://www.nestle.com/media/pressreleases</w:t>
      </w:r>
    </w:p>
    <w:p>
      <w:pPr>
        <w:snapToGrid w:val="0"/>
        <w:rPr>
          <w:sz w:val="28"/>
          <w:rFonts w:ascii="Times New Roman" w:hAnsi="Times New Roman" w:cs="Times New Roman" w:hint="eastAsia"/>
        </w:rPr>
      </w:pPr>
      <w:r>
        <w:rPr>
          <w:sz w:val="36"/>
          <w:rFonts w:ascii="Times New Roman" w:hAnsi="Times New Roman" w:cs="Times New Roman" w:hint="eastAsia"/>
        </w:rPr>
        <w:t>4. Reuters. (2023, June 15). Nestlé expands plant-based meat distribution in Europe.  https://www.reuters.com/business</w:t>
      </w:r>
    </w:p>
    <w:p>
      <w:pPr>
        <w:snapToGrid w:val="0"/>
        <w:rPr>
          <w:sz w:val="28"/>
          <w:rFonts w:ascii="Times New Roman" w:hAnsi="Times New Roman" w:cs="Times New Roman" w:hint="eastAsia"/>
        </w:rPr>
      </w:pPr>
      <w:r>
        <w:rPr>
          <w:sz w:val="36"/>
          <w:rFonts w:ascii="Times New Roman" w:hAnsi="Times New Roman" w:cs="Times New Roman" w:hint="eastAsia"/>
        </w:rPr>
        <w:t>5. McKinsey &amp; Company. (2022). AI in supply chain: Nestlé Mexico case study. McKinsey Operations Practice.</w:t>
      </w:r>
    </w:p>
    <w:p>
      <w:pPr>
        <w:snapToGrid w:val="0"/>
        <w:rPr>
          <w:sz w:val="28"/>
          <w:rFonts w:ascii="Times New Roman" w:hAnsi="Times New Roman" w:cs="Times New Roman" w:hint="eastAsia"/>
        </w:rPr>
      </w:pPr>
      <w:r>
        <w:rPr>
          <w:sz w:val="36"/>
          <w:rFonts w:ascii="Times New Roman" w:hAnsi="Times New Roman" w:cs="Times New Roman" w:hint="eastAsia"/>
        </w:rPr>
        <w:t>6. USDA. (2023). Brazil coffee production report 2023.  https://www.usda.gov/oce/commodity</w:t>
      </w:r>
    </w:p>
    <w:p>
      <w:pPr>
        <w:snapToGrid w:val="0"/>
        <w:rPr>
          <w:sz w:val="28"/>
          <w:rFonts w:ascii="Times New Roman" w:hAnsi="Times New Roman" w:cs="Times New Roman" w:hint="eastAsia"/>
        </w:rPr>
      </w:pPr>
      <w:r>
        <w:rPr>
          <w:sz w:val="36"/>
          <w:rFonts w:ascii="Times New Roman" w:hAnsi="Times New Roman" w:cs="Times New Roman" w:hint="eastAsia"/>
        </w:rPr>
        <w:t>7. Deloitte. (2023). Global FMCG benchmarking report 2023.  https://www2.deloitte.com/global/en.html</w:t>
      </w:r>
    </w:p>
    <w:p>
      <w:pPr>
        <w:snapToGrid w:val="0"/>
        <w:rPr>
          <w:sz w:val="28"/>
          <w:rFonts w:ascii="Times New Roman" w:hAnsi="Times New Roman" w:cs="Times New Roman" w:hint="eastAsia"/>
        </w:rPr>
      </w:pPr>
      <w:r>
        <w:rPr>
          <w:sz w:val="36"/>
          <w:rFonts w:ascii="Times New Roman" w:hAnsi="Times New Roman" w:cs="Times New Roman" w:hint="eastAsia"/>
        </w:rPr>
        <w:t>8. Financial Times. (2023, January 10). Oatly’s struggle to scale challenges plant-based startups.  https://www.ft.com/content/oatly-scaling</w:t>
      </w:r>
    </w:p>
    <w:p>
      <w:pPr>
        <w:snapToGrid w:val="0"/>
        <w:rPr>
          <w:sz w:val="28"/>
          <w:rFonts w:ascii="Times New Roman" w:hAnsi="Times New Roman" w:cs="Times New Roman" w:hint="eastAsia"/>
        </w:rPr>
      </w:pPr>
    </w:p>
    <w:p>
      <w:pPr>
        <w:snapToGrid w:val="0"/>
        <w:rPr>
          <w:sz w:val="28"/>
          <w:rFonts w:ascii="Times New Roman" w:hAnsi="Times New Roman" w:cs="Times New Roman" w:hint="eastAsia"/>
        </w:rPr>
      </w:pPr>
      <w:r>
        <w:rPr>
          <w:sz w:val="36"/>
          <w:rFonts w:ascii="Times New Roman" w:hAnsi="Times New Roman" w:cs="Times New Roman" w:hint="eastAsia"/>
        </w:rPr>
        <w:t>9. Wall Street Journal. (2022, November 8). Retailer power in FMCG: Walmart’s influence on Nestlé.  https://www.wsj.com/articles</w:t>
      </w:r>
    </w:p>
    <w:p>
      <w:pPr>
        <w:snapToGrid w:val="0"/>
        <w:rPr>
          <w:sz w:val="28"/>
          <w:rFonts w:ascii="Times New Roman" w:hAnsi="Times New Roman" w:cs="Times New Roman" w:hint="eastAsia"/>
        </w:rPr>
      </w:pPr>
      <w:r>
        <w:rPr>
          <w:sz w:val="36"/>
          <w:rFonts w:ascii="Times New Roman" w:hAnsi="Times New Roman" w:cs="Times New Roman" w:hint="eastAsia"/>
        </w:rPr>
        <w:t>10. Nestlé. (2023). Global manufacturing and logistics network.  https://www.nestle.com/aboutus/operations</w:t>
      </w:r>
    </w:p>
    <w:p>
      <w:pPr>
        <w:snapToGrid w:val="0"/>
        <w:rPr>
          <w:sz w:val="28"/>
          <w:rFonts w:ascii="Times New Roman" w:hAnsi="Times New Roman" w:cs="Times New Roman" w:hint="eastAsia"/>
        </w:rPr>
      </w:pPr>
      <w:r>
        <w:rPr>
          <w:sz w:val="36"/>
          <w:rFonts w:ascii="Times New Roman" w:hAnsi="Times New Roman" w:cs="Times New Roman" w:hint="eastAsia"/>
        </w:rPr>
        <w:t>11. WIPO. (2023). Nestlé patents in food technology 2000-2023.  https://patentscope.wipo.int</w:t>
      </w:r>
    </w:p>
    <w:p>
      <w:pPr>
        <w:snapToGrid w:val="0"/>
        <w:rPr>
          <w:sz w:val="28"/>
          <w:rFonts w:ascii="Times New Roman" w:hAnsi="Times New Roman" w:cs="Times New Roman" w:hint="eastAsia"/>
        </w:rPr>
      </w:pPr>
      <w:r>
        <w:rPr>
          <w:sz w:val="36"/>
          <w:rFonts w:ascii="Times New Roman" w:hAnsi="Times New Roman" w:cs="Times New Roman" w:hint="eastAsia"/>
        </w:rPr>
        <w:t>12. Brand Finance. (2023). Global 500 most valuable brands 2023.  https://brandfinance.com/rankings</w:t>
      </w:r>
    </w:p>
    <w:p>
      <w:pPr>
        <w:snapToGrid w:val="0"/>
        <w:rPr>
          <w:sz w:val="28"/>
          <w:rFonts w:ascii="Times New Roman" w:hAnsi="Times New Roman" w:cs="Times New Roman" w:hint="eastAsia"/>
        </w:rPr>
      </w:pPr>
      <w:r>
        <w:rPr>
          <w:sz w:val="36"/>
          <w:rFonts w:ascii="Times New Roman" w:hAnsi="Times New Roman" w:cs="Times New Roman" w:hint="eastAsia"/>
        </w:rPr>
        <w:t>13. Harvard Business Review. (2022). Cross-cultural leadership at Nestlé. HBR, 100(5), 56-63.</w:t>
      </w:r>
    </w:p>
    <w:p>
      <w:pPr>
        <w:snapToGrid w:val="0"/>
        <w:rPr>
          <w:sz w:val="28"/>
          <w:rFonts w:ascii="Times New Roman" w:hAnsi="Times New Roman" w:cs="Times New Roman" w:hint="eastAsia"/>
        </w:rPr>
      </w:pPr>
      <w:r>
        <w:rPr>
          <w:sz w:val="36"/>
          <w:rFonts w:ascii="Times New Roman" w:hAnsi="Times New Roman" w:cs="Times New Roman" w:hint="eastAsia"/>
        </w:rPr>
        <w:t>14. Nestlé. (2022). Accelerating product innovation: R&amp;D pipeline update.  https://www.nestle.com/innovation</w:t>
      </w:r>
    </w:p>
    <w:p>
      <w:pPr>
        <w:snapToGrid w:val="0"/>
        <w:rPr>
          <w:sz w:val="28"/>
          <w:rFonts w:ascii="Times New Roman" w:hAnsi="Times New Roman" w:cs="Times New Roman" w:hint="eastAsia"/>
        </w:rPr>
      </w:pPr>
      <w:r>
        <w:rPr>
          <w:sz w:val="36"/>
          <w:rFonts w:ascii="Times New Roman" w:hAnsi="Times New Roman" w:cs="Times New Roman" w:hint="eastAsia"/>
        </w:rPr>
        <w:t>15. BCG. (2023). Industry 4.0 in food manufacturing: Nestlé Germany. BCG Report.</w:t>
      </w:r>
    </w:p>
    <w:p>
      <w:pPr>
        <w:snapToGrid w:val="0"/>
        <w:rPr>
          <w:sz w:val="28"/>
          <w:rFonts w:ascii="Times New Roman" w:hAnsi="Times New Roman" w:cs="Times New Roman" w:hint="eastAsia"/>
        </w:rPr>
      </w:pPr>
      <w:r>
        <w:rPr>
          <w:sz w:val="36"/>
          <w:rFonts w:ascii="Times New Roman" w:hAnsi="Times New Roman" w:cs="Times New Roman" w:hint="eastAsia"/>
        </w:rPr>
        <w:t>16. Forbes. (2023, May 12). Nespresso’s loyalty program drives premium growth.  https://www.forbes.com/sites/retail</w:t>
      </w:r>
    </w:p>
    <w:p>
      <w:pPr>
        <w:snapToGrid w:val="0"/>
        <w:rPr>
          <w:sz w:val="28"/>
          <w:rFonts w:ascii="Times New Roman" w:hAnsi="Times New Roman" w:cs="Times New Roman" w:hint="eastAsia"/>
        </w:rPr>
      </w:pPr>
      <w:r>
        <w:rPr>
          <w:sz w:val="36"/>
          <w:rFonts w:ascii="Times New Roman" w:hAnsi="Times New Roman" w:cs="Times New Roman" w:hint="eastAsia"/>
        </w:rPr>
        <w:t>17. Porter, M. E. (2008). Competitive strategy: Techniques for analyzing industries and competitors. Free Press.</w:t>
      </w:r>
    </w:p>
    <w:p>
      <w:pPr>
        <w:snapToGrid w:val="0"/>
        <w:rPr>
          <w:sz w:val="28"/>
          <w:rFonts w:ascii="Times New Roman" w:hAnsi="Times New Roman" w:cs="Times New Roman" w:hint="eastAsia"/>
        </w:rPr>
      </w:pPr>
      <w:r>
        <w:rPr>
          <w:sz w:val="36"/>
          <w:rFonts w:ascii="Times New Roman" w:hAnsi="Times New Roman" w:cs="Times New Roman" w:hint="eastAsia"/>
        </w:rPr>
        <w:t>18. Nestlé USA. (2023). Coffee subscription growth in North America.  https://www.nestleusa.com/newsroom</w:t>
      </w:r>
    </w:p>
    <w:p>
      <w:pPr>
        <w:snapToGrid w:val="0"/>
        <w:rPr>
          <w:sz w:val="28"/>
          <w:rFonts w:ascii="Times New Roman" w:hAnsi="Times New Roman" w:cs="Times New Roman" w:hint="eastAsia"/>
        </w:rPr>
      </w:pPr>
      <w:r>
        <w:rPr>
          <w:sz w:val="36"/>
          <w:rFonts w:ascii="Times New Roman" w:hAnsi="Times New Roman" w:cs="Times New Roman" w:hint="eastAsia"/>
        </w:rPr>
        <w:t>19. Food Navigator. (2024, January 15). Nestlé to launch probiotic adult milk powder.  https://www.foodnavigator.com</w:t>
      </w:r>
    </w:p>
    <w:p>
      <w:pPr>
        <w:snapToGrid w:val="0"/>
        <w:rPr>
          <w:sz w:val="28"/>
          <w:rFonts w:ascii="Times New Roman" w:hAnsi="Times New Roman" w:cs="Times New Roman" w:hint="eastAsia"/>
        </w:rPr>
      </w:pPr>
      <w:r>
        <w:rPr>
          <w:sz w:val="36"/>
          <w:rFonts w:ascii="Times New Roman" w:hAnsi="Times New Roman" w:cs="Times New Roman" w:hint="eastAsia"/>
        </w:rPr>
        <w:t>20. M&amp;A Journal. (2018). Nestlé’s acquisition of Atrium Innovations: Strategic rationale. M&amp;A Journal, 22(1), 45-50.</w:t>
      </w:r>
    </w:p>
    <w:p>
      <w:pPr>
        <w:snapToGrid w:val="0"/>
        <w:rPr>
          <w:sz w:val="28"/>
          <w:rFonts w:ascii="Times New Roman" w:hAnsi="Times New Roman" w:cs="Times New Roman" w:hint="eastAsia"/>
        </w:rPr>
      </w:pPr>
      <w:r>
        <w:rPr>
          <w:sz w:val="36"/>
          <w:rFonts w:ascii="Times New Roman" w:hAnsi="Times New Roman" w:cs="Times New Roman" w:hint="eastAsia"/>
        </w:rPr>
        <w:t>21. CDP. (2023). Nestlé’s progress on regenerative agriculture.  https://www.cdp.net/en/scores</w:t>
      </w:r>
    </w:p>
    <w:p>
      <w:pPr>
        <w:snapToGrid w:val="0"/>
        <w:rPr>
          <w:sz w:val="28"/>
          <w:rFonts w:ascii="Times New Roman" w:hAnsi="Times New Roman" w:cs="Times New Roman" w:hint="eastAsia"/>
        </w:rPr>
      </w:pPr>
      <w:r>
        <w:rPr>
          <w:sz w:val="36"/>
          <w:rFonts w:ascii="Times New Roman" w:hAnsi="Times New Roman" w:cs="Times New Roman" w:hint="eastAsia"/>
        </w:rPr>
        <w:t>22. Carbon Trust. (2023). Scope 3 emissions in FMCG logistics.  https://www.carbontrust.com/resources</w:t>
      </w:r>
    </w:p>
    <w:p>
      <w:pPr>
        <w:snapToGrid w:val="0"/>
        <w:rPr>
          <w:sz w:val="28"/>
          <w:rFonts w:ascii="Times New Roman" w:hAnsi="Times New Roman" w:cs="Times New Roman" w:hint="eastAsia"/>
        </w:rPr>
      </w:pPr>
      <w:r>
        <w:rPr>
          <w:sz w:val="36"/>
          <w:rFonts w:ascii="Times New Roman" w:hAnsi="Times New Roman" w:cs="Times New Roman" w:hint="eastAsia"/>
        </w:rPr>
        <w:t>23. Unilever. (2022). Indonesia packaging recycling initiative: Lessons learned.  https://www.unilever.com/sustainability</w:t>
      </w:r>
    </w:p>
    <w:p>
      <w:pPr>
        <w:snapToGrid w:val="0"/>
        <w:rPr>
          <w:sz w:val="36"/>
          <w:rFonts w:ascii="Times New Roman" w:hAnsi="Times New Roman" w:cs="Times New Roman" w:hint="eastAsia"/>
        </w:rPr>
      </w:pPr>
      <w:r>
        <w:rPr>
          <w:sz w:val="36"/>
          <w:rFonts w:ascii="Times New Roman" w:hAnsi="Times New Roman" w:cs="Times New Roman" w:hint="eastAsia"/>
        </w:rPr>
        <w:t>24. FAO. (2022). Sustainable dairy value chains in Africa. FAO Animal Production and Health Paper No. 22.</w:t>
      </w:r>
    </w:p>
    <w:sectPr>
      <w:docGrid w:type="lines" w:linePitch="312" w:charSpace="0"/>
      <w:pgSz w:w="11900" w:h="16840"/>
      <w:pgMar w:top="1440" w:right="1800" w:bottom="1440" w:left="1800" w:header="851" w:footer="992" w:gutter="0"/>
      <w:cols w:space="425" w:num="1"/>
    </w:sectPr>
  </w:body>
</w:document>
</file>

<file path=word/fontTable.xml><?xml version="1.0" encoding="utf-8"?>
<w:fonts xmlns:w="http://schemas.openxmlformats.org/wordprocessingml/2006/main" xmlns:w14="http://schemas.microsoft.com/office/word/2010/wordml" xmlns:r="http://schemas.openxmlformats.org/officeDocument/2006/relationships" xmlns:mc="http://schemas.openxmlformats.org/markup-compatibility/2006"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西文正">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西文">
    <w:altName w:val="Segoe Print"/>
    <w:panose1 w:val="00000000000000000000"/>
    <w:charset w:val="00"/>
    <w:family w:val="auto"/>
    <w:pitch w:val="default"/>
    <w:sig w:usb0="00000000" w:usb1="00000000" w:usb2="00000000" w:usb3="00000000" w:csb0="00000000" w:csb1="00000000"/>
  </w:font>
  <w:font w:name="+西">
    <w:altName w:val="Segoe Print"/>
    <w:panose1 w:val="00000000000000000000"/>
    <w:charset w:val="00"/>
    <w:family w:val="auto"/>
    <w:pitch w:val="default"/>
    <w:sig w:usb0="00000000" w:usb1="00000000" w:usb2="00000000" w:usb3="00000000" w:csb0="00000000" w:csb1="00000000"/>
  </w:font>
  <w:font w:name="+">
    <w:altName w:val="Segoe Print"/>
    <w:panose1 w:val="00000000000000000000"/>
    <w:charset w:val="00"/>
    <w:family w:val="auto"/>
    <w:pitch w:val="default"/>
    <w:sig w:usb0="00000000" w:usb1="00000000" w:usb2="00000000" w:usb3="00000000" w:csb0="00000000" w:csb1="00000000"/>
  </w:font>
  <w:font w:name="t">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Ti">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 w:name="Time">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s="http://schemas.microsoft.com/office/word/2010/wordprocessingShape" xmlns:wne="http://schemas.microsoft.com/office/word/2006/wordml" xmlns:wpg="http://schemas.microsoft.com/office/word/2010/wordprocessingGroup" xmlns:w15="http://schemas.microsoft.com/office/word/2012/wordml" xmlns:w14="http://schemas.microsoft.com/office/word/2010/wordml" xmlns:wpi="http://schemas.microsoft.com/office/word/2010/wordprocessingInk" xmlns:w10="urn:schemas-microsoft-com:office:word" xmlns:wp="http://schemas.openxmlformats.org/drawingml/2006/wordprocessingDrawing" xmlns:wp14="http://schemas.microsoft.com/office/word/2010/wordprocessingDrawing" xmlns:v="urn:schemas-microsoft-com:vml" xmlns:r="http://schemas.openxmlformats.org/officeDocument/2006/relationships" xmlns:m="http://schemas.openxmlformats.org/officeDocument/2006/math" xmlns:wpsCustomData="http://www.wps.cn/officeDocument/2013/wpsCustomData" xmlns:w="http://schemas.openxmlformats.org/wordprocessingml/2006/main" xmlns:o="urn:schemas-microsoft-com:office:office" xmlns:mc="http://schemas.openxmlformats.org/markup-compatibility/2006" xmlns:wpc="http://schemas.microsoft.com/office/word/2010/wordprocessingCanvas"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AlternateContent>
    </w:r>
  </w:p>
</w:ftr>
</file>

<file path=word/settings.xml><?xml version="1.0" encoding="utf-8"?>
<w:settings xmlns:w14="http://schemas.microsoft.com/office/word/2010/wordml" xmlns:wpsCustomData="http://www.wps.cn/officeDocument/2013/wpsCustomData" xmlns:w10="urn:schemas-microsoft-com:office:word" xmlns:r="http://schemas.openxmlformats.org/officeDocument/2006/relationships" xmlns:sl="http://schemas.openxmlformats.org/schemaLibrary/2006/main" xmlns:v="urn:schemas-microsoft-com:vml" xmlns:m="http://schemas.openxmlformats.org/officeDocument/2006/math" xmlns:w="http://schemas.openxmlformats.org/wordprocessingml/2006/main" xmlns:o="urn:schemas-microsoft-com:office:office" xmlns:mc="http://schemas.openxmlformats.org/markup-compatibility/2006" mc:Ignorable="w14">
  <w:bordersDoNotSurroundHeader/>
  <w:bordersDoNotSurroundFooter/>
  <w:defaultTabStop w:val="420"/>
  <w:drawingGridVerticalSpacing w:val="156"/>
  <w:displayHorizontalDrawingGridEvery w:val="0"/>
  <w:displayVerticalDrawingGridEvery w:val="2"/>
  <w:characterSpacingControl w:val="compressPunctuation"/>
  <w:zoom w:percent="100"/>
  <w:compat>
    <w:spaceForUL/>
    <w:balanceSingleByteDoubleByteWidth/>
    <w:doNotLeaveBackslashAlone/>
    <w:ulTrailSpace/>
    <w:doNotExpandShiftReturn/>
    <w:adjustLineHeightInTable/>
    <w:useFELayout/>
    <w:compatSetting w:val="15" w:uri="http://schemas.microsoft.com/office/word" w:name="compatibilityMode"/>
    <w:compatSetting w:val="1" w:uri="http://schemas.microsoft.com/office/word" w:name="overrideTableStyleFontSizeAndJustification"/>
    <w:compatSetting w:val="1" w:uri="http://schemas.microsoft.com/office/word" w:name="enableOpenTypeFeatures"/>
    <w:compatSetting w:val="1" w:uri="http://schemas.microsoft.com/office/word" w:name="doNotFlipMirrorIndents"/>
    <w:compatSetting w:val="1" w:uri="http://schemas.microsoft.com/office/word" w:name="differentiateMultirowTableHeaders"/>
  </w:compat>
  <w:rsids>
    <w:rsidRoot w:val="00702569"/>
    <w:rsid w:val="000E1712"/>
    <w:rsid w:val="0028768E"/>
    <w:rsid w:val="005533ED"/>
    <w:rsid w:val="00702569"/>
    <w:rsid w:val="0089293C"/>
    <w:rsid w:val="00B176CB"/>
    <w:rsid w:val="00F54202"/>
    <w:rsid w:val="180E2453"/>
  </w:rsids>
  <m:mathPr>
    <m:mathFont val="Cambria Math"/>
    <m:brkBin val="before"/>
    <m:brkBinSub val="--"/>
    <m:smallFrac val="0"/>
    <m:dispDef/>
    <m:lMargin val="0"/>
    <m:rMargin val="0"/>
    <m:defJc val="centerGroup"/>
    <m:wrapIndent val="1440"/>
    <m:intLim val="subSup"/>
    <m:naryLim val="undOvr"/>
  </m:mathPr>
  <w:themeFontLang w:eastAsia="zh-CN" w:val="en-US"/>
  <w:clrSchemeMapping w:bg1="lt1" w:t1="dark1" w:bg2="lt2" w:t2="dark2" w:accent1="accent1" w:accent2="accent2" w:accent3="accent3" w:accent4="accent4" w:accent5="accent5" w:accent6="accent6" w:hyperlink="hyperlink" w:followedHyperlink="followedHyperlink" tx1="dk1" tx2="dk2"/>
  <w:decimalSymbol/>
  <w:listSeparator/>
</w:settings>
</file>

<file path=word/styles.xml><?xml version="1.0" encoding="utf-8"?>
<w:styles xmlns:wpsCustomData="http://www.wps.cn/officeDocument/2013/wpsCustomData" xmlns:w10="urn:schemas-microsoft-com:office:word" xmlns:w14="http://schemas.microsoft.com/office/word/2010/wordml" xmlns:r="http://schemas.openxmlformats.org/officeDocument/2006/relationships" xmlns:sl="http://schemas.openxmlformats.org/schemaLibrary/2006/main" xmlns:v="urn:schemas-microsoft-com:vml" xmlns:m="http://schemas.openxmlformats.org/officeDocument/2006/math" xmlns:w="http://schemas.openxmlformats.org/wordprocessingml/2006/main" xmlns:o="urn:schemas-microsoft-com:office:office" xmlns:mc="http://schemas.openxmlformats.org/markup-compatibility/2006" mc:Ignorable="w14">
  <w:docDefaults>
    <w:rPrDefault>
      <w:rPr>
        <w:rFonts w:asciiTheme="minorHAnsi" w:hAnsiTheme="minorHAnsi" w:eastAsiaTheme="minorEastAsia" w:cstheme="minorBidi"/>
      </w:rPr>
    </w:rPrDefault>
    <w:pPrDefault/>
  </w:docDefaults>
  <w:latentStyles w:defLockedState="0" w:defSemiHidden="1" w:defUnhideWhenUsed="1" w:defQFormat="0" w:defUIPriority="99" w:count="260">
    <w:lsdException w:name="Balloon Text"/>
    <w:lsdException w:name="Block Text"/>
    <w:lsdException w:name="Body Text"/>
    <w:lsdException w:name="Body Text 2"/>
    <w:lsdException w:name="Body Text 3"/>
    <w:lsdException w:name="Body Text First Indent"/>
    <w:lsdException w:name="Body Text First Indent 2"/>
    <w:lsdException w:name="Body Text Indent"/>
    <w:lsdException w:name="Body Text Indent 2"/>
    <w:lsdException w:name="Body Text Indent 3"/>
    <w:lsdException w:name="Closing"/>
    <w:lsdException w:name="Colorful Grid" w:semiHidden="0" w:unhideWhenUsed="0"/>
    <w:lsdException w:name="Colorful Grid Accent 1" w:semiHidden="0" w:unhideWhenUsed="0"/>
    <w:lsdException w:name="Colorful Grid Accent 2" w:semiHidden="0" w:unhideWhenUsed="0"/>
    <w:lsdException w:name="Colorful Grid Accent 3" w:semiHidden="0" w:unhideWhenUsed="0"/>
    <w:lsdException w:name="Colorful Grid Accent 4" w:semiHidden="0" w:unhideWhenUsed="0"/>
    <w:lsdException w:name="Colorful Grid Accent 5" w:semiHidden="0" w:unhideWhenUsed="0"/>
    <w:lsdException w:name="Colorful Grid Accent 6" w:semiHidden="0" w:unhideWhenUsed="0"/>
    <w:lsdException w:name="Colorful List" w:semiHidden="0" w:unhideWhenUsed="0"/>
    <w:lsdException w:name="Colorful List Accent 1" w:semiHidden="0" w:unhideWhenUsed="0"/>
    <w:lsdException w:name="Colorful List Accent 2" w:semiHidden="0" w:unhideWhenUsed="0"/>
    <w:lsdException w:name="Colorful List Accent 3" w:semiHidden="0" w:unhideWhenUsed="0"/>
    <w:lsdException w:name="Colorful List Accent 4" w:semiHidden="0" w:unhideWhenUsed="0"/>
    <w:lsdException w:name="Colorful List Accent 5" w:semiHidden="0" w:unhideWhenUsed="0"/>
    <w:lsdException w:name="Colorful List Accent 6" w:semiHidden="0" w:unhideWhenUsed="0"/>
    <w:lsdException w:name="Colorful Shading" w:semiHidden="0" w:unhideWhenUsed="0"/>
    <w:lsdException w:name="Colorful Shading Accent 1" w:semiHidden="0" w:unhideWhenUsed="0"/>
    <w:lsdException w:name="Colorful Shading Accent 2" w:semiHidden="0" w:unhideWhenUsed="0"/>
    <w:lsdException w:name="Colorful Shading Accent 3" w:semiHidden="0" w:unhideWhenUsed="0"/>
    <w:lsdException w:name="Colorful Shading Accent 4" w:semiHidden="0" w:unhideWhenUsed="0"/>
    <w:lsdException w:name="Colorful Shading Accent 5" w:semiHidden="0" w:unhideWhenUsed="0"/>
    <w:lsdException w:name="Colorful Shading Accent 6" w:semiHidden="0" w:unhideWhenUsed="0"/>
    <w:lsdException w:name="Dark List" w:semiHidden="0" w:unhideWhenUsed="0"/>
    <w:lsdException w:name="Dark List Accent 1" w:semiHidden="0" w:unhideWhenUsed="0"/>
    <w:lsdException w:name="Dark List Accent 2" w:semiHidden="0" w:unhideWhenUsed="0"/>
    <w:lsdException w:name="Dark List Accent 3" w:semiHidden="0" w:unhideWhenUsed="0"/>
    <w:lsdException w:name="Dark List Accent 4" w:semiHidden="0" w:unhideWhenUsed="0"/>
    <w:lsdException w:name="Dark List Accent 5" w:semiHidden="0" w:unhideWhenUsed="0"/>
    <w:lsdException w:name="Dark List Accent 6" w:semiHidden="0" w:unhideWhenUsed="0"/>
    <w:lsdException w:name="Date"/>
    <w:lsdException w:name="Default Paragraph Font"/>
    <w:lsdException w:name="Document Map"/>
    <w:lsdException w:name="E-mail Signature"/>
    <w:lsdException w:name="Emphasis" w:semiHidden="0" w:unhideWhenUsed="0"/>
    <w:lsdException w:name="FollowedHyperlink"/>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Hyperlink"/>
    <w:lsdException w:name="Light Grid" w:semiHidden="0" w:unhideWhenUsed="0"/>
    <w:lsdException w:name="Light Grid Accent 1" w:semiHidden="0" w:unhideWhenUsed="0"/>
    <w:lsdException w:name="Light Grid Accent 2" w:semiHidden="0" w:unhideWhenUsed="0"/>
    <w:lsdException w:name="Light Grid Accent 3" w:semiHidden="0" w:unhideWhenUsed="0"/>
    <w:lsdException w:name="Light Grid Accent 4" w:semiHidden="0" w:unhideWhenUsed="0"/>
    <w:lsdException w:name="Light Grid Accent 5" w:semiHidden="0" w:unhideWhenUsed="0"/>
    <w:lsdException w:name="Light Grid Accent 6" w:semiHidden="0" w:unhideWhenUsed="0"/>
    <w:lsdException w:name="Light List" w:semiHidden="0" w:unhideWhenUsed="0"/>
    <w:lsdException w:name="Light List Accent 1" w:semiHidden="0" w:unhideWhenUsed="0"/>
    <w:lsdException w:name="Light List Accent 2" w:semiHidden="0" w:unhideWhenUsed="0"/>
    <w:lsdException w:name="Light List Accent 3" w:semiHidden="0" w:unhideWhenUsed="0"/>
    <w:lsdException w:name="Light List Accent 4" w:semiHidden="0" w:unhideWhenUsed="0"/>
    <w:lsdException w:name="Light List Accent 5" w:semiHidden="0" w:unhideWhenUsed="0"/>
    <w:lsdException w:name="Light List Accent 6" w:semiHidden="0" w:unhideWhenUsed="0"/>
    <w:lsdException w:name="Light Shading" w:semiHidden="0" w:unhideWhenUsed="0"/>
    <w:lsdException w:name="Light Shading Accent 1" w:semiHidden="0" w:unhideWhenUsed="0"/>
    <w:lsdException w:name="Light Shading Accent 2" w:semiHidden="0" w:unhideWhenUsed="0"/>
    <w:lsdException w:name="Light Shading Accent 3" w:semiHidden="0" w:unhideWhenUsed="0"/>
    <w:lsdException w:name="Light Shading Accent 4" w:semiHidden="0" w:unhideWhenUsed="0"/>
    <w:lsdException w:name="Light Shading Accent 5" w:semiHidden="0" w:unhideWhenUsed="0"/>
    <w:lsdException w:name="Light Shading Accent 6" w:semiHidden="0" w:unhideWhenUsed="0"/>
    <w:lsdException w:name="List"/>
    <w:lsdException w:name="List 2"/>
    <w:lsdException w:name="List 3"/>
    <w:lsdException w:name="List 4"/>
    <w:lsdException w:name="List 5"/>
    <w:lsdException w:name="List Bullet"/>
    <w:lsdException w:name="List Bullet 2"/>
    <w:lsdException w:name="List Bullet 3"/>
    <w:lsdException w:name="List Bullet 4"/>
    <w:lsdException w:name="List Bullet 5"/>
    <w:lsdException w:name="List Continue"/>
    <w:lsdException w:name="List Continue 2"/>
    <w:lsdException w:name="List Continue 3"/>
    <w:lsdException w:name="List Continue 4"/>
    <w:lsdException w:name="List Continue 5"/>
    <w:lsdException w:name="List Number"/>
    <w:lsdException w:name="List Number 2"/>
    <w:lsdException w:name="List Number 3"/>
    <w:lsdException w:name="List Number 4"/>
    <w:lsdException w:name="List Number 5"/>
    <w:lsdException w:name="Medium Grid 1" w:semiHidden="0" w:unhideWhenUsed="0"/>
    <w:lsdException w:name="Medium Grid 1 Accent 1" w:semiHidden="0" w:unhideWhenUsed="0"/>
    <w:lsdException w:name="Medium Grid 1 Accent 2" w:semiHidden="0" w:unhideWhenUsed="0"/>
    <w:lsdException w:name="Medium Grid 1 Accent 3" w:semiHidden="0" w:unhideWhenUsed="0"/>
    <w:lsdException w:name="Medium Grid 1 Accent 4" w:semiHidden="0" w:unhideWhenUsed="0"/>
    <w:lsdException w:name="Medium Grid 1 Accent 5" w:semiHidden="0" w:unhideWhenUsed="0"/>
    <w:lsdException w:name="Medium Grid 1 Accent 6" w:semiHidden="0" w:unhideWhenUsed="0"/>
    <w:lsdException w:name="Medium Grid 2" w:semiHidden="0" w:unhideWhenUsed="0"/>
    <w:lsdException w:name="Medium Grid 2 Accent 1" w:semiHidden="0" w:unhideWhenUsed="0"/>
    <w:lsdException w:name="Medium Grid 2 Accent 2" w:semiHidden="0" w:unhideWhenUsed="0"/>
    <w:lsdException w:name="Medium Grid 2 Accent 3" w:semiHidden="0" w:unhideWhenUsed="0"/>
    <w:lsdException w:name="Medium Grid 2 Accent 4" w:semiHidden="0" w:unhideWhenUsed="0"/>
    <w:lsdException w:name="Medium Grid 2 Accent 5" w:semiHidden="0" w:unhideWhenUsed="0"/>
    <w:lsdException w:name="Medium Grid 2 Accent 6" w:semiHidden="0" w:unhideWhenUsed="0"/>
    <w:lsdException w:name="Medium Grid 3" w:semiHidden="0" w:unhideWhenUsed="0"/>
    <w:lsdException w:name="Medium Grid 3 Accent 1" w:semiHidden="0" w:unhideWhenUsed="0"/>
    <w:lsdException w:name="Medium Grid 3 Accent 2" w:semiHidden="0" w:unhideWhenUsed="0"/>
    <w:lsdException w:name="Medium Grid 3 Accent 3" w:semiHidden="0" w:unhideWhenUsed="0"/>
    <w:lsdException w:name="Medium Grid 3 Accent 4" w:semiHidden="0" w:unhideWhenUsed="0"/>
    <w:lsdException w:name="Medium Grid 3 Accent 5" w:semiHidden="0" w:unhideWhenUsed="0"/>
    <w:lsdException w:name="Medium Grid 3 Accent 6" w:semiHidden="0" w:unhideWhenUsed="0"/>
    <w:lsdException w:name="Medium List 1" w:semiHidden="0" w:unhideWhenUsed="0"/>
    <w:lsdException w:name="Medium List 1 Accent 1" w:semiHidden="0" w:unhideWhenUsed="0"/>
    <w:lsdException w:name="Medium List 1 Accent 2" w:semiHidden="0" w:unhideWhenUsed="0"/>
    <w:lsdException w:name="Medium List 1 Accent 3" w:semiHidden="0" w:unhideWhenUsed="0"/>
    <w:lsdException w:name="Medium List 1 Accent 4" w:semiHidden="0" w:unhideWhenUsed="0"/>
    <w:lsdException w:name="Medium List 1 Accent 5" w:semiHidden="0" w:unhideWhenUsed="0"/>
    <w:lsdException w:name="Medium List 1 Accent 6" w:semiHidden="0" w:unhideWhenUsed="0"/>
    <w:lsdException w:name="Medium List 2" w:semiHidden="0" w:unhideWhenUsed="0"/>
    <w:lsdException w:name="Medium List 2 Accent 1" w:semiHidden="0" w:unhideWhenUsed="0"/>
    <w:lsdException w:name="Medium List 2 Accent 2" w:semiHidden="0" w:unhideWhenUsed="0"/>
    <w:lsdException w:name="Medium List 2 Accent 3" w:semiHidden="0" w:unhideWhenUsed="0"/>
    <w:lsdException w:name="Medium List 2 Accent 4" w:semiHidden="0" w:unhideWhenUsed="0"/>
    <w:lsdException w:name="Medium List 2 Accent 5" w:semiHidden="0" w:unhideWhenUsed="0"/>
    <w:lsdException w:name="Medium List 2 Accent 6" w:semiHidden="0" w:unhideWhenUsed="0"/>
    <w:lsdException w:name="Medium Shading 1" w:semiHidden="0" w:unhideWhenUsed="0"/>
    <w:lsdException w:name="Medium Shading 1 Accent 1" w:semiHidden="0" w:unhideWhenUsed="0"/>
    <w:lsdException w:name="Medium Shading 1 Accent 2" w:semiHidden="0" w:unhideWhenUsed="0"/>
    <w:lsdException w:name="Medium Shading 1 Accent 3" w:semiHidden="0" w:unhideWhenUsed="0"/>
    <w:lsdException w:name="Medium Shading 1 Accent 4" w:semiHidden="0" w:unhideWhenUsed="0"/>
    <w:lsdException w:name="Medium Shading 1 Accent 5" w:semiHidden="0" w:unhideWhenUsed="0"/>
    <w:lsdException w:name="Medium Shading 1 Accent 6" w:semiHidden="0" w:unhideWhenUsed="0"/>
    <w:lsdException w:name="Medium Shading 2" w:semiHidden="0" w:unhideWhenUsed="0"/>
    <w:lsdException w:name="Medium Shading 2 Accent 1" w:semiHidden="0" w:unhideWhenUsed="0"/>
    <w:lsdException w:name="Medium Shading 2 Accent 2" w:semiHidden="0" w:unhideWhenUsed="0"/>
    <w:lsdException w:name="Medium Shading 2 Accent 3" w:semiHidden="0" w:unhideWhenUsed="0"/>
    <w:lsdException w:name="Medium Shading 2 Accent 4" w:semiHidden="0" w:unhideWhenUsed="0"/>
    <w:lsdException w:name="Medium Shading 2 Accent 5" w:semiHidden="0" w:unhideWhenUsed="0"/>
    <w:lsdException w:name="Medium Shading 2 Accent 6" w:semiHidden="0" w:unhideWhenUsed="0"/>
    <w:lsdException w:name="Message Header"/>
    <w:lsdException w:name="Normal" w:semiHidden="0" w:unhideWhenUsed="0"/>
    <w:lsdException w:name="Normal (Web)"/>
    <w:lsdException w:name="Normal Indent"/>
    <w:lsdException w:name="Normal Table"/>
    <w:lsdException w:name="Note Heading"/>
    <w:lsdException w:name="Plain Text"/>
    <w:lsdException w:name="Salutation"/>
    <w:lsdException w:name="Signature"/>
    <w:lsdException w:name="Strong" w:semiHidden="0" w:unhideWhenUsed="0"/>
    <w:lsdException w:name="Subtitle" w:semiHidden="0" w:unhideWhenUsed="0"/>
    <w:lsdException w:name="Table 3D effects 1"/>
    <w:lsdException w:name="Table 3D effects 2"/>
    <w:lsdException w:name="Table 3D effects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Contemporary"/>
    <w:lsdException w:name="Table Elegant"/>
    <w:lsdException w:name="Table Grid" w:semiHidden="0" w:unhideWhenUsed="0"/>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Professional"/>
    <w:lsdException w:name="Table Simple 1"/>
    <w:lsdException w:name="Table Simple 2"/>
    <w:lsdException w:name="Table Simple 3"/>
    <w:lsdException w:name="Table Subtle 1"/>
    <w:lsdException w:name="Table Subtle 2"/>
    <w:lsdException w:name="Table Theme"/>
    <w:lsdException w:name="Table Web 1"/>
    <w:lsdException w:name="Table Web 2"/>
    <w:lsdException w:name="Table Web 3"/>
    <w:lsdException w:name="Title" w:semiHidden="0" w:unhideWhenUsed="0"/>
    <w:lsdException w:name="annotation reference"/>
    <w:lsdException w:name="annotation subject"/>
    <w:lsdException w:name="annotation text"/>
    <w:lsdException w:name="caption"/>
    <w:lsdException w:name="endnote reference"/>
    <w:lsdException w:name="endnote text"/>
    <w:lsdException w:name="envelope address"/>
    <w:lsdException w:name="envelope return"/>
    <w:lsdException w:name="footer"/>
    <w:lsdException w:name="footnote reference"/>
    <w:lsdException w:name="footnote text"/>
    <w:lsdException w:name="header"/>
    <w:lsdException w:name="heading 1" w:semiHidden="0" w:unhideWhenUsed="0"/>
    <w:lsdException w:name="heading 2"/>
    <w:lsdException w:name="heading 3"/>
    <w:lsdException w:name="heading 4"/>
    <w:lsdException w:name="heading 5"/>
    <w:lsdException w:name="heading 6"/>
    <w:lsdException w:name="heading 7"/>
    <w:lsdException w:name="heading 8"/>
    <w:lsdException w:name="heading 9"/>
    <w:lsdException w:name="index 1"/>
    <w:lsdException w:name="index 2"/>
    <w:lsdException w:name="index 3"/>
    <w:lsdException w:name="index 4"/>
    <w:lsdException w:name="index 5"/>
    <w:lsdException w:name="index 6"/>
    <w:lsdException w:name="index 7"/>
    <w:lsdException w:name="index 8"/>
    <w:lsdException w:name="index 9"/>
    <w:lsdException w:name="index heading"/>
    <w:lsdException w:name="line number"/>
    <w:lsdException w:name="macro"/>
    <w:lsdException w:name="page number"/>
    <w:lsdException w:name="table of authorities"/>
    <w:lsdException w:name="table of figures"/>
    <w:lsdException w:name="toa heading"/>
    <w:lsdException w:name="toc 1"/>
    <w:lsdException w:name="toc 2"/>
    <w:lsdException w:name="toc 3"/>
    <w:lsdException w:name="toc 4"/>
    <w:lsdException w:name="toc 5"/>
    <w:lsdException w:name="toc 6"/>
    <w:lsdException w:name="toc 7"/>
    <w:lsdException w:name="toc 8"/>
    <w:lsdException w:name="toc 9"/>
  </w:latentStyles>
  <w:style w:type="paragraph" w:styleId="1" w:default="1">
    <w:name w:val="Normal"/>
    <w:uiPriority w:val="0"/>
    <w:qFormat/>
    <w:pPr>
      <w:widowControl w:val="0"/>
      <w:jc w:val="both"/>
    </w:pPr>
    <w:rPr>
      <w:sz w:val="32"/>
      <w:lang w:val="en-US" w:eastAsia="zh-CN" w:bidi="ar-SA"/>
      <w:kern w:val="2"/>
      <w:szCs w:val="24"/>
      <w:rFonts w:ascii="Times New Roman" w:hAnsi="Times New Roman" w:eastAsia="Times New Roman" w:cstheme="minorBidi"/>
    </w:rPr>
  </w:style>
  <w:style w:type="paragraph" w:styleId="2">
    <w:name w:val="heading 1"/>
    <w:basedOn w:val="1"/>
    <w:uiPriority w:val="99"/>
    <w:pPr>
      <w:keepNext w:val="1"/>
      <w:keepLines w:val="1"/>
      <w:outlineLvl w:val="0"/>
      <w:spacing w:after="330" w:afterLines="0" w:afterAutospacing="0" w:before="340" w:beforeLines="0" w:beforeAutospacing="0" w:line="576" w:lineRule="auto"/>
    </w:pPr>
    <w:rPr>
      <w:b w:val="1"/>
      <w:sz w:val="36"/>
      <w:kern w:val="44"/>
      <w:rFonts w:ascii="Times New Roman" w:hAnsi="Times New Roman"/>
    </w:rPr>
  </w:style>
  <w:style w:type="character" w:styleId="7" w:default="1">
    <w:name w:val="Default Paragraph Font"/>
    <w:uiPriority w:val="1"/>
    <w:semiHidden/>
    <w:unhideWhenUsed/>
  </w:style>
  <w:style w:type="table" w:styleId="6" w:default="1">
    <w:name w:val="Normal Table"/>
    <w:uiPriority w:val="99"/>
    <w:semiHidden/>
    <w:unhideWhenUsed/>
    <w:tblPr>
      <w:tblCellMar>
        <w:top w:type="dxa" w:w="0.000000"/>
        <w:bottom w:type="dxa" w:w="0.000000"/>
        <w:left w:type="dxa" w:w="108.000000"/>
        <w:right w:type="dxa" w:w="108.000000"/>
      </w:tblCellMar>
    </w:tblPr>
  </w:style>
  <w:style w:type="paragraph" w:styleId="3">
    <w:name w:val="footer"/>
    <w:basedOn w:val="1"/>
    <w:uiPriority w:val="99"/>
    <w:semiHidden/>
    <w:unhideWhenUsed/>
    <w:pPr>
      <w:snapToGrid w:val="0"/>
      <w:jc w:val="left"/>
      <w:tabs>
        <w:tab w:val="center" w:pos="4153"/>
        <w:tab w:val="right" w:pos="8306"/>
      </w:tabs>
    </w:pPr>
    <w:rPr>
      <w:sz w:val="18"/>
    </w:rPr>
  </w:style>
  <w:style w:type="paragraph" w:styleId="4">
    <w:name w:val="header"/>
    <w:basedOn w:val="1"/>
    <w:uiPriority w:val="99"/>
    <w:semiHidden/>
    <w:unhideWhenUsed/>
    <w:pPr>
      <w:snapToGrid w:val="0"/>
      <w:jc w:val="both"/>
      <w:outlineLvl w:val="9"/>
      <w:pBdr>
        <w:top w:val="none" w:color="auto" w:sz="0" w:space="1"/>
        <w:left w:val="none" w:color="auto" w:sz="0" w:space="4"/>
        <w:bottom w:val="none" w:color="auto" w:sz="0" w:space="1"/>
        <w:right w:val="none" w:color="auto" w:sz="0" w:space="4"/>
      </w:pBdr>
      <w:tabs>
        <w:tab w:val="center" w:pos="4153"/>
        <w:tab w:val="right" w:pos="8306"/>
      </w:tabs>
      <w:spacing w:line="240" w:lineRule="auto"/>
    </w:pPr>
    <w:rPr>
      <w:sz w:val="18"/>
    </w:rPr>
  </w:style>
  <w:style w:type="paragraph" w:styleId="5">
    <w:name w:val="toc 1"/>
    <w:basedOn w:val="1"/>
    <w:uiPriority w:val="99"/>
    <w:semiHidden/>
    <w:unhideWhenUsed/>
  </w:style>
</w:styles>
</file>

<file path=word/_rels/document.xml.rels><?xml version="1.0" encoding="UTF-8" standalone="yes"?><Relationships xmlns="http://schemas.openxmlformats.org/package/2006/relationships"><Relationship Id="rId3" Type="http://schemas.openxmlformats.org/officeDocument/2006/relationships/theme" Target="theme/theme1.xml" /><Relationship Id="rId4" Type="http://schemas.openxmlformats.org/officeDocument/2006/relationships/footer" Target="footer1.xml" /><Relationship Id="rId2" Type="http://schemas.openxmlformats.org/officeDocument/2006/relationships/fontTable" Target="fontTable.xml" /><Relationship Id="rId1" Type="http://schemas.openxmlformats.org/officeDocument/2006/relationships/settings" Target="settings.xml" /><Relationship Id="rId0" Type="http://schemas.openxmlformats.org/officeDocument/2006/relationships/styles" Target="styles.xml"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
        <a:ea typeface=""/>
        <a:cs typeface=""/>
        <a:font script="Viet" typeface="Times New Roman"/>
        <a:font script="Geor" typeface="Sylfaen"/>
        <a:font script="Sinh" typeface="Iskoola Pota"/>
        <a:font script="Laoo" typeface="DokChampa"/>
        <a:font script="Orya" typeface="Kalinga"/>
        <a:font script="Mong" typeface="Mongolian Baiti"/>
        <a:font script="Mlym" typeface="Kartika"/>
        <a:font script="Hang" typeface="맑은 고딕"/>
        <a:font script="Telu" typeface="Gautami"/>
        <a:font script="Deva" typeface="Mangal"/>
        <a:font script="Tibt" typeface="Microsoft Himalaya"/>
        <a:font script="Cans" typeface="Euphemia"/>
        <a:font script="Khmr" typeface="MoolBoran"/>
        <a:font script="Syrc" typeface="Estrangelo Edessa"/>
        <a:font script="Thai" typeface="Angsana New"/>
        <a:font script="Gujr" typeface="Shruti"/>
        <a:font script="Uigh" typeface="Microsoft Uighur"/>
        <a:font script="Beng" typeface="Vrinda"/>
        <a:font script="Jpan" typeface="游ゴシック Light"/>
        <a:font script="Thaa" typeface="MV Boli"/>
        <a:font script="Cher" typeface="Plantagenet Cherokee"/>
        <a:font script="Hebr" typeface="Times New Roman"/>
        <a:font script="Yiii" typeface="Microsoft Yi Baiti"/>
        <a:font script="Guru" typeface="Raavi"/>
        <a:font script="Hans" typeface="等线 Light"/>
        <a:font script="Ethi" typeface="Nyala"/>
        <a:font script="Taml" typeface="Latha"/>
        <a:font script="Knda" typeface="Tunga"/>
        <a:font script="Arab" typeface="Times New Roman"/>
        <a:font script="Hant" typeface="新細明體"/>
      </a:majorFont>
      <a:minorFont>
        <a:latin typeface="等线" panose=""/>
        <a:ea typeface=""/>
        <a:cs typeface=""/>
        <a:font script="Viet" typeface="Arial"/>
        <a:font script="Geor" typeface="Sylfaen"/>
        <a:font script="Sinh" typeface="Iskoola Pota"/>
        <a:font script="Laoo" typeface="DokChampa"/>
        <a:font script="Orya" typeface="Kalinga"/>
        <a:font script="Mong" typeface="Mongolian Baiti"/>
        <a:font script="Mlym" typeface="Kartika"/>
        <a:font script="Hang" typeface="맑은 고딕"/>
        <a:font script="Telu" typeface="Gautami"/>
        <a:font script="Deva" typeface="Mangal"/>
        <a:font script="Tibt" typeface="Microsoft Himalaya"/>
        <a:font script="Cans" typeface="Euphemia"/>
        <a:font script="Khmr" typeface="DaunPenh"/>
        <a:font script="Syrc" typeface="Estrangelo Edessa"/>
        <a:font script="Thai" typeface="Cordia New"/>
        <a:font script="Gujr" typeface="Shruti"/>
        <a:font script="Uigh" typeface="Microsoft Uighur"/>
        <a:font script="Beng" typeface="Vrinda"/>
        <a:font script="Jpan" typeface="游明朝"/>
        <a:font script="Thaa" typeface="MV Boli"/>
        <a:font script="Cher" typeface="Plantagenet Cherokee"/>
        <a:font script="Hebr" typeface="Arial"/>
        <a:font script="Yiii" typeface="Microsoft Yi Baiti"/>
        <a:font script="Guru" typeface="Raavi"/>
        <a:font script="Hans" typeface="等线"/>
        <a:font script="Ethi" typeface="Nyala"/>
        <a:font script="Taml" typeface="Latha"/>
        <a:font script="Knda" typeface="Tunga"/>
        <a:font script="Arab" typeface="Arial"/>
        <a:font script="Hant" typeface="新細明體"/>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2000"/>
                <a:satMod val="103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shade val="98000"/>
                <a:tint val="93000"/>
              </a:schemeClr>
            </a:gs>
            <a:gs pos="50000">
              <a:schemeClr val="phClr">
                <a:lumMod val="103000"/>
                <a:satMod val="130000"/>
                <a:shade val="90000"/>
                <a:tint val="98000"/>
              </a:schemeClr>
            </a:gs>
            <a:gs pos="100000">
              <a:schemeClr val="phClr">
                <a:satMod val="120000"/>
                <a:shade val="63000"/>
              </a:schemeClr>
            </a:gs>
          </a:gsLst>
          <a:lin ang="5400000" scaled="0"/>
        </a:gradFill>
      </a:bgFillStyleLst>
    </a:fmtScheme>
  </a:themeElements>
  <a:objectDefaults/>
</a:theme>
</file>

<file path=docProps/app.xml><?xml version="1.0" encoding="utf-8"?>
<Properties xmlns:vt="http://schemas.openxmlformats.org/officeDocument/2006/docPropsVTypes" xmlns="http://schemas.openxmlformats.org/officeDocument/2006/extended-properties">
  <Template>Normal.dotm</Template>
  <TotalTime>11</TotalTime>
  <Pages>1</Pages>
  <Words>0</Words>
  <Characters>0</Characters>
  <Application>WPS Office_12.1.0.16120_F1E327BC-269C-435d-A152-05C5408002CA</Application>
  <DocSecurity>0</DocSecurity>
  <Lines>0</Lines>
  <Paragraphs>0</Paragraphs>
  <ScaleCrop>false</ScaleCrop>
  <Company/>
  <LinksUpToDate>false</LinksUpToDate>
  <CharactersWithSpaces>0</CharactersWithSpaces>
  <SharedDoc>false</SharedDoc>
  <HyperlinksChanged>false</HyperlinksChanged>
</Properties>
</file>

<file path=docProps/core.xml><?xml version="1.0" encoding="utf-8"?>
<cp:coreProperties xmlns:xsi="http://www.w3.org/2001/XMLSchema-instance" xmlns:dcmitype="http://purl.org/dc/dcmitype/" xmlns:dc="http://purl.org/dc/elements/1.1/" xmlns:dcterms="http://purl.org/dc/terms/" xmlns:cp="http://schemas.openxmlformats.org/package/2006/metadata/core-properties">
  <dc:title/>
  <dc:subject/>
  <dc:creator>T148778</dc:creator>
  <cp:keywords/>
  <dc:description/>
  <cp:lastModifiedBy>23853</cp:lastModifiedBy>
  <cp:revision>5</cp:revision>
  <dcterms:created xsi:type="dcterms:W3CDTF">2020-07-21T13:27:00Z</dcterms:created>
  <dcterms:modified xsi:type="dcterms:W3CDTF">2024-07-03T19:19:38Z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KSOProductBuildVer">
    <vt:lpwstr>2052-12.1.0.16120</vt:lpwstr>
  </property>
  <property fmtid="{D5CDD505-2E9C-101B-9397-08002B2CF9AE}" pid="3" name="ICV">
    <vt:lpwstr>3B7A448BF86D428BA65CD2FA826DAF62_12</vt:lpwstr>
  </property>
</Properties>
</file>

<file path=tbak/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5"/>
        <w:tabs>
          <w:tab w:val="right" w:leader="dot" w:pos="9632"/>
        </w:tabs>
        <w:ind w:firstLine="4160" w:firstLineChars="1300"/>
        <w:rPr>
          <w:rFonts w:hint="default" w:eastAsia="宋体"/>
          <w:lang w:val="en-US" w:eastAsia="zh-CN"/>
        </w:rPr>
      </w:pPr>
      <w:r>
        <w:rPr>
          <w:rFonts w:hint="eastAsia" w:eastAsia="宋体"/>
          <w:lang w:val="en-US" w:eastAsia="zh-CN"/>
        </w:rPr>
        <w:t>Contents</w:t>
      </w:r>
      <w:bookmarkStart w:id="7" w:name="_GoBack"/>
      <w:bookmarkEnd w:id="7"/>
    </w:p>
    <w:p>
      <w:pPr>
        <w:pStyle w:val="5"/>
        <w:tabs>
          <w:tab w:val="right" w:leader="dot" w:pos="9632"/>
        </w:tabs>
      </w:pPr>
      <w:r>
        <w:rPr>
          <w:rFonts w:hint="eastAsia"/>
        </w:rPr>
        <w:fldChar w:fldCharType="begin"/>
      </w:r>
      <w:r>
        <w:rPr>
          <w:rFonts w:hint="eastAsia"/>
        </w:rPr>
        <w:instrText xml:space="preserve">TOC \o "1-3" \h \u </w:instrText>
      </w:r>
      <w:r>
        <w:rPr>
          <w:rFonts w:hint="eastAsia"/>
        </w:rPr>
        <w:fldChar w:fldCharType="separate"/>
      </w:r>
      <w:r>
        <w:rPr>
          <w:rFonts w:hint="eastAsia"/>
        </w:rPr>
        <w:fldChar w:fldCharType="begin"/>
      </w:r>
      <w:r>
        <w:rPr>
          <w:rFonts w:hint="eastAsia"/>
        </w:rPr>
        <w:instrText xml:space="preserve"> HYPERLINK \l _Toc16006 </w:instrText>
      </w:r>
      <w:r>
        <w:rPr>
          <w:rFonts w:hint="eastAsia"/>
        </w:rPr>
        <w:fldChar w:fldCharType="separate"/>
      </w:r>
      <w:r>
        <w:rPr>
          <w:rFonts w:hint="eastAsia"/>
        </w:rPr>
        <w:t>introduction</w:t>
      </w:r>
      <w:r>
        <w:tab/>
      </w:r>
      <w:r>
        <w:fldChar w:fldCharType="begin"/>
      </w:r>
      <w:r>
        <w:instrText xml:space="preserve"> PAGEREF _Toc16006 \h </w:instrText>
      </w:r>
      <w:r>
        <w:fldChar w:fldCharType="separate"/>
      </w:r>
      <w:r>
        <w:t>2</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_Toc24626 </w:instrText>
      </w:r>
      <w:r>
        <w:rPr>
          <w:rFonts w:hint="eastAsia"/>
        </w:rPr>
        <w:fldChar w:fldCharType="separate"/>
      </w:r>
      <w:r>
        <w:rPr>
          <w:rFonts w:hint="eastAsia"/>
        </w:rPr>
        <w:t>external analysis</w:t>
      </w:r>
      <w:r>
        <w:tab/>
      </w:r>
      <w:r>
        <w:fldChar w:fldCharType="begin"/>
      </w:r>
      <w:r>
        <w:instrText xml:space="preserve"> PAGEREF _Toc24626 \h </w:instrText>
      </w:r>
      <w:r>
        <w:fldChar w:fldCharType="separate"/>
      </w:r>
      <w:r>
        <w:t>3</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_Toc7028 </w:instrText>
      </w:r>
      <w:r>
        <w:rPr>
          <w:rFonts w:hint="eastAsia"/>
        </w:rPr>
        <w:fldChar w:fldCharType="separate"/>
      </w:r>
      <w:r>
        <w:rPr>
          <w:rFonts w:hint="eastAsia"/>
        </w:rPr>
        <w:t>Internal analysis</w:t>
      </w:r>
      <w:r>
        <w:tab/>
      </w:r>
      <w:r>
        <w:fldChar w:fldCharType="begin"/>
      </w:r>
      <w:r>
        <w:instrText xml:space="preserve"> PAGEREF _Toc7028 \h </w:instrText>
      </w:r>
      <w:r>
        <w:fldChar w:fldCharType="separate"/>
      </w:r>
      <w:r>
        <w:t>7</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_Toc29135 </w:instrText>
      </w:r>
      <w:r>
        <w:rPr>
          <w:rFonts w:hint="eastAsia"/>
        </w:rPr>
        <w:fldChar w:fldCharType="separate"/>
      </w:r>
      <w:r>
        <w:rPr>
          <w:rFonts w:hint="eastAsia"/>
        </w:rPr>
        <w:t>Strategic Formulation and Competitive Positioning</w:t>
      </w:r>
      <w:r>
        <w:tab/>
      </w:r>
      <w:r>
        <w:fldChar w:fldCharType="begin"/>
      </w:r>
      <w:r>
        <w:instrText xml:space="preserve"> PAGEREF _Toc29135 \h </w:instrText>
      </w:r>
      <w:r>
        <w:fldChar w:fldCharType="separate"/>
      </w:r>
      <w:r>
        <w:t>9</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_Toc23439 </w:instrText>
      </w:r>
      <w:r>
        <w:rPr>
          <w:rFonts w:hint="eastAsia"/>
        </w:rPr>
        <w:fldChar w:fldCharType="separate"/>
      </w:r>
      <w:r>
        <w:rPr>
          <w:rFonts w:hint="eastAsia"/>
        </w:rPr>
        <w:t>Sustainability and strategic recommendations</w:t>
      </w:r>
      <w:r>
        <w:tab/>
      </w:r>
      <w:r>
        <w:fldChar w:fldCharType="begin"/>
      </w:r>
      <w:r>
        <w:instrText xml:space="preserve"> PAGEREF _Toc23439 \h </w:instrText>
      </w:r>
      <w:r>
        <w:fldChar w:fldCharType="separate"/>
      </w:r>
      <w:r>
        <w:t>11</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_Toc2121 </w:instrText>
      </w:r>
      <w:r>
        <w:rPr>
          <w:rFonts w:hint="eastAsia"/>
        </w:rPr>
        <w:fldChar w:fldCharType="separate"/>
      </w:r>
      <w:r>
        <w:rPr>
          <w:rFonts w:hint="eastAsia"/>
        </w:rPr>
        <w:t>conclusion</w:t>
      </w:r>
      <w:r>
        <w:tab/>
      </w:r>
      <w:r>
        <w:fldChar w:fldCharType="begin"/>
      </w:r>
      <w:r>
        <w:instrText xml:space="preserve"> PAGEREF _Toc2121 \h </w:instrText>
      </w:r>
      <w:r>
        <w:fldChar w:fldCharType="separate"/>
      </w:r>
      <w:r>
        <w:t>12</w:t>
      </w:r>
      <w:r>
        <w:fldChar w:fldCharType="end"/>
      </w:r>
      <w:r>
        <w:rPr>
          <w:rFonts w:hint="eastAsia"/>
        </w:rPr>
        <w:fldChar w:fldCharType="end"/>
      </w:r>
    </w:p>
    <w:p>
      <w:pPr>
        <w:pStyle w:val="5"/>
        <w:tabs>
          <w:tab w:val="right" w:leader="dot" w:pos="9632"/>
        </w:tabs>
      </w:pPr>
      <w:r>
        <w:rPr>
          <w:rFonts w:hint="eastAsia"/>
        </w:rPr>
        <w:fldChar w:fldCharType="begin"/>
      </w:r>
      <w:r>
        <w:rPr>
          <w:rFonts w:hint="eastAsia"/>
        </w:rPr>
        <w:instrText xml:space="preserve"> HYPERLINK \l _Toc29399 </w:instrText>
      </w:r>
      <w:r>
        <w:rPr>
          <w:rFonts w:hint="eastAsia"/>
        </w:rPr>
        <w:fldChar w:fldCharType="separate"/>
      </w:r>
      <w:r>
        <w:rPr>
          <w:rFonts w:hint="eastAsia" w:ascii="Times New Roman" w:hAnsi="Times New Roman" w:eastAsia="Times New Roman" w:cs="Times New Roman"/>
          <w:kern w:val="44"/>
          <w:szCs w:val="24"/>
          <w:lang w:val="en-US" w:eastAsia="zh-CN" w:bidi="ar-SA"/>
        </w:rPr>
        <w:t>references</w:t>
      </w:r>
      <w:r>
        <w:tab/>
      </w:r>
      <w:r>
        <w:fldChar w:fldCharType="begin"/>
      </w:r>
      <w:r>
        <w:instrText xml:space="preserve"> PAGEREF _Toc29399 \h </w:instrText>
      </w:r>
      <w:r>
        <w:fldChar w:fldCharType="separate"/>
      </w:r>
      <w:r>
        <w:t>15</w:t>
      </w:r>
      <w:r>
        <w:fldChar w:fldCharType="end"/>
      </w:r>
      <w:r>
        <w:rPr>
          <w:rFonts w:hint="eastAsia"/>
        </w:rPr>
        <w:fldChar w:fldCharType="end"/>
      </w:r>
    </w:p>
    <w:p>
      <w:pPr>
        <w:pStyle w:val="2"/>
        <w:bidi w:val="0"/>
        <w:rPr>
          <w:rFonts w:hint="eastAsia"/>
        </w:rPr>
        <w:sectPr>
          <w:footerReference r:id="rId3" w:type="default"/>
          <w:pgSz w:w="11900" w:h="16840"/>
          <w:pgMar w:top="1134" w:right="1134" w:bottom="1134" w:left="1134" w:header="851" w:footer="992" w:gutter="0"/>
          <w:cols w:space="425" w:num="1"/>
          <w:docGrid w:type="lines" w:linePitch="312" w:charSpace="0"/>
        </w:sectPr>
      </w:pPr>
      <w:r>
        <w:rPr>
          <w:rFonts w:hint="eastAsia"/>
        </w:rPr>
        <w:fldChar w:fldCharType="end"/>
      </w:r>
    </w:p>
    <w:p>
      <w:pPr>
        <w:pStyle w:val="2"/>
        <w:bidi w:val="0"/>
        <w:rPr>
          <w:rFonts w:hint="eastAsia"/>
        </w:rPr>
      </w:pPr>
      <w:bookmarkStart w:id="0" w:name="_Toc16006"/>
      <w:r>
        <w:rPr>
          <w:rFonts w:hint="eastAsia"/>
        </w:rPr>
        <w:t>introduction</w:t>
      </w:r>
      <w:bookmarkEnd w:id="0"/>
    </w:p>
    <w:p>
      <w:pPr>
        <w:bidi w:val="0"/>
        <w:rPr>
          <w:rFonts w:hint="eastAsia"/>
        </w:rPr>
      </w:pPr>
    </w:p>
    <w:p>
      <w:pPr>
        <w:bidi w:val="0"/>
        <w:rPr>
          <w:rFonts w:hint="eastAsia"/>
        </w:rPr>
      </w:pPr>
      <w:r>
        <w:rPr>
          <w:rFonts w:hint="eastAsia"/>
        </w:rPr>
        <w:t>Nestle was founded in 1866, headquartered in Weiwei, Switzerland. It is the world's largest food and beverage company with annual revenue of nearly 100 billion Swiss francs. It operates in 189 countries and owns more than 2,000 brands. Nestle, as a benchmark in the consumer goods industry, can make better use of economic knowledge by studying its strategic planning. Nestle's products cover coffee, dairy products, pet food, etc. Its diversification strategy reflects the rich experience of multinational enterprises in dealing with complex market environment. Nestle is currently facing many challenges, such as economy and strategy. On the economic level, the cost of Nestle's products has increased due to the pressure of inflation, and the growth of international emerging markets is also slowing down, facing challenges from local enterprises in other countries. At the strategic level, consumers demand more and more, so Nestle needs product innovation. This paper will use some economic theories to study and analyze Nestle's business strategy through systematic analysis of internal and external environment.</w:t>
      </w:r>
    </w:p>
    <w:p>
      <w:pPr>
        <w:bidi w:val="0"/>
        <w:rPr>
          <w:rFonts w:hint="eastAsia"/>
        </w:rPr>
      </w:pPr>
    </w:p>
    <w:p>
      <w:pPr>
        <w:bidi w:val="0"/>
        <w:rPr>
          <w:rFonts w:hint="eastAsia"/>
        </w:rPr>
      </w:pPr>
    </w:p>
    <w:p>
      <w:pPr>
        <w:pStyle w:val="2"/>
        <w:bidi w:val="0"/>
        <w:rPr>
          <w:rFonts w:hint="eastAsia"/>
        </w:rPr>
      </w:pPr>
      <w:bookmarkStart w:id="1" w:name="_Toc24626"/>
      <w:r>
        <w:rPr>
          <w:rFonts w:hint="eastAsia"/>
        </w:rPr>
        <w:t>external analysis</w:t>
      </w:r>
      <w:bookmarkEnd w:id="1"/>
    </w:p>
    <w:p>
      <w:pPr>
        <w:bidi w:val="0"/>
        <w:rPr>
          <w:rFonts w:hint="eastAsia"/>
        </w:rPr>
      </w:pPr>
    </w:p>
    <w:p>
      <w:pPr>
        <w:bidi w:val="0"/>
        <w:rPr>
          <w:rFonts w:hint="eastAsia"/>
        </w:rPr>
      </w:pPr>
      <w:r>
        <w:rPr>
          <w:rFonts w:hint="eastAsia"/>
        </w:rPr>
        <w:t>Analysis using the PESTEL model: At the political level, the EU's "Green New Deal" requires a 65% recovery rate for packaging materials by 2030, which results in Nestlé having to invest and use degradable materials. On the economic level, according to news reports, the global food inflation rate reached 7.4% in 2023, but demand for high-end products was strong, so Nestle's sales of high-end coffee increased by 12%. On the social level, Nestle's Garden Gourmet brand has reached 80% of the retail channels in Europe. At the technical level, artificial intelligence technology is now more and more developed. According to the case study and forecast of Nestle's Mexico factory, the system driven by artificial intelligence should be able to reduce the inventory cost by 15%. On the environmental level, Nestle's coffee industry depends on the production of coffee beans. Extreme climate has been threatening the supply of coffee beans. For example, Nestle's production of coffee beans in Brazil dropped by 18% in 2023.</w:t>
      </w:r>
    </w:p>
    <w:p>
      <w:pPr>
        <w:bidi w:val="0"/>
        <w:rPr>
          <w:rFonts w:hint="eastAsia"/>
        </w:rPr>
      </w:pPr>
    </w:p>
    <w:p>
      <w:pPr>
        <w:bidi w:val="0"/>
        <w:rPr>
          <w:rFonts w:hint="eastAsia"/>
        </w:rPr>
      </w:pPr>
      <w:r>
        <w:rPr>
          <w:rFonts w:hint="eastAsia"/>
        </w:rPr>
        <w:t xml:space="preserve">Five forces model analysis: the competition intensity of competitors is high. Because Nestle has been in fierce competition with Unilever and Danone in the field of health food, but Nestle is in an advantage by virtue of scale effect. The operating profit margin of Nestle is larger than the average operating profit margin of the industry. The threat from new entrants is low. Because some start-ups, such as Oatly, can split up consumers' buying demand through the niche health brand's track, but nestle already has a mature product line, so distribution network barriers will limit the expansion of new competitors. The threat of alternatives is low. Because food is a hard demand and Nestle's industrial chain is spread all over the world, it is difficult to find substitutes in a short time. The bargaining power of the suppliers is medium. Because Nestle usually reduces the risk through centralized procurement and has a large number of long-term cooperation channels. The buy's bargaining pow is high. Because retailer channels, such as Wal-Mart, account for 40% of Nestle's revenue, this will increase the bargaining power of large retailers. </w:t>
      </w:r>
    </w:p>
    <w:p>
      <w:pPr>
        <w:bidi w:val="0"/>
        <w:rPr>
          <w:rFonts w:hint="eastAsia"/>
        </w:rPr>
      </w:pPr>
    </w:p>
    <w:p>
      <w:pPr>
        <w:bidi w:val="0"/>
        <w:rPr>
          <w:rFonts w:hint="eastAsia"/>
        </w:rPr>
      </w:pPr>
      <w:r>
        <w:rPr>
          <w:rFonts w:hint="eastAsia"/>
        </w:rPr>
        <w:t>In the context of the complex and volatile global economic environment, the key economic trends affecting Nestle's business strategy are mainly reflected in the following four aspects: Inflation pressure and cost control is one aspect, the global food inflation rate is getting higher and higher, the cost of food raw materials such as coffee beans, dairy products, and energy costs continue to rise, which is gradually reducing Nestle's profit margin. To meet this challenge, Nestle has adopted two strategies: selective price increase and production efficiency optimization. Nestle reduces cost pressures through brand premiums, while the Volkswagen product line reduces costs and increases efficiency by closing inefficient factories and introducing new industrial technologies. This trend has forced Nestlé to focus more strategically on product mix layering to balance the needs of price-sensitive markets with those of high value-added markets. Consumption upgrading and healthy demand are on the one hand. Consumer preferences are gradually tilting towards high-end and health, which has become the core driving force for product innovation. In 2023, EU restrictions on high-sugar food advertising and WHO's sugar reduction initiative are also accelerating Nestle's product innovation, such as plans to reduce the sugar content of key market products by 30% by 2025. This trend has prompted Nestle to tilt its resources to high-growth categories such as functional drinks and sugar-reducing videos, while Nestle has divested its low-profit business. Supply chain resilience and technology empowerment are one of the aspects. Extreme weather and geopolitical conflicts have exacerbated supply chain risks. Through technological upgrading and industrial cooperation,It is hoped to stabilize the supply of raw materials through sustainable agricultural practices. These initiatives not only reduce operational risk, but also respond to the concerns of governments and investors about environmental, social and governance performance. The slowdown of emerging market growth and localization competition are on the one hand. Nestle's emerging markets, such as China, have seen a decline in growth, and local brands in China have hit Nestle's sales in the infant milk powder industry by virtue of channel sinking and price advantage. To this end, Nestle has adjusted its strategic focus and reduced its dependence on imports through localized production.At the same time, we will expand the development and research of new products with high potential to avoid competition in the Red Sea market. These are the four key economic trends. Through the above trend analysis, it is not difficult to see that Nestle has encountered challenges in the direction of scale expansion, trying to turn to the strategic direction of value priority. Nestle is further building and upgrading its competitive barriers, while aiming at sustainable development and enhancing long-term brand value. It can be seen that balancing cost pressure and consumption upgrading demand and deepening localized operation will be the key to Nestle's successful strategic landing in the future.</w:t>
      </w:r>
    </w:p>
    <w:p>
      <w:pPr>
        <w:bidi w:val="0"/>
        <w:rPr>
          <w:rFonts w:hint="eastAsia"/>
        </w:rPr>
      </w:pPr>
    </w:p>
    <w:p>
      <w:pPr>
        <w:bidi w:val="0"/>
        <w:rPr>
          <w:rFonts w:hint="eastAsia"/>
        </w:rPr>
      </w:pPr>
    </w:p>
    <w:p>
      <w:pPr>
        <w:pStyle w:val="2"/>
        <w:bidi w:val="0"/>
        <w:rPr>
          <w:rFonts w:hint="eastAsia"/>
        </w:rPr>
      </w:pPr>
      <w:bookmarkStart w:id="2" w:name="_Toc7028"/>
      <w:r>
        <w:rPr>
          <w:rFonts w:hint="eastAsia"/>
        </w:rPr>
        <w:t>Internal analysis</w:t>
      </w:r>
      <w:bookmarkEnd w:id="2"/>
    </w:p>
    <w:p>
      <w:pPr>
        <w:bidi w:val="0"/>
        <w:rPr>
          <w:rFonts w:hint="eastAsia"/>
        </w:rPr>
      </w:pPr>
    </w:p>
    <w:p>
      <w:pPr>
        <w:bidi w:val="0"/>
        <w:rPr>
          <w:rFonts w:hint="eastAsia"/>
        </w:rPr>
      </w:pPr>
      <w:r>
        <w:rPr>
          <w:rFonts w:hint="eastAsia"/>
        </w:rPr>
        <w:t>RBV: With regard to physical resources, Nestlé has 128 factories and developed intelligent logistics network in the world, which can deliver products to major cities in Europe within 48 hours. With regard to intangible resources, Nestlé' s patent pool contains more than 5,000 patents for food technology, as well as brand equity, which is valued at $24 billion by Brand Finance in 2023. With regard to competence, 89% of Nestle's senior executives have experience in various countries, so their cross-cultural management ability is excellent. Nestle's rapid product iteration ability is also excellent. The average time from research and development to market of new products is only 8 months.</w:t>
      </w:r>
    </w:p>
    <w:p>
      <w:pPr>
        <w:bidi w:val="0"/>
        <w:rPr>
          <w:rFonts w:hint="eastAsia"/>
        </w:rPr>
      </w:pPr>
    </w:p>
    <w:p>
      <w:pPr>
        <w:bidi w:val="0"/>
        <w:rPr>
          <w:rFonts w:hint="eastAsia"/>
        </w:rPr>
      </w:pPr>
      <w:r>
        <w:rPr>
          <w:rFonts w:hint="eastAsia"/>
        </w:rPr>
        <w:t>Value chain analysis: based on the analysis of the industry value chain, Nestle has cooperated with IBM to trace back the source of coffee beans through the block chain to improve the company's quality control capability. Through the analysis of the company's value chain, Nestle's factory in Germany adopted industrial 4.0 technology, which reduced energy consumption by 22%. Through the analysis of the operation value chain, Nespresso membership system owned by Nestle contributed 30% of the coffee business profit of the Company. Through the analysis of the industrial chain, Nestle has shown high operational efficiency in all aspects, and its core advantages are reflected in technology-driven, cost optimization and rapid response capabilities. So Nestle has achieved significant operational efficiency improvement in all links of the industrial chain through technology embedding and value chain integration, but the full achievement of its sustainable goals still needs to solve the problems of logistics carbon footprint and regional adaptability.</w:t>
      </w:r>
    </w:p>
    <w:p>
      <w:pPr>
        <w:bidi w:val="0"/>
        <w:rPr>
          <w:rFonts w:hint="eastAsia"/>
        </w:rPr>
      </w:pPr>
    </w:p>
    <w:p>
      <w:pPr>
        <w:bidi w:val="0"/>
        <w:rPr>
          <w:rFonts w:hint="eastAsia"/>
        </w:rPr>
      </w:pPr>
      <w:r>
        <w:rPr>
          <w:rFonts w:hint="eastAsia"/>
        </w:rPr>
        <w:t>SWOT-TOWS Matrix Model Analysis: From the perspective of Advantage+Opportunity (SO), Nestlé uses its new product research and development capabilities to develop a number of sugar reduction products in response to health trends. Judging from the disadvantage+threat (WT), Nestlé' s performance in China has grown slowly in recent years and is difficult to transform.</w:t>
      </w:r>
    </w:p>
    <w:p>
      <w:pPr>
        <w:bidi w:val="0"/>
        <w:rPr>
          <w:rFonts w:hint="eastAsia"/>
        </w:rPr>
      </w:pPr>
    </w:p>
    <w:p>
      <w:pPr>
        <w:bidi w:val="0"/>
        <w:rPr>
          <w:rFonts w:hint="eastAsia"/>
        </w:rPr>
      </w:pPr>
    </w:p>
    <w:p>
      <w:pPr>
        <w:pStyle w:val="2"/>
        <w:bidi w:val="0"/>
        <w:rPr>
          <w:rFonts w:hint="eastAsia"/>
        </w:rPr>
      </w:pPr>
      <w:bookmarkStart w:id="3" w:name="_Toc29135"/>
      <w:r>
        <w:rPr>
          <w:rFonts w:hint="eastAsia"/>
        </w:rPr>
        <w:t>Strategic Formulation and Competitive Positioning</w:t>
      </w:r>
      <w:bookmarkEnd w:id="3"/>
    </w:p>
    <w:p>
      <w:pPr>
        <w:bidi w:val="0"/>
        <w:rPr>
          <w:rFonts w:hint="eastAsia"/>
        </w:rPr>
      </w:pPr>
    </w:p>
    <w:p>
      <w:pPr>
        <w:bidi w:val="0"/>
        <w:rPr>
          <w:rFonts w:hint="eastAsia"/>
        </w:rPr>
      </w:pPr>
      <w:r>
        <w:rPr>
          <w:rFonts w:hint="eastAsia"/>
        </w:rPr>
        <w:t>Regarding the positioning of the strategic clock, Nestlé has adopted a differentiated and centralized strategy: Nestlé is pricing premium prices in multiple segments, such as high-end coffee (Nespresso) and pet medical food (Prerina Pro Plan), while maintaining the competitiveness of mass product lines, such as Meijishi Soup, through cost control.</w:t>
      </w:r>
    </w:p>
    <w:p>
      <w:pPr>
        <w:bidi w:val="0"/>
        <w:rPr>
          <w:rFonts w:hint="eastAsia"/>
        </w:rPr>
      </w:pPr>
    </w:p>
    <w:p>
      <w:pPr>
        <w:bidi w:val="0"/>
        <w:rPr>
          <w:rFonts w:hint="eastAsia"/>
        </w:rPr>
      </w:pPr>
      <w:r>
        <w:rPr>
          <w:rFonts w:hint="eastAsia"/>
        </w:rPr>
        <w:t xml:space="preserve">Ansoff Matrix: With regard to market penetration, Nestle promoted the "Coffee Subscription System" in North America to increase the unit price of customers, and the subscribers increased by 25% in 2023. Regarding product development, Nestle plans to launch adult milk powder containing probiotics in 2024. </w:t>
      </w:r>
    </w:p>
    <w:p>
      <w:pPr>
        <w:bidi w:val="0"/>
        <w:rPr>
          <w:rFonts w:hint="eastAsia"/>
        </w:rPr>
      </w:pPr>
    </w:p>
    <w:p>
      <w:pPr>
        <w:bidi w:val="0"/>
        <w:rPr>
          <w:rFonts w:hint="eastAsia"/>
        </w:rPr>
      </w:pPr>
      <w:r>
        <w:rPr>
          <w:rFonts w:hint="eastAsia"/>
        </w:rPr>
        <w:t>In relation to the merger case, Nestle acquired a health care company named Atrium Innovations in 2017 to strengthen the business segment in the health sector. Nestle acquired Atrium Innovations, a Canadian health product company (which owns Garden of Life and other brands) in 2017. This acquisition is a decisive measure in Nestle's transformation to the field of health and nutrition. The acquisition was eventually completed at a price of $2.3 billion, and Nestle hopes to make up for the growth bottleneck of its traditional food business through Atrium's technology accumulation in high-end categories such as natural organic vitamins and dietary supplements.After the acquisition, Atrium's product line was integrated into Nestle's health science division, which increased revenue by 9% year-on-year in 2023, significantly higher than overall growth rate of the group, proving that strategic synergies are significant. However, although relying on mergers and acquisitions to expand has brought many benefits, Nestle may still face some integration risks. Atrium's niche brand positioning and Nestle's popular channels need to be further integrated, and the competition in the healthy food track is intensifying, such as Danone and Bayer. Overall, the case reflects the effectiveness of Nestle's "high value-added" strategy, but the follow-up still needs to continue to invest in R &amp; D to maintain the differentiation advantage.</w:t>
      </w:r>
    </w:p>
    <w:p>
      <w:pPr>
        <w:bidi w:val="0"/>
        <w:rPr>
          <w:rFonts w:hint="eastAsia"/>
        </w:rPr>
      </w:pPr>
    </w:p>
    <w:p>
      <w:pPr>
        <w:bidi w:val="0"/>
        <w:rPr>
          <w:rFonts w:hint="eastAsia"/>
        </w:rPr>
      </w:pPr>
    </w:p>
    <w:p>
      <w:pPr>
        <w:pStyle w:val="2"/>
        <w:bidi w:val="0"/>
        <w:rPr>
          <w:rFonts w:hint="eastAsia"/>
        </w:rPr>
      </w:pPr>
      <w:bookmarkStart w:id="4" w:name="_Toc23439"/>
      <w:r>
        <w:rPr>
          <w:rFonts w:hint="eastAsia"/>
        </w:rPr>
        <w:t>Sustainability and strategic recommendations</w:t>
      </w:r>
      <w:bookmarkEnd w:id="4"/>
    </w:p>
    <w:p>
      <w:pPr>
        <w:bidi w:val="0"/>
        <w:rPr>
          <w:rFonts w:hint="eastAsia"/>
        </w:rPr>
      </w:pPr>
    </w:p>
    <w:p>
      <w:pPr>
        <w:bidi w:val="0"/>
        <w:rPr>
          <w:rFonts w:hint="eastAsia"/>
        </w:rPr>
      </w:pPr>
      <w:r>
        <w:rPr>
          <w:rFonts w:hint="eastAsia"/>
        </w:rPr>
        <w:t>Sustainability assessment: Nestle's renewable agriculture program already covers 30% of raw material procurement, but according to the carbon footprint report, third-party transportation accounts for 38% of Nestle's total carbon emissions, indicating that the company is highly dependent on third-party transportation.</w:t>
      </w:r>
    </w:p>
    <w:p>
      <w:pPr>
        <w:bidi w:val="0"/>
        <w:rPr>
          <w:rFonts w:hint="eastAsia"/>
        </w:rPr>
      </w:pPr>
    </w:p>
    <w:p>
      <w:pPr>
        <w:bidi w:val="0"/>
        <w:rPr>
          <w:rFonts w:hint="eastAsia"/>
        </w:rPr>
      </w:pPr>
      <w:r>
        <w:rPr>
          <w:rFonts w:hint="eastAsia"/>
        </w:rPr>
        <w:t>Strategic suggestion: Nestle should adopt circular economy model. Nestle can refer to the successful case of Unilever in Indonesia, and improve the recovery rate by piloting the "packaging recovery points system" in some Southeast Asian countries with excellent economies. As for the localization of supply chains, according to the FAO report, Nestlé can try to build dairy processing plants in several convenient transportation countries in Africa to reduce the difficulty of transportation in the African market.</w:t>
      </w:r>
    </w:p>
    <w:p>
      <w:pPr>
        <w:bidi w:val="0"/>
        <w:rPr>
          <w:rFonts w:hint="eastAsia"/>
        </w:rPr>
      </w:pPr>
    </w:p>
    <w:p>
      <w:pPr>
        <w:bidi w:val="0"/>
        <w:rPr>
          <w:rFonts w:hint="eastAsia"/>
        </w:rPr>
      </w:pPr>
    </w:p>
    <w:p>
      <w:pPr>
        <w:pStyle w:val="2"/>
        <w:bidi w:val="0"/>
        <w:rPr>
          <w:rFonts w:hint="eastAsia"/>
        </w:rPr>
      </w:pPr>
      <w:bookmarkStart w:id="5" w:name="_Toc2121"/>
      <w:r>
        <w:rPr>
          <w:rFonts w:hint="eastAsia"/>
        </w:rPr>
        <w:t>conclusion</w:t>
      </w:r>
      <w:bookmarkEnd w:id="5"/>
    </w:p>
    <w:p>
      <w:pPr>
        <w:bidi w:val="0"/>
        <w:rPr>
          <w:rFonts w:hint="eastAsia"/>
        </w:rPr>
      </w:pPr>
    </w:p>
    <w:p>
      <w:pPr>
        <w:bidi w:val="0"/>
        <w:rPr>
          <w:rFonts w:hint="eastAsia"/>
        </w:rPr>
      </w:pPr>
      <w:r>
        <w:rPr>
          <w:rFonts w:hint="eastAsia"/>
        </w:rPr>
        <w:t>Taking Nestle as an example, this paper systematically discusses the strategic planning logic and sustainable development path of global enterprises under the complex economic environment. Although facing some challenges, Nestle's case proves that global enterprises can build resilience by upgrading technologies such as artificial intelligence and block chains, as well as resource restructuring to cope with risks such as inflation and competition from local enterprises. Sustainability is competitiveness. Although government regulations increase product costs in the short term, they can improve brand premium and policy compliance and translate into market advantages in the long term. Under the trend of gradual health and high-end, enterprises need to optimize the product mix and operation efficiency simultaneously. Nestlé needs to continue to coordinate its localization efforts with global operations to ease the local competitive pressure in emerging markets through the construction of regional supply chains. The importance of strategic management in a sustainable business environment is mainly reflected in risk resistance, but also in the potential for value co-creation. However, enterprises need to break through the traditional thinking of shareholder supremacy and turn to stakeholder orientation. Nestle's regenerative agriculture program has been successful, not only reducing environmental risks, but also indirectly enhancing supply chain stability and social acceptance. It can be seen that this "shared value" model internalizes social responsibility into competitive advantage and provides ethical legitimacy for long-term growth.Sustainable strategies need to be combined with capabilities. Faced with climate change and policy iteration (such as EU carbon border tax), Nestle combines blockchain with AI technology to monitor carbon footprint in real time and adjust production layout dynamically. This agility not only optimizes the allocation of resources, but also wins the voice for enterprises to participate in the formulation of global standards such as international sustainable accounting standards. Sustainability should drive business model innovation, bind consumer behavior with the goal of circular economy, and create new customer interaction scenarios. The case study shows that sustainable strategy is not a cost burden, but a lever to open up differentiated markets. In the future, enterprises need to improve the strategic evaluation system, balance short-term profits and long-term resilience through quantitative tools, and realize Nestle's paradigm transformation to a sustainable business company.</w:t>
      </w:r>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p>
    <w:p>
      <w:pPr>
        <w:snapToGrid w:val="0"/>
        <w:rPr>
          <w:rFonts w:hint="eastAsia" w:ascii="Times New Roman" w:hAnsi="Times New Roman" w:cs="Times New Roman"/>
          <w:sz w:val="36"/>
        </w:rPr>
        <w:sectPr>
          <w:pgSz w:w="11900" w:h="16840"/>
          <w:pgMar w:top="1440" w:right="1800" w:bottom="1440" w:left="1800" w:header="851" w:footer="992" w:gutter="0"/>
          <w:cols w:space="425" w:num="1"/>
          <w:docGrid w:type="lines" w:linePitch="312" w:charSpace="0"/>
        </w:sectPr>
      </w:pPr>
    </w:p>
    <w:p>
      <w:pPr>
        <w:keepNext/>
        <w:keepLines/>
        <w:widowControl w:val="0"/>
        <w:bidi w:val="0"/>
        <w:spacing w:before="340" w:beforeLines="0" w:beforeAutospacing="0" w:after="330" w:afterLines="0" w:afterAutospacing="0" w:line="576" w:lineRule="auto"/>
        <w:jc w:val="both"/>
        <w:outlineLvl w:val="0"/>
        <w:rPr>
          <w:rFonts w:hint="eastAsia" w:ascii="Times New Roman" w:hAnsi="Times New Roman" w:eastAsia="Times New Roman" w:cs="Times New Roman"/>
          <w:b/>
          <w:kern w:val="44"/>
          <w:sz w:val="36"/>
          <w:szCs w:val="24"/>
          <w:lang w:val="en-US" w:eastAsia="zh-CN" w:bidi="ar-SA"/>
        </w:rPr>
      </w:pPr>
      <w:bookmarkStart w:id="6" w:name="_Toc29399"/>
      <w:r>
        <w:rPr>
          <w:rFonts w:hint="eastAsia" w:ascii="Times New Roman" w:hAnsi="Times New Roman" w:eastAsia="Times New Roman" w:cs="Times New Roman"/>
          <w:b/>
          <w:kern w:val="44"/>
          <w:sz w:val="36"/>
          <w:szCs w:val="24"/>
          <w:lang w:val="en-US" w:eastAsia="zh-CN" w:bidi="ar-SA"/>
        </w:rPr>
        <w:t>references</w:t>
      </w:r>
      <w:bookmarkEnd w:id="6"/>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r>
        <w:rPr>
          <w:rFonts w:hint="eastAsia" w:ascii="Times New Roman" w:hAnsi="Times New Roman" w:cs="Times New Roman"/>
          <w:sz w:val="36"/>
        </w:rPr>
        <w:t>1. European Parliament. (2022). EU Green Deal: Packaging and packaging waste directive. https://eur-lex.europa.eu/legal-content/EN/TXT/? uri=CELEX:52022PC0677</w:t>
      </w:r>
    </w:p>
    <w:p>
      <w:pPr>
        <w:snapToGrid w:val="0"/>
        <w:rPr>
          <w:rFonts w:hint="eastAsia" w:ascii="Times New Roman" w:hAnsi="Times New Roman" w:cs="Times New Roman"/>
          <w:sz w:val="28"/>
        </w:rPr>
      </w:pPr>
      <w:r>
        <w:rPr>
          <w:rFonts w:hint="eastAsia" w:ascii="Times New Roman" w:hAnsi="Times New Roman" w:cs="Times New Roman"/>
          <w:sz w:val="36"/>
        </w:rPr>
        <w:t>2. World Bank. (2023). Food inflation update Q4 2023.  https://www.worldbank.org/en/topic/agriculture</w:t>
      </w:r>
    </w:p>
    <w:p>
      <w:pPr>
        <w:snapToGrid w:val="0"/>
        <w:rPr>
          <w:rFonts w:hint="eastAsia" w:ascii="Times New Roman" w:hAnsi="Times New Roman" w:cs="Times New Roman"/>
          <w:sz w:val="28"/>
        </w:rPr>
      </w:pPr>
      <w:r>
        <w:rPr>
          <w:rFonts w:hint="eastAsia" w:ascii="Times New Roman" w:hAnsi="Times New Roman" w:cs="Times New Roman"/>
          <w:sz w:val="36"/>
        </w:rPr>
        <w:t>3. Nestlé. (2023). Q3 2023 trading statement: Premium coffee growth.  https://www.nestle.com/media/pressreleases</w:t>
      </w:r>
    </w:p>
    <w:p>
      <w:pPr>
        <w:snapToGrid w:val="0"/>
        <w:rPr>
          <w:rFonts w:hint="eastAsia" w:ascii="Times New Roman" w:hAnsi="Times New Roman" w:cs="Times New Roman"/>
          <w:sz w:val="28"/>
        </w:rPr>
      </w:pPr>
      <w:r>
        <w:rPr>
          <w:rFonts w:hint="eastAsia" w:ascii="Times New Roman" w:hAnsi="Times New Roman" w:cs="Times New Roman"/>
          <w:sz w:val="36"/>
        </w:rPr>
        <w:t>4. Reuters. (2023, June 15). Nestlé expands plant-based meat distribution in Europe.  https://www.reuters.com/business</w:t>
      </w:r>
    </w:p>
    <w:p>
      <w:pPr>
        <w:snapToGrid w:val="0"/>
        <w:rPr>
          <w:rFonts w:hint="eastAsia" w:ascii="Times New Roman" w:hAnsi="Times New Roman" w:cs="Times New Roman"/>
          <w:sz w:val="28"/>
        </w:rPr>
      </w:pPr>
      <w:r>
        <w:rPr>
          <w:rFonts w:hint="eastAsia" w:ascii="Times New Roman" w:hAnsi="Times New Roman" w:cs="Times New Roman"/>
          <w:sz w:val="36"/>
        </w:rPr>
        <w:t>5. McKinsey &amp; Company. (2022). AI in supply chain: Nestlé Mexico case study. McKinsey Operations Practice.</w:t>
      </w:r>
    </w:p>
    <w:p>
      <w:pPr>
        <w:snapToGrid w:val="0"/>
        <w:rPr>
          <w:rFonts w:hint="eastAsia" w:ascii="Times New Roman" w:hAnsi="Times New Roman" w:cs="Times New Roman"/>
          <w:sz w:val="28"/>
        </w:rPr>
      </w:pPr>
      <w:r>
        <w:rPr>
          <w:rFonts w:hint="eastAsia" w:ascii="Times New Roman" w:hAnsi="Times New Roman" w:cs="Times New Roman"/>
          <w:sz w:val="36"/>
        </w:rPr>
        <w:t>6. USDA. (2023). Brazil coffee production report 2023.  https://www.usda.gov/oce/commodity</w:t>
      </w:r>
    </w:p>
    <w:p>
      <w:pPr>
        <w:snapToGrid w:val="0"/>
        <w:rPr>
          <w:rFonts w:hint="eastAsia" w:ascii="Times New Roman" w:hAnsi="Times New Roman" w:cs="Times New Roman"/>
          <w:sz w:val="28"/>
        </w:rPr>
      </w:pPr>
      <w:r>
        <w:rPr>
          <w:rFonts w:hint="eastAsia" w:ascii="Times New Roman" w:hAnsi="Times New Roman" w:cs="Times New Roman"/>
          <w:sz w:val="36"/>
        </w:rPr>
        <w:t>7. Deloitte. (2023). Global FMCG benchmarking report 2023.  https://www2.deloitte.com/global/en.html</w:t>
      </w:r>
    </w:p>
    <w:p>
      <w:pPr>
        <w:snapToGrid w:val="0"/>
        <w:rPr>
          <w:rFonts w:hint="eastAsia" w:ascii="Times New Roman" w:hAnsi="Times New Roman" w:cs="Times New Roman"/>
          <w:sz w:val="28"/>
        </w:rPr>
      </w:pPr>
      <w:r>
        <w:rPr>
          <w:rFonts w:hint="eastAsia" w:ascii="Times New Roman" w:hAnsi="Times New Roman" w:cs="Times New Roman"/>
          <w:sz w:val="36"/>
        </w:rPr>
        <w:t>8. Financial Times. (2023, January 10). Oatly’s struggle to scale challenges plant-based startups.  https://www.ft.com/content/oatly-scaling</w:t>
      </w:r>
    </w:p>
    <w:p>
      <w:pPr>
        <w:snapToGrid w:val="0"/>
        <w:rPr>
          <w:rFonts w:hint="eastAsia" w:ascii="Times New Roman" w:hAnsi="Times New Roman" w:cs="Times New Roman"/>
          <w:sz w:val="28"/>
        </w:rPr>
      </w:pPr>
    </w:p>
    <w:p>
      <w:pPr>
        <w:snapToGrid w:val="0"/>
        <w:rPr>
          <w:rFonts w:hint="eastAsia" w:ascii="Times New Roman" w:hAnsi="Times New Roman" w:cs="Times New Roman"/>
          <w:sz w:val="28"/>
        </w:rPr>
      </w:pPr>
      <w:r>
        <w:rPr>
          <w:rFonts w:hint="eastAsia" w:ascii="Times New Roman" w:hAnsi="Times New Roman" w:cs="Times New Roman"/>
          <w:sz w:val="36"/>
        </w:rPr>
        <w:t>9. Wall Street Journal. (2022, November 8). Retailer power in FMCG: Walmart’s influence on Nestlé.  https://www.wsj.com/articles</w:t>
      </w:r>
    </w:p>
    <w:p>
      <w:pPr>
        <w:snapToGrid w:val="0"/>
        <w:rPr>
          <w:rFonts w:hint="eastAsia" w:ascii="Times New Roman" w:hAnsi="Times New Roman" w:cs="Times New Roman"/>
          <w:sz w:val="28"/>
        </w:rPr>
      </w:pPr>
      <w:r>
        <w:rPr>
          <w:rFonts w:hint="eastAsia" w:ascii="Times New Roman" w:hAnsi="Times New Roman" w:cs="Times New Roman"/>
          <w:sz w:val="36"/>
        </w:rPr>
        <w:t>10. Nestlé. (2023). Global manufacturing and logistics network.  https://www.nestle.com/aboutus/operations</w:t>
      </w:r>
    </w:p>
    <w:p>
      <w:pPr>
        <w:snapToGrid w:val="0"/>
        <w:rPr>
          <w:rFonts w:hint="eastAsia" w:ascii="Times New Roman" w:hAnsi="Times New Roman" w:cs="Times New Roman"/>
          <w:sz w:val="28"/>
        </w:rPr>
      </w:pPr>
      <w:r>
        <w:rPr>
          <w:rFonts w:hint="eastAsia" w:ascii="Times New Roman" w:hAnsi="Times New Roman" w:cs="Times New Roman"/>
          <w:sz w:val="36"/>
        </w:rPr>
        <w:t>11. WIPO. (2023). Nestlé patents in food technology 2000-2023.  https://patentscope.wipo.int</w:t>
      </w:r>
    </w:p>
    <w:p>
      <w:pPr>
        <w:snapToGrid w:val="0"/>
        <w:rPr>
          <w:rFonts w:hint="eastAsia" w:ascii="Times New Roman" w:hAnsi="Times New Roman" w:cs="Times New Roman"/>
          <w:sz w:val="28"/>
        </w:rPr>
      </w:pPr>
      <w:r>
        <w:rPr>
          <w:rFonts w:hint="eastAsia" w:ascii="Times New Roman" w:hAnsi="Times New Roman" w:cs="Times New Roman"/>
          <w:sz w:val="36"/>
        </w:rPr>
        <w:t>12. Brand Finance. (2023). Global 500 most valuable brands 2023.  https://brandfinance.com/rankings</w:t>
      </w:r>
    </w:p>
    <w:p>
      <w:pPr>
        <w:snapToGrid w:val="0"/>
        <w:rPr>
          <w:rFonts w:hint="eastAsia" w:ascii="Times New Roman" w:hAnsi="Times New Roman" w:cs="Times New Roman"/>
          <w:sz w:val="28"/>
        </w:rPr>
      </w:pPr>
      <w:r>
        <w:rPr>
          <w:rFonts w:hint="eastAsia" w:ascii="Times New Roman" w:hAnsi="Times New Roman" w:cs="Times New Roman"/>
          <w:sz w:val="36"/>
        </w:rPr>
        <w:t>13. Harvard Business Review. (2022). Cross-cultural leadership at Nestlé. HBR, 100(5), 56-63.</w:t>
      </w:r>
    </w:p>
    <w:p>
      <w:pPr>
        <w:snapToGrid w:val="0"/>
        <w:rPr>
          <w:rFonts w:hint="eastAsia" w:ascii="Times New Roman" w:hAnsi="Times New Roman" w:cs="Times New Roman"/>
          <w:sz w:val="28"/>
        </w:rPr>
      </w:pPr>
      <w:r>
        <w:rPr>
          <w:rFonts w:hint="eastAsia" w:ascii="Times New Roman" w:hAnsi="Times New Roman" w:cs="Times New Roman"/>
          <w:sz w:val="36"/>
        </w:rPr>
        <w:t>14. Nestlé. (2022). Accelerating product innovation: R&amp;D pipeline update.  https://www.nestle.com/innovation</w:t>
      </w:r>
    </w:p>
    <w:p>
      <w:pPr>
        <w:snapToGrid w:val="0"/>
        <w:rPr>
          <w:rFonts w:hint="eastAsia" w:ascii="Times New Roman" w:hAnsi="Times New Roman" w:cs="Times New Roman"/>
          <w:sz w:val="28"/>
        </w:rPr>
      </w:pPr>
      <w:r>
        <w:rPr>
          <w:rFonts w:hint="eastAsia" w:ascii="Times New Roman" w:hAnsi="Times New Roman" w:cs="Times New Roman"/>
          <w:sz w:val="36"/>
        </w:rPr>
        <w:t>15. BCG. (2023). Industry 4.0 in food manufacturing: Nestlé Germany. BCG Report.</w:t>
      </w:r>
    </w:p>
    <w:p>
      <w:pPr>
        <w:snapToGrid w:val="0"/>
        <w:rPr>
          <w:rFonts w:hint="eastAsia" w:ascii="Times New Roman" w:hAnsi="Times New Roman" w:cs="Times New Roman"/>
          <w:sz w:val="28"/>
        </w:rPr>
      </w:pPr>
      <w:r>
        <w:rPr>
          <w:rFonts w:hint="eastAsia" w:ascii="Times New Roman" w:hAnsi="Times New Roman" w:cs="Times New Roman"/>
          <w:sz w:val="36"/>
        </w:rPr>
        <w:t>16. Forbes. (2023, May 12). Nespresso’s loyalty program drives premium growth.  https://www.forbes.com/sites/retail</w:t>
      </w:r>
    </w:p>
    <w:p>
      <w:pPr>
        <w:snapToGrid w:val="0"/>
        <w:rPr>
          <w:rFonts w:hint="eastAsia" w:ascii="Times New Roman" w:hAnsi="Times New Roman" w:cs="Times New Roman"/>
          <w:sz w:val="28"/>
        </w:rPr>
      </w:pPr>
      <w:r>
        <w:rPr>
          <w:rFonts w:hint="eastAsia" w:ascii="Times New Roman" w:hAnsi="Times New Roman" w:cs="Times New Roman"/>
          <w:sz w:val="36"/>
        </w:rPr>
        <w:t>17. Porter, M. E. (2008). Competitive strategy: Techniques for analyzing industries and competitors. Free Press.</w:t>
      </w:r>
    </w:p>
    <w:p>
      <w:pPr>
        <w:snapToGrid w:val="0"/>
        <w:rPr>
          <w:rFonts w:hint="eastAsia" w:ascii="Times New Roman" w:hAnsi="Times New Roman" w:cs="Times New Roman"/>
          <w:sz w:val="28"/>
        </w:rPr>
      </w:pPr>
      <w:r>
        <w:rPr>
          <w:rFonts w:hint="eastAsia" w:ascii="Times New Roman" w:hAnsi="Times New Roman" w:cs="Times New Roman"/>
          <w:sz w:val="36"/>
        </w:rPr>
        <w:t>18. Nestlé USA. (2023). Coffee subscription growth in North America.  https://www.nestleusa.com/newsroom</w:t>
      </w:r>
    </w:p>
    <w:p>
      <w:pPr>
        <w:snapToGrid w:val="0"/>
        <w:rPr>
          <w:rFonts w:hint="eastAsia" w:ascii="Times New Roman" w:hAnsi="Times New Roman" w:cs="Times New Roman"/>
          <w:sz w:val="28"/>
        </w:rPr>
      </w:pPr>
      <w:r>
        <w:rPr>
          <w:rFonts w:hint="eastAsia" w:ascii="Times New Roman" w:hAnsi="Times New Roman" w:cs="Times New Roman"/>
          <w:sz w:val="36"/>
        </w:rPr>
        <w:t>19. Food Navigator. (2024, January 15). Nestlé to launch probiotic adult milk powder.  https://www.foodnavigator.com</w:t>
      </w:r>
    </w:p>
    <w:p>
      <w:pPr>
        <w:snapToGrid w:val="0"/>
        <w:rPr>
          <w:rFonts w:hint="eastAsia" w:ascii="Times New Roman" w:hAnsi="Times New Roman" w:cs="Times New Roman"/>
          <w:sz w:val="28"/>
        </w:rPr>
      </w:pPr>
      <w:r>
        <w:rPr>
          <w:rFonts w:hint="eastAsia" w:ascii="Times New Roman" w:hAnsi="Times New Roman" w:cs="Times New Roman"/>
          <w:sz w:val="36"/>
        </w:rPr>
        <w:t>20. M&amp;A Journal. (2018). Nestlé’s acquisition of Atrium Innovations: Strategic rationale. M&amp;A Journal, 22(1), 45-50.</w:t>
      </w:r>
    </w:p>
    <w:p>
      <w:pPr>
        <w:snapToGrid w:val="0"/>
        <w:rPr>
          <w:rFonts w:hint="eastAsia" w:ascii="Times New Roman" w:hAnsi="Times New Roman" w:cs="Times New Roman"/>
          <w:sz w:val="28"/>
        </w:rPr>
      </w:pPr>
      <w:r>
        <w:rPr>
          <w:rFonts w:hint="eastAsia" w:ascii="Times New Roman" w:hAnsi="Times New Roman" w:cs="Times New Roman"/>
          <w:sz w:val="36"/>
        </w:rPr>
        <w:t>21. CDP. (2023). Nestlé’s progress on regenerative agriculture.  https://www.cdp.net/en/scores</w:t>
      </w:r>
    </w:p>
    <w:p>
      <w:pPr>
        <w:snapToGrid w:val="0"/>
        <w:rPr>
          <w:rFonts w:hint="eastAsia" w:ascii="Times New Roman" w:hAnsi="Times New Roman" w:cs="Times New Roman"/>
          <w:sz w:val="28"/>
        </w:rPr>
      </w:pPr>
      <w:r>
        <w:rPr>
          <w:rFonts w:hint="eastAsia" w:ascii="Times New Roman" w:hAnsi="Times New Roman" w:cs="Times New Roman"/>
          <w:sz w:val="36"/>
        </w:rPr>
        <w:t>22. Carbon Trust. (2023). Scope 3 emissions in FMCG logistics.  https://www.carbontrust.com/resources</w:t>
      </w:r>
    </w:p>
    <w:p>
      <w:pPr>
        <w:snapToGrid w:val="0"/>
        <w:rPr>
          <w:rFonts w:hint="eastAsia" w:ascii="Times New Roman" w:hAnsi="Times New Roman" w:cs="Times New Roman"/>
          <w:sz w:val="28"/>
        </w:rPr>
      </w:pPr>
      <w:r>
        <w:rPr>
          <w:rFonts w:hint="eastAsia" w:ascii="Times New Roman" w:hAnsi="Times New Roman" w:cs="Times New Roman"/>
          <w:sz w:val="36"/>
        </w:rPr>
        <w:t>23. Unilever. (2022). Indonesia packaging recycling initiative: Lessons learned.  https://www.unilever.com/sustainability</w:t>
      </w:r>
    </w:p>
    <w:p>
      <w:pPr>
        <w:snapToGrid w:val="0"/>
        <w:rPr>
          <w:rFonts w:hint="eastAsia" w:ascii="Times New Roman" w:hAnsi="Times New Roman" w:cs="Times New Roman"/>
          <w:sz w:val="36"/>
        </w:rPr>
      </w:pPr>
      <w:r>
        <w:rPr>
          <w:rFonts w:hint="eastAsia" w:ascii="Times New Roman" w:hAnsi="Times New Roman" w:cs="Times New Roman"/>
          <w:sz w:val="36"/>
        </w:rPr>
        <w:t>24. FAO. (2022). Sustainable dairy value chains in Africa. FAO Animal Production and Health Paper No. 22.</w:t>
      </w:r>
    </w:p>
    <w:sectPr>
      <w:pgSz w:w="11900" w:h="16840"/>
      <w:pgMar w:top="1440" w:right="1800" w:bottom="1440" w:left="1800" w:header="851" w:footer="992" w:gutter="0"/>
      <w:cols w:space="425" w:num="1"/>
      <w:docGrid w:type="lines" w:linePitch="312" w:charSpace="0"/>
    </w:sectPr>
  </w:body>
</w:document>
</file>

<file path=tbak/modified.xml>Fri Mar 21 16:44:25 2025
save:Fri Mar 21 16:44:39 2025

</file>