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1D9710" w14:textId="50F5F2A3" w:rsidR="00B848AC" w:rsidRPr="008E414B" w:rsidRDefault="00F52EA1">
      <w:pPr>
        <w:rPr>
          <w:rFonts w:ascii="Arial" w:hAnsi="Arial" w:cs="Arial"/>
          <w:sz w:val="40"/>
          <w:szCs w:val="40"/>
        </w:rPr>
      </w:pPr>
      <w:r w:rsidRPr="008E414B">
        <w:rPr>
          <w:rFonts w:ascii="Arial" w:hAnsi="Arial" w:cs="Arial"/>
          <w:b/>
          <w:bCs/>
          <w:sz w:val="40"/>
          <w:szCs w:val="40"/>
        </w:rPr>
        <w:t>Name:</w:t>
      </w:r>
      <w:r w:rsidRPr="008E414B">
        <w:rPr>
          <w:rFonts w:ascii="Arial" w:hAnsi="Arial" w:cs="Arial"/>
          <w:sz w:val="40"/>
          <w:szCs w:val="40"/>
        </w:rPr>
        <w:t xml:space="preserve"> Salhma Parveen</w:t>
      </w:r>
    </w:p>
    <w:p w14:paraId="33A38F5A" w14:textId="075ECEE2" w:rsidR="00F52EA1" w:rsidRPr="008E414B" w:rsidRDefault="00F52EA1">
      <w:pPr>
        <w:rPr>
          <w:rFonts w:ascii="Arial" w:hAnsi="Arial" w:cs="Arial"/>
          <w:sz w:val="40"/>
          <w:szCs w:val="40"/>
        </w:rPr>
      </w:pPr>
      <w:r w:rsidRPr="008E414B">
        <w:rPr>
          <w:rFonts w:ascii="Arial" w:hAnsi="Arial" w:cs="Arial"/>
          <w:b/>
          <w:bCs/>
          <w:sz w:val="40"/>
          <w:szCs w:val="40"/>
        </w:rPr>
        <w:t>Student ID:</w:t>
      </w:r>
      <w:r w:rsidRPr="008E414B">
        <w:rPr>
          <w:rFonts w:ascii="Arial" w:hAnsi="Arial" w:cs="Arial"/>
          <w:sz w:val="40"/>
          <w:szCs w:val="40"/>
        </w:rPr>
        <w:t xml:space="preserve"> 2315839</w:t>
      </w:r>
    </w:p>
    <w:p w14:paraId="5E10CAD3" w14:textId="235FE75E" w:rsidR="00F52EA1" w:rsidRPr="008E414B" w:rsidRDefault="00F52EA1">
      <w:pPr>
        <w:rPr>
          <w:rFonts w:ascii="Arial" w:hAnsi="Arial" w:cs="Arial"/>
          <w:sz w:val="40"/>
          <w:szCs w:val="40"/>
        </w:rPr>
      </w:pPr>
      <w:r w:rsidRPr="008E414B">
        <w:rPr>
          <w:rFonts w:ascii="Arial" w:hAnsi="Arial" w:cs="Arial"/>
          <w:b/>
          <w:bCs/>
          <w:sz w:val="40"/>
          <w:szCs w:val="40"/>
        </w:rPr>
        <w:t>Programme:</w:t>
      </w:r>
      <w:r w:rsidRPr="008E414B">
        <w:rPr>
          <w:rFonts w:ascii="Arial" w:hAnsi="Arial" w:cs="Arial"/>
          <w:sz w:val="40"/>
          <w:szCs w:val="40"/>
        </w:rPr>
        <w:t xml:space="preserve"> BSc (Hons) Health and Social Care</w:t>
      </w:r>
    </w:p>
    <w:p w14:paraId="3177D49E" w14:textId="166A1B8C" w:rsidR="00F52EA1" w:rsidRPr="008E414B" w:rsidRDefault="00F52EA1">
      <w:pPr>
        <w:rPr>
          <w:rFonts w:ascii="Arial" w:hAnsi="Arial" w:cs="Arial"/>
          <w:sz w:val="40"/>
          <w:szCs w:val="40"/>
        </w:rPr>
      </w:pPr>
      <w:r w:rsidRPr="008E414B">
        <w:rPr>
          <w:rFonts w:ascii="Arial" w:hAnsi="Arial" w:cs="Arial"/>
          <w:b/>
          <w:bCs/>
          <w:sz w:val="40"/>
          <w:szCs w:val="40"/>
        </w:rPr>
        <w:t>Module:</w:t>
      </w:r>
      <w:r w:rsidRPr="008E414B">
        <w:rPr>
          <w:rFonts w:ascii="Arial" w:hAnsi="Arial" w:cs="Arial"/>
          <w:sz w:val="40"/>
          <w:szCs w:val="40"/>
        </w:rPr>
        <w:t xml:space="preserve"> Empowering the Older Person</w:t>
      </w:r>
    </w:p>
    <w:p w14:paraId="613CD356" w14:textId="7584826D" w:rsidR="00F52EA1" w:rsidRPr="008E414B" w:rsidRDefault="00F52EA1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  <w:r w:rsidRPr="008E414B">
        <w:rPr>
          <w:rFonts w:ascii="Arial" w:hAnsi="Arial" w:cs="Arial"/>
          <w:b/>
          <w:bCs/>
          <w:sz w:val="40"/>
          <w:szCs w:val="40"/>
        </w:rPr>
        <w:t>Module Code:</w:t>
      </w:r>
      <w:r w:rsidRPr="008E414B">
        <w:rPr>
          <w:rFonts w:ascii="Arial" w:hAnsi="Arial" w:cs="Arial"/>
          <w:sz w:val="40"/>
          <w:szCs w:val="40"/>
        </w:rPr>
        <w:t xml:space="preserve"> </w:t>
      </w:r>
      <w:r w:rsidRPr="008E414B">
        <w:rPr>
          <w:rFonts w:ascii="Arial" w:hAnsi="Arial" w:cs="Arial"/>
          <w:bCs/>
          <w:sz w:val="40"/>
          <w:szCs w:val="40"/>
        </w:rPr>
        <w:t>BMHP6027</w:t>
      </w:r>
    </w:p>
    <w:p w14:paraId="3B608D20" w14:textId="3245BCE5" w:rsidR="007C76D8" w:rsidRPr="008E414B" w:rsidRDefault="007C76D8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  <w:r w:rsidRPr="008E414B">
        <w:rPr>
          <w:rFonts w:ascii="Arial" w:hAnsi="Arial" w:cs="Arial"/>
          <w:b/>
          <w:sz w:val="40"/>
          <w:szCs w:val="40"/>
        </w:rPr>
        <w:t>Assignment Title:</w:t>
      </w:r>
      <w:r w:rsidRPr="008E414B">
        <w:rPr>
          <w:rFonts w:ascii="Arial" w:hAnsi="Arial" w:cs="Arial"/>
          <w:bCs/>
          <w:sz w:val="40"/>
          <w:szCs w:val="40"/>
        </w:rPr>
        <w:t xml:space="preserve"> </w:t>
      </w:r>
      <w:r w:rsidRPr="008E414B">
        <w:rPr>
          <w:rFonts w:ascii="Arial" w:hAnsi="Arial" w:cs="Arial"/>
          <w:sz w:val="40"/>
          <w:szCs w:val="40"/>
        </w:rPr>
        <w:t>Component 2: Debate / Discussion</w:t>
      </w:r>
    </w:p>
    <w:p w14:paraId="62BB2827" w14:textId="36963386" w:rsidR="00F52EA1" w:rsidRDefault="00F52EA1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  <w:r w:rsidRPr="008E414B">
        <w:rPr>
          <w:rFonts w:ascii="Arial" w:hAnsi="Arial" w:cs="Arial"/>
          <w:b/>
          <w:sz w:val="40"/>
          <w:szCs w:val="40"/>
        </w:rPr>
        <w:t>Lecturer:</w:t>
      </w:r>
      <w:r w:rsidRPr="008E414B">
        <w:rPr>
          <w:rFonts w:ascii="Arial" w:hAnsi="Arial" w:cs="Arial"/>
          <w:bCs/>
          <w:sz w:val="40"/>
          <w:szCs w:val="40"/>
        </w:rPr>
        <w:t xml:space="preserve"> </w:t>
      </w:r>
      <w:r w:rsidR="007C76D8" w:rsidRPr="008E414B">
        <w:rPr>
          <w:rFonts w:ascii="Arial" w:hAnsi="Arial" w:cs="Arial"/>
          <w:bCs/>
          <w:sz w:val="40"/>
          <w:szCs w:val="40"/>
        </w:rPr>
        <w:t xml:space="preserve">Tommy </w:t>
      </w:r>
      <w:r w:rsidR="008E414B" w:rsidRPr="008E414B">
        <w:rPr>
          <w:rFonts w:ascii="Arial" w:hAnsi="Arial" w:cs="Arial"/>
          <w:bCs/>
          <w:sz w:val="40"/>
          <w:szCs w:val="40"/>
        </w:rPr>
        <w:t>Ada</w:t>
      </w:r>
      <w:r w:rsidR="00396F3E">
        <w:rPr>
          <w:rFonts w:ascii="Arial" w:hAnsi="Arial" w:cs="Arial"/>
          <w:bCs/>
          <w:sz w:val="40"/>
          <w:szCs w:val="40"/>
        </w:rPr>
        <w:t>t</w:t>
      </w:r>
      <w:r w:rsidR="008E414B" w:rsidRPr="008E414B">
        <w:rPr>
          <w:rFonts w:ascii="Arial" w:hAnsi="Arial" w:cs="Arial"/>
          <w:bCs/>
          <w:sz w:val="40"/>
          <w:szCs w:val="40"/>
        </w:rPr>
        <w:t>tu Cha</w:t>
      </w:r>
      <w:r w:rsidR="00F739CC">
        <w:rPr>
          <w:rFonts w:ascii="Arial" w:hAnsi="Arial" w:cs="Arial"/>
          <w:bCs/>
          <w:sz w:val="40"/>
          <w:szCs w:val="40"/>
        </w:rPr>
        <w:t>c</w:t>
      </w:r>
      <w:r w:rsidR="008E414B" w:rsidRPr="008E414B">
        <w:rPr>
          <w:rFonts w:ascii="Arial" w:hAnsi="Arial" w:cs="Arial"/>
          <w:bCs/>
          <w:sz w:val="40"/>
          <w:szCs w:val="40"/>
        </w:rPr>
        <w:t>k</w:t>
      </w:r>
      <w:r w:rsidR="00F739CC">
        <w:rPr>
          <w:rFonts w:ascii="Arial" w:hAnsi="Arial" w:cs="Arial"/>
          <w:bCs/>
          <w:sz w:val="40"/>
          <w:szCs w:val="40"/>
        </w:rPr>
        <w:t>o</w:t>
      </w:r>
    </w:p>
    <w:p w14:paraId="25DAE2AC" w14:textId="77777777" w:rsidR="00F739CC" w:rsidRDefault="00F739CC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</w:p>
    <w:p w14:paraId="200D5C90" w14:textId="77777777" w:rsidR="00F739CC" w:rsidRDefault="00F739CC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</w:p>
    <w:p w14:paraId="3D52075A" w14:textId="77777777" w:rsidR="00F739CC" w:rsidRDefault="00F739CC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</w:p>
    <w:p w14:paraId="47711451" w14:textId="77777777" w:rsidR="00F739CC" w:rsidRDefault="00F739CC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</w:p>
    <w:p w14:paraId="27234C70" w14:textId="77777777" w:rsidR="00F739CC" w:rsidRDefault="00F739CC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</w:p>
    <w:p w14:paraId="57D4FD73" w14:textId="77777777" w:rsidR="00F739CC" w:rsidRDefault="00F739CC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</w:p>
    <w:p w14:paraId="63A6EB68" w14:textId="77777777" w:rsidR="00F739CC" w:rsidRDefault="00F739CC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</w:p>
    <w:p w14:paraId="7CF34ABF" w14:textId="77777777" w:rsidR="00F739CC" w:rsidRDefault="00F739CC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</w:p>
    <w:p w14:paraId="1643E704" w14:textId="77777777" w:rsidR="00F739CC" w:rsidRDefault="00F739CC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</w:p>
    <w:p w14:paraId="5F0B8CEA" w14:textId="77777777" w:rsidR="00F739CC" w:rsidRDefault="00F739CC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</w:p>
    <w:p w14:paraId="35A10345" w14:textId="77777777" w:rsidR="00F739CC" w:rsidRDefault="00F739CC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</w:p>
    <w:p w14:paraId="17CF29F4" w14:textId="77777777" w:rsidR="00F739CC" w:rsidRDefault="00F739CC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</w:p>
    <w:p w14:paraId="063A72BB" w14:textId="77777777" w:rsidR="00F739CC" w:rsidRDefault="00F739CC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</w:p>
    <w:p w14:paraId="1A436925" w14:textId="77777777" w:rsidR="00F739CC" w:rsidRDefault="00F739CC" w:rsidP="00F52EA1">
      <w:pPr>
        <w:spacing w:before="120" w:after="120"/>
        <w:rPr>
          <w:rFonts w:ascii="Arial" w:hAnsi="Arial" w:cs="Arial"/>
          <w:bCs/>
          <w:sz w:val="40"/>
          <w:szCs w:val="40"/>
        </w:rPr>
      </w:pPr>
    </w:p>
    <w:p w14:paraId="650B134F" w14:textId="6EF49BCE" w:rsidR="00F739CC" w:rsidRDefault="008D4DF3" w:rsidP="00F52EA1">
      <w:pPr>
        <w:spacing w:before="120" w:after="120"/>
        <w:rPr>
          <w:rFonts w:ascii="Arial" w:hAnsi="Arial" w:cs="Arial"/>
          <w:b/>
          <w:sz w:val="40"/>
          <w:szCs w:val="40"/>
          <w:u w:val="single"/>
        </w:rPr>
      </w:pPr>
      <w:r w:rsidRPr="001E4BA0">
        <w:rPr>
          <w:rFonts w:ascii="Arial" w:hAnsi="Arial" w:cs="Arial"/>
          <w:b/>
          <w:sz w:val="40"/>
          <w:szCs w:val="40"/>
          <w:u w:val="single"/>
        </w:rPr>
        <w:lastRenderedPageBreak/>
        <w:t>Reference List</w:t>
      </w:r>
    </w:p>
    <w:p w14:paraId="594FB14D" w14:textId="77777777" w:rsidR="001E4BA0" w:rsidRDefault="001E4BA0" w:rsidP="00F52EA1">
      <w:pPr>
        <w:spacing w:before="120" w:after="120"/>
        <w:rPr>
          <w:rFonts w:ascii="Arial" w:hAnsi="Arial" w:cs="Arial"/>
          <w:bCs/>
          <w:sz w:val="24"/>
          <w:szCs w:val="24"/>
        </w:rPr>
      </w:pPr>
    </w:p>
    <w:p w14:paraId="1A584E81" w14:textId="180D1E6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Age UK (2023)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Digital inclusion and older people</w:t>
      </w:r>
      <w:r w:rsidRPr="00EA1CD5">
        <w:rPr>
          <w:rFonts w:ascii="Arial" w:hAnsi="Arial" w:cs="Arial"/>
          <w:bCs/>
          <w:sz w:val="24"/>
          <w:szCs w:val="24"/>
        </w:rPr>
        <w:t xml:space="preserve">. Available at: </w:t>
      </w:r>
      <w:hyperlink r:id="rId4" w:tgtFrame="_new" w:history="1">
        <w:r w:rsidRPr="00EA1CD5">
          <w:rPr>
            <w:rStyle w:val="Hyperlink"/>
            <w:rFonts w:ascii="Arial" w:hAnsi="Arial" w:cs="Arial"/>
            <w:bCs/>
            <w:sz w:val="24"/>
            <w:szCs w:val="24"/>
          </w:rPr>
          <w:t>https://www.ageuk.org.uk</w:t>
        </w:r>
      </w:hyperlink>
      <w:r w:rsidRPr="00EA1CD5">
        <w:rPr>
          <w:rFonts w:ascii="Arial" w:hAnsi="Arial" w:cs="Arial"/>
          <w:bCs/>
          <w:sz w:val="24"/>
          <w:szCs w:val="24"/>
        </w:rPr>
        <w:t xml:space="preserve"> (Accessed: </w:t>
      </w:r>
      <w:r w:rsidR="008D6A31">
        <w:rPr>
          <w:rFonts w:ascii="Arial" w:hAnsi="Arial" w:cs="Arial"/>
          <w:bCs/>
          <w:sz w:val="24"/>
          <w:szCs w:val="24"/>
        </w:rPr>
        <w:t>14</w:t>
      </w:r>
      <w:r w:rsidRPr="00EA1CD5">
        <w:rPr>
          <w:rFonts w:ascii="Arial" w:hAnsi="Arial" w:cs="Arial"/>
          <w:bCs/>
          <w:sz w:val="24"/>
          <w:szCs w:val="24"/>
        </w:rPr>
        <w:t xml:space="preserve"> March 2026).</w:t>
      </w:r>
    </w:p>
    <w:p w14:paraId="48C86ED3" w14:textId="7777777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>Ben-</w:t>
      </w:r>
      <w:proofErr w:type="spellStart"/>
      <w:r w:rsidRPr="00EA1CD5">
        <w:rPr>
          <w:rFonts w:ascii="Arial" w:hAnsi="Arial" w:cs="Arial"/>
          <w:bCs/>
          <w:sz w:val="24"/>
          <w:szCs w:val="24"/>
        </w:rPr>
        <w:t>Assuli</w:t>
      </w:r>
      <w:proofErr w:type="spellEnd"/>
      <w:r w:rsidRPr="00EA1CD5">
        <w:rPr>
          <w:rFonts w:ascii="Arial" w:hAnsi="Arial" w:cs="Arial"/>
          <w:bCs/>
          <w:sz w:val="24"/>
          <w:szCs w:val="24"/>
        </w:rPr>
        <w:t xml:space="preserve">, O. (2022) ‘Telemedicine and healthcare accessibility’,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Health Policy and Technology</w:t>
      </w:r>
      <w:r w:rsidRPr="00EA1CD5">
        <w:rPr>
          <w:rFonts w:ascii="Arial" w:hAnsi="Arial" w:cs="Arial"/>
          <w:bCs/>
          <w:sz w:val="24"/>
          <w:szCs w:val="24"/>
        </w:rPr>
        <w:t>, 11(2), pp. 1–7.</w:t>
      </w:r>
    </w:p>
    <w:p w14:paraId="4C5064D3" w14:textId="7777777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>Care Act 2014. London: The Stationery Office.</w:t>
      </w:r>
    </w:p>
    <w:p w14:paraId="4338DA21" w14:textId="7777777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Davies, A. and Clark, R. (2020) ‘Digital healthcare and elderly patient access’,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Ageing and Society</w:t>
      </w:r>
      <w:r w:rsidRPr="00EA1CD5">
        <w:rPr>
          <w:rFonts w:ascii="Arial" w:hAnsi="Arial" w:cs="Arial"/>
          <w:bCs/>
          <w:sz w:val="24"/>
          <w:szCs w:val="24"/>
        </w:rPr>
        <w:t>, 40(7), pp. 1500–1515.</w:t>
      </w:r>
    </w:p>
    <w:p w14:paraId="7714F7E8" w14:textId="7777777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Department of Health and Social Care (2022)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Health and Care Act 2022</w:t>
      </w:r>
      <w:r w:rsidRPr="00EA1CD5">
        <w:rPr>
          <w:rFonts w:ascii="Arial" w:hAnsi="Arial" w:cs="Arial"/>
          <w:bCs/>
          <w:sz w:val="24"/>
          <w:szCs w:val="24"/>
        </w:rPr>
        <w:t>. London: The Stationery Office.</w:t>
      </w:r>
    </w:p>
    <w:p w14:paraId="7A7769E7" w14:textId="61F53FC0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Digital Health and Care Alliance (2023)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Digital technology in health and social care</w:t>
      </w:r>
      <w:r w:rsidRPr="00EA1CD5">
        <w:rPr>
          <w:rFonts w:ascii="Arial" w:hAnsi="Arial" w:cs="Arial"/>
          <w:bCs/>
          <w:sz w:val="24"/>
          <w:szCs w:val="24"/>
        </w:rPr>
        <w:t xml:space="preserve">. Available at: https://www.dhaca.org.uk (Accessed: </w:t>
      </w:r>
      <w:r w:rsidR="008D6A31">
        <w:rPr>
          <w:rFonts w:ascii="Arial" w:hAnsi="Arial" w:cs="Arial"/>
          <w:bCs/>
          <w:sz w:val="24"/>
          <w:szCs w:val="24"/>
        </w:rPr>
        <w:t>14</w:t>
      </w:r>
      <w:r w:rsidRPr="00EA1CD5">
        <w:rPr>
          <w:rFonts w:ascii="Arial" w:hAnsi="Arial" w:cs="Arial"/>
          <w:bCs/>
          <w:sz w:val="24"/>
          <w:szCs w:val="24"/>
        </w:rPr>
        <w:t xml:space="preserve"> March 2026).</w:t>
      </w:r>
    </w:p>
    <w:p w14:paraId="5226AF0A" w14:textId="5E49C7F8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GOV.UK (2021)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Harnessing technology for the long-term sustainability of the UK’s healthcare system</w:t>
      </w:r>
      <w:r w:rsidRPr="00EA1CD5">
        <w:rPr>
          <w:rFonts w:ascii="Arial" w:hAnsi="Arial" w:cs="Arial"/>
          <w:bCs/>
          <w:sz w:val="24"/>
          <w:szCs w:val="24"/>
        </w:rPr>
        <w:t xml:space="preserve">. Available at: </w:t>
      </w:r>
      <w:hyperlink r:id="rId5" w:tgtFrame="_new" w:history="1">
        <w:r w:rsidRPr="00EA1CD5">
          <w:rPr>
            <w:rStyle w:val="Hyperlink"/>
            <w:rFonts w:ascii="Arial" w:hAnsi="Arial" w:cs="Arial"/>
            <w:bCs/>
            <w:sz w:val="24"/>
            <w:szCs w:val="24"/>
          </w:rPr>
          <w:t>https://www.gov.uk/government/publications/harnessing-technology-for-the-long-term-sustainability-of-the-uks-healthcare-system</w:t>
        </w:r>
      </w:hyperlink>
      <w:r w:rsidRPr="00EA1CD5">
        <w:rPr>
          <w:rFonts w:ascii="Arial" w:hAnsi="Arial" w:cs="Arial"/>
          <w:bCs/>
          <w:sz w:val="24"/>
          <w:szCs w:val="24"/>
        </w:rPr>
        <w:t xml:space="preserve"> (Accessed: </w:t>
      </w:r>
      <w:r w:rsidR="00294CA1">
        <w:rPr>
          <w:rFonts w:ascii="Arial" w:hAnsi="Arial" w:cs="Arial"/>
          <w:bCs/>
          <w:sz w:val="24"/>
          <w:szCs w:val="24"/>
        </w:rPr>
        <w:t xml:space="preserve">14 </w:t>
      </w:r>
      <w:r w:rsidRPr="00EA1CD5">
        <w:rPr>
          <w:rFonts w:ascii="Arial" w:hAnsi="Arial" w:cs="Arial"/>
          <w:bCs/>
          <w:sz w:val="24"/>
          <w:szCs w:val="24"/>
        </w:rPr>
        <w:t>March 2026).</w:t>
      </w:r>
    </w:p>
    <w:p w14:paraId="3115F0AB" w14:textId="7777777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Greenhalgh, T., </w:t>
      </w:r>
      <w:proofErr w:type="spellStart"/>
      <w:r w:rsidRPr="00EA1CD5">
        <w:rPr>
          <w:rFonts w:ascii="Arial" w:hAnsi="Arial" w:cs="Arial"/>
          <w:bCs/>
          <w:sz w:val="24"/>
          <w:szCs w:val="24"/>
        </w:rPr>
        <w:t>Wherton</w:t>
      </w:r>
      <w:proofErr w:type="spellEnd"/>
      <w:r w:rsidRPr="00EA1CD5">
        <w:rPr>
          <w:rFonts w:ascii="Arial" w:hAnsi="Arial" w:cs="Arial"/>
          <w:bCs/>
          <w:sz w:val="24"/>
          <w:szCs w:val="24"/>
        </w:rPr>
        <w:t xml:space="preserve">, J., Shaw, S. and Morrison, C. (2020) ‘Video consultations for COVID-19’,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BMJ</w:t>
      </w:r>
      <w:r w:rsidRPr="00EA1CD5">
        <w:rPr>
          <w:rFonts w:ascii="Arial" w:hAnsi="Arial" w:cs="Arial"/>
          <w:bCs/>
          <w:sz w:val="24"/>
          <w:szCs w:val="24"/>
        </w:rPr>
        <w:t>, 368, m998.</w:t>
      </w:r>
    </w:p>
    <w:p w14:paraId="31BEA863" w14:textId="57541DB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Health Foundation (2023)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The role of digital technology in improving health care</w:t>
      </w:r>
      <w:r w:rsidRPr="00EA1CD5">
        <w:rPr>
          <w:rFonts w:ascii="Arial" w:hAnsi="Arial" w:cs="Arial"/>
          <w:bCs/>
          <w:sz w:val="24"/>
          <w:szCs w:val="24"/>
        </w:rPr>
        <w:t xml:space="preserve">. Available at: </w:t>
      </w:r>
      <w:hyperlink r:id="rId6" w:tgtFrame="_new" w:history="1">
        <w:r w:rsidRPr="00EA1CD5">
          <w:rPr>
            <w:rStyle w:val="Hyperlink"/>
            <w:rFonts w:ascii="Arial" w:hAnsi="Arial" w:cs="Arial"/>
            <w:bCs/>
            <w:sz w:val="24"/>
            <w:szCs w:val="24"/>
          </w:rPr>
          <w:t>https://www.health.org.uk</w:t>
        </w:r>
      </w:hyperlink>
      <w:r w:rsidRPr="00EA1CD5">
        <w:rPr>
          <w:rFonts w:ascii="Arial" w:hAnsi="Arial" w:cs="Arial"/>
          <w:bCs/>
          <w:sz w:val="24"/>
          <w:szCs w:val="24"/>
        </w:rPr>
        <w:t xml:space="preserve"> (Accessed: </w:t>
      </w:r>
      <w:r w:rsidR="00294CA1">
        <w:rPr>
          <w:rFonts w:ascii="Arial" w:hAnsi="Arial" w:cs="Arial"/>
          <w:bCs/>
          <w:sz w:val="24"/>
          <w:szCs w:val="24"/>
        </w:rPr>
        <w:t>14</w:t>
      </w:r>
      <w:r w:rsidRPr="00EA1CD5">
        <w:rPr>
          <w:rFonts w:ascii="Arial" w:hAnsi="Arial" w:cs="Arial"/>
          <w:bCs/>
          <w:sz w:val="24"/>
          <w:szCs w:val="24"/>
        </w:rPr>
        <w:t xml:space="preserve"> March 2026).</w:t>
      </w:r>
    </w:p>
    <w:p w14:paraId="7A4EB6C0" w14:textId="7777777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Kruse, C.S., Karem, P., Shifflett, K., Vegi, L., Ravi, K. and Brooks, M. (2018) ‘Evaluating barriers to adopting telemedicine worldwide’,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Journal of Telemedicine and Telecare</w:t>
      </w:r>
      <w:r w:rsidRPr="00EA1CD5">
        <w:rPr>
          <w:rFonts w:ascii="Arial" w:hAnsi="Arial" w:cs="Arial"/>
          <w:bCs/>
          <w:sz w:val="24"/>
          <w:szCs w:val="24"/>
        </w:rPr>
        <w:t>, 24(1), pp. 4–12.</w:t>
      </w:r>
    </w:p>
    <w:p w14:paraId="38C5ED52" w14:textId="7777777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>Mental Capacity Act 2005. London: The Stationery Office.</w:t>
      </w:r>
    </w:p>
    <w:p w14:paraId="1C2E2926" w14:textId="19ACCE8A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NHS England (2022)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Appointments in general practice, England</w:t>
      </w:r>
      <w:r w:rsidRPr="00EA1CD5">
        <w:rPr>
          <w:rFonts w:ascii="Arial" w:hAnsi="Arial" w:cs="Arial"/>
          <w:bCs/>
          <w:sz w:val="24"/>
          <w:szCs w:val="24"/>
        </w:rPr>
        <w:t xml:space="preserve">. Available at: </w:t>
      </w:r>
      <w:hyperlink r:id="rId7" w:tgtFrame="_new" w:history="1">
        <w:r w:rsidRPr="00EA1CD5">
          <w:rPr>
            <w:rStyle w:val="Hyperlink"/>
            <w:rFonts w:ascii="Arial" w:hAnsi="Arial" w:cs="Arial"/>
            <w:bCs/>
            <w:sz w:val="24"/>
            <w:szCs w:val="24"/>
          </w:rPr>
          <w:t>https://digital.nhs.uk/data-and-information/publications/statistical/appointments-in-general-practice</w:t>
        </w:r>
      </w:hyperlink>
      <w:r w:rsidRPr="00EA1CD5">
        <w:rPr>
          <w:rFonts w:ascii="Arial" w:hAnsi="Arial" w:cs="Arial"/>
          <w:bCs/>
          <w:sz w:val="24"/>
          <w:szCs w:val="24"/>
        </w:rPr>
        <w:t xml:space="preserve"> (Accessed: </w:t>
      </w:r>
      <w:r w:rsidR="00294CA1">
        <w:rPr>
          <w:rFonts w:ascii="Arial" w:hAnsi="Arial" w:cs="Arial"/>
          <w:bCs/>
          <w:sz w:val="24"/>
          <w:szCs w:val="24"/>
        </w:rPr>
        <w:t>14</w:t>
      </w:r>
      <w:r w:rsidRPr="00EA1CD5">
        <w:rPr>
          <w:rFonts w:ascii="Arial" w:hAnsi="Arial" w:cs="Arial"/>
          <w:bCs/>
          <w:sz w:val="24"/>
          <w:szCs w:val="24"/>
        </w:rPr>
        <w:t xml:space="preserve"> March 2026).</w:t>
      </w:r>
    </w:p>
    <w:p w14:paraId="31ED5FC9" w14:textId="02D4D9F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Office for National Statistics (2023)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Internet access and digital inequality in the UK</w:t>
      </w:r>
      <w:r w:rsidRPr="00EA1CD5">
        <w:rPr>
          <w:rFonts w:ascii="Arial" w:hAnsi="Arial" w:cs="Arial"/>
          <w:bCs/>
          <w:sz w:val="24"/>
          <w:szCs w:val="24"/>
        </w:rPr>
        <w:t xml:space="preserve">. Available at: </w:t>
      </w:r>
      <w:hyperlink r:id="rId8" w:tgtFrame="_new" w:history="1">
        <w:r w:rsidRPr="00EA1CD5">
          <w:rPr>
            <w:rStyle w:val="Hyperlink"/>
            <w:rFonts w:ascii="Arial" w:hAnsi="Arial" w:cs="Arial"/>
            <w:bCs/>
            <w:sz w:val="24"/>
            <w:szCs w:val="24"/>
          </w:rPr>
          <w:t>https://www.ons.gov.uk</w:t>
        </w:r>
      </w:hyperlink>
      <w:r w:rsidRPr="00EA1CD5">
        <w:rPr>
          <w:rFonts w:ascii="Arial" w:hAnsi="Arial" w:cs="Arial"/>
          <w:bCs/>
          <w:sz w:val="24"/>
          <w:szCs w:val="24"/>
        </w:rPr>
        <w:t xml:space="preserve"> (Accessed: </w:t>
      </w:r>
      <w:r>
        <w:rPr>
          <w:rFonts w:ascii="Arial" w:hAnsi="Arial" w:cs="Arial"/>
          <w:bCs/>
          <w:sz w:val="24"/>
          <w:szCs w:val="24"/>
        </w:rPr>
        <w:t>14</w:t>
      </w:r>
      <w:r w:rsidRPr="00EA1CD5">
        <w:rPr>
          <w:rFonts w:ascii="Arial" w:hAnsi="Arial" w:cs="Arial"/>
          <w:bCs/>
          <w:sz w:val="24"/>
          <w:szCs w:val="24"/>
        </w:rPr>
        <w:t xml:space="preserve"> March 2026).</w:t>
      </w:r>
    </w:p>
    <w:p w14:paraId="7A8078B5" w14:textId="7777777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Osborne, M. (2022)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Assistive technology and devices for those living with dementia and Alzheimer’s</w:t>
      </w:r>
      <w:r w:rsidRPr="00EA1CD5">
        <w:rPr>
          <w:rFonts w:ascii="Arial" w:hAnsi="Arial" w:cs="Arial"/>
          <w:bCs/>
          <w:sz w:val="24"/>
          <w:szCs w:val="24"/>
        </w:rPr>
        <w:t>.</w:t>
      </w:r>
    </w:p>
    <w:p w14:paraId="2DA3BE07" w14:textId="7777777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Parker, S., Prince, A., Thomas, L. and Song, H. (2021) ‘Impact of telehealth on older adults’,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BMC Health Services Research</w:t>
      </w:r>
      <w:r w:rsidRPr="00EA1CD5">
        <w:rPr>
          <w:rFonts w:ascii="Arial" w:hAnsi="Arial" w:cs="Arial"/>
          <w:bCs/>
          <w:sz w:val="24"/>
          <w:szCs w:val="24"/>
        </w:rPr>
        <w:t>, 21(1), pp. 1–9.</w:t>
      </w:r>
    </w:p>
    <w:p w14:paraId="7DBDD932" w14:textId="7777777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Shaw, J., Brewer, L.C., Veinot, T. and Ancker, J.S. (2021) ‘Digital health and patient data security’,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Journal of Medical Internet Research</w:t>
      </w:r>
      <w:r w:rsidRPr="00EA1CD5">
        <w:rPr>
          <w:rFonts w:ascii="Arial" w:hAnsi="Arial" w:cs="Arial"/>
          <w:bCs/>
          <w:sz w:val="24"/>
          <w:szCs w:val="24"/>
        </w:rPr>
        <w:t>, 23(7), e23490.</w:t>
      </w:r>
    </w:p>
    <w:p w14:paraId="77425E61" w14:textId="7777777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lastRenderedPageBreak/>
        <w:t xml:space="preserve">Smith, A., Thomas, E., </w:t>
      </w:r>
      <w:proofErr w:type="spellStart"/>
      <w:r w:rsidRPr="00EA1CD5">
        <w:rPr>
          <w:rFonts w:ascii="Arial" w:hAnsi="Arial" w:cs="Arial"/>
          <w:bCs/>
          <w:sz w:val="24"/>
          <w:szCs w:val="24"/>
        </w:rPr>
        <w:t>Snoswell</w:t>
      </w:r>
      <w:proofErr w:type="spellEnd"/>
      <w:r w:rsidRPr="00EA1CD5">
        <w:rPr>
          <w:rFonts w:ascii="Arial" w:hAnsi="Arial" w:cs="Arial"/>
          <w:bCs/>
          <w:sz w:val="24"/>
          <w:szCs w:val="24"/>
        </w:rPr>
        <w:t xml:space="preserve">, C. and Haydon, H. (2020) ‘Telehealth for global emergencies’,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Journal of Telemedicine and Telecare</w:t>
      </w:r>
      <w:r w:rsidRPr="00EA1CD5">
        <w:rPr>
          <w:rFonts w:ascii="Arial" w:hAnsi="Arial" w:cs="Arial"/>
          <w:bCs/>
          <w:sz w:val="24"/>
          <w:szCs w:val="24"/>
        </w:rPr>
        <w:t>, 26(5), pp. 309–313.</w:t>
      </w:r>
    </w:p>
    <w:p w14:paraId="482B9BF6" w14:textId="2FDB9CBE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WHO (2024)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Assistive technology</w:t>
      </w:r>
      <w:r w:rsidRPr="00EA1CD5">
        <w:rPr>
          <w:rFonts w:ascii="Arial" w:hAnsi="Arial" w:cs="Arial"/>
          <w:bCs/>
          <w:sz w:val="24"/>
          <w:szCs w:val="24"/>
        </w:rPr>
        <w:t xml:space="preserve">. Available at: </w:t>
      </w:r>
      <w:hyperlink r:id="rId9" w:tgtFrame="_new" w:history="1">
        <w:r w:rsidRPr="00EA1CD5">
          <w:rPr>
            <w:rStyle w:val="Hyperlink"/>
            <w:rFonts w:ascii="Arial" w:hAnsi="Arial" w:cs="Arial"/>
            <w:bCs/>
            <w:sz w:val="24"/>
            <w:szCs w:val="24"/>
          </w:rPr>
          <w:t>https://www.who.int/news-room/fact-sheets/detail/assistive-technology</w:t>
        </w:r>
      </w:hyperlink>
      <w:r w:rsidRPr="00EA1CD5">
        <w:rPr>
          <w:rFonts w:ascii="Arial" w:hAnsi="Arial" w:cs="Arial"/>
          <w:bCs/>
          <w:sz w:val="24"/>
          <w:szCs w:val="24"/>
        </w:rPr>
        <w:t xml:space="preserve"> (Accessed: </w:t>
      </w:r>
      <w:r>
        <w:rPr>
          <w:rFonts w:ascii="Arial" w:hAnsi="Arial" w:cs="Arial"/>
          <w:bCs/>
          <w:sz w:val="24"/>
          <w:szCs w:val="24"/>
        </w:rPr>
        <w:t>14</w:t>
      </w:r>
      <w:r w:rsidRPr="00EA1CD5">
        <w:rPr>
          <w:rFonts w:ascii="Arial" w:hAnsi="Arial" w:cs="Arial"/>
          <w:bCs/>
          <w:sz w:val="24"/>
          <w:szCs w:val="24"/>
        </w:rPr>
        <w:t xml:space="preserve"> March 2026).</w:t>
      </w:r>
    </w:p>
    <w:p w14:paraId="4C0AF56C" w14:textId="1C8D3B14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EA1CD5">
        <w:rPr>
          <w:rFonts w:ascii="Arial" w:hAnsi="Arial" w:cs="Arial"/>
          <w:bCs/>
          <w:sz w:val="24"/>
          <w:szCs w:val="24"/>
        </w:rPr>
        <w:t>Woffindin</w:t>
      </w:r>
      <w:proofErr w:type="spellEnd"/>
      <w:r w:rsidRPr="00EA1CD5">
        <w:rPr>
          <w:rFonts w:ascii="Arial" w:hAnsi="Arial" w:cs="Arial"/>
          <w:bCs/>
          <w:sz w:val="24"/>
          <w:szCs w:val="24"/>
        </w:rPr>
        <w:t xml:space="preserve">, L. (2024)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Assistive technology in health and social care</w:t>
      </w:r>
      <w:r w:rsidRPr="00EA1CD5">
        <w:rPr>
          <w:rFonts w:ascii="Arial" w:hAnsi="Arial" w:cs="Arial"/>
          <w:bCs/>
          <w:sz w:val="24"/>
          <w:szCs w:val="24"/>
        </w:rPr>
        <w:t xml:space="preserve">. Available at: </w:t>
      </w:r>
      <w:hyperlink r:id="rId10" w:tgtFrame="_new" w:history="1">
        <w:r w:rsidRPr="00EA1CD5">
          <w:rPr>
            <w:rStyle w:val="Hyperlink"/>
            <w:rFonts w:ascii="Arial" w:hAnsi="Arial" w:cs="Arial"/>
            <w:bCs/>
            <w:sz w:val="24"/>
            <w:szCs w:val="24"/>
          </w:rPr>
          <w:t>https://cpdonline.co.uk/knowledge-base/care/assistive-technology/</w:t>
        </w:r>
      </w:hyperlink>
      <w:r w:rsidRPr="00EA1CD5">
        <w:rPr>
          <w:rFonts w:ascii="Arial" w:hAnsi="Arial" w:cs="Arial"/>
          <w:bCs/>
          <w:sz w:val="24"/>
          <w:szCs w:val="24"/>
        </w:rPr>
        <w:t xml:space="preserve"> (Accessed: </w:t>
      </w:r>
      <w:r>
        <w:rPr>
          <w:rFonts w:ascii="Arial" w:hAnsi="Arial" w:cs="Arial"/>
          <w:bCs/>
          <w:sz w:val="24"/>
          <w:szCs w:val="24"/>
        </w:rPr>
        <w:t>14</w:t>
      </w:r>
      <w:r w:rsidRPr="00EA1CD5">
        <w:rPr>
          <w:rFonts w:ascii="Arial" w:hAnsi="Arial" w:cs="Arial"/>
          <w:bCs/>
          <w:sz w:val="24"/>
          <w:szCs w:val="24"/>
        </w:rPr>
        <w:t xml:space="preserve"> March 2026).</w:t>
      </w:r>
    </w:p>
    <w:p w14:paraId="5B760DE5" w14:textId="77777777" w:rsidR="00EA1CD5" w:rsidRPr="00EA1CD5" w:rsidRDefault="00EA1CD5" w:rsidP="00EA1CD5">
      <w:pPr>
        <w:jc w:val="both"/>
        <w:rPr>
          <w:rFonts w:ascii="Arial" w:hAnsi="Arial" w:cs="Arial"/>
          <w:bCs/>
          <w:sz w:val="24"/>
          <w:szCs w:val="24"/>
        </w:rPr>
      </w:pPr>
      <w:r w:rsidRPr="00EA1CD5">
        <w:rPr>
          <w:rFonts w:ascii="Arial" w:hAnsi="Arial" w:cs="Arial"/>
          <w:bCs/>
          <w:sz w:val="24"/>
          <w:szCs w:val="24"/>
        </w:rPr>
        <w:t xml:space="preserve">Xiao, Y. and Han, S. (2023) ‘Digital divide in telehealth adoption’, </w:t>
      </w:r>
      <w:r w:rsidRPr="00EA1CD5">
        <w:rPr>
          <w:rFonts w:ascii="Arial" w:hAnsi="Arial" w:cs="Arial"/>
          <w:bCs/>
          <w:i/>
          <w:iCs/>
          <w:sz w:val="24"/>
          <w:szCs w:val="24"/>
        </w:rPr>
        <w:t>International Journal of Medical Informatics</w:t>
      </w:r>
      <w:r w:rsidRPr="00EA1CD5">
        <w:rPr>
          <w:rFonts w:ascii="Arial" w:hAnsi="Arial" w:cs="Arial"/>
          <w:bCs/>
          <w:sz w:val="24"/>
          <w:szCs w:val="24"/>
        </w:rPr>
        <w:t>, 171, 104969.</w:t>
      </w:r>
    </w:p>
    <w:p w14:paraId="04BEA25B" w14:textId="04732197" w:rsidR="00F52EA1" w:rsidRPr="001E4BA0" w:rsidRDefault="00F52EA1" w:rsidP="00FF0D38">
      <w:pPr>
        <w:jc w:val="both"/>
        <w:rPr>
          <w:rFonts w:ascii="Arial" w:hAnsi="Arial" w:cs="Arial"/>
          <w:b/>
          <w:sz w:val="40"/>
          <w:szCs w:val="40"/>
          <w:u w:val="single"/>
        </w:rPr>
      </w:pPr>
    </w:p>
    <w:sectPr w:rsidR="00F52EA1" w:rsidRPr="001E4B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2EA1"/>
    <w:rsid w:val="00070CBB"/>
    <w:rsid w:val="000F17D9"/>
    <w:rsid w:val="001E4BA0"/>
    <w:rsid w:val="00294CA1"/>
    <w:rsid w:val="00396F3E"/>
    <w:rsid w:val="006C4DEF"/>
    <w:rsid w:val="00765394"/>
    <w:rsid w:val="007C76D8"/>
    <w:rsid w:val="008D4DF3"/>
    <w:rsid w:val="008D6A31"/>
    <w:rsid w:val="008E414B"/>
    <w:rsid w:val="00B848AC"/>
    <w:rsid w:val="00EA1CD5"/>
    <w:rsid w:val="00F07DE1"/>
    <w:rsid w:val="00F52EA1"/>
    <w:rsid w:val="00F66887"/>
    <w:rsid w:val="00F739CC"/>
    <w:rsid w:val="00FF0D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3B7780"/>
  <w15:chartTrackingRefBased/>
  <w15:docId w15:val="{7A9ED230-18D2-46EE-9EBA-97E765241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2E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2E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2EA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2E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2EA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2EA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2EA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2EA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2EA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2EA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2EA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2EA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2EA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2EA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2EA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2EA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2EA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2E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2E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2E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2EA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2E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2EA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2E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2E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2E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2E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2E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2EA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6688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688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igital.nhs.uk/data-and-information/publications/statistical/appointments-in-general-practice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health.org.uk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gov.uk/government/publications/harnessing-technology-for-the-long-term-sustainability-of-the-uks-healthcare-system" TargetMode="External"/><Relationship Id="rId10" Type="http://schemas.openxmlformats.org/officeDocument/2006/relationships/hyperlink" Target="https://cpdonline.co.uk/knowledge-base/care/assistive-technology/" TargetMode="External"/><Relationship Id="rId4" Type="http://schemas.openxmlformats.org/officeDocument/2006/relationships/hyperlink" Target="https://www.ageuk.org.uk" TargetMode="External"/><Relationship Id="rId9" Type="http://schemas.openxmlformats.org/officeDocument/2006/relationships/hyperlink" Target="https://www.who.int/news-room/fact-sheets/detail/assistive-technolog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545</Words>
  <Characters>3112</Characters>
  <Application>Microsoft Office Word</Application>
  <DocSecurity>0</DocSecurity>
  <Lines>25</Lines>
  <Paragraphs>7</Paragraphs>
  <ScaleCrop>false</ScaleCrop>
  <Company/>
  <LinksUpToDate>false</LinksUpToDate>
  <CharactersWithSpaces>3650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salhma Parveen</dc:creator>
  <cp:keywords/>
  <dc:description/>
  <cp:lastModifiedBy>salhma Parveen</cp:lastModifiedBy>
  <cp:revision>2</cp:revision>
  <dcterms:created xsi:type="dcterms:W3CDTF">2026-03-15T09:01:00Z</dcterms:created>
  <dcterms:modified xsi:type="dcterms:W3CDTF">2026-03-15T09:01:00Z</dcterms:modified>
</cp:coreProperties>
</file>