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865EE" w14:textId="77777777" w:rsidR="00995672" w:rsidRDefault="00995672" w:rsidP="00995672">
      <w:pPr>
        <w:spacing w:line="480" w:lineRule="auto"/>
        <w:jc w:val="center"/>
        <w:rPr>
          <w:rFonts w:ascii="Times New Roman" w:hAnsi="Times New Roman" w:cs="Times New Roman"/>
          <w:b/>
          <w:bCs/>
          <w:sz w:val="24"/>
          <w:szCs w:val="24"/>
          <w:lang w:val="en-US"/>
        </w:rPr>
      </w:pPr>
    </w:p>
    <w:p w14:paraId="798B1A2C" w14:textId="77777777" w:rsidR="00995672" w:rsidRDefault="00995672" w:rsidP="00995672">
      <w:pPr>
        <w:spacing w:line="480" w:lineRule="auto"/>
        <w:jc w:val="center"/>
        <w:rPr>
          <w:rFonts w:ascii="Times New Roman" w:hAnsi="Times New Roman" w:cs="Times New Roman"/>
          <w:b/>
          <w:bCs/>
          <w:sz w:val="24"/>
          <w:szCs w:val="24"/>
          <w:lang w:val="en-US"/>
        </w:rPr>
      </w:pPr>
    </w:p>
    <w:p w14:paraId="68780B75" w14:textId="77777777" w:rsidR="00995672" w:rsidRDefault="00995672" w:rsidP="00995672">
      <w:pPr>
        <w:spacing w:line="480" w:lineRule="auto"/>
        <w:jc w:val="center"/>
        <w:rPr>
          <w:rFonts w:ascii="Times New Roman" w:hAnsi="Times New Roman" w:cs="Times New Roman"/>
          <w:b/>
          <w:bCs/>
          <w:sz w:val="24"/>
          <w:szCs w:val="24"/>
          <w:lang w:val="en-US"/>
        </w:rPr>
      </w:pPr>
    </w:p>
    <w:p w14:paraId="605C82E9" w14:textId="77777777" w:rsidR="00995672" w:rsidRDefault="00995672" w:rsidP="00995672">
      <w:pPr>
        <w:spacing w:line="480" w:lineRule="auto"/>
        <w:jc w:val="center"/>
        <w:rPr>
          <w:rFonts w:ascii="Times New Roman" w:hAnsi="Times New Roman" w:cs="Times New Roman"/>
          <w:b/>
          <w:bCs/>
          <w:sz w:val="24"/>
          <w:szCs w:val="24"/>
          <w:lang w:val="en-US"/>
        </w:rPr>
      </w:pPr>
      <w:r w:rsidRPr="00995672">
        <w:rPr>
          <w:rFonts w:ascii="Times New Roman" w:hAnsi="Times New Roman" w:cs="Times New Roman"/>
          <w:b/>
          <w:bCs/>
          <w:sz w:val="24"/>
          <w:szCs w:val="24"/>
          <w:lang w:val="en-US"/>
        </w:rPr>
        <w:t>Evidence-Based Policing &amp; Applications</w:t>
      </w:r>
    </w:p>
    <w:p w14:paraId="581704B4" w14:textId="77777777" w:rsidR="00995672" w:rsidRDefault="00995672" w:rsidP="00995672">
      <w:pPr>
        <w:spacing w:line="480" w:lineRule="auto"/>
        <w:jc w:val="center"/>
        <w:rPr>
          <w:rFonts w:ascii="Times New Roman" w:hAnsi="Times New Roman" w:cs="Times New Roman"/>
          <w:b/>
          <w:bCs/>
          <w:sz w:val="24"/>
          <w:szCs w:val="24"/>
          <w:lang w:val="en-US"/>
        </w:rPr>
      </w:pPr>
    </w:p>
    <w:p w14:paraId="061C41FD" w14:textId="77777777" w:rsidR="00995672" w:rsidRPr="00FB1456" w:rsidRDefault="00995672" w:rsidP="00995672">
      <w:pPr>
        <w:spacing w:line="480" w:lineRule="auto"/>
        <w:jc w:val="center"/>
        <w:rPr>
          <w:rFonts w:ascii="Times New Roman" w:hAnsi="Times New Roman" w:cs="Times New Roman"/>
          <w:b/>
          <w:bCs/>
          <w:sz w:val="24"/>
          <w:szCs w:val="24"/>
          <w:lang w:val="en-US"/>
        </w:rPr>
      </w:pPr>
    </w:p>
    <w:p w14:paraId="051C3D2A" w14:textId="736E2FBD" w:rsidR="00995672" w:rsidRPr="00FB1456" w:rsidRDefault="008A39AD" w:rsidP="00995672">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Muhammad </w:t>
      </w:r>
      <w:proofErr w:type="spellStart"/>
      <w:r>
        <w:rPr>
          <w:rFonts w:ascii="Times New Roman" w:hAnsi="Times New Roman" w:cs="Times New Roman"/>
          <w:sz w:val="24"/>
          <w:szCs w:val="24"/>
          <w:lang w:val="en-US"/>
        </w:rPr>
        <w:t>Binali</w:t>
      </w:r>
      <w:proofErr w:type="spellEnd"/>
    </w:p>
    <w:p w14:paraId="276314DA" w14:textId="3C194F66" w:rsidR="00995672" w:rsidRPr="00FB1456" w:rsidRDefault="008A39AD" w:rsidP="00995672">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University of Wales Trinity St David</w:t>
      </w:r>
    </w:p>
    <w:p w14:paraId="1F23C990" w14:textId="6187F44F" w:rsidR="00995672" w:rsidRPr="00FB1456" w:rsidRDefault="008A39AD" w:rsidP="00995672">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BMCP 4000</w:t>
      </w:r>
    </w:p>
    <w:p w14:paraId="3AF84F09" w14:textId="209B4053" w:rsidR="00995672" w:rsidRPr="00FB1456" w:rsidRDefault="008A39AD" w:rsidP="00995672">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Luke Roach</w:t>
      </w:r>
    </w:p>
    <w:p w14:paraId="62FCEF2C" w14:textId="40A84D39" w:rsidR="00995672" w:rsidRPr="00FB1456" w:rsidRDefault="008A39AD" w:rsidP="00995672">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10</w:t>
      </w:r>
      <w:r w:rsidRPr="008A39A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March 2023</w:t>
      </w:r>
    </w:p>
    <w:p w14:paraId="1C706233" w14:textId="77777777" w:rsidR="009218F9" w:rsidRDefault="009218F9">
      <w:pPr>
        <w:rPr>
          <w:rFonts w:ascii="Times New Roman" w:hAnsi="Times New Roman" w:cs="Times New Roman"/>
          <w:b/>
          <w:sz w:val="24"/>
          <w:szCs w:val="24"/>
        </w:rPr>
      </w:pPr>
    </w:p>
    <w:p w14:paraId="1E73F1A1" w14:textId="77777777" w:rsidR="00995672" w:rsidRDefault="00995672">
      <w:pPr>
        <w:rPr>
          <w:rFonts w:ascii="Times New Roman" w:hAnsi="Times New Roman" w:cs="Times New Roman"/>
          <w:b/>
          <w:sz w:val="24"/>
          <w:szCs w:val="24"/>
        </w:rPr>
      </w:pPr>
      <w:bookmarkStart w:id="0" w:name="_Hlk129028588"/>
      <w:r>
        <w:rPr>
          <w:rFonts w:ascii="Times New Roman" w:hAnsi="Times New Roman" w:cs="Times New Roman"/>
          <w:b/>
          <w:sz w:val="24"/>
          <w:szCs w:val="24"/>
        </w:rPr>
        <w:br w:type="page"/>
      </w:r>
    </w:p>
    <w:p w14:paraId="610982AE" w14:textId="77777777" w:rsidR="00776400" w:rsidRPr="00BD0406" w:rsidRDefault="00587042" w:rsidP="00995672">
      <w:pPr>
        <w:spacing w:line="480" w:lineRule="auto"/>
        <w:ind w:left="284" w:firstLine="720"/>
        <w:jc w:val="center"/>
        <w:rPr>
          <w:rFonts w:ascii="Times New Roman" w:hAnsi="Times New Roman" w:cs="Times New Roman"/>
          <w:b/>
          <w:sz w:val="24"/>
          <w:szCs w:val="24"/>
        </w:rPr>
      </w:pPr>
      <w:r w:rsidRPr="00BD0406">
        <w:rPr>
          <w:rFonts w:ascii="Times New Roman" w:hAnsi="Times New Roman" w:cs="Times New Roman"/>
          <w:b/>
          <w:sz w:val="24"/>
          <w:szCs w:val="24"/>
        </w:rPr>
        <w:lastRenderedPageBreak/>
        <w:t>Evidence-Based Policing &amp; Applications</w:t>
      </w:r>
    </w:p>
    <w:bookmarkEnd w:id="0"/>
    <w:p w14:paraId="44E73B35" w14:textId="77777777" w:rsidR="004B3E97" w:rsidRDefault="00587042" w:rsidP="00995672">
      <w:pPr>
        <w:pStyle w:val="NormalWeb"/>
        <w:spacing w:line="480" w:lineRule="auto"/>
        <w:ind w:left="284" w:firstLine="720"/>
        <w:jc w:val="both"/>
      </w:pPr>
      <w:r w:rsidRPr="004B3E97">
        <w:t>Classical criminology refers to a theoretical framework established by philosophers such as Cesare Beccaria and Jeremy Bentham in the Eighteenth Century</w:t>
      </w:r>
      <w:r w:rsidR="001C3624">
        <w:t xml:space="preserve"> (Wickert, 2022)</w:t>
      </w:r>
      <w:r w:rsidRPr="004B3E97">
        <w:t>. It highlighted the significance of logic, deterrence, and punishment in preventing criminal conduct. In contrast, evidence-based policing is a relatively recent approach to policing that uses scientific research and analysis to influence law enforcement actions. In this piece, I will use the example of drug criminality to illustrate how classical criminology influences evidence-based policing and assess both methods' benefits and shortcomings.</w:t>
      </w:r>
    </w:p>
    <w:p w14:paraId="75D72C9A" w14:textId="77777777" w:rsidR="00C37063" w:rsidRDefault="00587042" w:rsidP="00995672">
      <w:pPr>
        <w:pStyle w:val="NormalWeb"/>
        <w:spacing w:line="480" w:lineRule="auto"/>
        <w:ind w:firstLine="284"/>
        <w:jc w:val="both"/>
        <w:rPr>
          <w:b/>
          <w:lang w:val="en-GB"/>
        </w:rPr>
      </w:pPr>
      <w:r w:rsidRPr="00E24908">
        <w:rPr>
          <w:b/>
          <w:lang w:val="en-GB"/>
        </w:rPr>
        <w:t>Classical Criminology Concepts and Theories</w:t>
      </w:r>
    </w:p>
    <w:p w14:paraId="5AD713AB" w14:textId="77777777" w:rsidR="00542DBE" w:rsidRDefault="00587042" w:rsidP="00995672">
      <w:pPr>
        <w:pStyle w:val="NormalWeb"/>
        <w:spacing w:line="480" w:lineRule="auto"/>
        <w:ind w:left="284" w:firstLine="720"/>
        <w:jc w:val="both"/>
      </w:pPr>
      <w:r>
        <w:t>The development of classical criminology was a reaction to the severe and arbitrary criminal justice system of the eighteenth Century.</w:t>
      </w:r>
      <w:r>
        <w:rPr>
          <w:lang w:val="en-GB"/>
        </w:rPr>
        <w:t xml:space="preserve"> </w:t>
      </w:r>
      <w:r>
        <w:t>The classical philosophers held that punishment should be proportional to the crime committed and consistently and predictably implemented.</w:t>
      </w:r>
      <w:r>
        <w:rPr>
          <w:lang w:val="en-GB"/>
        </w:rPr>
        <w:t xml:space="preserve"> </w:t>
      </w:r>
      <w:r>
        <w:t>They believed humans are rational and make decisions following the costs and rewards of their activities.</w:t>
      </w:r>
      <w:r>
        <w:rPr>
          <w:lang w:val="en-GB"/>
        </w:rPr>
        <w:t xml:space="preserve"> </w:t>
      </w:r>
      <w:r>
        <w:t>Hence, people would be discouraged from engaging in illegal activity if the costs of committing a crime outweighed the rewards.</w:t>
      </w:r>
    </w:p>
    <w:p w14:paraId="081A6D8D" w14:textId="77777777" w:rsidR="0037333A" w:rsidRDefault="00587042" w:rsidP="00995672">
      <w:pPr>
        <w:pStyle w:val="NormalWeb"/>
        <w:spacing w:line="480" w:lineRule="auto"/>
        <w:ind w:left="284" w:firstLine="720"/>
        <w:jc w:val="both"/>
      </w:pPr>
      <w:r>
        <w:t>The theory of deterrence is a core concept in classical criminology, which holds that the fear of punishment may discourage criminal activity</w:t>
      </w:r>
      <w:r w:rsidR="00EA688D">
        <w:t xml:space="preserve"> (</w:t>
      </w:r>
      <w:r w:rsidR="00EA688D" w:rsidRPr="00464A8E">
        <w:t>Siponen</w:t>
      </w:r>
      <w:r w:rsidR="00EA688D">
        <w:rPr>
          <w:lang w:val="en-GB"/>
        </w:rPr>
        <w:t xml:space="preserve"> et al., 2021, p. 3)</w:t>
      </w:r>
      <w:r>
        <w:t>.</w:t>
      </w:r>
      <w:r>
        <w:rPr>
          <w:lang w:val="en-GB"/>
        </w:rPr>
        <w:t xml:space="preserve"> </w:t>
      </w:r>
      <w:r>
        <w:t>The idea proposes that people are rational decision-makers capable of evaluating their activities' costs and rewards. Thus, according to the deterrence hypothesis, individuals will be less inclined to participate in illegal activity if the possible costs of committing a crime exceed the potential rewards.</w:t>
      </w:r>
    </w:p>
    <w:p w14:paraId="78E9794F" w14:textId="77777777" w:rsidR="00542DBE" w:rsidRDefault="00587042" w:rsidP="00995672">
      <w:pPr>
        <w:pStyle w:val="NormalWeb"/>
        <w:spacing w:line="480" w:lineRule="auto"/>
        <w:ind w:left="284" w:firstLine="720"/>
        <w:jc w:val="both"/>
      </w:pPr>
      <w:r w:rsidRPr="00A945A7">
        <w:lastRenderedPageBreak/>
        <w:t>In deterrence theory, the severity of a punishment is one of the most crucial aspects. The greater the severity of a crime's penalty, the less likely a person is to perpetrate that crime</w:t>
      </w:r>
      <w:r w:rsidR="00E63C1A">
        <w:t xml:space="preserve"> (</w:t>
      </w:r>
      <w:r w:rsidR="00E63C1A" w:rsidRPr="00464A8E">
        <w:t>Siponen</w:t>
      </w:r>
      <w:r w:rsidR="00E63C1A">
        <w:rPr>
          <w:lang w:val="en-GB"/>
        </w:rPr>
        <w:t xml:space="preserve"> et al., 2021, p. 5)</w:t>
      </w:r>
      <w:r w:rsidRPr="00A945A7">
        <w:t>. For instance, if the punishment for a drug crime is a lengthy jail term, people are less inclined to participate in that conduct since the risk of being found and punished is too high.</w:t>
      </w:r>
    </w:p>
    <w:p w14:paraId="2FDFC9A8" w14:textId="77777777" w:rsidR="00100D07" w:rsidRDefault="00587042" w:rsidP="00995672">
      <w:pPr>
        <w:pStyle w:val="NormalWeb"/>
        <w:spacing w:line="480" w:lineRule="auto"/>
        <w:ind w:left="284" w:firstLine="720"/>
        <w:jc w:val="both"/>
      </w:pPr>
      <w:r w:rsidRPr="00111BB4">
        <w:t>Nonetheless, the certainty of punishment is also essential to the deterrence theory. Individuals are less inclined to engage in criminal activity when the likelihood of being detected and penalized is high. Thus, for the judicial system to be an effective deterrence, it must be able to detect and punish illegal activity effectively.</w:t>
      </w:r>
    </w:p>
    <w:p w14:paraId="3747F28C" w14:textId="77777777" w:rsidR="00542DBE" w:rsidRDefault="00587042" w:rsidP="00995672">
      <w:pPr>
        <w:pStyle w:val="NormalWeb"/>
        <w:spacing w:line="480" w:lineRule="auto"/>
        <w:ind w:left="284" w:firstLine="720"/>
        <w:jc w:val="both"/>
      </w:pPr>
      <w:r w:rsidRPr="00100D07">
        <w:t>Moreover, the swiftness of punishment is a component of deterrence theory. The quicker the penalty gets administered after the offense, the more probable the offender will identify the punishment with their activity. It indicates that a judicial system that slowly administers punishment may be less successful in discouraging criminal conduct.</w:t>
      </w:r>
    </w:p>
    <w:p w14:paraId="5E30A765" w14:textId="77777777" w:rsidR="00542DBE" w:rsidRDefault="00587042" w:rsidP="00995672">
      <w:pPr>
        <w:pStyle w:val="NormalWeb"/>
        <w:spacing w:line="480" w:lineRule="auto"/>
        <w:ind w:left="284" w:firstLine="720"/>
        <w:jc w:val="both"/>
      </w:pPr>
      <w:r w:rsidRPr="00BA4C19">
        <w:t>The notion of deterrence theory has shaped criminal justice policy for many years. For instance, some jurisdictions have enhanced the severity of punishments for drug charges and gun crimes to dissuade persons from participating in such conduct. Similarly, many jurisdictions have increased the number of police officers on patrol, placed CCTV cameras in public areas, and implemented other types of monitoring to enhance the likelihood of criminals being apprehended and punished.</w:t>
      </w:r>
    </w:p>
    <w:p w14:paraId="0B92B2EC" w14:textId="77777777" w:rsidR="00542DBE" w:rsidRDefault="00587042" w:rsidP="00995672">
      <w:pPr>
        <w:pStyle w:val="NormalWeb"/>
        <w:spacing w:line="480" w:lineRule="auto"/>
        <w:ind w:left="284" w:firstLine="720"/>
        <w:jc w:val="both"/>
      </w:pPr>
      <w:r w:rsidRPr="008B5D37">
        <w:t xml:space="preserve">However, critics of the deterrence theory contend that it fails to account for the numerous social and economic elements contributing to criminal conduct. For instance, those </w:t>
      </w:r>
      <w:r w:rsidRPr="008B5D37">
        <w:lastRenderedPageBreak/>
        <w:t>living in poverty or with limited access to education and employment may be more prone to participate in illegal activities, regardless of the possible repercussions. Furthermore, others argue that the severity of punishment may not serve as a deterrence for those under the influence of drugs or alcohol or who suffer from mental illness.</w:t>
      </w:r>
    </w:p>
    <w:p w14:paraId="15E6CA6C" w14:textId="77777777" w:rsidR="00EA2DAB" w:rsidRDefault="00587042" w:rsidP="00995672">
      <w:pPr>
        <w:pStyle w:val="NormalWeb"/>
        <w:spacing w:line="480" w:lineRule="auto"/>
        <w:ind w:left="284" w:firstLine="720"/>
        <w:jc w:val="both"/>
      </w:pPr>
      <w:r w:rsidRPr="00EA2DAB">
        <w:t>Classical criminology stresses rehabilitation and reform in addition to the principle of deterrence. It proposes that punishment should discourage criminal activity and assist criminals in becoming law-abiding citizens. By offering education, job training, and other services, law enforcement authorities may facilitate the reintegration of criminals into society and lessen the chance of recidivism.</w:t>
      </w:r>
    </w:p>
    <w:p w14:paraId="51F05E09" w14:textId="77777777" w:rsidR="00145F96" w:rsidRDefault="00587042" w:rsidP="00995672">
      <w:pPr>
        <w:pStyle w:val="NormalWeb"/>
        <w:spacing w:line="480" w:lineRule="auto"/>
        <w:ind w:left="284" w:firstLine="720"/>
        <w:jc w:val="both"/>
      </w:pPr>
      <w:r w:rsidRPr="00145F96">
        <w:t>In general, classical criminology offers a framework for comprehending crime and criminality. By highlighting the significance of rationality, deterrence, and punishment, it facilitates the development of interventions aimed at reducing the occurrence of crime. By understanding the underlying reasons for criminal conduct, law enforcement organizations may create interventions that discourage criminal activity and assist convicts in becoming law-abiding citizens.</w:t>
      </w:r>
    </w:p>
    <w:p w14:paraId="0D546015" w14:textId="77777777" w:rsidR="00CF2DCF" w:rsidRPr="003F1A0F" w:rsidRDefault="00587042" w:rsidP="00995672">
      <w:pPr>
        <w:pStyle w:val="NormalWeb"/>
        <w:spacing w:line="480" w:lineRule="auto"/>
        <w:ind w:left="284" w:firstLine="720"/>
        <w:jc w:val="center"/>
        <w:rPr>
          <w:b/>
        </w:rPr>
      </w:pPr>
      <w:r w:rsidRPr="003F1A0F">
        <w:rPr>
          <w:b/>
        </w:rPr>
        <w:t xml:space="preserve">Evidence-based </w:t>
      </w:r>
      <w:r w:rsidR="00BD0A5A" w:rsidRPr="003F1A0F">
        <w:rPr>
          <w:b/>
          <w:lang w:val="en-GB"/>
        </w:rPr>
        <w:t>P</w:t>
      </w:r>
      <w:r w:rsidRPr="003F1A0F">
        <w:rPr>
          <w:b/>
        </w:rPr>
        <w:t xml:space="preserve">olicing </w:t>
      </w:r>
      <w:r w:rsidR="00BD0A5A" w:rsidRPr="003F1A0F">
        <w:rPr>
          <w:b/>
          <w:lang w:val="en-GB"/>
        </w:rPr>
        <w:t>M</w:t>
      </w:r>
      <w:r w:rsidRPr="003F1A0F">
        <w:rPr>
          <w:b/>
        </w:rPr>
        <w:t>odels</w:t>
      </w:r>
    </w:p>
    <w:p w14:paraId="78F6ACD0" w14:textId="77777777" w:rsidR="00F666DA" w:rsidRDefault="00F666DA" w:rsidP="00995672">
      <w:pPr>
        <w:pStyle w:val="NormalWeb"/>
        <w:spacing w:line="480" w:lineRule="auto"/>
        <w:ind w:left="284" w:firstLine="720"/>
        <w:jc w:val="both"/>
      </w:pPr>
      <w:r w:rsidRPr="00F666DA">
        <w:t>Evidence-based policing is a relatively recent approach to law enforcement that seeks to influence policy actions through scientific research and analysis</w:t>
      </w:r>
      <w:r w:rsidR="00785776">
        <w:t xml:space="preserve"> (Rogers et al., 2022)</w:t>
      </w:r>
      <w:r w:rsidRPr="00F666DA">
        <w:t>. It entails gathering and analyzing data to detect criminal patterns and tendencies and then utilizing that knowledge to build targeted solutions. Evidence-based policing employs hotspot policing, scanning analysis response and assessment (SARA), and problem-oriented policing (POP).</w:t>
      </w:r>
    </w:p>
    <w:p w14:paraId="2A50A7B1" w14:textId="77777777" w:rsidR="00A869A4" w:rsidRDefault="00587042" w:rsidP="00995672">
      <w:pPr>
        <w:pStyle w:val="NormalWeb"/>
        <w:spacing w:line="480" w:lineRule="auto"/>
        <w:ind w:left="284" w:firstLine="720"/>
        <w:jc w:val="both"/>
      </w:pPr>
      <w:r>
        <w:lastRenderedPageBreak/>
        <w:t>POP is a problem-solving strategy that identifies the underlying causes of a particular criminal issue and develops focused interventions to address those causes. It entails evaluating data and researching patterns and trends in crime, followed by developing remedies suited to each problem's specific features</w:t>
      </w:r>
      <w:r w:rsidR="00F7394D">
        <w:t xml:space="preserve"> </w:t>
      </w:r>
      <w:r w:rsidR="00F7394D">
        <w:rPr>
          <w:lang w:val="en-GB"/>
        </w:rPr>
        <w:t>(</w:t>
      </w:r>
      <w:r w:rsidR="00F7394D" w:rsidRPr="002A4350">
        <w:t>Taylor</w:t>
      </w:r>
      <w:r w:rsidR="00F7394D">
        <w:rPr>
          <w:lang w:val="en-GB"/>
        </w:rPr>
        <w:t xml:space="preserve"> et al., 2022)</w:t>
      </w:r>
      <w:r>
        <w:t>. Typically, the POP problem-solving method consists of four steps:</w:t>
      </w:r>
    </w:p>
    <w:p w14:paraId="733DFC27" w14:textId="77777777" w:rsidR="00A869A4" w:rsidRDefault="00587042" w:rsidP="00995672">
      <w:pPr>
        <w:pStyle w:val="NormalWeb"/>
        <w:numPr>
          <w:ilvl w:val="0"/>
          <w:numId w:val="2"/>
        </w:numPr>
        <w:spacing w:line="480" w:lineRule="auto"/>
        <w:ind w:left="0" w:firstLine="0"/>
        <w:jc w:val="both"/>
      </w:pPr>
      <w:r>
        <w:t>Scanning: Identifying and ranking particular criminal issues based on available data and community participation.</w:t>
      </w:r>
    </w:p>
    <w:p w14:paraId="2BFF4F9E" w14:textId="77777777" w:rsidR="00A869A4" w:rsidRDefault="00587042" w:rsidP="00995672">
      <w:pPr>
        <w:pStyle w:val="NormalWeb"/>
        <w:numPr>
          <w:ilvl w:val="0"/>
          <w:numId w:val="2"/>
        </w:numPr>
        <w:spacing w:line="480" w:lineRule="auto"/>
        <w:ind w:left="0" w:firstLine="0"/>
        <w:jc w:val="both"/>
      </w:pPr>
      <w:r>
        <w:t>Analysis: Conduct an in-depth study to identify the problem's core causes.</w:t>
      </w:r>
    </w:p>
    <w:p w14:paraId="7C9E2627" w14:textId="77777777" w:rsidR="00A869A4" w:rsidRDefault="00587042" w:rsidP="00995672">
      <w:pPr>
        <w:pStyle w:val="NormalWeb"/>
        <w:numPr>
          <w:ilvl w:val="0"/>
          <w:numId w:val="2"/>
        </w:numPr>
        <w:spacing w:line="480" w:lineRule="auto"/>
        <w:ind w:left="0" w:firstLine="0"/>
        <w:jc w:val="both"/>
      </w:pPr>
      <w:r>
        <w:t>Response: Identifying and executing targeted measures to address the problem's root causes.</w:t>
      </w:r>
    </w:p>
    <w:p w14:paraId="5A2AAA7D" w14:textId="77777777" w:rsidR="009F704E" w:rsidRPr="00A869A4" w:rsidRDefault="00587042" w:rsidP="00995672">
      <w:pPr>
        <w:pStyle w:val="NormalWeb"/>
        <w:numPr>
          <w:ilvl w:val="0"/>
          <w:numId w:val="2"/>
        </w:numPr>
        <w:spacing w:line="480" w:lineRule="auto"/>
        <w:ind w:left="0" w:firstLine="0"/>
        <w:jc w:val="both"/>
      </w:pPr>
      <w:r>
        <w:t>Evaluation: Assessing the efficacy of the treatments and making appropriate modifications.</w:t>
      </w:r>
    </w:p>
    <w:p w14:paraId="31DB7539" w14:textId="77777777" w:rsidR="00C97257" w:rsidRDefault="00587042" w:rsidP="00995672">
      <w:pPr>
        <w:pStyle w:val="NormalWeb"/>
        <w:spacing w:line="480" w:lineRule="auto"/>
        <w:ind w:left="284" w:firstLine="720"/>
        <w:jc w:val="both"/>
      </w:pPr>
      <w:r w:rsidRPr="00C97257">
        <w:t>POP initiatives include enhancing police presence in high-crime locations, better illumination or monitoring in public places, social programs to address underlying social or economic concerns that lead to crime, and collaborations with community groups to solve particular problems.</w:t>
      </w:r>
    </w:p>
    <w:p w14:paraId="4B2CD031" w14:textId="77777777" w:rsidR="004265C3" w:rsidRDefault="00587042" w:rsidP="00995672">
      <w:pPr>
        <w:pStyle w:val="NormalWeb"/>
        <w:spacing w:line="480" w:lineRule="auto"/>
        <w:ind w:left="284" w:firstLine="720"/>
        <w:jc w:val="both"/>
      </w:pPr>
      <w:r>
        <w:t>Scanning, analysis, response, and evaluation (SARA) is a problem-solving approach consisting of four stages: scanning the issue, understanding the problem, devising a solution, and evaluating the answer's efficacy.</w:t>
      </w:r>
      <w:r>
        <w:rPr>
          <w:lang w:val="en-GB"/>
        </w:rPr>
        <w:t xml:space="preserve"> </w:t>
      </w:r>
      <w:r>
        <w:t>The SARA approach is comparable to POP but emphasizes assessment and feedback to guarantee the efficacy of treatments.</w:t>
      </w:r>
    </w:p>
    <w:p w14:paraId="113BC264" w14:textId="77777777" w:rsidR="00CE1D61" w:rsidRDefault="00587042" w:rsidP="00995672">
      <w:pPr>
        <w:pStyle w:val="NormalWeb"/>
        <w:spacing w:line="480" w:lineRule="auto"/>
        <w:ind w:left="284" w:firstLine="720"/>
        <w:jc w:val="both"/>
      </w:pPr>
      <w:r w:rsidRPr="00CE1D61">
        <w:t>Hotspot Policing is a technique that identifies certain places where crime is concentrated and enhances police presence to dissuade criminal behavior in such regions</w:t>
      </w:r>
      <w:r w:rsidR="00031DA7">
        <w:t xml:space="preserve"> </w:t>
      </w:r>
      <w:r w:rsidR="00031DA7">
        <w:rPr>
          <w:lang w:val="en-GB"/>
        </w:rPr>
        <w:t>(</w:t>
      </w:r>
      <w:r w:rsidR="00031DA7" w:rsidRPr="002A4350">
        <w:t>Taylor</w:t>
      </w:r>
      <w:r w:rsidR="00031DA7">
        <w:rPr>
          <w:lang w:val="en-GB"/>
        </w:rPr>
        <w:t xml:space="preserve"> et al., 2022)</w:t>
      </w:r>
      <w:r w:rsidRPr="00CE1D61">
        <w:t xml:space="preserve">. </w:t>
      </w:r>
      <w:r w:rsidRPr="00CE1D61">
        <w:lastRenderedPageBreak/>
        <w:t>The assumption behind "Hotspot Policing" is that crime tends to be concentrated in specific regions or "hotspots" rather than being uniformly spread across a community. By concentrating their efforts on these hotspots, law enforcement may have a more substantial influence on decreasing general crime rates.</w:t>
      </w:r>
    </w:p>
    <w:p w14:paraId="3C9D40F5" w14:textId="77777777" w:rsidR="00EA7DDB" w:rsidRDefault="00587042" w:rsidP="00995672">
      <w:pPr>
        <w:pStyle w:val="NormalWeb"/>
        <w:spacing w:line="480" w:lineRule="auto"/>
        <w:ind w:left="284" w:firstLine="720"/>
        <w:jc w:val="both"/>
      </w:pPr>
      <w:r w:rsidRPr="009C69B1">
        <w:t>Classical criminology may influence the logic underlying these evidence-based policing methods in several ways. For instance, the earlier-discussed deterrence theory may assist in explaining the success of Hotspot Policing. By boosting police presence in high-crime regions, the likelihood of being caught and penalized for illegal activity rises, which may serve as a deterrent to prospective criminals.</w:t>
      </w:r>
    </w:p>
    <w:p w14:paraId="77D1CD8B" w14:textId="77777777" w:rsidR="003605FB" w:rsidRDefault="00587042" w:rsidP="00995672">
      <w:pPr>
        <w:pStyle w:val="NormalWeb"/>
        <w:spacing w:line="480" w:lineRule="auto"/>
        <w:ind w:left="284" w:firstLine="720"/>
        <w:jc w:val="both"/>
      </w:pPr>
      <w:r w:rsidRPr="003605FB">
        <w:t>Classical criminology may also inform the SARA model's analysis and reaction stages. By understanding the underlying reasons for specific crime issues, police may build more effective, focused interventions to address those causes. For instance, if data indicates that drug addiction is a significant cause of property crime in a particular location, interventions such as drug treatment programs or social services to combat addiction may be more successful than conventional law enforcement approaches.</w:t>
      </w:r>
    </w:p>
    <w:p w14:paraId="46C745D5" w14:textId="77777777" w:rsidR="005B3554" w:rsidRDefault="00587042" w:rsidP="00995672">
      <w:pPr>
        <w:pStyle w:val="NormalWeb"/>
        <w:spacing w:line="480" w:lineRule="auto"/>
        <w:ind w:left="284" w:firstLine="720"/>
        <w:jc w:val="both"/>
      </w:pPr>
      <w:r w:rsidRPr="005B3554">
        <w:t>Classical criminology offers a beneficial foundation for understanding the root causes of crime and guiding evidence-based policing approaches such as POP, SARA, and Hotspot Policing. By embracing theories of deterrence, rational choice, and other classical criminology principles, police may create more successful techniques for reducing crime and enhancing public safety.</w:t>
      </w:r>
    </w:p>
    <w:p w14:paraId="65CECB6D" w14:textId="77777777" w:rsidR="00D3311D" w:rsidRPr="00D3311D" w:rsidRDefault="00587042" w:rsidP="00995672">
      <w:pPr>
        <w:pStyle w:val="NormalWeb"/>
        <w:spacing w:line="480" w:lineRule="auto"/>
        <w:ind w:left="284" w:firstLine="720"/>
        <w:jc w:val="center"/>
        <w:rPr>
          <w:b/>
          <w:lang w:val="en-GB"/>
        </w:rPr>
      </w:pPr>
      <w:r w:rsidRPr="00D3311D">
        <w:rPr>
          <w:b/>
          <w:lang w:val="en-GB"/>
        </w:rPr>
        <w:t xml:space="preserve">Evidence-Based Policing </w:t>
      </w:r>
      <w:r>
        <w:rPr>
          <w:b/>
          <w:lang w:val="en-GB"/>
        </w:rPr>
        <w:t>a</w:t>
      </w:r>
      <w:r w:rsidRPr="00D3311D">
        <w:rPr>
          <w:b/>
          <w:lang w:val="en-GB"/>
        </w:rPr>
        <w:t xml:space="preserve">nd Classical Criminology Applied </w:t>
      </w:r>
      <w:r>
        <w:rPr>
          <w:b/>
          <w:lang w:val="en-GB"/>
        </w:rPr>
        <w:t>t</w:t>
      </w:r>
      <w:r w:rsidRPr="00D3311D">
        <w:rPr>
          <w:b/>
          <w:lang w:val="en-GB"/>
        </w:rPr>
        <w:t>o Drug Crime</w:t>
      </w:r>
    </w:p>
    <w:p w14:paraId="495F06A3" w14:textId="77777777" w:rsidR="003D3E27" w:rsidRDefault="00587042" w:rsidP="00995672">
      <w:pPr>
        <w:pStyle w:val="NormalWeb"/>
        <w:spacing w:line="480" w:lineRule="auto"/>
        <w:ind w:left="284" w:firstLine="720"/>
        <w:jc w:val="both"/>
      </w:pPr>
      <w:r>
        <w:lastRenderedPageBreak/>
        <w:t>Drug crime is a significant problem in many nations and thus is a valuable illustration of how classical criminology affects evidence-based policing.</w:t>
      </w:r>
      <w:r>
        <w:rPr>
          <w:lang w:val="en-GB"/>
        </w:rPr>
        <w:t xml:space="preserve"> </w:t>
      </w:r>
      <w:r>
        <w:t>Classical criminology may enrich evidence-based policy approaches to drug crime by offering a theoretical framework for understanding the underlying causes of drug use and trafficking and the most effective techniques for addressing these causes.</w:t>
      </w:r>
    </w:p>
    <w:p w14:paraId="5D8E8696" w14:textId="77777777" w:rsidR="001903E1" w:rsidRDefault="00587042" w:rsidP="00995672">
      <w:pPr>
        <w:pStyle w:val="NormalWeb"/>
        <w:spacing w:line="480" w:lineRule="auto"/>
        <w:ind w:left="284" w:firstLine="720"/>
        <w:jc w:val="both"/>
      </w:pPr>
      <w:r w:rsidRPr="001903E1">
        <w:t>Deterrence theory is one of the basic ideas of classical criminology that also applies to drug crime. When applied to drug crime, the theory of deterrence argues that raising the severity of penalties for drug-related crimes, increasing the chance of being detected and punished, and ensuring that offenders receive prompt and consistent punishments may prevent drug use and trafficking.</w:t>
      </w:r>
    </w:p>
    <w:p w14:paraId="3FCE0D7F" w14:textId="77777777" w:rsidR="00D134CA" w:rsidRDefault="00587042" w:rsidP="00995672">
      <w:pPr>
        <w:pStyle w:val="NormalWeb"/>
        <w:spacing w:line="480" w:lineRule="auto"/>
        <w:ind w:left="284" w:firstLine="720"/>
        <w:jc w:val="both"/>
      </w:pPr>
      <w:r w:rsidRPr="00415F4B">
        <w:t>The rational choice concept is another classic criminology idea applicable to drug crime. The concept holds that individuals assess unlawful action's prospective costs and advantages before participating. When applied to drug crime, rational choice implies that raising the costs of drug use and trafficking, such as via harsher penalties or more effective enforcement, may lower the prevalence of drug-related crime.</w:t>
      </w:r>
    </w:p>
    <w:p w14:paraId="5EE89548" w14:textId="77777777" w:rsidR="00DA77B6" w:rsidRDefault="00587042" w:rsidP="00995672">
      <w:pPr>
        <w:pStyle w:val="NormalWeb"/>
        <w:spacing w:line="480" w:lineRule="auto"/>
        <w:ind w:left="284" w:firstLine="720"/>
        <w:jc w:val="both"/>
        <w:rPr>
          <w:lang w:val="en-GB"/>
        </w:rPr>
      </w:pPr>
      <w:r w:rsidRPr="00DA77B6">
        <w:rPr>
          <w:lang w:val="en-GB"/>
        </w:rPr>
        <w:t>On the other hand, Evidence-based policing strategies, such as Hotspot Policing and SARA, may also help combat drug crime. Hotspot Policing, for instance, may target particular regions where drug use and trafficking are concentrated, such as places with high rates of drug-related crime or established drug markets</w:t>
      </w:r>
      <w:r w:rsidR="002A4350">
        <w:rPr>
          <w:lang w:val="en-GB"/>
        </w:rPr>
        <w:t xml:space="preserve"> (</w:t>
      </w:r>
      <w:r w:rsidR="002A4350" w:rsidRPr="002A4350">
        <w:t>Taylor</w:t>
      </w:r>
      <w:r w:rsidR="002A4350">
        <w:rPr>
          <w:lang w:val="en-GB"/>
        </w:rPr>
        <w:t xml:space="preserve"> et al., 202</w:t>
      </w:r>
      <w:r w:rsidR="009C67B1">
        <w:rPr>
          <w:lang w:val="en-GB"/>
        </w:rPr>
        <w:t>2</w:t>
      </w:r>
      <w:r w:rsidR="002A4350">
        <w:rPr>
          <w:lang w:val="en-GB"/>
        </w:rPr>
        <w:t>)</w:t>
      </w:r>
      <w:r w:rsidRPr="00DA77B6">
        <w:rPr>
          <w:lang w:val="en-GB"/>
        </w:rPr>
        <w:t>. Officers can prevent criminal conduct and undermine drug networks by expanding their presence in specific locations. Similarly, the SARA model may uncover the underlying causes of drug-related crime and build treatments designed to address those causes.</w:t>
      </w:r>
    </w:p>
    <w:p w14:paraId="1BB3C453" w14:textId="77777777" w:rsidR="003D53E5" w:rsidRPr="003D53E5" w:rsidRDefault="00587042" w:rsidP="00995672">
      <w:pPr>
        <w:pStyle w:val="NormalWeb"/>
        <w:spacing w:line="480" w:lineRule="auto"/>
        <w:ind w:left="284" w:firstLine="720"/>
        <w:jc w:val="center"/>
        <w:rPr>
          <w:b/>
        </w:rPr>
      </w:pPr>
      <w:r w:rsidRPr="00E22B97">
        <w:rPr>
          <w:b/>
        </w:rPr>
        <w:lastRenderedPageBreak/>
        <w:t xml:space="preserve">The </w:t>
      </w:r>
      <w:r w:rsidRPr="00E22B97">
        <w:rPr>
          <w:b/>
          <w:lang w:val="en-GB"/>
        </w:rPr>
        <w:t>Strengths</w:t>
      </w:r>
      <w:r w:rsidRPr="003D53E5">
        <w:rPr>
          <w:b/>
          <w:lang w:val="en-GB"/>
        </w:rPr>
        <w:t xml:space="preserve"> and Weaknesses</w:t>
      </w:r>
      <w:r w:rsidRPr="003D53E5">
        <w:rPr>
          <w:b/>
        </w:rPr>
        <w:t xml:space="preserve"> of </w:t>
      </w:r>
      <w:r w:rsidRPr="003D53E5">
        <w:rPr>
          <w:b/>
          <w:lang w:val="en-GB"/>
        </w:rPr>
        <w:t xml:space="preserve">Classical </w:t>
      </w:r>
      <w:r w:rsidRPr="003D53E5">
        <w:rPr>
          <w:b/>
        </w:rPr>
        <w:t xml:space="preserve">Criminology </w:t>
      </w:r>
      <w:r w:rsidRPr="003D53E5">
        <w:rPr>
          <w:b/>
          <w:lang w:val="en-GB"/>
        </w:rPr>
        <w:t>a</w:t>
      </w:r>
      <w:r w:rsidRPr="003D53E5">
        <w:rPr>
          <w:b/>
        </w:rPr>
        <w:t>nd Evidence-Based Policing</w:t>
      </w:r>
    </w:p>
    <w:p w14:paraId="5A7F5D79" w14:textId="77777777" w:rsidR="00F14997" w:rsidRDefault="00587042" w:rsidP="00995672">
      <w:pPr>
        <w:pStyle w:val="NormalWeb"/>
        <w:spacing w:line="480" w:lineRule="auto"/>
        <w:ind w:left="284" w:firstLine="720"/>
        <w:jc w:val="both"/>
      </w:pPr>
      <w:r>
        <w:t>Classical criminology and evidence-based policing have strengths and drawbacks that must be considered when creating strategies to combat crime and criminal behavior.</w:t>
      </w:r>
    </w:p>
    <w:p w14:paraId="6331C312" w14:textId="77777777" w:rsidR="00F14997" w:rsidRDefault="00587042" w:rsidP="00995672">
      <w:pPr>
        <w:pStyle w:val="NormalWeb"/>
        <w:spacing w:line="480" w:lineRule="auto"/>
        <w:ind w:left="284" w:firstLine="720"/>
        <w:jc w:val="both"/>
      </w:pPr>
      <w:r>
        <w:t>One of the primary strengths of classical criminology is that it offers a theoretical foundation for understanding criminal behavior and the most effective methods for combating such activities. Theoretical frameworks like deterrence theory and rational choice theory may enrich evidence-based police strategies and enhance the efficacy of law enforcement operations.</w:t>
      </w:r>
    </w:p>
    <w:p w14:paraId="07157AC2" w14:textId="77777777" w:rsidR="002C7B96" w:rsidRDefault="00587042" w:rsidP="00995672">
      <w:pPr>
        <w:pStyle w:val="NormalWeb"/>
        <w:spacing w:line="480" w:lineRule="auto"/>
        <w:ind w:left="284" w:firstLine="720"/>
        <w:jc w:val="both"/>
      </w:pPr>
      <w:r>
        <w:t>But, classical criminology has its challenges.</w:t>
      </w:r>
      <w:r w:rsidR="00094E11">
        <w:rPr>
          <w:lang w:val="en-GB"/>
        </w:rPr>
        <w:t xml:space="preserve"> </w:t>
      </w:r>
      <w:r>
        <w:t>One of the primary critiques of traditional criminology is that it concentrates excessively on the individual criminal while ignoring the larger social and economic issues that lead to crime.</w:t>
      </w:r>
      <w:r w:rsidR="00094E11">
        <w:rPr>
          <w:lang w:val="en-GB"/>
        </w:rPr>
        <w:t xml:space="preserve"> </w:t>
      </w:r>
      <w:r>
        <w:t>Poverty, inequality, and lack of opportunity, for instance, are significant determinants of criminal behavior, although classical criminology may not adequately account for these issues.</w:t>
      </w:r>
    </w:p>
    <w:p w14:paraId="5E13298F" w14:textId="77777777" w:rsidR="00094E11" w:rsidRDefault="00587042" w:rsidP="00995672">
      <w:pPr>
        <w:pStyle w:val="NormalWeb"/>
        <w:spacing w:line="480" w:lineRule="auto"/>
        <w:ind w:left="284" w:firstLine="720"/>
        <w:jc w:val="both"/>
      </w:pPr>
      <w:r>
        <w:t>Evidence-based policing offers both advantages and disadvantages.</w:t>
      </w:r>
      <w:r>
        <w:rPr>
          <w:lang w:val="en-GB"/>
        </w:rPr>
        <w:t xml:space="preserve"> </w:t>
      </w:r>
      <w:r>
        <w:t>One of the primary advantages of evidence-based policing is that it stresses using data and research to drive law enforcement operations, which may enhance the efficacy of policy initiatives</w:t>
      </w:r>
      <w:r w:rsidR="00B45B1A">
        <w:t xml:space="preserve"> (</w:t>
      </w:r>
      <w:r w:rsidR="00B45B1A" w:rsidRPr="00530031">
        <w:t>Brown</w:t>
      </w:r>
      <w:r w:rsidR="00B45B1A">
        <w:rPr>
          <w:lang w:val="en-GB"/>
        </w:rPr>
        <w:t>, 2020)</w:t>
      </w:r>
      <w:r>
        <w:t>.</w:t>
      </w:r>
      <w:r>
        <w:rPr>
          <w:lang w:val="en-GB"/>
        </w:rPr>
        <w:t xml:space="preserve"> </w:t>
      </w:r>
      <w:r>
        <w:t>Moreover, evidence-based policing promotes cooperation and communication between law enforcement agencies and other stakeholders, which may result in more comprehensive and coordinated responses to crime.</w:t>
      </w:r>
    </w:p>
    <w:p w14:paraId="202E3EEC" w14:textId="77777777" w:rsidR="00094E11" w:rsidRDefault="00587042" w:rsidP="00995672">
      <w:pPr>
        <w:pStyle w:val="NormalWeb"/>
        <w:spacing w:line="480" w:lineRule="auto"/>
        <w:ind w:left="284" w:firstLine="720"/>
        <w:jc w:val="both"/>
      </w:pPr>
      <w:r>
        <w:t>Nonetheless, there are limitations to evidence-based policing.</w:t>
      </w:r>
      <w:r>
        <w:rPr>
          <w:lang w:val="en-GB"/>
        </w:rPr>
        <w:t xml:space="preserve"> </w:t>
      </w:r>
      <w:r>
        <w:t xml:space="preserve">One critique is that it may be unduly focused on short-term outcomes and may not account appropriately for the long-term </w:t>
      </w:r>
      <w:r>
        <w:lastRenderedPageBreak/>
        <w:t>effects of police actions.</w:t>
      </w:r>
      <w:r>
        <w:rPr>
          <w:lang w:val="en-GB"/>
        </w:rPr>
        <w:t xml:space="preserve"> </w:t>
      </w:r>
      <w:r>
        <w:t>For instance, tough police techniques, such as zero-tolerance laws, may help decrease crime in the short term but may have detrimental long-term effects, such as an increase in mistrust of law enforcement and a decrease in community involvement.</w:t>
      </w:r>
    </w:p>
    <w:p w14:paraId="2930B3C2" w14:textId="77777777" w:rsidR="00905021" w:rsidRDefault="00587042" w:rsidP="00995672">
      <w:pPr>
        <w:spacing w:line="480" w:lineRule="auto"/>
        <w:ind w:left="284" w:firstLine="720"/>
        <w:jc w:val="both"/>
        <w:rPr>
          <w:rFonts w:ascii="Times New Roman" w:hAnsi="Times New Roman" w:cs="Times New Roman"/>
          <w:sz w:val="24"/>
          <w:szCs w:val="24"/>
        </w:rPr>
      </w:pPr>
      <w:r w:rsidRPr="00094E11">
        <w:rPr>
          <w:rFonts w:ascii="Times New Roman" w:hAnsi="Times New Roman" w:cs="Times New Roman"/>
          <w:sz w:val="24"/>
          <w:szCs w:val="24"/>
        </w:rPr>
        <w:t>Classical criminology and evidence-based policing provide positive ways to comprehend and combat criminal behavior.</w:t>
      </w:r>
      <w:r>
        <w:rPr>
          <w:rFonts w:ascii="Times New Roman" w:hAnsi="Times New Roman" w:cs="Times New Roman"/>
          <w:sz w:val="24"/>
          <w:szCs w:val="24"/>
          <w:lang w:val="en-GB"/>
        </w:rPr>
        <w:t xml:space="preserve"> </w:t>
      </w:r>
      <w:r w:rsidRPr="00094E11">
        <w:rPr>
          <w:rFonts w:ascii="Times New Roman" w:hAnsi="Times New Roman" w:cs="Times New Roman"/>
          <w:sz w:val="24"/>
          <w:szCs w:val="24"/>
        </w:rPr>
        <w:t>Classical criminology offers a theoretical foundation for understanding criminal behavior and the most effective means of combating it. Evidence-based policing, on the other hand, emphasizes the use of data and research to inform law enforcement tactics and promotes cooperation and communication between law enforcement agencies and other stakeholders. Both programs promote safer and more equitable communities by reducing crime and holding criminals responsible.</w:t>
      </w:r>
      <w:r>
        <w:rPr>
          <w:rFonts w:ascii="Times New Roman" w:hAnsi="Times New Roman" w:cs="Times New Roman"/>
          <w:sz w:val="24"/>
          <w:szCs w:val="24"/>
          <w:lang w:val="en-GB"/>
        </w:rPr>
        <w:t xml:space="preserve"> </w:t>
      </w:r>
      <w:r w:rsidRPr="00094E11">
        <w:rPr>
          <w:rFonts w:ascii="Times New Roman" w:hAnsi="Times New Roman" w:cs="Times New Roman"/>
          <w:sz w:val="24"/>
          <w:szCs w:val="24"/>
        </w:rPr>
        <w:t>By using the strengths of both systems and resolving their flaws, law enforcement agencies may achieve this objective and create a more fair and equal society for everyone.</w:t>
      </w:r>
    </w:p>
    <w:p w14:paraId="4C6CF304" w14:textId="77777777" w:rsidR="00905021" w:rsidRDefault="00905021">
      <w:pPr>
        <w:rPr>
          <w:rFonts w:ascii="Times New Roman" w:hAnsi="Times New Roman" w:cs="Times New Roman"/>
          <w:sz w:val="24"/>
          <w:szCs w:val="24"/>
        </w:rPr>
      </w:pPr>
      <w:r>
        <w:rPr>
          <w:rFonts w:ascii="Times New Roman" w:hAnsi="Times New Roman" w:cs="Times New Roman"/>
          <w:sz w:val="24"/>
          <w:szCs w:val="24"/>
        </w:rPr>
        <w:br w:type="page"/>
      </w:r>
    </w:p>
    <w:p w14:paraId="0AB3BC9E" w14:textId="77777777" w:rsidR="00776400" w:rsidRPr="00EC36A7" w:rsidRDefault="00905021" w:rsidP="00EC36A7">
      <w:pPr>
        <w:spacing w:line="480" w:lineRule="auto"/>
        <w:ind w:left="720" w:hanging="720"/>
        <w:jc w:val="center"/>
        <w:rPr>
          <w:rFonts w:ascii="Times New Roman" w:hAnsi="Times New Roman" w:cs="Times New Roman"/>
          <w:b/>
          <w:sz w:val="24"/>
          <w:szCs w:val="24"/>
        </w:rPr>
      </w:pPr>
      <w:r w:rsidRPr="00EC36A7">
        <w:rPr>
          <w:rFonts w:ascii="Times New Roman" w:hAnsi="Times New Roman" w:cs="Times New Roman"/>
          <w:b/>
          <w:sz w:val="24"/>
          <w:szCs w:val="24"/>
        </w:rPr>
        <w:lastRenderedPageBreak/>
        <w:t>References</w:t>
      </w:r>
    </w:p>
    <w:p w14:paraId="2C57BCE9" w14:textId="77777777" w:rsidR="00D15CDF" w:rsidRPr="00EC36A7" w:rsidRDefault="00530031" w:rsidP="00EC36A7">
      <w:pPr>
        <w:spacing w:after="0" w:line="480" w:lineRule="auto"/>
        <w:ind w:left="720" w:hanging="720"/>
        <w:jc w:val="both"/>
        <w:rPr>
          <w:rFonts w:ascii="Times New Roman" w:eastAsia="Times New Roman" w:hAnsi="Times New Roman" w:cs="Times New Roman"/>
          <w:sz w:val="24"/>
          <w:szCs w:val="24"/>
          <w:lang w:val="en-GB"/>
        </w:rPr>
      </w:pPr>
      <w:r w:rsidRPr="00530031">
        <w:rPr>
          <w:rFonts w:ascii="Times New Roman" w:eastAsia="Times New Roman" w:hAnsi="Times New Roman" w:cs="Times New Roman"/>
          <w:sz w:val="24"/>
          <w:szCs w:val="24"/>
        </w:rPr>
        <w:t xml:space="preserve">Brown, M. L. (2020). Police research—An important tool for police, often underutilized. </w:t>
      </w:r>
      <w:r w:rsidRPr="00530031">
        <w:rPr>
          <w:rFonts w:ascii="Times New Roman" w:eastAsia="Times New Roman" w:hAnsi="Times New Roman" w:cs="Times New Roman"/>
          <w:i/>
          <w:iCs/>
          <w:sz w:val="24"/>
          <w:szCs w:val="24"/>
        </w:rPr>
        <w:t>Annotation</w:t>
      </w:r>
      <w:r w:rsidR="00D15CDF" w:rsidRPr="00EC36A7">
        <w:rPr>
          <w:rFonts w:ascii="Times New Roman" w:eastAsia="Times New Roman" w:hAnsi="Times New Roman" w:cs="Times New Roman"/>
          <w:sz w:val="24"/>
          <w:szCs w:val="24"/>
          <w:lang w:val="en-GB"/>
        </w:rPr>
        <w:t xml:space="preserve">. </w:t>
      </w:r>
      <w:hyperlink r:id="rId7" w:history="1">
        <w:r w:rsidR="00D15CDF" w:rsidRPr="00EC36A7">
          <w:rPr>
            <w:rStyle w:val="Hyperlink"/>
            <w:rFonts w:ascii="Times New Roman" w:eastAsia="Times New Roman" w:hAnsi="Times New Roman" w:cs="Times New Roman"/>
            <w:sz w:val="24"/>
            <w:szCs w:val="24"/>
            <w:lang w:val="en-GB"/>
          </w:rPr>
          <w:t>https://www.ojp.gov/pdffiles1/nij/254778.pdf</w:t>
        </w:r>
      </w:hyperlink>
    </w:p>
    <w:p w14:paraId="3CF7035F" w14:textId="77777777" w:rsidR="00EC36A7" w:rsidRPr="00EC36A7" w:rsidRDefault="00905021" w:rsidP="00EC36A7">
      <w:pPr>
        <w:spacing w:line="480" w:lineRule="auto"/>
        <w:ind w:left="720" w:hanging="720"/>
        <w:jc w:val="both"/>
        <w:rPr>
          <w:rFonts w:ascii="Times New Roman" w:eastAsia="Times New Roman" w:hAnsi="Times New Roman" w:cs="Times New Roman"/>
          <w:sz w:val="24"/>
          <w:szCs w:val="24"/>
          <w:lang w:val="en-GB"/>
        </w:rPr>
      </w:pPr>
      <w:r w:rsidRPr="00905021">
        <w:rPr>
          <w:rFonts w:ascii="Times New Roman" w:eastAsia="Times New Roman" w:hAnsi="Times New Roman" w:cs="Times New Roman"/>
          <w:sz w:val="24"/>
          <w:szCs w:val="24"/>
        </w:rPr>
        <w:t xml:space="preserve"> </w:t>
      </w:r>
      <w:r w:rsidR="0043191F" w:rsidRPr="0043191F">
        <w:rPr>
          <w:rFonts w:ascii="Times New Roman" w:eastAsia="Times New Roman" w:hAnsi="Times New Roman" w:cs="Times New Roman"/>
          <w:sz w:val="24"/>
          <w:szCs w:val="24"/>
        </w:rPr>
        <w:t xml:space="preserve">Rogers, C., Pepper, I., &amp; Skilling, L. (2022). Evidence-based policing for crime prevention in England and Wales: perception and use by new police recruits. </w:t>
      </w:r>
      <w:r w:rsidR="0043191F" w:rsidRPr="0043191F">
        <w:rPr>
          <w:rFonts w:ascii="Times New Roman" w:eastAsia="Times New Roman" w:hAnsi="Times New Roman" w:cs="Times New Roman"/>
          <w:i/>
          <w:iCs/>
          <w:sz w:val="24"/>
          <w:szCs w:val="24"/>
        </w:rPr>
        <w:t>Crime Prevention and Community Safety</w:t>
      </w:r>
      <w:r w:rsidR="0043191F" w:rsidRPr="0043191F">
        <w:rPr>
          <w:rFonts w:ascii="Times New Roman" w:eastAsia="Times New Roman" w:hAnsi="Times New Roman" w:cs="Times New Roman"/>
          <w:sz w:val="24"/>
          <w:szCs w:val="24"/>
        </w:rPr>
        <w:t xml:space="preserve">, </w:t>
      </w:r>
      <w:r w:rsidR="0043191F" w:rsidRPr="0043191F">
        <w:rPr>
          <w:rFonts w:ascii="Times New Roman" w:eastAsia="Times New Roman" w:hAnsi="Times New Roman" w:cs="Times New Roman"/>
          <w:i/>
          <w:iCs/>
          <w:sz w:val="24"/>
          <w:szCs w:val="24"/>
        </w:rPr>
        <w:t>24</w:t>
      </w:r>
      <w:r w:rsidR="0043191F" w:rsidRPr="0043191F">
        <w:rPr>
          <w:rFonts w:ascii="Times New Roman" w:eastAsia="Times New Roman" w:hAnsi="Times New Roman" w:cs="Times New Roman"/>
          <w:sz w:val="24"/>
          <w:szCs w:val="24"/>
        </w:rPr>
        <w:t>(4), 328-341.</w:t>
      </w:r>
      <w:r w:rsidR="0043191F" w:rsidRPr="00EC36A7">
        <w:rPr>
          <w:rFonts w:ascii="Times New Roman" w:eastAsia="Times New Roman" w:hAnsi="Times New Roman" w:cs="Times New Roman"/>
          <w:sz w:val="24"/>
          <w:szCs w:val="24"/>
          <w:lang w:val="en-GB"/>
        </w:rPr>
        <w:t xml:space="preserve"> </w:t>
      </w:r>
      <w:hyperlink r:id="rId8" w:history="1">
        <w:r w:rsidR="0043191F" w:rsidRPr="00EC36A7">
          <w:rPr>
            <w:rStyle w:val="Hyperlink"/>
            <w:rFonts w:ascii="Times New Roman" w:hAnsi="Times New Roman" w:cs="Times New Roman"/>
            <w:sz w:val="24"/>
            <w:szCs w:val="24"/>
          </w:rPr>
          <w:t>https://doi.org/10.1057/s41300-022-00158-w</w:t>
        </w:r>
      </w:hyperlink>
    </w:p>
    <w:p w14:paraId="6B492D59" w14:textId="77777777" w:rsidR="00464A8E" w:rsidRPr="00EC36A7" w:rsidRDefault="00464A8E" w:rsidP="00EC36A7">
      <w:pPr>
        <w:spacing w:line="480" w:lineRule="auto"/>
        <w:ind w:left="720" w:hanging="720"/>
        <w:jc w:val="both"/>
        <w:rPr>
          <w:rFonts w:ascii="Times New Roman" w:eastAsia="Times New Roman" w:hAnsi="Times New Roman" w:cs="Times New Roman"/>
          <w:sz w:val="24"/>
          <w:szCs w:val="24"/>
          <w:lang w:val="en-GB"/>
        </w:rPr>
      </w:pPr>
      <w:r w:rsidRPr="00464A8E">
        <w:rPr>
          <w:rFonts w:ascii="Times New Roman" w:eastAsia="Times New Roman" w:hAnsi="Times New Roman" w:cs="Times New Roman"/>
          <w:sz w:val="24"/>
          <w:szCs w:val="24"/>
        </w:rPr>
        <w:t xml:space="preserve">Siponen, M., Soliman, W., &amp; Vance, A. (2022). Common misunderstandings of deterrence theory in information systems research and future research directions. </w:t>
      </w:r>
      <w:r w:rsidRPr="00464A8E">
        <w:rPr>
          <w:rFonts w:ascii="Times New Roman" w:eastAsia="Times New Roman" w:hAnsi="Times New Roman" w:cs="Times New Roman"/>
          <w:i/>
          <w:iCs/>
          <w:sz w:val="24"/>
          <w:szCs w:val="24"/>
        </w:rPr>
        <w:t>ACM SIGMIS Database: the DATABASE for Advances in Information Systems</w:t>
      </w:r>
      <w:r w:rsidRPr="00464A8E">
        <w:rPr>
          <w:rFonts w:ascii="Times New Roman" w:eastAsia="Times New Roman" w:hAnsi="Times New Roman" w:cs="Times New Roman"/>
          <w:sz w:val="24"/>
          <w:szCs w:val="24"/>
        </w:rPr>
        <w:t xml:space="preserve">, </w:t>
      </w:r>
      <w:r w:rsidRPr="00464A8E">
        <w:rPr>
          <w:rFonts w:ascii="Times New Roman" w:eastAsia="Times New Roman" w:hAnsi="Times New Roman" w:cs="Times New Roman"/>
          <w:i/>
          <w:iCs/>
          <w:sz w:val="24"/>
          <w:szCs w:val="24"/>
        </w:rPr>
        <w:t>53</w:t>
      </w:r>
      <w:r w:rsidRPr="00464A8E">
        <w:rPr>
          <w:rFonts w:ascii="Times New Roman" w:eastAsia="Times New Roman" w:hAnsi="Times New Roman" w:cs="Times New Roman"/>
          <w:sz w:val="24"/>
          <w:szCs w:val="24"/>
        </w:rPr>
        <w:t>(1), 25-60.</w:t>
      </w:r>
      <w:r w:rsidRPr="00EC36A7">
        <w:rPr>
          <w:rFonts w:ascii="Times New Roman" w:eastAsia="Times New Roman" w:hAnsi="Times New Roman" w:cs="Times New Roman"/>
          <w:sz w:val="24"/>
          <w:szCs w:val="24"/>
          <w:lang w:val="en-GB"/>
        </w:rPr>
        <w:t xml:space="preserve"> </w:t>
      </w:r>
      <w:hyperlink r:id="rId9" w:history="1">
        <w:r w:rsidRPr="00EC36A7">
          <w:rPr>
            <w:rStyle w:val="Hyperlink"/>
            <w:rFonts w:ascii="Times New Roman" w:eastAsia="Times New Roman" w:hAnsi="Times New Roman" w:cs="Times New Roman"/>
            <w:sz w:val="24"/>
            <w:szCs w:val="24"/>
            <w:lang w:val="en-GB"/>
          </w:rPr>
          <w:t>https://www.researchgate.net/publication/349732120_Common_Misunderstandings_of_Deterrence_Theory_in_Information_Systems_Research_and_Future_Research_Directions</w:t>
        </w:r>
      </w:hyperlink>
    </w:p>
    <w:p w14:paraId="715DA75D" w14:textId="77777777" w:rsidR="00EC36A7" w:rsidRPr="00EC36A7" w:rsidRDefault="00EC36A7" w:rsidP="00EC36A7">
      <w:pPr>
        <w:spacing w:line="480" w:lineRule="auto"/>
        <w:ind w:left="720" w:hanging="720"/>
        <w:jc w:val="both"/>
        <w:rPr>
          <w:rFonts w:ascii="Times New Roman" w:eastAsia="Times New Roman" w:hAnsi="Times New Roman" w:cs="Times New Roman"/>
          <w:sz w:val="24"/>
          <w:szCs w:val="24"/>
          <w:lang w:val="en-GB"/>
        </w:rPr>
      </w:pPr>
      <w:r w:rsidRPr="00EC36A7">
        <w:rPr>
          <w:rFonts w:ascii="Times New Roman" w:eastAsia="Times New Roman" w:hAnsi="Times New Roman" w:cs="Times New Roman"/>
          <w:sz w:val="24"/>
          <w:szCs w:val="24"/>
        </w:rPr>
        <w:t xml:space="preserve">Taylor, B. G., Liu, W., Maitra, P., Koper, C. S., Sheridan, J., &amp; Johnson, W. (2022). The effects of community-infused problem-oriented policing in crime hot spots based on police data: a randomized controlled trial. </w:t>
      </w:r>
      <w:r w:rsidRPr="00EC36A7">
        <w:rPr>
          <w:rFonts w:ascii="Times New Roman" w:eastAsia="Times New Roman" w:hAnsi="Times New Roman" w:cs="Times New Roman"/>
          <w:i/>
          <w:iCs/>
          <w:sz w:val="24"/>
          <w:szCs w:val="24"/>
        </w:rPr>
        <w:t>Journal of experimental criminology</w:t>
      </w:r>
      <w:r w:rsidRPr="00EC36A7">
        <w:rPr>
          <w:rFonts w:ascii="Times New Roman" w:eastAsia="Times New Roman" w:hAnsi="Times New Roman" w:cs="Times New Roman"/>
          <w:sz w:val="24"/>
          <w:szCs w:val="24"/>
        </w:rPr>
        <w:t>, 1-29.</w:t>
      </w:r>
      <w:r w:rsidRPr="00EC36A7">
        <w:rPr>
          <w:rFonts w:ascii="Times New Roman" w:eastAsia="Times New Roman" w:hAnsi="Times New Roman" w:cs="Times New Roman"/>
          <w:sz w:val="24"/>
          <w:szCs w:val="24"/>
          <w:lang w:val="en-GB"/>
        </w:rPr>
        <w:t xml:space="preserve"> </w:t>
      </w:r>
      <w:hyperlink r:id="rId10" w:history="1">
        <w:r w:rsidRPr="00EC36A7">
          <w:rPr>
            <w:rStyle w:val="Hyperlink"/>
            <w:rFonts w:ascii="Times New Roman" w:eastAsia="Times New Roman" w:hAnsi="Times New Roman" w:cs="Times New Roman"/>
            <w:sz w:val="24"/>
            <w:szCs w:val="24"/>
            <w:lang w:val="en-GB"/>
          </w:rPr>
          <w:t>https://www.ncbi.nlm.nih.gov/pmc/articles/PMC9638250/</w:t>
        </w:r>
      </w:hyperlink>
    </w:p>
    <w:p w14:paraId="30EA9AB0" w14:textId="77777777" w:rsidR="00464A8E" w:rsidRPr="00464A8E" w:rsidRDefault="00EC36A7" w:rsidP="00EC36A7">
      <w:pPr>
        <w:spacing w:after="0" w:line="480" w:lineRule="auto"/>
        <w:ind w:left="720" w:hanging="720"/>
        <w:jc w:val="both"/>
        <w:rPr>
          <w:rFonts w:ascii="Times New Roman" w:eastAsia="Times New Roman" w:hAnsi="Times New Roman" w:cs="Times New Roman"/>
          <w:sz w:val="24"/>
          <w:szCs w:val="24"/>
          <w:lang w:val="en-GB"/>
        </w:rPr>
      </w:pPr>
      <w:r w:rsidRPr="00905021">
        <w:rPr>
          <w:rFonts w:ascii="Times New Roman" w:eastAsia="Times New Roman" w:hAnsi="Times New Roman" w:cs="Times New Roman"/>
          <w:sz w:val="24"/>
          <w:szCs w:val="24"/>
        </w:rPr>
        <w:t xml:space="preserve">Wickert, C. (2022, April 18). </w:t>
      </w:r>
      <w:r w:rsidRPr="00905021">
        <w:rPr>
          <w:rFonts w:ascii="Times New Roman" w:eastAsia="Times New Roman" w:hAnsi="Times New Roman" w:cs="Times New Roman"/>
          <w:i/>
          <w:iCs/>
          <w:sz w:val="24"/>
          <w:szCs w:val="24"/>
        </w:rPr>
        <w:t>Cesare Beccaria and the School of Classical Criminology</w:t>
      </w:r>
      <w:r w:rsidRPr="00905021">
        <w:rPr>
          <w:rFonts w:ascii="Times New Roman" w:eastAsia="Times New Roman" w:hAnsi="Times New Roman" w:cs="Times New Roman"/>
          <w:sz w:val="24"/>
          <w:szCs w:val="24"/>
        </w:rPr>
        <w:t xml:space="preserve">. SozTheo. Retrieved March 6, 2023, from </w:t>
      </w:r>
      <w:hyperlink r:id="rId11" w:history="1">
        <w:r w:rsidRPr="00EC36A7">
          <w:rPr>
            <w:rStyle w:val="Hyperlink"/>
            <w:rFonts w:ascii="Times New Roman" w:eastAsia="Times New Roman" w:hAnsi="Times New Roman" w:cs="Times New Roman"/>
            <w:sz w:val="24"/>
            <w:szCs w:val="24"/>
          </w:rPr>
          <w:t>https://soztheo.de/theories-of-crime/rational-choice/classical-criminology/?lang=en</w:t>
        </w:r>
      </w:hyperlink>
    </w:p>
    <w:p w14:paraId="333D2E2D" w14:textId="77777777" w:rsidR="00905021" w:rsidRPr="00EC36A7" w:rsidRDefault="00905021" w:rsidP="00EC36A7">
      <w:pPr>
        <w:spacing w:before="100" w:beforeAutospacing="1" w:after="100" w:afterAutospacing="1" w:line="480" w:lineRule="auto"/>
        <w:ind w:left="720" w:hanging="720"/>
        <w:jc w:val="both"/>
        <w:rPr>
          <w:rFonts w:ascii="Times New Roman" w:eastAsia="Times New Roman" w:hAnsi="Times New Roman" w:cs="Times New Roman"/>
          <w:sz w:val="24"/>
          <w:szCs w:val="24"/>
        </w:rPr>
      </w:pPr>
    </w:p>
    <w:p w14:paraId="4D213ED3" w14:textId="77777777" w:rsidR="00905021" w:rsidRPr="00FE4224" w:rsidRDefault="00905021" w:rsidP="00094E11">
      <w:pPr>
        <w:rPr>
          <w:rFonts w:ascii="Times New Roman" w:hAnsi="Times New Roman" w:cs="Times New Roman"/>
          <w:sz w:val="24"/>
          <w:szCs w:val="24"/>
        </w:rPr>
      </w:pPr>
    </w:p>
    <w:sectPr w:rsidR="00905021" w:rsidRPr="00FE4224">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6698C" w14:textId="77777777" w:rsidR="00C945BC" w:rsidRDefault="00C945BC" w:rsidP="00995672">
      <w:pPr>
        <w:spacing w:after="0" w:line="240" w:lineRule="auto"/>
      </w:pPr>
      <w:r>
        <w:separator/>
      </w:r>
    </w:p>
  </w:endnote>
  <w:endnote w:type="continuationSeparator" w:id="0">
    <w:p w14:paraId="36536C95" w14:textId="77777777" w:rsidR="00C945BC" w:rsidRDefault="00C945BC" w:rsidP="00995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D724D" w14:textId="77777777" w:rsidR="00C945BC" w:rsidRDefault="00C945BC" w:rsidP="00995672">
      <w:pPr>
        <w:spacing w:after="0" w:line="240" w:lineRule="auto"/>
      </w:pPr>
      <w:r>
        <w:separator/>
      </w:r>
    </w:p>
  </w:footnote>
  <w:footnote w:type="continuationSeparator" w:id="0">
    <w:p w14:paraId="5E77D674" w14:textId="77777777" w:rsidR="00C945BC" w:rsidRDefault="00C945BC" w:rsidP="009956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4837643"/>
      <w:docPartObj>
        <w:docPartGallery w:val="Page Numbers (Top of Page)"/>
        <w:docPartUnique/>
      </w:docPartObj>
    </w:sdtPr>
    <w:sdtEndPr>
      <w:rPr>
        <w:noProof/>
      </w:rPr>
    </w:sdtEndPr>
    <w:sdtContent>
      <w:p w14:paraId="5F41930F" w14:textId="77777777" w:rsidR="00995672" w:rsidRDefault="009956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1B3A291" w14:textId="77777777" w:rsidR="00995672" w:rsidRDefault="009956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3104E"/>
    <w:multiLevelType w:val="multilevel"/>
    <w:tmpl w:val="64A6A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0B4238"/>
    <w:multiLevelType w:val="hybridMultilevel"/>
    <w:tmpl w:val="2D2093EA"/>
    <w:lvl w:ilvl="0" w:tplc="FCA25C7E">
      <w:start w:val="1"/>
      <w:numFmt w:val="decimal"/>
      <w:lvlText w:val="%1."/>
      <w:lvlJc w:val="left"/>
      <w:pPr>
        <w:ind w:left="720" w:hanging="360"/>
      </w:pPr>
    </w:lvl>
    <w:lvl w:ilvl="1" w:tplc="DADE09DA" w:tentative="1">
      <w:start w:val="1"/>
      <w:numFmt w:val="lowerLetter"/>
      <w:lvlText w:val="%2."/>
      <w:lvlJc w:val="left"/>
      <w:pPr>
        <w:ind w:left="1440" w:hanging="360"/>
      </w:pPr>
    </w:lvl>
    <w:lvl w:ilvl="2" w:tplc="2AF204B6" w:tentative="1">
      <w:start w:val="1"/>
      <w:numFmt w:val="lowerRoman"/>
      <w:lvlText w:val="%3."/>
      <w:lvlJc w:val="right"/>
      <w:pPr>
        <w:ind w:left="2160" w:hanging="180"/>
      </w:pPr>
    </w:lvl>
    <w:lvl w:ilvl="3" w:tplc="3DB846F2" w:tentative="1">
      <w:start w:val="1"/>
      <w:numFmt w:val="decimal"/>
      <w:lvlText w:val="%4."/>
      <w:lvlJc w:val="left"/>
      <w:pPr>
        <w:ind w:left="2880" w:hanging="360"/>
      </w:pPr>
    </w:lvl>
    <w:lvl w:ilvl="4" w:tplc="144CF114" w:tentative="1">
      <w:start w:val="1"/>
      <w:numFmt w:val="lowerLetter"/>
      <w:lvlText w:val="%5."/>
      <w:lvlJc w:val="left"/>
      <w:pPr>
        <w:ind w:left="3600" w:hanging="360"/>
      </w:pPr>
    </w:lvl>
    <w:lvl w:ilvl="5" w:tplc="2AC07918" w:tentative="1">
      <w:start w:val="1"/>
      <w:numFmt w:val="lowerRoman"/>
      <w:lvlText w:val="%6."/>
      <w:lvlJc w:val="right"/>
      <w:pPr>
        <w:ind w:left="4320" w:hanging="180"/>
      </w:pPr>
    </w:lvl>
    <w:lvl w:ilvl="6" w:tplc="1AA45D3A" w:tentative="1">
      <w:start w:val="1"/>
      <w:numFmt w:val="decimal"/>
      <w:lvlText w:val="%7."/>
      <w:lvlJc w:val="left"/>
      <w:pPr>
        <w:ind w:left="5040" w:hanging="360"/>
      </w:pPr>
    </w:lvl>
    <w:lvl w:ilvl="7" w:tplc="D6504416" w:tentative="1">
      <w:start w:val="1"/>
      <w:numFmt w:val="lowerLetter"/>
      <w:lvlText w:val="%8."/>
      <w:lvlJc w:val="left"/>
      <w:pPr>
        <w:ind w:left="5760" w:hanging="360"/>
      </w:pPr>
    </w:lvl>
    <w:lvl w:ilvl="8" w:tplc="747C3B80" w:tentative="1">
      <w:start w:val="1"/>
      <w:numFmt w:val="lowerRoman"/>
      <w:lvlText w:val="%9."/>
      <w:lvlJc w:val="right"/>
      <w:pPr>
        <w:ind w:left="6480" w:hanging="180"/>
      </w:pPr>
    </w:lvl>
  </w:abstractNum>
  <w:num w:numId="1" w16cid:durableId="2107000644">
    <w:abstractNumId w:val="0"/>
  </w:num>
  <w:num w:numId="2" w16cid:durableId="16192204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400"/>
    <w:rsid w:val="00031DA7"/>
    <w:rsid w:val="00094E11"/>
    <w:rsid w:val="000A448E"/>
    <w:rsid w:val="000C6F3C"/>
    <w:rsid w:val="00100D07"/>
    <w:rsid w:val="00111BB4"/>
    <w:rsid w:val="00145F96"/>
    <w:rsid w:val="001903E1"/>
    <w:rsid w:val="001C3624"/>
    <w:rsid w:val="001E29C9"/>
    <w:rsid w:val="00205494"/>
    <w:rsid w:val="00221FB9"/>
    <w:rsid w:val="00254D9F"/>
    <w:rsid w:val="002A4350"/>
    <w:rsid w:val="002C7B96"/>
    <w:rsid w:val="003605FB"/>
    <w:rsid w:val="0037333A"/>
    <w:rsid w:val="003D3E27"/>
    <w:rsid w:val="003D53E5"/>
    <w:rsid w:val="003F1A0F"/>
    <w:rsid w:val="00415F4B"/>
    <w:rsid w:val="004265C3"/>
    <w:rsid w:val="0043191F"/>
    <w:rsid w:val="00464A8E"/>
    <w:rsid w:val="004B3E97"/>
    <w:rsid w:val="00530031"/>
    <w:rsid w:val="00542DBE"/>
    <w:rsid w:val="00587042"/>
    <w:rsid w:val="005B3554"/>
    <w:rsid w:val="005F5BE1"/>
    <w:rsid w:val="00614BE0"/>
    <w:rsid w:val="006241F5"/>
    <w:rsid w:val="006542D1"/>
    <w:rsid w:val="006640A9"/>
    <w:rsid w:val="007063E7"/>
    <w:rsid w:val="00725B56"/>
    <w:rsid w:val="00776400"/>
    <w:rsid w:val="00785776"/>
    <w:rsid w:val="007B41A6"/>
    <w:rsid w:val="008A39AD"/>
    <w:rsid w:val="008B5D37"/>
    <w:rsid w:val="00905021"/>
    <w:rsid w:val="009218F9"/>
    <w:rsid w:val="00995672"/>
    <w:rsid w:val="009C67B1"/>
    <w:rsid w:val="009C69B1"/>
    <w:rsid w:val="009F704E"/>
    <w:rsid w:val="00A368F1"/>
    <w:rsid w:val="00A66716"/>
    <w:rsid w:val="00A869A4"/>
    <w:rsid w:val="00A945A7"/>
    <w:rsid w:val="00AD2B08"/>
    <w:rsid w:val="00B45B1A"/>
    <w:rsid w:val="00B75C51"/>
    <w:rsid w:val="00BA4C19"/>
    <w:rsid w:val="00BC083E"/>
    <w:rsid w:val="00BD0406"/>
    <w:rsid w:val="00BD0A5A"/>
    <w:rsid w:val="00BD3DD8"/>
    <w:rsid w:val="00C023F6"/>
    <w:rsid w:val="00C37063"/>
    <w:rsid w:val="00C945BC"/>
    <w:rsid w:val="00C97257"/>
    <w:rsid w:val="00CA24BD"/>
    <w:rsid w:val="00CA3A6A"/>
    <w:rsid w:val="00CE1D61"/>
    <w:rsid w:val="00CF2DCF"/>
    <w:rsid w:val="00D134CA"/>
    <w:rsid w:val="00D15CDF"/>
    <w:rsid w:val="00D3311D"/>
    <w:rsid w:val="00D526B9"/>
    <w:rsid w:val="00DA77B6"/>
    <w:rsid w:val="00DE4E1A"/>
    <w:rsid w:val="00DF6AA5"/>
    <w:rsid w:val="00E22B97"/>
    <w:rsid w:val="00E24908"/>
    <w:rsid w:val="00E63C1A"/>
    <w:rsid w:val="00EA2DAB"/>
    <w:rsid w:val="00EA688D"/>
    <w:rsid w:val="00EA7DDB"/>
    <w:rsid w:val="00EC36A7"/>
    <w:rsid w:val="00F00BCE"/>
    <w:rsid w:val="00F07D24"/>
    <w:rsid w:val="00F14997"/>
    <w:rsid w:val="00F41691"/>
    <w:rsid w:val="00F46F48"/>
    <w:rsid w:val="00F666DA"/>
    <w:rsid w:val="00F7394D"/>
    <w:rsid w:val="00F744D3"/>
    <w:rsid w:val="00FB14B5"/>
    <w:rsid w:val="00FE1CF5"/>
    <w:rsid w:val="00FE4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1B04F"/>
  <w15:chartTrackingRefBased/>
  <w15:docId w15:val="{637618D5-3F35-48F8-9CFE-242E442A8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3A6A"/>
    <w:pPr>
      <w:spacing w:before="100" w:beforeAutospacing="1" w:after="100" w:afterAutospacing="1" w:line="240" w:lineRule="auto"/>
    </w:pPr>
    <w:rPr>
      <w:rFonts w:ascii="Times New Roman" w:eastAsia="Times New Roman" w:hAnsi="Times New Roman" w:cs="Times New Roman"/>
      <w:sz w:val="24"/>
      <w:szCs w:val="24"/>
      <w:lang w:eastAsia=""/>
    </w:rPr>
  </w:style>
  <w:style w:type="character" w:styleId="Hyperlink">
    <w:name w:val="Hyperlink"/>
    <w:basedOn w:val="DefaultParagraphFont"/>
    <w:uiPriority w:val="99"/>
    <w:unhideWhenUsed/>
    <w:rsid w:val="00905021"/>
    <w:rPr>
      <w:color w:val="0563C1" w:themeColor="hyperlink"/>
      <w:u w:val="single"/>
    </w:rPr>
  </w:style>
  <w:style w:type="character" w:styleId="UnresolvedMention">
    <w:name w:val="Unresolved Mention"/>
    <w:basedOn w:val="DefaultParagraphFont"/>
    <w:uiPriority w:val="99"/>
    <w:semiHidden/>
    <w:unhideWhenUsed/>
    <w:rsid w:val="00905021"/>
    <w:rPr>
      <w:color w:val="605E5C"/>
      <w:shd w:val="clear" w:color="auto" w:fill="E1DFDD"/>
    </w:rPr>
  </w:style>
  <w:style w:type="character" w:customStyle="1" w:styleId="c-bibliographic-informationvalue">
    <w:name w:val="c-bibliographic-information__value"/>
    <w:basedOn w:val="DefaultParagraphFont"/>
    <w:rsid w:val="0043191F"/>
  </w:style>
  <w:style w:type="paragraph" w:styleId="Header">
    <w:name w:val="header"/>
    <w:basedOn w:val="Normal"/>
    <w:link w:val="HeaderChar"/>
    <w:uiPriority w:val="99"/>
    <w:unhideWhenUsed/>
    <w:rsid w:val="009956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5672"/>
  </w:style>
  <w:style w:type="paragraph" w:styleId="Footer">
    <w:name w:val="footer"/>
    <w:basedOn w:val="Normal"/>
    <w:link w:val="FooterChar"/>
    <w:uiPriority w:val="99"/>
    <w:unhideWhenUsed/>
    <w:rsid w:val="009956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56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654575">
      <w:bodyDiv w:val="1"/>
      <w:marLeft w:val="0"/>
      <w:marRight w:val="0"/>
      <w:marTop w:val="0"/>
      <w:marBottom w:val="0"/>
      <w:divBdr>
        <w:top w:val="none" w:sz="0" w:space="0" w:color="auto"/>
        <w:left w:val="none" w:sz="0" w:space="0" w:color="auto"/>
        <w:bottom w:val="none" w:sz="0" w:space="0" w:color="auto"/>
        <w:right w:val="none" w:sz="0" w:space="0" w:color="auto"/>
      </w:divBdr>
      <w:divsChild>
        <w:div w:id="759832222">
          <w:marLeft w:val="0"/>
          <w:marRight w:val="0"/>
          <w:marTop w:val="0"/>
          <w:marBottom w:val="0"/>
          <w:divBdr>
            <w:top w:val="none" w:sz="0" w:space="0" w:color="auto"/>
            <w:left w:val="none" w:sz="0" w:space="0" w:color="auto"/>
            <w:bottom w:val="none" w:sz="0" w:space="0" w:color="auto"/>
            <w:right w:val="none" w:sz="0" w:space="0" w:color="auto"/>
          </w:divBdr>
        </w:div>
      </w:divsChild>
    </w:div>
    <w:div w:id="683364087">
      <w:bodyDiv w:val="1"/>
      <w:marLeft w:val="0"/>
      <w:marRight w:val="0"/>
      <w:marTop w:val="0"/>
      <w:marBottom w:val="0"/>
      <w:divBdr>
        <w:top w:val="none" w:sz="0" w:space="0" w:color="auto"/>
        <w:left w:val="none" w:sz="0" w:space="0" w:color="auto"/>
        <w:bottom w:val="none" w:sz="0" w:space="0" w:color="auto"/>
        <w:right w:val="none" w:sz="0" w:space="0" w:color="auto"/>
      </w:divBdr>
      <w:divsChild>
        <w:div w:id="646665043">
          <w:marLeft w:val="0"/>
          <w:marRight w:val="0"/>
          <w:marTop w:val="0"/>
          <w:marBottom w:val="0"/>
          <w:divBdr>
            <w:top w:val="none" w:sz="0" w:space="0" w:color="auto"/>
            <w:left w:val="none" w:sz="0" w:space="0" w:color="auto"/>
            <w:bottom w:val="none" w:sz="0" w:space="0" w:color="auto"/>
            <w:right w:val="none" w:sz="0" w:space="0" w:color="auto"/>
          </w:divBdr>
        </w:div>
      </w:divsChild>
    </w:div>
    <w:div w:id="1343969930">
      <w:bodyDiv w:val="1"/>
      <w:marLeft w:val="0"/>
      <w:marRight w:val="0"/>
      <w:marTop w:val="0"/>
      <w:marBottom w:val="0"/>
      <w:divBdr>
        <w:top w:val="none" w:sz="0" w:space="0" w:color="auto"/>
        <w:left w:val="none" w:sz="0" w:space="0" w:color="auto"/>
        <w:bottom w:val="none" w:sz="0" w:space="0" w:color="auto"/>
        <w:right w:val="none" w:sz="0" w:space="0" w:color="auto"/>
      </w:divBdr>
      <w:divsChild>
        <w:div w:id="1488404186">
          <w:marLeft w:val="0"/>
          <w:marRight w:val="0"/>
          <w:marTop w:val="0"/>
          <w:marBottom w:val="0"/>
          <w:divBdr>
            <w:top w:val="none" w:sz="0" w:space="0" w:color="auto"/>
            <w:left w:val="none" w:sz="0" w:space="0" w:color="auto"/>
            <w:bottom w:val="none" w:sz="0" w:space="0" w:color="auto"/>
            <w:right w:val="none" w:sz="0" w:space="0" w:color="auto"/>
          </w:divBdr>
        </w:div>
      </w:divsChild>
    </w:div>
    <w:div w:id="1402215025">
      <w:bodyDiv w:val="1"/>
      <w:marLeft w:val="0"/>
      <w:marRight w:val="0"/>
      <w:marTop w:val="0"/>
      <w:marBottom w:val="0"/>
      <w:divBdr>
        <w:top w:val="none" w:sz="0" w:space="0" w:color="auto"/>
        <w:left w:val="none" w:sz="0" w:space="0" w:color="auto"/>
        <w:bottom w:val="none" w:sz="0" w:space="0" w:color="auto"/>
        <w:right w:val="none" w:sz="0" w:space="0" w:color="auto"/>
      </w:divBdr>
      <w:divsChild>
        <w:div w:id="272593333">
          <w:marLeft w:val="0"/>
          <w:marRight w:val="0"/>
          <w:marTop w:val="0"/>
          <w:marBottom w:val="0"/>
          <w:divBdr>
            <w:top w:val="none" w:sz="0" w:space="0" w:color="auto"/>
            <w:left w:val="none" w:sz="0" w:space="0" w:color="auto"/>
            <w:bottom w:val="none" w:sz="0" w:space="0" w:color="auto"/>
            <w:right w:val="none" w:sz="0" w:space="0" w:color="auto"/>
          </w:divBdr>
        </w:div>
      </w:divsChild>
    </w:div>
    <w:div w:id="1892767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7/s41300-022-00158-w"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jp.gov/pdffiles1/nij/254778.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oztheo.de/theories-of-crime/rational-choice/classical-criminology/?lang=en" TargetMode="External"/><Relationship Id="rId5" Type="http://schemas.openxmlformats.org/officeDocument/2006/relationships/footnotes" Target="footnotes.xml"/><Relationship Id="rId10" Type="http://schemas.openxmlformats.org/officeDocument/2006/relationships/hyperlink" Target="https://www.ncbi.nlm.nih.gov/pmc/articles/PMC9638250/" TargetMode="External"/><Relationship Id="rId4" Type="http://schemas.openxmlformats.org/officeDocument/2006/relationships/webSettings" Target="webSettings.xml"/><Relationship Id="rId9" Type="http://schemas.openxmlformats.org/officeDocument/2006/relationships/hyperlink" Target="https://www.researchgate.net/publication/349732120_Common_Misunderstandings_of_Deterrence_Theory_in_Information_Systems_Research_and_Future_Research_Direction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2214</Words>
  <Characters>12624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Aisha Ikram</cp:lastModifiedBy>
  <cp:revision>2</cp:revision>
  <dcterms:created xsi:type="dcterms:W3CDTF">2023-03-08T13:35:00Z</dcterms:created>
  <dcterms:modified xsi:type="dcterms:W3CDTF">2023-03-08T13:35:00Z</dcterms:modified>
</cp:coreProperties>
</file>