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8CE65" w14:textId="3B0072F2" w:rsidR="00C14C3E" w:rsidRPr="00C14C3E" w:rsidRDefault="00C14C3E" w:rsidP="00C14C3E">
      <w:pPr>
        <w:ind w:left="-180" w:right="-334"/>
        <w:rPr>
          <w:rFonts w:ascii="Georgia" w:eastAsia="SimSun" w:hAnsi="Georgia" w:cs="Times New Roman"/>
          <w:color w:val="000000"/>
          <w:sz w:val="21"/>
          <w:szCs w:val="21"/>
          <w:lang w:val="en-GB"/>
        </w:rPr>
      </w:pPr>
      <w:r w:rsidRPr="00C14C3E">
        <w:rPr>
          <w:rFonts w:ascii="Georgia" w:eastAsia="SimSun" w:hAnsi="Georgia" w:cs="Times New Roman"/>
          <w:noProof/>
          <w:color w:val="000000"/>
          <w:sz w:val="21"/>
          <w:szCs w:val="21"/>
          <w:lang w:val="en-GB"/>
        </w:rPr>
        <w:drawing>
          <wp:inline distT="0" distB="0" distL="0" distR="0" wp14:anchorId="533BB202" wp14:editId="1EF513AC">
            <wp:extent cx="1905000" cy="638175"/>
            <wp:effectExtent l="19050" t="19050" r="19050" b="28575"/>
            <wp:docPr id="1" name="Picture 1" descr="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C82C01A" w14:textId="77777777" w:rsidR="00C14C3E" w:rsidRPr="00C14C3E" w:rsidRDefault="00C14C3E" w:rsidP="00C14C3E">
      <w:pPr>
        <w:ind w:left="-180" w:right="-334"/>
        <w:rPr>
          <w:rFonts w:ascii="Georgia" w:eastAsia="SimSun" w:hAnsi="Georgia" w:cs="Times New Roman"/>
          <w:color w:val="000000"/>
          <w:sz w:val="21"/>
          <w:szCs w:val="21"/>
          <w:lang w:val="en-GB"/>
        </w:rPr>
      </w:pPr>
    </w:p>
    <w:p w14:paraId="5F105CE4" w14:textId="77777777" w:rsidR="00C14C3E" w:rsidRPr="00C14C3E" w:rsidRDefault="00C14C3E" w:rsidP="00C14C3E">
      <w:pPr>
        <w:ind w:left="-180" w:right="-334"/>
        <w:rPr>
          <w:rFonts w:ascii="Georgia" w:eastAsia="SimSun" w:hAnsi="Georgia" w:cs="Times New Roman"/>
          <w:color w:val="000000"/>
          <w:sz w:val="21"/>
          <w:szCs w:val="21"/>
          <w:lang w:val="en-GB"/>
        </w:rPr>
      </w:pPr>
    </w:p>
    <w:p w14:paraId="11C8808E" w14:textId="77777777" w:rsidR="00C14C3E" w:rsidRPr="00C14C3E" w:rsidRDefault="00C14C3E" w:rsidP="00C14C3E">
      <w:pPr>
        <w:ind w:left="-180" w:right="-334"/>
        <w:jc w:val="center"/>
        <w:rPr>
          <w:rFonts w:ascii="Arial" w:eastAsia="SimSun" w:hAnsi="Arial" w:cs="Arial"/>
          <w:b/>
          <w:color w:val="000000"/>
          <w:sz w:val="28"/>
          <w:szCs w:val="28"/>
          <w:lang w:val="cy-GB"/>
        </w:rPr>
      </w:pPr>
      <w:r w:rsidRPr="00C14C3E">
        <w:rPr>
          <w:rFonts w:ascii="Arial" w:eastAsia="SimSun" w:hAnsi="Arial" w:cs="Arial"/>
          <w:b/>
          <w:color w:val="000000"/>
          <w:sz w:val="28"/>
          <w:szCs w:val="28"/>
          <w:lang w:val="cy-GB"/>
        </w:rPr>
        <w:t xml:space="preserve">Postgraduate/Distance Learning </w:t>
      </w:r>
    </w:p>
    <w:p w14:paraId="53F88660" w14:textId="77777777" w:rsidR="00C14C3E" w:rsidRPr="00C14C3E" w:rsidRDefault="00C14C3E" w:rsidP="00C14C3E">
      <w:pPr>
        <w:ind w:left="-180" w:right="-334"/>
        <w:jc w:val="center"/>
        <w:rPr>
          <w:rFonts w:ascii="Arial" w:eastAsia="SimSun" w:hAnsi="Arial" w:cs="Arial"/>
          <w:b/>
          <w:color w:val="000000"/>
          <w:sz w:val="28"/>
          <w:szCs w:val="28"/>
          <w:lang w:val="en-GB"/>
        </w:rPr>
      </w:pPr>
      <w:r w:rsidRPr="00C14C3E">
        <w:rPr>
          <w:rFonts w:ascii="Arial" w:eastAsia="SimSun" w:hAnsi="Arial" w:cs="Arial"/>
          <w:b/>
          <w:color w:val="000000"/>
          <w:sz w:val="28"/>
          <w:szCs w:val="28"/>
          <w:lang w:val="cy-GB"/>
        </w:rPr>
        <w:t>Assignment coversheet &amp; feedback form</w:t>
      </w:r>
    </w:p>
    <w:p w14:paraId="0047F2F6" w14:textId="77777777" w:rsidR="00C14C3E" w:rsidRPr="00C14C3E" w:rsidRDefault="00C14C3E" w:rsidP="00C14C3E">
      <w:pPr>
        <w:spacing w:line="276" w:lineRule="auto"/>
        <w:rPr>
          <w:rFonts w:ascii="Arial" w:eastAsia="Times New Roman" w:hAnsi="Arial" w:cs="Arial"/>
          <w:sz w:val="28"/>
          <w:szCs w:val="28"/>
          <w:lang w:val="cy-GB"/>
        </w:rPr>
      </w:pPr>
    </w:p>
    <w:p w14:paraId="634071ED" w14:textId="77777777" w:rsidR="00C14C3E" w:rsidRPr="00C14C3E" w:rsidRDefault="00C14C3E" w:rsidP="00C14C3E">
      <w:pPr>
        <w:keepNext/>
        <w:keepLines/>
        <w:spacing w:before="320" w:after="80" w:line="276" w:lineRule="auto"/>
        <w:jc w:val="center"/>
        <w:outlineLvl w:val="2"/>
        <w:rPr>
          <w:rFonts w:ascii="Tahoma" w:eastAsia="SimSun" w:hAnsi="Tahoma" w:cs="Tahoma"/>
          <w:color w:val="434343"/>
          <w:sz w:val="20"/>
          <w:szCs w:val="20"/>
          <w:lang w:val="cy-GB"/>
        </w:rPr>
      </w:pPr>
      <w:r w:rsidRPr="00C14C3E">
        <w:rPr>
          <w:rFonts w:ascii="Arial" w:eastAsia="SimSun" w:hAnsi="Arial" w:cs="Arial"/>
          <w:color w:val="434343"/>
          <w:sz w:val="28"/>
          <w:szCs w:val="28"/>
          <w:lang w:val="cy-GB"/>
        </w:rPr>
        <w:t>THIS SHEET MUST BE THE FIRST PAGE OF THE ASSIGNMENT YOU ARE SUBMITTING  (DO NOT SEND AS A SEPARATE FILE)</w:t>
      </w:r>
    </w:p>
    <w:p w14:paraId="3A5F7188" w14:textId="77777777" w:rsidR="00C14C3E" w:rsidRPr="00C14C3E" w:rsidRDefault="00C14C3E" w:rsidP="00C14C3E">
      <w:pPr>
        <w:keepNext/>
        <w:keepLines/>
        <w:spacing w:before="320" w:after="80" w:line="276" w:lineRule="auto"/>
        <w:jc w:val="center"/>
        <w:outlineLvl w:val="2"/>
        <w:rPr>
          <w:rFonts w:ascii="Trebuchet MS" w:eastAsia="SimSun" w:hAnsi="Trebuchet MS" w:cs="Arial"/>
          <w:color w:val="434343"/>
          <w:sz w:val="28"/>
          <w:szCs w:val="28"/>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14C3E" w:rsidRPr="00C14C3E" w14:paraId="001F00DD" w14:textId="77777777" w:rsidTr="00425055">
        <w:trPr>
          <w:trHeight w:val="614"/>
        </w:trPr>
        <w:tc>
          <w:tcPr>
            <w:tcW w:w="8856" w:type="dxa"/>
            <w:gridSpan w:val="5"/>
            <w:hideMark/>
          </w:tcPr>
          <w:p w14:paraId="7A934DDD"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b/>
                <w:color w:val="000000"/>
                <w:lang w:val="en-GB"/>
              </w:rPr>
              <w:t>For completion by the student</w:t>
            </w:r>
            <w:r w:rsidRPr="00C14C3E">
              <w:rPr>
                <w:rFonts w:ascii="Arial" w:eastAsia="SimSun" w:hAnsi="Arial" w:cs="Arial"/>
                <w:color w:val="000000"/>
                <w:lang w:val="en-GB"/>
              </w:rPr>
              <w:t>:</w:t>
            </w:r>
          </w:p>
        </w:tc>
      </w:tr>
      <w:tr w:rsidR="00C14C3E" w:rsidRPr="00C14C3E" w14:paraId="55FFECAF" w14:textId="77777777" w:rsidTr="00425055">
        <w:trPr>
          <w:trHeight w:val="718"/>
        </w:trPr>
        <w:tc>
          <w:tcPr>
            <w:tcW w:w="8856" w:type="dxa"/>
            <w:gridSpan w:val="5"/>
          </w:tcPr>
          <w:p w14:paraId="4070CF37"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Student Name: Ying Ching Lee</w:t>
            </w:r>
          </w:p>
          <w:p w14:paraId="42CA3BE9" w14:textId="77777777" w:rsidR="00C14C3E" w:rsidRPr="00C14C3E" w:rsidRDefault="00C14C3E" w:rsidP="00C14C3E">
            <w:pPr>
              <w:ind w:right="34"/>
              <w:rPr>
                <w:rFonts w:ascii="Arial" w:eastAsia="SimSun" w:hAnsi="Arial" w:cs="Arial"/>
                <w:color w:val="000000"/>
                <w:lang w:val="en-GB"/>
              </w:rPr>
            </w:pPr>
          </w:p>
          <w:p w14:paraId="63693415"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 xml:space="preserve">Student </w:t>
            </w:r>
            <w:r w:rsidRPr="00C14C3E">
              <w:rPr>
                <w:rFonts w:ascii="Arial" w:eastAsia="SimSun" w:hAnsi="Arial" w:cs="Arial"/>
                <w:b/>
                <w:bCs/>
                <w:color w:val="000000"/>
                <w:u w:val="single"/>
                <w:lang w:val="en-GB"/>
              </w:rPr>
              <w:t>University</w:t>
            </w:r>
            <w:r w:rsidRPr="00C14C3E">
              <w:rPr>
                <w:rFonts w:ascii="Arial" w:eastAsia="SimSun" w:hAnsi="Arial" w:cs="Arial"/>
                <w:color w:val="000000"/>
                <w:u w:val="single"/>
                <w:lang w:val="en-GB"/>
              </w:rPr>
              <w:t xml:space="preserve"> </w:t>
            </w:r>
            <w:r w:rsidRPr="00C14C3E">
              <w:rPr>
                <w:rFonts w:ascii="Arial" w:eastAsia="SimSun" w:hAnsi="Arial" w:cs="Arial"/>
                <w:color w:val="000000"/>
                <w:lang w:val="en-GB"/>
              </w:rPr>
              <w:t>Email: 2126627@student.uwtsd.ac.uk</w:t>
            </w:r>
          </w:p>
        </w:tc>
      </w:tr>
      <w:tr w:rsidR="00C14C3E" w:rsidRPr="00C14C3E" w14:paraId="22B4ACB4" w14:textId="77777777" w:rsidTr="00425055">
        <w:trPr>
          <w:trHeight w:val="849"/>
        </w:trPr>
        <w:tc>
          <w:tcPr>
            <w:tcW w:w="4788" w:type="dxa"/>
          </w:tcPr>
          <w:p w14:paraId="5627D45C" w14:textId="4D6FD766"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Module code: HPCA701</w:t>
            </w:r>
            <w:r>
              <w:rPr>
                <w:rFonts w:ascii="Arial" w:eastAsia="SimSun" w:hAnsi="Arial" w:cs="Arial"/>
                <w:color w:val="000000"/>
                <w:lang w:val="en-GB"/>
              </w:rPr>
              <w:t>4</w:t>
            </w:r>
          </w:p>
          <w:p w14:paraId="510A9EA5" w14:textId="77777777" w:rsidR="00C14C3E" w:rsidRPr="00C14C3E" w:rsidRDefault="00C14C3E" w:rsidP="00C14C3E">
            <w:pPr>
              <w:ind w:right="34"/>
              <w:rPr>
                <w:rFonts w:ascii="Arial" w:eastAsia="SimSun" w:hAnsi="Arial" w:cs="Arial"/>
                <w:color w:val="000000"/>
                <w:lang w:val="en-GB"/>
              </w:rPr>
            </w:pPr>
          </w:p>
          <w:p w14:paraId="1F74F5E3" w14:textId="24B43A15"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Module title: A Critical Comparison of Two Secondary Sources</w:t>
            </w:r>
          </w:p>
          <w:p w14:paraId="6509C60D" w14:textId="77777777" w:rsidR="00C14C3E" w:rsidRPr="00C14C3E" w:rsidRDefault="00C14C3E" w:rsidP="00C14C3E">
            <w:pPr>
              <w:ind w:right="34"/>
              <w:rPr>
                <w:rFonts w:ascii="Arial" w:eastAsia="SimSun" w:hAnsi="Arial" w:cs="Arial"/>
                <w:color w:val="000000"/>
                <w:lang w:val="en-GB"/>
              </w:rPr>
            </w:pPr>
          </w:p>
          <w:p w14:paraId="42FFD097" w14:textId="77777777" w:rsidR="00C14C3E" w:rsidRPr="00C14C3E" w:rsidRDefault="00C14C3E" w:rsidP="00C14C3E">
            <w:pPr>
              <w:ind w:right="34"/>
              <w:rPr>
                <w:rFonts w:ascii="Arial" w:eastAsia="SimSun" w:hAnsi="Arial" w:cs="Arial"/>
                <w:color w:val="000000"/>
                <w:lang w:val="en-GB"/>
              </w:rPr>
            </w:pPr>
          </w:p>
        </w:tc>
        <w:tc>
          <w:tcPr>
            <w:tcW w:w="2266" w:type="dxa"/>
            <w:gridSpan w:val="3"/>
            <w:hideMark/>
          </w:tcPr>
          <w:p w14:paraId="6AF211F6"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Student ID number:</w:t>
            </w:r>
          </w:p>
          <w:p w14:paraId="63A7F3CA"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2126627</w:t>
            </w:r>
          </w:p>
        </w:tc>
        <w:tc>
          <w:tcPr>
            <w:tcW w:w="1802" w:type="dxa"/>
            <w:hideMark/>
          </w:tcPr>
          <w:p w14:paraId="3D407C1A"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Educational support needs:</w:t>
            </w:r>
          </w:p>
          <w:p w14:paraId="6DE5C49D"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No</w:t>
            </w:r>
          </w:p>
        </w:tc>
      </w:tr>
      <w:tr w:rsidR="00C14C3E" w:rsidRPr="00C14C3E" w14:paraId="21C63C00" w14:textId="77777777" w:rsidTr="00425055">
        <w:trPr>
          <w:trHeight w:val="1139"/>
        </w:trPr>
        <w:tc>
          <w:tcPr>
            <w:tcW w:w="8856" w:type="dxa"/>
            <w:gridSpan w:val="5"/>
          </w:tcPr>
          <w:p w14:paraId="08523E00" w14:textId="176E10FB"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Assignment title: A Critical Comparison of Two Secondary Sources</w:t>
            </w:r>
          </w:p>
          <w:p w14:paraId="562139D9" w14:textId="77777777" w:rsidR="00C14C3E" w:rsidRPr="00C14C3E" w:rsidRDefault="00C14C3E" w:rsidP="00C14C3E">
            <w:pPr>
              <w:ind w:right="34"/>
              <w:rPr>
                <w:rFonts w:ascii="Arial" w:eastAsia="SimSun" w:hAnsi="Arial" w:cs="Arial"/>
                <w:color w:val="000000"/>
                <w:lang w:val="en-GB"/>
              </w:rPr>
            </w:pPr>
          </w:p>
          <w:p w14:paraId="53B52E58" w14:textId="77777777" w:rsidR="00C14C3E" w:rsidRPr="00C14C3E" w:rsidRDefault="00C14C3E" w:rsidP="00C14C3E">
            <w:pPr>
              <w:ind w:right="34"/>
              <w:rPr>
                <w:rFonts w:ascii="Arial" w:eastAsia="SimSun" w:hAnsi="Arial" w:cs="Arial"/>
                <w:color w:val="000000"/>
                <w:lang w:val="en-GB"/>
              </w:rPr>
            </w:pPr>
          </w:p>
          <w:p w14:paraId="68BFD11D" w14:textId="2156DC34"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 xml:space="preserve">Assignment due date: </w:t>
            </w:r>
            <w:r>
              <w:rPr>
                <w:rFonts w:ascii="Arial" w:eastAsia="SimSun" w:hAnsi="Arial" w:cs="Arial"/>
                <w:color w:val="000000"/>
                <w:lang w:val="en-GB"/>
              </w:rPr>
              <w:t>14</w:t>
            </w:r>
            <w:r w:rsidRPr="00C14C3E">
              <w:rPr>
                <w:rFonts w:ascii="Arial" w:eastAsia="SimSun" w:hAnsi="Arial" w:cs="Arial"/>
                <w:color w:val="000000"/>
                <w:vertAlign w:val="superscript"/>
                <w:lang w:val="en-GB"/>
              </w:rPr>
              <w:t>th</w:t>
            </w:r>
            <w:r w:rsidRPr="00C14C3E">
              <w:rPr>
                <w:rFonts w:ascii="Arial" w:eastAsia="SimSun" w:hAnsi="Arial" w:cs="Arial"/>
                <w:color w:val="000000"/>
                <w:lang w:val="en-GB"/>
              </w:rPr>
              <w:t xml:space="preserve"> Nov 2022</w:t>
            </w:r>
          </w:p>
        </w:tc>
      </w:tr>
      <w:tr w:rsidR="00C14C3E" w:rsidRPr="00C14C3E" w14:paraId="753F117B" w14:textId="77777777" w:rsidTr="00425055">
        <w:trPr>
          <w:trHeight w:val="978"/>
        </w:trPr>
        <w:tc>
          <w:tcPr>
            <w:tcW w:w="8856" w:type="dxa"/>
            <w:gridSpan w:val="5"/>
            <w:hideMark/>
          </w:tcPr>
          <w:p w14:paraId="4CF88625" w14:textId="7C8ECF03" w:rsidR="00C14C3E" w:rsidRPr="00C14C3E" w:rsidRDefault="00C14C3E" w:rsidP="00C14C3E">
            <w:pPr>
              <w:spacing w:line="276" w:lineRule="auto"/>
              <w:rPr>
                <w:rFonts w:ascii="Arial" w:eastAsia="Times New Roman" w:hAnsi="Arial" w:cs="Arial"/>
                <w:lang w:val="en"/>
              </w:rPr>
            </w:pPr>
            <w:r w:rsidRPr="00C14C3E">
              <w:rPr>
                <w:rFonts w:ascii="Arial" w:eastAsia="Times New Roman" w:hAnsi="Arial" w:cs="Arial"/>
                <w:lang w:val="en"/>
              </w:rPr>
              <w:t>This assignment is for the       1</w:t>
            </w:r>
            <w:r w:rsidRPr="00C14C3E">
              <w:rPr>
                <w:rFonts w:ascii="Arial" w:eastAsia="Times New Roman" w:hAnsi="Arial" w:cs="Arial"/>
                <w:vertAlign w:val="superscript"/>
                <w:lang w:val="en"/>
              </w:rPr>
              <w:t xml:space="preserve">st </w:t>
            </w:r>
            <w:bookmarkStart w:id="0" w:name="Check13"/>
            <w:r w:rsidRPr="00C14C3E">
              <w:rPr>
                <w:rFonts w:ascii="Arial" w:eastAsia="Times New Roman" w:hAnsi="Arial" w:cs="Arial"/>
                <w:lang w:val="en"/>
              </w:rPr>
              <w:fldChar w:fldCharType="begin">
                <w:ffData>
                  <w:name w:val="Check13"/>
                  <w:enabled/>
                  <w:calcOnExit w:val="0"/>
                  <w:checkBox>
                    <w:sizeAuto/>
                    <w:default w:val="0"/>
                  </w:checkBox>
                </w:ffData>
              </w:fldChar>
            </w:r>
            <w:r w:rsidRPr="00C14C3E">
              <w:rPr>
                <w:rFonts w:ascii="Arial" w:eastAsia="Times New Roman" w:hAnsi="Arial" w:cs="Arial"/>
                <w:lang w:val="en"/>
              </w:rPr>
              <w:instrText xml:space="preserve"> FORMCHECKBOX </w:instrText>
            </w:r>
            <w:r w:rsidRPr="00C14C3E">
              <w:rPr>
                <w:rFonts w:ascii="Arial" w:eastAsia="Times New Roman" w:hAnsi="Arial" w:cs="Arial"/>
                <w:lang w:val="en"/>
              </w:rPr>
            </w:r>
            <w:r w:rsidRPr="00C14C3E">
              <w:rPr>
                <w:rFonts w:ascii="Arial" w:eastAsia="Times New Roman" w:hAnsi="Arial" w:cs="Arial"/>
                <w:lang w:val="en"/>
              </w:rPr>
              <w:fldChar w:fldCharType="end"/>
            </w:r>
            <w:bookmarkEnd w:id="0"/>
            <w:r w:rsidRPr="00C14C3E">
              <w:rPr>
                <w:rFonts w:ascii="Arial" w:eastAsia="Times New Roman" w:hAnsi="Arial" w:cs="Arial"/>
                <w:lang w:val="en"/>
              </w:rPr>
              <w:t xml:space="preserve">    2</w:t>
            </w:r>
            <w:r w:rsidRPr="00C14C3E">
              <w:rPr>
                <w:rFonts w:ascii="Arial" w:eastAsia="Times New Roman" w:hAnsi="Arial" w:cs="Arial"/>
                <w:vertAlign w:val="superscript"/>
                <w:lang w:val="en"/>
              </w:rPr>
              <w:t>nd</w:t>
            </w:r>
            <w:r w:rsidRPr="00C14C3E">
              <w:rPr>
                <w:rFonts w:ascii="Arial" w:eastAsia="Times New Roman" w:hAnsi="Arial" w:cs="Arial"/>
                <w:lang w:val="en"/>
              </w:rPr>
              <w:t xml:space="preserve">  </w:t>
            </w:r>
            <w:bookmarkStart w:id="1" w:name="Check14"/>
            <w:r w:rsidRPr="00C14C3E">
              <w:rPr>
                <w:rFonts w:ascii="Arial" w:eastAsia="Times New Roman" w:hAnsi="Arial" w:cs="Arial"/>
                <w:lang w:val="en"/>
              </w:rPr>
              <w:fldChar w:fldCharType="begin">
                <w:ffData>
                  <w:name w:val="Check14"/>
                  <w:enabled/>
                  <w:calcOnExit w:val="0"/>
                  <w:checkBox>
                    <w:sizeAuto/>
                    <w:default w:val="0"/>
                  </w:checkBox>
                </w:ffData>
              </w:fldChar>
            </w:r>
            <w:r w:rsidRPr="00C14C3E">
              <w:rPr>
                <w:rFonts w:ascii="Arial" w:eastAsia="Times New Roman" w:hAnsi="Arial" w:cs="Arial"/>
                <w:lang w:val="en"/>
              </w:rPr>
              <w:instrText xml:space="preserve"> FORMCHECKBOX </w:instrText>
            </w:r>
            <w:r w:rsidRPr="00C14C3E">
              <w:rPr>
                <w:rFonts w:ascii="Arial" w:eastAsia="Times New Roman" w:hAnsi="Arial" w:cs="Arial"/>
                <w:lang w:val="en"/>
              </w:rPr>
            </w:r>
            <w:r w:rsidRPr="00C14C3E">
              <w:rPr>
                <w:rFonts w:ascii="Arial" w:eastAsia="Times New Roman" w:hAnsi="Arial" w:cs="Arial"/>
                <w:lang w:val="en"/>
              </w:rPr>
              <w:fldChar w:fldCharType="end"/>
            </w:r>
            <w:bookmarkEnd w:id="1"/>
            <w:r w:rsidRPr="00C14C3E">
              <w:rPr>
                <w:rFonts w:ascii="Arial" w:eastAsia="Times New Roman" w:hAnsi="Arial" w:cs="Arial"/>
                <w:lang w:val="en"/>
              </w:rPr>
              <w:t xml:space="preserve">     3</w:t>
            </w:r>
            <w:r w:rsidRPr="00C14C3E">
              <w:rPr>
                <w:rFonts w:ascii="Arial" w:eastAsia="Times New Roman" w:hAnsi="Arial" w:cs="Arial"/>
                <w:vertAlign w:val="superscript"/>
                <w:lang w:val="en"/>
              </w:rPr>
              <w:t>rd</w:t>
            </w:r>
            <w:r w:rsidRPr="00C14C3E">
              <w:rPr>
                <w:rFonts w:ascii="Arial" w:eastAsia="Times New Roman" w:hAnsi="Arial" w:cs="Arial"/>
                <w:lang w:val="en"/>
              </w:rPr>
              <w:t xml:space="preserve">  </w:t>
            </w:r>
            <w:r>
              <w:rPr>
                <w:rFonts w:ascii="Arial" w:eastAsia="Times New Roman" w:hAnsi="Arial" w:cs="Arial"/>
                <w:lang w:val="en"/>
              </w:rPr>
              <w:fldChar w:fldCharType="begin">
                <w:ffData>
                  <w:name w:val="Check15"/>
                  <w:enabled/>
                  <w:calcOnExit w:val="0"/>
                  <w:checkBox>
                    <w:sizeAuto/>
                    <w:default w:val="0"/>
                  </w:checkBox>
                </w:ffData>
              </w:fldChar>
            </w:r>
            <w:bookmarkStart w:id="2" w:name="Check15"/>
            <w:r>
              <w:rPr>
                <w:rFonts w:ascii="Arial" w:eastAsia="Times New Roman" w:hAnsi="Arial" w:cs="Arial"/>
                <w:lang w:val="en"/>
              </w:rPr>
              <w:instrText xml:space="preserve"> FORMCHECKBOX </w:instrText>
            </w:r>
            <w:r>
              <w:rPr>
                <w:rFonts w:ascii="Arial" w:eastAsia="Times New Roman" w:hAnsi="Arial" w:cs="Arial"/>
                <w:lang w:val="en"/>
              </w:rPr>
            </w:r>
            <w:r>
              <w:rPr>
                <w:rFonts w:ascii="Arial" w:eastAsia="Times New Roman" w:hAnsi="Arial" w:cs="Arial"/>
                <w:lang w:val="en"/>
              </w:rPr>
              <w:fldChar w:fldCharType="end"/>
            </w:r>
            <w:bookmarkEnd w:id="2"/>
            <w:r w:rsidRPr="00C14C3E">
              <w:rPr>
                <w:rFonts w:ascii="Arial" w:eastAsia="Times New Roman" w:hAnsi="Arial" w:cs="Arial"/>
                <w:lang w:val="en"/>
              </w:rPr>
              <w:t xml:space="preserve">      4</w:t>
            </w:r>
            <w:r w:rsidRPr="00C14C3E">
              <w:rPr>
                <w:rFonts w:ascii="Arial" w:eastAsia="Times New Roman" w:hAnsi="Arial" w:cs="Arial"/>
                <w:vertAlign w:val="superscript"/>
                <w:lang w:val="en"/>
              </w:rPr>
              <w:t>th</w:t>
            </w:r>
            <w:r w:rsidRPr="00C14C3E">
              <w:rPr>
                <w:rFonts w:ascii="Arial" w:eastAsia="Times New Roman" w:hAnsi="Arial" w:cs="Arial"/>
                <w:lang w:val="en"/>
              </w:rPr>
              <w:t xml:space="preserve"> </w:t>
            </w:r>
            <w:r>
              <w:rPr>
                <w:rFonts w:ascii="Arial" w:eastAsia="Times New Roman" w:hAnsi="Arial" w:cs="Arial"/>
                <w:lang w:val="en"/>
              </w:rPr>
              <w:fldChar w:fldCharType="begin">
                <w:ffData>
                  <w:name w:val="Check16"/>
                  <w:enabled/>
                  <w:calcOnExit w:val="0"/>
                  <w:checkBox>
                    <w:sizeAuto/>
                    <w:default w:val="1"/>
                  </w:checkBox>
                </w:ffData>
              </w:fldChar>
            </w:r>
            <w:bookmarkStart w:id="3" w:name="Check16"/>
            <w:r>
              <w:rPr>
                <w:rFonts w:ascii="Arial" w:eastAsia="Times New Roman" w:hAnsi="Arial" w:cs="Arial"/>
                <w:lang w:val="en"/>
              </w:rPr>
              <w:instrText xml:space="preserve"> FORMCHECKBOX </w:instrText>
            </w:r>
            <w:r>
              <w:rPr>
                <w:rFonts w:ascii="Arial" w:eastAsia="Times New Roman" w:hAnsi="Arial" w:cs="Arial"/>
                <w:lang w:val="en"/>
              </w:rPr>
            </w:r>
            <w:r>
              <w:rPr>
                <w:rFonts w:ascii="Arial" w:eastAsia="Times New Roman" w:hAnsi="Arial" w:cs="Arial"/>
                <w:lang w:val="en"/>
              </w:rPr>
              <w:fldChar w:fldCharType="end"/>
            </w:r>
            <w:bookmarkEnd w:id="3"/>
            <w:r w:rsidRPr="00C14C3E">
              <w:rPr>
                <w:rFonts w:ascii="Arial" w:eastAsia="Times New Roman" w:hAnsi="Arial" w:cs="Arial"/>
                <w:lang w:val="en"/>
              </w:rPr>
              <w:t xml:space="preserve">      5</w:t>
            </w:r>
            <w:r w:rsidRPr="00C14C3E">
              <w:rPr>
                <w:rFonts w:ascii="Arial" w:eastAsia="Times New Roman" w:hAnsi="Arial" w:cs="Arial"/>
                <w:vertAlign w:val="superscript"/>
                <w:lang w:val="en"/>
              </w:rPr>
              <w:t>th</w:t>
            </w:r>
            <w:r w:rsidRPr="00C14C3E">
              <w:rPr>
                <w:rFonts w:ascii="Arial" w:eastAsia="Times New Roman" w:hAnsi="Arial" w:cs="Arial"/>
                <w:lang w:val="en"/>
              </w:rPr>
              <w:t xml:space="preserve"> </w:t>
            </w:r>
            <w:bookmarkStart w:id="4" w:name="Check17"/>
            <w:r w:rsidRPr="00C14C3E">
              <w:rPr>
                <w:rFonts w:ascii="Arial" w:eastAsia="Times New Roman" w:hAnsi="Arial" w:cs="Arial"/>
                <w:lang w:val="en"/>
              </w:rPr>
              <w:fldChar w:fldCharType="begin">
                <w:ffData>
                  <w:name w:val="Check17"/>
                  <w:enabled/>
                  <w:calcOnExit w:val="0"/>
                  <w:checkBox>
                    <w:sizeAuto/>
                    <w:default w:val="0"/>
                  </w:checkBox>
                </w:ffData>
              </w:fldChar>
            </w:r>
            <w:r w:rsidRPr="00C14C3E">
              <w:rPr>
                <w:rFonts w:ascii="Arial" w:eastAsia="Times New Roman" w:hAnsi="Arial" w:cs="Arial"/>
                <w:lang w:val="en"/>
              </w:rPr>
              <w:instrText xml:space="preserve"> FORMCHECKBOX </w:instrText>
            </w:r>
            <w:r w:rsidRPr="00C14C3E">
              <w:rPr>
                <w:rFonts w:ascii="Arial" w:eastAsia="Times New Roman" w:hAnsi="Arial" w:cs="Arial"/>
                <w:lang w:val="en"/>
              </w:rPr>
            </w:r>
            <w:r w:rsidRPr="00C14C3E">
              <w:rPr>
                <w:rFonts w:ascii="Arial" w:eastAsia="Times New Roman" w:hAnsi="Arial" w:cs="Arial"/>
                <w:lang w:val="en"/>
              </w:rPr>
              <w:fldChar w:fldCharType="end"/>
            </w:r>
            <w:bookmarkEnd w:id="4"/>
            <w:r w:rsidRPr="00C14C3E">
              <w:rPr>
                <w:rFonts w:ascii="Arial" w:eastAsia="Times New Roman" w:hAnsi="Arial" w:cs="Arial"/>
                <w:lang w:val="en"/>
              </w:rPr>
              <w:t xml:space="preserve">      6</w:t>
            </w:r>
            <w:r w:rsidRPr="00C14C3E">
              <w:rPr>
                <w:rFonts w:ascii="Arial" w:eastAsia="Times New Roman" w:hAnsi="Arial" w:cs="Arial"/>
                <w:vertAlign w:val="superscript"/>
                <w:lang w:val="en"/>
              </w:rPr>
              <w:t>th</w:t>
            </w:r>
            <w:r w:rsidRPr="00C14C3E">
              <w:rPr>
                <w:rFonts w:ascii="Arial" w:eastAsia="Times New Roman" w:hAnsi="Arial" w:cs="Arial"/>
                <w:lang w:val="en"/>
              </w:rPr>
              <w:t xml:space="preserve"> </w:t>
            </w:r>
            <w:bookmarkStart w:id="5" w:name="Check18"/>
            <w:r w:rsidRPr="00C14C3E">
              <w:rPr>
                <w:rFonts w:ascii="Arial" w:eastAsia="Times New Roman" w:hAnsi="Arial" w:cs="Arial"/>
                <w:lang w:val="en"/>
              </w:rPr>
              <w:fldChar w:fldCharType="begin">
                <w:ffData>
                  <w:name w:val="Check18"/>
                  <w:enabled/>
                  <w:calcOnExit w:val="0"/>
                  <w:checkBox>
                    <w:sizeAuto/>
                    <w:default w:val="0"/>
                  </w:checkBox>
                </w:ffData>
              </w:fldChar>
            </w:r>
            <w:r w:rsidRPr="00C14C3E">
              <w:rPr>
                <w:rFonts w:ascii="Arial" w:eastAsia="Times New Roman" w:hAnsi="Arial" w:cs="Arial"/>
                <w:lang w:val="en"/>
              </w:rPr>
              <w:instrText xml:space="preserve"> FORMCHECKBOX </w:instrText>
            </w:r>
            <w:r w:rsidRPr="00C14C3E">
              <w:rPr>
                <w:rFonts w:ascii="Arial" w:eastAsia="Times New Roman" w:hAnsi="Arial" w:cs="Arial"/>
                <w:lang w:val="en"/>
              </w:rPr>
            </w:r>
            <w:r w:rsidRPr="00C14C3E">
              <w:rPr>
                <w:rFonts w:ascii="Arial" w:eastAsia="Times New Roman" w:hAnsi="Arial" w:cs="Arial"/>
                <w:lang w:val="en"/>
              </w:rPr>
              <w:fldChar w:fldCharType="end"/>
            </w:r>
            <w:bookmarkEnd w:id="5"/>
            <w:r w:rsidRPr="00C14C3E">
              <w:rPr>
                <w:rFonts w:ascii="Arial" w:eastAsia="Times New Roman" w:hAnsi="Arial" w:cs="Arial"/>
                <w:b/>
                <w:lang w:val="en"/>
              </w:rPr>
              <w:t xml:space="preserve">   </w:t>
            </w:r>
            <w:r w:rsidRPr="00C14C3E">
              <w:rPr>
                <w:rFonts w:ascii="Arial" w:eastAsia="Times New Roman" w:hAnsi="Arial" w:cs="Arial"/>
                <w:lang w:val="en"/>
              </w:rPr>
              <w:t>module of the degree</w:t>
            </w:r>
          </w:p>
        </w:tc>
      </w:tr>
      <w:tr w:rsidR="00C14C3E" w:rsidRPr="00C14C3E" w14:paraId="5ADC094F" w14:textId="77777777" w:rsidTr="00425055">
        <w:trPr>
          <w:trHeight w:val="978"/>
        </w:trPr>
        <w:tc>
          <w:tcPr>
            <w:tcW w:w="8856" w:type="dxa"/>
            <w:gridSpan w:val="5"/>
            <w:shd w:val="clear" w:color="auto" w:fill="D9D9D9"/>
            <w:hideMark/>
          </w:tcPr>
          <w:p w14:paraId="0F8E85EF"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I confirm that this is my original work and that I have adhered to the University policy on plagiarism.</w:t>
            </w:r>
          </w:p>
          <w:p w14:paraId="69B4EB2D" w14:textId="77777777" w:rsidR="00C14C3E" w:rsidRPr="00C14C3E" w:rsidRDefault="00C14C3E" w:rsidP="00C14C3E">
            <w:pPr>
              <w:ind w:right="34"/>
              <w:rPr>
                <w:rFonts w:ascii="Arial" w:eastAsia="SimSun" w:hAnsi="Arial" w:cs="Arial"/>
                <w:color w:val="000000"/>
                <w:lang w:val="en-GB"/>
              </w:rPr>
            </w:pPr>
            <w:r w:rsidRPr="00C14C3E">
              <w:rPr>
                <w:rFonts w:ascii="Arial" w:eastAsia="SimSun" w:hAnsi="Arial" w:cs="Arial"/>
                <w:color w:val="000000"/>
                <w:lang w:val="en-GB"/>
              </w:rPr>
              <w:t>Signed …………Ying Ching Lee…………………………………………………</w:t>
            </w:r>
          </w:p>
          <w:p w14:paraId="5CAF16E1" w14:textId="77777777" w:rsidR="00C14C3E" w:rsidRPr="00C14C3E" w:rsidRDefault="00C14C3E" w:rsidP="00C14C3E">
            <w:pPr>
              <w:ind w:right="34"/>
              <w:rPr>
                <w:rFonts w:eastAsia="SimSun"/>
                <w:b/>
                <w:color w:val="000000"/>
                <w:sz w:val="44"/>
                <w:szCs w:val="44"/>
                <w:lang w:val="en-GB"/>
              </w:rPr>
            </w:pPr>
            <w:r w:rsidRPr="00C14C3E">
              <w:rPr>
                <w:rFonts w:eastAsia="SimSun" w:cs="Tahoma"/>
                <w:b/>
                <w:color w:val="000000"/>
                <w:sz w:val="24"/>
                <w:szCs w:val="24"/>
                <w:lang w:val="en-GB"/>
              </w:rPr>
              <w:t xml:space="preserve">Email submission:if you are submitting this form via email, please tick this box </w:t>
            </w:r>
            <w:r w:rsidRPr="00C14C3E">
              <w:rPr>
                <w:rFonts w:eastAsia="SimSun"/>
                <w:b/>
                <w:color w:val="000000"/>
                <w:sz w:val="44"/>
                <w:szCs w:val="44"/>
                <w:lang w:val="en-GB"/>
              </w:rPr>
              <w:t>□</w:t>
            </w:r>
          </w:p>
          <w:p w14:paraId="440DA768" w14:textId="77777777" w:rsidR="00C14C3E" w:rsidRPr="00C14C3E" w:rsidRDefault="00C14C3E" w:rsidP="00C14C3E">
            <w:pPr>
              <w:ind w:right="34"/>
              <w:rPr>
                <w:rFonts w:ascii="Arial" w:eastAsia="SimSun" w:hAnsi="Arial" w:cs="Arial"/>
                <w:color w:val="000000"/>
                <w:lang w:val="en-GB"/>
              </w:rPr>
            </w:pPr>
            <w:r w:rsidRPr="00C14C3E">
              <w:rPr>
                <w:rFonts w:eastAsia="SimSun" w:cs="Tahoma"/>
                <w:b/>
                <w:color w:val="000000"/>
                <w:sz w:val="24"/>
                <w:szCs w:val="24"/>
                <w:lang w:val="en-GB"/>
              </w:rPr>
              <w:t>(as a substitute for your signature) to confirm that you agree to the above declaration.</w:t>
            </w:r>
          </w:p>
        </w:tc>
      </w:tr>
      <w:tr w:rsidR="00C14C3E" w:rsidRPr="00C14C3E" w14:paraId="5C97EA54" w14:textId="77777777" w:rsidTr="00425055">
        <w:trPr>
          <w:trHeight w:val="3972"/>
        </w:trPr>
        <w:tc>
          <w:tcPr>
            <w:tcW w:w="8856" w:type="dxa"/>
            <w:gridSpan w:val="5"/>
          </w:tcPr>
          <w:p w14:paraId="465E154F" w14:textId="77777777" w:rsidR="00C14C3E" w:rsidRPr="00C14C3E" w:rsidRDefault="00C14C3E" w:rsidP="00C14C3E">
            <w:pPr>
              <w:spacing w:line="276" w:lineRule="auto"/>
              <w:rPr>
                <w:rFonts w:ascii="Arial" w:eastAsia="Times New Roman" w:hAnsi="Arial" w:cs="Times New Roman"/>
                <w:b/>
                <w:sz w:val="24"/>
                <w:szCs w:val="24"/>
                <w:lang w:val="en"/>
              </w:rPr>
            </w:pPr>
          </w:p>
          <w:p w14:paraId="226449F9" w14:textId="77777777" w:rsidR="00C14C3E" w:rsidRPr="00C14C3E" w:rsidRDefault="00C14C3E" w:rsidP="00C14C3E">
            <w:pPr>
              <w:spacing w:line="276" w:lineRule="auto"/>
              <w:rPr>
                <w:rFonts w:ascii="Arial" w:eastAsia="Times New Roman" w:hAnsi="Arial" w:cs="Arial"/>
                <w:lang w:val="en"/>
              </w:rPr>
            </w:pPr>
            <w:r w:rsidRPr="00C14C3E">
              <w:rPr>
                <w:rFonts w:ascii="Arial" w:eastAsia="Times New Roman" w:hAnsi="Arial" w:cs="Arial"/>
                <w:b/>
                <w:lang w:val="e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14C3E" w:rsidRPr="00C14C3E" w14:paraId="59D46E2B" w14:textId="77777777" w:rsidTr="00425055">
              <w:tc>
                <w:tcPr>
                  <w:tcW w:w="6970" w:type="dxa"/>
                  <w:tcBorders>
                    <w:top w:val="single" w:sz="4" w:space="0" w:color="auto"/>
                    <w:left w:val="single" w:sz="4" w:space="0" w:color="auto"/>
                    <w:bottom w:val="single" w:sz="4" w:space="0" w:color="auto"/>
                    <w:right w:val="single" w:sz="4" w:space="0" w:color="auto"/>
                  </w:tcBorders>
                </w:tcPr>
                <w:p w14:paraId="7C7699DD" w14:textId="77777777" w:rsidR="00C14C3E" w:rsidRPr="00C14C3E" w:rsidRDefault="00C14C3E" w:rsidP="00C14C3E">
                  <w:pPr>
                    <w:spacing w:line="276" w:lineRule="auto"/>
                    <w:rPr>
                      <w:rFonts w:ascii="Arial" w:eastAsia="Times New Roman" w:hAnsi="Arial" w:cs="Arial"/>
                      <w:sz w:val="20"/>
                      <w:szCs w:val="20"/>
                      <w:lang w:val="en"/>
                    </w:rPr>
                  </w:pPr>
                </w:p>
                <w:p w14:paraId="6CF9AD44" w14:textId="77777777" w:rsidR="00C14C3E" w:rsidRPr="00C14C3E" w:rsidRDefault="00C14C3E" w:rsidP="00C14C3E">
                  <w:pPr>
                    <w:spacing w:line="276" w:lineRule="auto"/>
                    <w:rPr>
                      <w:rFonts w:ascii="Arial" w:eastAsia="Times New Roman" w:hAnsi="Arial" w:cs="Arial"/>
                      <w:sz w:val="20"/>
                      <w:szCs w:val="20"/>
                      <w:lang w:val="en"/>
                    </w:rPr>
                  </w:pPr>
                  <w:r w:rsidRPr="00C14C3E">
                    <w:rPr>
                      <w:rFonts w:ascii="Arial" w:eastAsia="Times New Roman" w:hAnsi="Arial" w:cs="Arial"/>
                      <w:sz w:val="20"/>
                      <w:szCs w:val="20"/>
                      <w:lang w:val="en"/>
                    </w:rPr>
                    <w:t>1</w:t>
                  </w:r>
                  <w:r w:rsidRPr="00C14C3E">
                    <w:rPr>
                      <w:rFonts w:ascii="Arial" w:eastAsia="Times New Roman" w:hAnsi="Arial" w:cs="Arial"/>
                      <w:sz w:val="20"/>
                      <w:szCs w:val="20"/>
                      <w:vertAlign w:val="superscript"/>
                      <w:lang w:val="en"/>
                    </w:rPr>
                    <w:t>st</w:t>
                  </w:r>
                  <w:r w:rsidRPr="00C14C3E">
                    <w:rPr>
                      <w:rFonts w:ascii="Arial" w:eastAsia="Times New Roman" w:hAnsi="Arial" w:cs="Arial"/>
                      <w:sz w:val="20"/>
                      <w:szCs w:val="20"/>
                      <w:lang w:val="e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4178FED1" w14:textId="77777777" w:rsidR="00C14C3E" w:rsidRPr="00C14C3E" w:rsidRDefault="00C14C3E" w:rsidP="00C14C3E">
                  <w:pPr>
                    <w:spacing w:line="276" w:lineRule="auto"/>
                    <w:rPr>
                      <w:rFonts w:ascii="Arial" w:eastAsia="Times New Roman" w:hAnsi="Arial" w:cs="Arial"/>
                      <w:sz w:val="20"/>
                      <w:szCs w:val="20"/>
                      <w:lang w:val="en"/>
                    </w:rPr>
                  </w:pPr>
                </w:p>
              </w:tc>
            </w:tr>
            <w:tr w:rsidR="00C14C3E" w:rsidRPr="00C14C3E" w14:paraId="2CE2AA01" w14:textId="77777777" w:rsidTr="00425055">
              <w:tc>
                <w:tcPr>
                  <w:tcW w:w="6970" w:type="dxa"/>
                  <w:tcBorders>
                    <w:top w:val="single" w:sz="4" w:space="0" w:color="auto"/>
                    <w:left w:val="single" w:sz="4" w:space="0" w:color="auto"/>
                    <w:bottom w:val="single" w:sz="4" w:space="0" w:color="auto"/>
                    <w:right w:val="single" w:sz="4" w:space="0" w:color="auto"/>
                  </w:tcBorders>
                </w:tcPr>
                <w:p w14:paraId="45934415" w14:textId="77777777" w:rsidR="00C14C3E" w:rsidRPr="00C14C3E" w:rsidRDefault="00C14C3E" w:rsidP="00C14C3E">
                  <w:pPr>
                    <w:spacing w:line="276" w:lineRule="auto"/>
                    <w:rPr>
                      <w:rFonts w:ascii="Arial" w:eastAsia="Times New Roman" w:hAnsi="Arial" w:cs="Arial"/>
                      <w:sz w:val="20"/>
                      <w:szCs w:val="20"/>
                      <w:lang w:val="en"/>
                    </w:rPr>
                  </w:pPr>
                </w:p>
                <w:p w14:paraId="3DA7B903" w14:textId="77777777" w:rsidR="00C14C3E" w:rsidRPr="00C14C3E" w:rsidRDefault="00C14C3E" w:rsidP="00C14C3E">
                  <w:pPr>
                    <w:spacing w:line="276" w:lineRule="auto"/>
                    <w:rPr>
                      <w:rFonts w:ascii="Arial" w:eastAsia="Times New Roman" w:hAnsi="Arial" w:cs="Arial"/>
                      <w:sz w:val="20"/>
                      <w:szCs w:val="20"/>
                      <w:lang w:val="en"/>
                    </w:rPr>
                  </w:pPr>
                  <w:r w:rsidRPr="00C14C3E">
                    <w:rPr>
                      <w:rFonts w:ascii="Arial" w:eastAsia="Times New Roman" w:hAnsi="Arial" w:cs="Arial"/>
                      <w:sz w:val="20"/>
                      <w:szCs w:val="20"/>
                      <w:lang w:val="en"/>
                    </w:rPr>
                    <w:t>2</w:t>
                  </w:r>
                  <w:r w:rsidRPr="00C14C3E">
                    <w:rPr>
                      <w:rFonts w:ascii="Arial" w:eastAsia="Times New Roman" w:hAnsi="Arial" w:cs="Arial"/>
                      <w:sz w:val="20"/>
                      <w:szCs w:val="20"/>
                      <w:vertAlign w:val="superscript"/>
                      <w:lang w:val="en"/>
                    </w:rPr>
                    <w:t>nd</w:t>
                  </w:r>
                  <w:r w:rsidRPr="00C14C3E">
                    <w:rPr>
                      <w:rFonts w:ascii="Arial" w:eastAsia="Times New Roman" w:hAnsi="Arial" w:cs="Arial"/>
                      <w:sz w:val="20"/>
                      <w:szCs w:val="20"/>
                      <w:lang w:val="e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66718AB2" w14:textId="77777777" w:rsidR="00C14C3E" w:rsidRPr="00C14C3E" w:rsidRDefault="00C14C3E" w:rsidP="00C14C3E">
                  <w:pPr>
                    <w:spacing w:line="276" w:lineRule="auto"/>
                    <w:rPr>
                      <w:rFonts w:ascii="Arial" w:eastAsia="Times New Roman" w:hAnsi="Arial" w:cs="Arial"/>
                      <w:sz w:val="20"/>
                      <w:szCs w:val="20"/>
                      <w:lang w:val="en"/>
                    </w:rPr>
                  </w:pPr>
                </w:p>
              </w:tc>
            </w:tr>
            <w:tr w:rsidR="00C14C3E" w:rsidRPr="00C14C3E" w14:paraId="645C9A64" w14:textId="77777777" w:rsidTr="00425055">
              <w:tc>
                <w:tcPr>
                  <w:tcW w:w="6970" w:type="dxa"/>
                  <w:tcBorders>
                    <w:top w:val="single" w:sz="4" w:space="0" w:color="auto"/>
                    <w:left w:val="single" w:sz="4" w:space="0" w:color="auto"/>
                    <w:bottom w:val="single" w:sz="4" w:space="0" w:color="auto"/>
                    <w:right w:val="single" w:sz="4" w:space="0" w:color="auto"/>
                  </w:tcBorders>
                </w:tcPr>
                <w:p w14:paraId="0EA0ABF4" w14:textId="77777777" w:rsidR="00C14C3E" w:rsidRPr="00C14C3E" w:rsidRDefault="00C14C3E" w:rsidP="00C14C3E">
                  <w:pPr>
                    <w:spacing w:line="276" w:lineRule="auto"/>
                    <w:rPr>
                      <w:rFonts w:ascii="Arial" w:eastAsia="Times New Roman" w:hAnsi="Arial" w:cs="Arial"/>
                      <w:sz w:val="20"/>
                      <w:szCs w:val="20"/>
                      <w:lang w:val="en"/>
                    </w:rPr>
                  </w:pPr>
                </w:p>
                <w:p w14:paraId="44F15CF9" w14:textId="77777777" w:rsidR="00C14C3E" w:rsidRPr="00C14C3E" w:rsidRDefault="00C14C3E" w:rsidP="00C14C3E">
                  <w:pPr>
                    <w:spacing w:line="276" w:lineRule="auto"/>
                    <w:rPr>
                      <w:rFonts w:ascii="Arial" w:eastAsia="Times New Roman" w:hAnsi="Arial" w:cs="Arial"/>
                      <w:sz w:val="20"/>
                      <w:szCs w:val="20"/>
                      <w:lang w:val="en"/>
                    </w:rPr>
                  </w:pPr>
                  <w:r w:rsidRPr="00C14C3E">
                    <w:rPr>
                      <w:rFonts w:ascii="Arial" w:eastAsia="Times New Roman" w:hAnsi="Arial" w:cs="Arial"/>
                      <w:sz w:val="20"/>
                      <w:szCs w:val="20"/>
                      <w:lang w:val="e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7A88922C" w14:textId="77777777" w:rsidR="00C14C3E" w:rsidRPr="00C14C3E" w:rsidRDefault="00C14C3E" w:rsidP="00C14C3E">
                  <w:pPr>
                    <w:spacing w:line="276" w:lineRule="auto"/>
                    <w:rPr>
                      <w:rFonts w:ascii="Arial" w:eastAsia="Times New Roman" w:hAnsi="Arial" w:cs="Arial"/>
                      <w:sz w:val="20"/>
                      <w:szCs w:val="20"/>
                      <w:lang w:val="en"/>
                    </w:rPr>
                  </w:pPr>
                </w:p>
              </w:tc>
            </w:tr>
            <w:tr w:rsidR="00C14C3E" w:rsidRPr="00C14C3E" w14:paraId="57EF048A" w14:textId="77777777" w:rsidTr="00425055">
              <w:tc>
                <w:tcPr>
                  <w:tcW w:w="6970" w:type="dxa"/>
                  <w:tcBorders>
                    <w:top w:val="single" w:sz="4" w:space="0" w:color="auto"/>
                    <w:left w:val="single" w:sz="4" w:space="0" w:color="auto"/>
                    <w:bottom w:val="single" w:sz="4" w:space="0" w:color="auto"/>
                    <w:right w:val="single" w:sz="4" w:space="0" w:color="auto"/>
                  </w:tcBorders>
                </w:tcPr>
                <w:p w14:paraId="4F9BEAA2" w14:textId="77777777" w:rsidR="00C14C3E" w:rsidRPr="00C14C3E" w:rsidRDefault="00C14C3E" w:rsidP="00C14C3E">
                  <w:pPr>
                    <w:spacing w:line="276" w:lineRule="auto"/>
                    <w:rPr>
                      <w:rFonts w:ascii="Arial" w:eastAsia="Times New Roman" w:hAnsi="Arial" w:cs="Arial"/>
                      <w:sz w:val="20"/>
                      <w:szCs w:val="20"/>
                      <w:lang w:val="en"/>
                    </w:rPr>
                  </w:pPr>
                </w:p>
                <w:p w14:paraId="2B852FCE" w14:textId="77777777" w:rsidR="00C14C3E" w:rsidRPr="00C14C3E" w:rsidRDefault="00C14C3E" w:rsidP="00C14C3E">
                  <w:pPr>
                    <w:spacing w:line="276" w:lineRule="auto"/>
                    <w:rPr>
                      <w:rFonts w:ascii="Arial" w:eastAsia="Times New Roman" w:hAnsi="Arial" w:cs="Arial"/>
                      <w:b/>
                      <w:sz w:val="20"/>
                      <w:szCs w:val="20"/>
                      <w:lang w:val="en"/>
                    </w:rPr>
                  </w:pPr>
                  <w:r w:rsidRPr="00C14C3E">
                    <w:rPr>
                      <w:rFonts w:ascii="Arial" w:eastAsia="Times New Roman" w:hAnsi="Arial" w:cs="Arial"/>
                      <w:b/>
                      <w:sz w:val="20"/>
                      <w:szCs w:val="20"/>
                      <w:lang w:val="en"/>
                    </w:rPr>
                    <w:t>Final Mark</w:t>
                  </w:r>
                </w:p>
                <w:p w14:paraId="2F87BB58" w14:textId="77777777" w:rsidR="00C14C3E" w:rsidRPr="00C14C3E" w:rsidRDefault="00C14C3E" w:rsidP="00C14C3E">
                  <w:pPr>
                    <w:spacing w:line="276" w:lineRule="auto"/>
                    <w:rPr>
                      <w:rFonts w:ascii="Arial" w:eastAsia="Times New Roman" w:hAnsi="Arial" w:cs="Arial"/>
                      <w:sz w:val="20"/>
                      <w:szCs w:val="20"/>
                      <w:lang w:val="en"/>
                    </w:rPr>
                  </w:pPr>
                </w:p>
              </w:tc>
              <w:tc>
                <w:tcPr>
                  <w:tcW w:w="1660" w:type="dxa"/>
                  <w:tcBorders>
                    <w:top w:val="single" w:sz="4" w:space="0" w:color="auto"/>
                    <w:left w:val="single" w:sz="4" w:space="0" w:color="auto"/>
                    <w:bottom w:val="single" w:sz="4" w:space="0" w:color="auto"/>
                    <w:right w:val="single" w:sz="4" w:space="0" w:color="auto"/>
                  </w:tcBorders>
                </w:tcPr>
                <w:p w14:paraId="052AD9B7" w14:textId="77777777" w:rsidR="00C14C3E" w:rsidRPr="00C14C3E" w:rsidRDefault="00C14C3E" w:rsidP="00C14C3E">
                  <w:pPr>
                    <w:spacing w:line="276" w:lineRule="auto"/>
                    <w:rPr>
                      <w:rFonts w:ascii="Arial" w:eastAsia="Times New Roman" w:hAnsi="Arial" w:cs="Arial"/>
                      <w:sz w:val="20"/>
                      <w:szCs w:val="20"/>
                      <w:lang w:val="en"/>
                    </w:rPr>
                  </w:pPr>
                </w:p>
              </w:tc>
            </w:tr>
          </w:tbl>
          <w:p w14:paraId="078E11C8" w14:textId="77777777" w:rsidR="00C14C3E" w:rsidRPr="00C14C3E" w:rsidRDefault="00C14C3E" w:rsidP="00C14C3E">
            <w:pPr>
              <w:ind w:left="142" w:right="34"/>
              <w:rPr>
                <w:rFonts w:ascii="Arial" w:eastAsia="SimSun" w:hAnsi="Arial" w:cs="Arial"/>
                <w:b/>
                <w:color w:val="000000"/>
                <w:lang w:val="en-GB"/>
              </w:rPr>
            </w:pPr>
          </w:p>
          <w:p w14:paraId="704CCB7E" w14:textId="77777777" w:rsidR="00C14C3E" w:rsidRPr="00C14C3E" w:rsidRDefault="00C14C3E" w:rsidP="00C14C3E">
            <w:pPr>
              <w:ind w:left="142" w:right="34"/>
              <w:rPr>
                <w:rFonts w:ascii="Arial" w:eastAsia="SimSun" w:hAnsi="Arial" w:cs="Arial"/>
                <w:color w:val="000000"/>
                <w:lang w:val="en-GB"/>
              </w:rPr>
            </w:pPr>
            <w:r w:rsidRPr="00C14C3E">
              <w:rPr>
                <w:rFonts w:ascii="Arial" w:eastAsia="SimSun" w:hAnsi="Arial" w:cs="Arial"/>
                <w:b/>
                <w:color w:val="000000"/>
                <w:lang w:val="en-GB"/>
              </w:rPr>
              <w:t>NB.</w:t>
            </w:r>
            <w:r w:rsidRPr="00C14C3E">
              <w:rPr>
                <w:rFonts w:ascii="Arial" w:eastAsia="SimSun" w:hAnsi="Arial" w:cs="Arial"/>
                <w:color w:val="000000"/>
                <w:lang w:val="en-GB"/>
              </w:rPr>
              <w:t xml:space="preserve">  All marks are provisional until confirmed by the Final Examination Board.</w:t>
            </w:r>
          </w:p>
          <w:p w14:paraId="4D27968F" w14:textId="77777777" w:rsidR="00C14C3E" w:rsidRPr="00C14C3E" w:rsidRDefault="00C14C3E" w:rsidP="00C14C3E">
            <w:pPr>
              <w:rPr>
                <w:rFonts w:ascii="Arial" w:eastAsia="SimSun" w:hAnsi="Arial" w:cs="Arial"/>
                <w:b/>
                <w:color w:val="000000"/>
                <w:lang w:val="en-GB"/>
              </w:rPr>
            </w:pPr>
          </w:p>
          <w:p w14:paraId="02C7DA79" w14:textId="77777777" w:rsidR="00C14C3E" w:rsidRPr="00C14C3E" w:rsidRDefault="00C14C3E" w:rsidP="00C14C3E">
            <w:pPr>
              <w:rPr>
                <w:rFonts w:ascii="Arial" w:eastAsia="SimSun" w:hAnsi="Arial" w:cs="Arial"/>
                <w:b/>
                <w:color w:val="000000"/>
                <w:lang w:val="en-GB"/>
              </w:rPr>
            </w:pPr>
          </w:p>
          <w:p w14:paraId="4815045C" w14:textId="77777777" w:rsidR="00C14C3E" w:rsidRPr="00C14C3E" w:rsidRDefault="00C14C3E" w:rsidP="00C14C3E">
            <w:pPr>
              <w:rPr>
                <w:rFonts w:ascii="Arial" w:eastAsia="SimSun" w:hAnsi="Arial" w:cs="Arial"/>
                <w:b/>
                <w:color w:val="000000"/>
                <w:lang w:val="en-GB"/>
              </w:rPr>
            </w:pPr>
          </w:p>
          <w:p w14:paraId="6955244C" w14:textId="77777777" w:rsidR="00C14C3E" w:rsidRPr="00C14C3E" w:rsidRDefault="00C14C3E" w:rsidP="00C14C3E">
            <w:pPr>
              <w:rPr>
                <w:rFonts w:ascii="Arial" w:eastAsia="SimSun" w:hAnsi="Arial" w:cs="Arial"/>
                <w:b/>
                <w:color w:val="000000"/>
                <w:lang w:val="en-GB"/>
              </w:rPr>
            </w:pPr>
          </w:p>
          <w:p w14:paraId="025E7784" w14:textId="77777777" w:rsidR="00C14C3E" w:rsidRPr="00C14C3E" w:rsidRDefault="00C14C3E" w:rsidP="00C14C3E">
            <w:pPr>
              <w:rPr>
                <w:rFonts w:ascii="Arial" w:eastAsia="SimSun" w:hAnsi="Arial" w:cs="Arial"/>
                <w:b/>
                <w:color w:val="000000"/>
                <w:lang w:val="en-GB"/>
              </w:rPr>
            </w:pPr>
          </w:p>
          <w:p w14:paraId="7D1BB8C0" w14:textId="77777777" w:rsidR="00C14C3E" w:rsidRPr="00C14C3E" w:rsidRDefault="00C14C3E" w:rsidP="00C14C3E">
            <w:pPr>
              <w:rPr>
                <w:rFonts w:ascii="Arial" w:eastAsia="SimSun" w:hAnsi="Arial" w:cs="Arial"/>
                <w:b/>
                <w:color w:val="000000"/>
                <w:lang w:val="en-GB"/>
              </w:rPr>
            </w:pPr>
            <w:r w:rsidRPr="00C14C3E">
              <w:rPr>
                <w:rFonts w:ascii="Arial" w:eastAsia="SimSun" w:hAnsi="Arial" w:cs="Arial"/>
                <w:b/>
                <w:color w:val="000000"/>
                <w:lang w:val="en-GB"/>
              </w:rPr>
              <w:t>For completion by Marker 1 :</w:t>
            </w:r>
          </w:p>
          <w:p w14:paraId="2B8B87A1" w14:textId="77777777" w:rsidR="00C14C3E" w:rsidRPr="00C14C3E" w:rsidRDefault="00C14C3E" w:rsidP="00C14C3E">
            <w:pPr>
              <w:spacing w:before="100" w:beforeAutospacing="1" w:after="100" w:afterAutospacing="1"/>
              <w:rPr>
                <w:rFonts w:ascii="Arial" w:eastAsia="SimSun" w:hAnsi="Arial" w:cs="Arial"/>
                <w:color w:val="000000"/>
                <w:lang w:val="en-GB"/>
              </w:rPr>
            </w:pPr>
            <w:r w:rsidRPr="00C14C3E">
              <w:rPr>
                <w:rFonts w:ascii="Arial" w:eastAsia="SimSun" w:hAnsi="Arial" w:cs="Arial"/>
                <w:color w:val="000000"/>
                <w:lang w:val="en-GB"/>
              </w:rPr>
              <w:t>Comments:</w:t>
            </w:r>
          </w:p>
          <w:p w14:paraId="22DEE8DB" w14:textId="77777777" w:rsidR="00C14C3E" w:rsidRPr="00C14C3E" w:rsidRDefault="00C14C3E" w:rsidP="00C14C3E">
            <w:pPr>
              <w:spacing w:before="100" w:beforeAutospacing="1" w:after="100" w:afterAutospacing="1"/>
              <w:rPr>
                <w:rFonts w:ascii="Arial" w:eastAsia="SimSun" w:hAnsi="Arial" w:cs="Arial"/>
                <w:color w:val="000000"/>
                <w:lang w:val="en-GB"/>
              </w:rPr>
            </w:pPr>
          </w:p>
        </w:tc>
      </w:tr>
      <w:tr w:rsidR="00C14C3E" w:rsidRPr="00C14C3E" w14:paraId="314CC40F" w14:textId="77777777" w:rsidTr="00425055">
        <w:trPr>
          <w:trHeight w:val="492"/>
        </w:trPr>
        <w:tc>
          <w:tcPr>
            <w:tcW w:w="6768" w:type="dxa"/>
            <w:gridSpan w:val="3"/>
            <w:hideMark/>
          </w:tcPr>
          <w:p w14:paraId="4B059160" w14:textId="77777777" w:rsidR="00C14C3E" w:rsidRPr="00C14C3E" w:rsidRDefault="00C14C3E" w:rsidP="00C14C3E">
            <w:pPr>
              <w:spacing w:before="100" w:after="100"/>
              <w:ind w:left="142" w:right="34"/>
              <w:rPr>
                <w:rFonts w:ascii="Arial" w:eastAsia="SimSun" w:hAnsi="Arial" w:cs="Arial"/>
                <w:color w:val="000000"/>
                <w:lang w:val="en-GB"/>
              </w:rPr>
            </w:pPr>
            <w:r w:rsidRPr="00C14C3E">
              <w:rPr>
                <w:rFonts w:ascii="Arial" w:eastAsia="SimSun" w:hAnsi="Arial" w:cs="Arial"/>
                <w:color w:val="000000"/>
                <w:lang w:val="en-GB"/>
              </w:rPr>
              <w:t>Marker’s signature:</w:t>
            </w:r>
          </w:p>
        </w:tc>
        <w:tc>
          <w:tcPr>
            <w:tcW w:w="2088" w:type="dxa"/>
            <w:gridSpan w:val="2"/>
            <w:hideMark/>
          </w:tcPr>
          <w:p w14:paraId="2FA6E931" w14:textId="77777777" w:rsidR="00C14C3E" w:rsidRPr="00C14C3E" w:rsidRDefault="00C14C3E" w:rsidP="00C14C3E">
            <w:pPr>
              <w:spacing w:before="100"/>
              <w:ind w:left="142" w:right="34"/>
              <w:rPr>
                <w:rFonts w:ascii="Arial" w:eastAsia="SimSun" w:hAnsi="Arial" w:cs="Arial"/>
                <w:color w:val="000000"/>
                <w:lang w:val="en-GB"/>
              </w:rPr>
            </w:pPr>
            <w:r w:rsidRPr="00C14C3E">
              <w:rPr>
                <w:rFonts w:ascii="Arial" w:eastAsia="SimSun" w:hAnsi="Arial" w:cs="Arial"/>
                <w:color w:val="000000"/>
                <w:lang w:val="en-GB"/>
              </w:rPr>
              <w:t>Date:</w:t>
            </w:r>
          </w:p>
        </w:tc>
      </w:tr>
      <w:tr w:rsidR="00C14C3E" w:rsidRPr="00C14C3E" w14:paraId="3889A673" w14:textId="77777777" w:rsidTr="00425055">
        <w:tc>
          <w:tcPr>
            <w:tcW w:w="8856" w:type="dxa"/>
            <w:gridSpan w:val="5"/>
          </w:tcPr>
          <w:p w14:paraId="690A4352" w14:textId="77777777" w:rsidR="00C14C3E" w:rsidRPr="00C14C3E" w:rsidRDefault="00C14C3E" w:rsidP="00C14C3E">
            <w:pPr>
              <w:ind w:right="-334"/>
              <w:rPr>
                <w:rFonts w:ascii="Arial" w:eastAsia="SimSun" w:hAnsi="Arial" w:cs="Arial"/>
                <w:bCs/>
                <w:i/>
                <w:color w:val="000000"/>
                <w:lang w:val="en-GB"/>
              </w:rPr>
            </w:pPr>
          </w:p>
          <w:p w14:paraId="49C592C1" w14:textId="77777777" w:rsidR="00C14C3E" w:rsidRPr="00C14C3E" w:rsidRDefault="00C14C3E" w:rsidP="00C14C3E">
            <w:pPr>
              <w:ind w:right="-334"/>
              <w:rPr>
                <w:rFonts w:ascii="Arial" w:eastAsia="SimSun" w:hAnsi="Arial" w:cs="Arial"/>
                <w:b/>
                <w:bCs/>
                <w:color w:val="000000"/>
                <w:lang w:val="en-GB"/>
              </w:rPr>
            </w:pPr>
            <w:r w:rsidRPr="00C14C3E">
              <w:rPr>
                <w:rFonts w:ascii="Arial" w:eastAsia="SimSun" w:hAnsi="Arial" w:cs="Arial"/>
                <w:b/>
                <w:bCs/>
                <w:color w:val="000000"/>
                <w:lang w:val="en-GB"/>
              </w:rPr>
              <w:t>For completion by Marker 2/Moderator:</w:t>
            </w:r>
          </w:p>
          <w:p w14:paraId="3B9BDA85" w14:textId="77777777" w:rsidR="00C14C3E" w:rsidRPr="00C14C3E" w:rsidRDefault="00C14C3E" w:rsidP="00C14C3E">
            <w:pPr>
              <w:ind w:right="-334"/>
              <w:rPr>
                <w:rFonts w:ascii="Arial" w:eastAsia="SimSun" w:hAnsi="Arial" w:cs="Arial"/>
                <w:b/>
                <w:bCs/>
                <w:color w:val="000000"/>
                <w:lang w:val="en-GB"/>
              </w:rPr>
            </w:pPr>
          </w:p>
          <w:p w14:paraId="651AE313" w14:textId="77777777" w:rsidR="00C14C3E" w:rsidRPr="00C14C3E" w:rsidRDefault="00C14C3E" w:rsidP="00C14C3E">
            <w:pPr>
              <w:ind w:right="-334"/>
              <w:rPr>
                <w:rFonts w:ascii="Arial" w:eastAsia="SimSun" w:hAnsi="Arial" w:cs="Arial"/>
                <w:bCs/>
                <w:color w:val="000000"/>
                <w:lang w:val="en-GB"/>
              </w:rPr>
            </w:pPr>
            <w:r w:rsidRPr="00C14C3E">
              <w:rPr>
                <w:rFonts w:ascii="Arial" w:eastAsia="SimSun" w:hAnsi="Arial" w:cs="Arial"/>
                <w:bCs/>
                <w:color w:val="000000"/>
                <w:lang w:val="en-GB"/>
              </w:rPr>
              <w:t>Comments:</w:t>
            </w:r>
          </w:p>
          <w:p w14:paraId="53864A09" w14:textId="77777777" w:rsidR="00C14C3E" w:rsidRPr="00C14C3E" w:rsidRDefault="00C14C3E" w:rsidP="00C14C3E">
            <w:pPr>
              <w:ind w:right="-334"/>
              <w:rPr>
                <w:rFonts w:ascii="Arial" w:eastAsia="SimSun" w:hAnsi="Arial" w:cs="Arial"/>
                <w:bCs/>
                <w:color w:val="000000"/>
                <w:lang w:val="en-GB"/>
              </w:rPr>
            </w:pPr>
          </w:p>
          <w:p w14:paraId="61D317F4" w14:textId="77777777" w:rsidR="00C14C3E" w:rsidRPr="00C14C3E" w:rsidRDefault="00C14C3E" w:rsidP="00C14C3E">
            <w:pPr>
              <w:ind w:right="-334"/>
              <w:rPr>
                <w:rFonts w:ascii="Arial" w:eastAsia="SimSun" w:hAnsi="Arial" w:cs="Arial"/>
                <w:bCs/>
                <w:color w:val="000000"/>
                <w:lang w:val="en-GB"/>
              </w:rPr>
            </w:pPr>
          </w:p>
          <w:p w14:paraId="7A4ADFED" w14:textId="77777777" w:rsidR="00C14C3E" w:rsidRPr="00C14C3E" w:rsidRDefault="00C14C3E" w:rsidP="00C14C3E">
            <w:pPr>
              <w:ind w:right="-334"/>
              <w:rPr>
                <w:rFonts w:ascii="Arial" w:eastAsia="SimSun" w:hAnsi="Arial" w:cs="Arial"/>
                <w:bCs/>
                <w:color w:val="000000"/>
                <w:lang w:val="en-GB"/>
              </w:rPr>
            </w:pPr>
          </w:p>
          <w:p w14:paraId="257D83B5" w14:textId="77777777" w:rsidR="00C14C3E" w:rsidRPr="00C14C3E" w:rsidRDefault="00C14C3E" w:rsidP="00C14C3E">
            <w:pPr>
              <w:ind w:right="-334"/>
              <w:rPr>
                <w:rFonts w:ascii="Arial" w:eastAsia="SimSun" w:hAnsi="Arial" w:cs="Arial"/>
                <w:bCs/>
                <w:color w:val="000000"/>
                <w:lang w:val="en-GB"/>
              </w:rPr>
            </w:pPr>
          </w:p>
          <w:p w14:paraId="5B326CED" w14:textId="77777777" w:rsidR="00C14C3E" w:rsidRPr="00C14C3E" w:rsidRDefault="00C14C3E" w:rsidP="00C14C3E">
            <w:pPr>
              <w:ind w:right="-334"/>
              <w:rPr>
                <w:rFonts w:ascii="Arial" w:eastAsia="SimSun" w:hAnsi="Arial" w:cs="Arial"/>
                <w:bCs/>
                <w:color w:val="000000"/>
                <w:lang w:val="en-GB"/>
              </w:rPr>
            </w:pPr>
          </w:p>
        </w:tc>
      </w:tr>
      <w:tr w:rsidR="00C14C3E" w:rsidRPr="00C14C3E" w14:paraId="38B90F27" w14:textId="77777777" w:rsidTr="00425055">
        <w:trPr>
          <w:trHeight w:val="720"/>
        </w:trPr>
        <w:tc>
          <w:tcPr>
            <w:tcW w:w="5211" w:type="dxa"/>
            <w:gridSpan w:val="2"/>
            <w:hideMark/>
          </w:tcPr>
          <w:p w14:paraId="13C36844" w14:textId="77777777" w:rsidR="00C14C3E" w:rsidRPr="00C14C3E" w:rsidRDefault="00C14C3E" w:rsidP="00C14C3E">
            <w:pPr>
              <w:ind w:right="-334"/>
              <w:rPr>
                <w:rFonts w:ascii="Arial" w:eastAsia="SimSun" w:hAnsi="Arial" w:cs="Arial"/>
                <w:bCs/>
                <w:color w:val="000000"/>
                <w:lang w:val="en-GB"/>
              </w:rPr>
            </w:pPr>
            <w:r w:rsidRPr="00C14C3E">
              <w:rPr>
                <w:rFonts w:ascii="Arial" w:eastAsia="SimSun" w:hAnsi="Arial" w:cs="Arial"/>
                <w:bCs/>
                <w:color w:val="000000"/>
                <w:lang w:val="en-GB"/>
              </w:rPr>
              <w:t>Marker’s Signature:</w:t>
            </w:r>
          </w:p>
        </w:tc>
        <w:tc>
          <w:tcPr>
            <w:tcW w:w="3645" w:type="dxa"/>
            <w:gridSpan w:val="3"/>
            <w:hideMark/>
          </w:tcPr>
          <w:p w14:paraId="4A83AE0D" w14:textId="77777777" w:rsidR="00C14C3E" w:rsidRPr="00C14C3E" w:rsidRDefault="00C14C3E" w:rsidP="00C14C3E">
            <w:pPr>
              <w:ind w:right="-334"/>
              <w:rPr>
                <w:rFonts w:ascii="Arial" w:eastAsia="SimSun" w:hAnsi="Arial" w:cs="Arial"/>
                <w:bCs/>
                <w:color w:val="000000"/>
                <w:lang w:val="en-GB"/>
              </w:rPr>
            </w:pPr>
            <w:r w:rsidRPr="00C14C3E">
              <w:rPr>
                <w:rFonts w:ascii="Arial" w:eastAsia="SimSun" w:hAnsi="Arial" w:cs="Arial"/>
                <w:bCs/>
                <w:color w:val="000000"/>
                <w:lang w:val="en-GB"/>
              </w:rPr>
              <w:t>Date:</w:t>
            </w:r>
          </w:p>
        </w:tc>
      </w:tr>
      <w:tr w:rsidR="00C14C3E" w:rsidRPr="00C14C3E" w14:paraId="4EEC731B" w14:textId="77777777" w:rsidTr="00425055">
        <w:trPr>
          <w:trHeight w:val="720"/>
        </w:trPr>
        <w:tc>
          <w:tcPr>
            <w:tcW w:w="8856" w:type="dxa"/>
            <w:gridSpan w:val="5"/>
          </w:tcPr>
          <w:p w14:paraId="2E870A42" w14:textId="77777777" w:rsidR="00C14C3E" w:rsidRPr="00C14C3E" w:rsidRDefault="00C14C3E" w:rsidP="00C14C3E">
            <w:pPr>
              <w:spacing w:line="276" w:lineRule="auto"/>
              <w:rPr>
                <w:rFonts w:ascii="Arial" w:eastAsia="Times New Roman" w:hAnsi="Arial" w:cs="Arial"/>
                <w:b/>
                <w:lang w:val="en"/>
              </w:rPr>
            </w:pPr>
            <w:r w:rsidRPr="00C14C3E">
              <w:rPr>
                <w:rFonts w:ascii="Arial" w:eastAsia="Times New Roman" w:hAnsi="Arial" w:cs="Arial"/>
                <w:b/>
                <w:lang w:val="en"/>
              </w:rPr>
              <w:t>External Examiner’s comments (if relevant)</w:t>
            </w:r>
          </w:p>
          <w:p w14:paraId="0DA15D92" w14:textId="77777777" w:rsidR="00C14C3E" w:rsidRPr="00C14C3E" w:rsidRDefault="00C14C3E" w:rsidP="00C14C3E">
            <w:pPr>
              <w:ind w:right="-334"/>
              <w:rPr>
                <w:rFonts w:ascii="Arial" w:eastAsia="SimSun" w:hAnsi="Arial" w:cs="Arial"/>
                <w:bCs/>
                <w:color w:val="000000"/>
                <w:lang w:val="en-GB"/>
              </w:rPr>
            </w:pPr>
          </w:p>
          <w:p w14:paraId="028F6A7B" w14:textId="77777777" w:rsidR="00C14C3E" w:rsidRPr="00C14C3E" w:rsidRDefault="00C14C3E" w:rsidP="00C14C3E">
            <w:pPr>
              <w:ind w:right="-334"/>
              <w:rPr>
                <w:rFonts w:ascii="Arial" w:eastAsia="SimSun" w:hAnsi="Arial" w:cs="Arial"/>
                <w:bCs/>
                <w:color w:val="000000"/>
                <w:lang w:val="en-GB"/>
              </w:rPr>
            </w:pPr>
          </w:p>
          <w:p w14:paraId="52F4AC40" w14:textId="77777777" w:rsidR="00C14C3E" w:rsidRPr="00C14C3E" w:rsidRDefault="00C14C3E" w:rsidP="00C14C3E">
            <w:pPr>
              <w:ind w:right="-334"/>
              <w:rPr>
                <w:rFonts w:ascii="Arial" w:eastAsia="SimSun" w:hAnsi="Arial" w:cs="Arial"/>
                <w:bCs/>
                <w:color w:val="000000"/>
                <w:lang w:val="en-GB"/>
              </w:rPr>
            </w:pPr>
          </w:p>
          <w:p w14:paraId="0F80FC9B" w14:textId="77777777" w:rsidR="00C14C3E" w:rsidRPr="00C14C3E" w:rsidRDefault="00C14C3E" w:rsidP="00C14C3E">
            <w:pPr>
              <w:ind w:right="-334"/>
              <w:rPr>
                <w:rFonts w:ascii="Arial" w:eastAsia="SimSun" w:hAnsi="Arial" w:cs="Arial"/>
                <w:bCs/>
                <w:color w:val="000000"/>
                <w:lang w:val="en-GB"/>
              </w:rPr>
            </w:pPr>
          </w:p>
          <w:p w14:paraId="62677942" w14:textId="77777777" w:rsidR="00C14C3E" w:rsidRPr="00C14C3E" w:rsidRDefault="00C14C3E" w:rsidP="00C14C3E">
            <w:pPr>
              <w:ind w:right="-334"/>
              <w:rPr>
                <w:rFonts w:ascii="Arial" w:eastAsia="SimSun" w:hAnsi="Arial" w:cs="Arial"/>
                <w:bCs/>
                <w:color w:val="000000"/>
                <w:lang w:val="en-GB"/>
              </w:rPr>
            </w:pPr>
          </w:p>
          <w:p w14:paraId="36A3C699" w14:textId="77777777" w:rsidR="00C14C3E" w:rsidRPr="00C14C3E" w:rsidRDefault="00C14C3E" w:rsidP="00C14C3E">
            <w:pPr>
              <w:ind w:right="-334"/>
              <w:rPr>
                <w:rFonts w:ascii="Arial" w:eastAsia="SimSun" w:hAnsi="Arial" w:cs="Arial"/>
                <w:bCs/>
                <w:color w:val="000000"/>
                <w:lang w:val="en-GB"/>
              </w:rPr>
            </w:pPr>
          </w:p>
          <w:p w14:paraId="4406AB75" w14:textId="77777777" w:rsidR="00C14C3E" w:rsidRPr="00C14C3E" w:rsidRDefault="00C14C3E" w:rsidP="00C14C3E">
            <w:pPr>
              <w:ind w:right="-334"/>
              <w:rPr>
                <w:rFonts w:ascii="Arial" w:eastAsia="SimSun" w:hAnsi="Arial" w:cs="Arial"/>
                <w:bCs/>
                <w:color w:val="000000"/>
                <w:lang w:val="en-GB"/>
              </w:rPr>
            </w:pPr>
          </w:p>
        </w:tc>
      </w:tr>
      <w:tr w:rsidR="00C14C3E" w:rsidRPr="00C14C3E" w14:paraId="6EBCFBCA" w14:textId="77777777" w:rsidTr="00425055">
        <w:trPr>
          <w:trHeight w:val="720"/>
        </w:trPr>
        <w:tc>
          <w:tcPr>
            <w:tcW w:w="5211" w:type="dxa"/>
            <w:gridSpan w:val="2"/>
            <w:hideMark/>
          </w:tcPr>
          <w:p w14:paraId="6008B736" w14:textId="77777777" w:rsidR="00C14C3E" w:rsidRPr="00C14C3E" w:rsidRDefault="00C14C3E" w:rsidP="00C14C3E">
            <w:pPr>
              <w:spacing w:line="276" w:lineRule="auto"/>
              <w:rPr>
                <w:rFonts w:ascii="Arial" w:eastAsia="Times New Roman" w:hAnsi="Arial" w:cs="Arial"/>
                <w:lang w:val="en"/>
              </w:rPr>
            </w:pPr>
            <w:r w:rsidRPr="00C14C3E">
              <w:rPr>
                <w:rFonts w:ascii="Arial" w:eastAsia="Times New Roman" w:hAnsi="Arial" w:cs="Arial"/>
                <w:lang w:val="en"/>
              </w:rPr>
              <w:t>External Examiner’s Signature:</w:t>
            </w:r>
          </w:p>
        </w:tc>
        <w:tc>
          <w:tcPr>
            <w:tcW w:w="3645" w:type="dxa"/>
            <w:gridSpan w:val="3"/>
            <w:hideMark/>
          </w:tcPr>
          <w:p w14:paraId="49697BBE" w14:textId="77777777" w:rsidR="00C14C3E" w:rsidRPr="00C14C3E" w:rsidRDefault="00C14C3E" w:rsidP="00C14C3E">
            <w:pPr>
              <w:spacing w:line="276" w:lineRule="auto"/>
              <w:rPr>
                <w:rFonts w:ascii="Arial" w:eastAsia="Times New Roman" w:hAnsi="Arial" w:cs="Arial"/>
                <w:lang w:val="en"/>
              </w:rPr>
            </w:pPr>
            <w:r w:rsidRPr="00C14C3E">
              <w:rPr>
                <w:rFonts w:ascii="Arial" w:eastAsia="Times New Roman" w:hAnsi="Arial" w:cs="Arial"/>
                <w:lang w:val="en"/>
              </w:rPr>
              <w:t>Date:</w:t>
            </w:r>
          </w:p>
        </w:tc>
      </w:tr>
    </w:tbl>
    <w:p w14:paraId="6314776E" w14:textId="77777777" w:rsidR="00C14C3E" w:rsidRPr="00C14C3E" w:rsidRDefault="00C14C3E" w:rsidP="00C14C3E">
      <w:pPr>
        <w:ind w:right="-334"/>
        <w:rPr>
          <w:rFonts w:ascii="Trebuchet MS" w:eastAsia="SimSun" w:hAnsi="Trebuchet MS" w:cs="Tahoma"/>
          <w:bCs/>
          <w:color w:val="000000"/>
          <w:sz w:val="24"/>
          <w:szCs w:val="24"/>
          <w:lang w:val="en-GB"/>
        </w:rPr>
      </w:pPr>
    </w:p>
    <w:p w14:paraId="00000004" w14:textId="77777777" w:rsidR="002C60F3" w:rsidRDefault="00000000">
      <w:pPr>
        <w:spacing w:line="480" w:lineRule="auto"/>
        <w:rPr>
          <w:sz w:val="24"/>
          <w:szCs w:val="24"/>
        </w:rPr>
      </w:pPr>
      <w:r>
        <w:rPr>
          <w:b/>
          <w:sz w:val="24"/>
          <w:szCs w:val="24"/>
        </w:rPr>
        <w:lastRenderedPageBreak/>
        <w:t>Introduction</w:t>
      </w:r>
    </w:p>
    <w:p w14:paraId="00000005" w14:textId="17BBCCC9" w:rsidR="002C60F3" w:rsidRDefault="00000000">
      <w:pPr>
        <w:spacing w:line="480" w:lineRule="auto"/>
        <w:ind w:firstLine="1440"/>
        <w:rPr>
          <w:sz w:val="24"/>
          <w:szCs w:val="24"/>
        </w:rPr>
      </w:pPr>
      <w:r>
        <w:rPr>
          <w:sz w:val="24"/>
          <w:szCs w:val="24"/>
        </w:rPr>
        <w:t xml:space="preserve">The sacred and the profane are the two concepts suggested by Emile Durkheim to describe the religious experience within the sacred space. While the concepts elaborated differently by Mircea Eliade, this paper aims to identify the definition and conceptualization of the two authors’ key concepts and theories. Comparing and contrasting </w:t>
      </w:r>
      <w:r>
        <w:rPr>
          <w:i/>
          <w:sz w:val="24"/>
          <w:szCs w:val="24"/>
        </w:rPr>
        <w:t>The Elementary Forms of Religious Life</w:t>
      </w:r>
      <w:r>
        <w:rPr>
          <w:sz w:val="24"/>
          <w:szCs w:val="24"/>
        </w:rPr>
        <w:t xml:space="preserve"> by Emile Durkheim </w:t>
      </w:r>
      <w:r w:rsidR="00C14C3E">
        <w:rPr>
          <w:sz w:val="24"/>
          <w:szCs w:val="24"/>
        </w:rPr>
        <w:t>and the</w:t>
      </w:r>
      <w:r>
        <w:rPr>
          <w:sz w:val="24"/>
          <w:szCs w:val="24"/>
        </w:rPr>
        <w:t xml:space="preserve"> </w:t>
      </w:r>
      <w:r w:rsidRPr="00464BFA">
        <w:rPr>
          <w:i/>
          <w:iCs/>
          <w:sz w:val="24"/>
          <w:szCs w:val="24"/>
        </w:rPr>
        <w:t>Myth and Reality</w:t>
      </w:r>
      <w:r>
        <w:rPr>
          <w:sz w:val="24"/>
          <w:szCs w:val="24"/>
        </w:rPr>
        <w:t xml:space="preserve"> by Mircea Eliade, we will explore the concepts of the sacred and the profane with the connection of geography and humanity. This paper will investigate the role of religion that contributes to the extraordinary experiences and explore the relationship between religion and any objective “spiritual truths” that underlies sacredness of the sacred space. </w:t>
      </w:r>
    </w:p>
    <w:p w14:paraId="00000006" w14:textId="77777777" w:rsidR="002C60F3" w:rsidRDefault="002C60F3">
      <w:pPr>
        <w:spacing w:line="480" w:lineRule="auto"/>
        <w:rPr>
          <w:b/>
          <w:sz w:val="24"/>
          <w:szCs w:val="24"/>
        </w:rPr>
      </w:pPr>
    </w:p>
    <w:p w14:paraId="00000007" w14:textId="77777777" w:rsidR="002C60F3" w:rsidRDefault="00000000">
      <w:pPr>
        <w:spacing w:line="480" w:lineRule="auto"/>
        <w:rPr>
          <w:sz w:val="24"/>
          <w:szCs w:val="24"/>
        </w:rPr>
      </w:pPr>
      <w:r>
        <w:rPr>
          <w:b/>
          <w:sz w:val="24"/>
          <w:szCs w:val="24"/>
        </w:rPr>
        <w:t>Context</w:t>
      </w:r>
    </w:p>
    <w:p w14:paraId="00000008" w14:textId="3C29DF0E" w:rsidR="002C60F3" w:rsidRDefault="00000000">
      <w:pPr>
        <w:spacing w:line="480" w:lineRule="auto"/>
        <w:ind w:firstLine="1440"/>
        <w:rPr>
          <w:sz w:val="24"/>
          <w:szCs w:val="24"/>
        </w:rPr>
      </w:pPr>
      <w:r>
        <w:rPr>
          <w:sz w:val="24"/>
          <w:szCs w:val="24"/>
        </w:rPr>
        <w:t xml:space="preserve">Durkheim was an influential French sociologist and anthropologist who </w:t>
      </w:r>
      <w:r w:rsidR="00C14C3E">
        <w:rPr>
          <w:sz w:val="24"/>
          <w:szCs w:val="24"/>
        </w:rPr>
        <w:t>lived at</w:t>
      </w:r>
      <w:r>
        <w:rPr>
          <w:sz w:val="24"/>
          <w:szCs w:val="24"/>
        </w:rPr>
        <w:t xml:space="preserve"> the turn of the era in the late 1800s. In the </w:t>
      </w:r>
      <w:r w:rsidR="00464BFA">
        <w:rPr>
          <w:sz w:val="24"/>
          <w:szCs w:val="24"/>
        </w:rPr>
        <w:t>time</w:t>
      </w:r>
      <w:r>
        <w:rPr>
          <w:sz w:val="24"/>
          <w:szCs w:val="24"/>
        </w:rPr>
        <w:t>s of blooming</w:t>
      </w:r>
      <w:r w:rsidR="00464BFA">
        <w:rPr>
          <w:sz w:val="24"/>
          <w:szCs w:val="24"/>
        </w:rPr>
        <w:t xml:space="preserve"> in</w:t>
      </w:r>
      <w:r>
        <w:rPr>
          <w:sz w:val="24"/>
          <w:szCs w:val="24"/>
        </w:rPr>
        <w:t xml:space="preserve"> fine arts, science</w:t>
      </w:r>
      <w:r w:rsidR="00464BFA">
        <w:rPr>
          <w:sz w:val="24"/>
          <w:szCs w:val="24"/>
        </w:rPr>
        <w:t xml:space="preserve"> as well as philosophy,</w:t>
      </w:r>
      <w:r>
        <w:rPr>
          <w:sz w:val="24"/>
          <w:szCs w:val="24"/>
        </w:rPr>
        <w:t xml:space="preserve"> he creatively explored the connection between religion and spirituality by finding linkages in the ancient and the contemporary worlds.</w:t>
      </w:r>
      <w:r>
        <w:rPr>
          <w:sz w:val="24"/>
          <w:szCs w:val="24"/>
          <w:vertAlign w:val="superscript"/>
        </w:rPr>
        <w:footnoteReference w:id="1"/>
      </w:r>
      <w:r>
        <w:rPr>
          <w:sz w:val="24"/>
          <w:szCs w:val="24"/>
        </w:rPr>
        <w:t xml:space="preserve"> In </w:t>
      </w:r>
      <w:r w:rsidR="00C14C3E">
        <w:rPr>
          <w:sz w:val="24"/>
          <w:szCs w:val="24"/>
        </w:rPr>
        <w:t>Durkheim’s theory</w:t>
      </w:r>
      <w:r>
        <w:rPr>
          <w:sz w:val="24"/>
          <w:szCs w:val="24"/>
        </w:rPr>
        <w:t xml:space="preserve"> of religion, he identified the sacred-profane dichotomy as the two core dimensions in a religious experience. Sacred means any holy representations of a collective belief that might include totems, </w:t>
      </w:r>
      <w:r w:rsidR="00C14C3E">
        <w:rPr>
          <w:sz w:val="24"/>
          <w:szCs w:val="24"/>
        </w:rPr>
        <w:t>religions,</w:t>
      </w:r>
      <w:r>
        <w:rPr>
          <w:sz w:val="24"/>
          <w:szCs w:val="24"/>
        </w:rPr>
        <w:t xml:space="preserve"> or customs. And profane is the opposite of sacred, it means the ordinary that does not involve any religious purposes. Durkheim regarded all religious forms as a point marking the separation between the sacred experience and the profane ordinary life. Expressed in the </w:t>
      </w:r>
      <w:r>
        <w:rPr>
          <w:i/>
          <w:sz w:val="24"/>
          <w:szCs w:val="24"/>
        </w:rPr>
        <w:lastRenderedPageBreak/>
        <w:t>Elementary Forms of Religious Life</w:t>
      </w:r>
      <w:r>
        <w:rPr>
          <w:sz w:val="24"/>
          <w:szCs w:val="24"/>
        </w:rPr>
        <w:t>, he viewed religion as an expression of the society and that the nature of sacredness exists across all great traditions. With the roots of religion being the nature of human needs, or “the real”,</w:t>
      </w:r>
      <w:r>
        <w:rPr>
          <w:sz w:val="24"/>
          <w:szCs w:val="24"/>
          <w:vertAlign w:val="superscript"/>
        </w:rPr>
        <w:t xml:space="preserve"> </w:t>
      </w:r>
      <w:r>
        <w:rPr>
          <w:sz w:val="24"/>
          <w:szCs w:val="24"/>
          <w:vertAlign w:val="superscript"/>
        </w:rPr>
        <w:footnoteReference w:id="2"/>
      </w:r>
      <w:r>
        <w:rPr>
          <w:sz w:val="24"/>
          <w:szCs w:val="24"/>
        </w:rPr>
        <w:t xml:space="preserve"> he grounded his theory with research in religion and totemism.</w:t>
      </w:r>
      <w:r>
        <w:rPr>
          <w:sz w:val="24"/>
          <w:szCs w:val="24"/>
          <w:vertAlign w:val="superscript"/>
        </w:rPr>
        <w:footnoteReference w:id="3"/>
      </w:r>
      <w:r>
        <w:rPr>
          <w:sz w:val="24"/>
          <w:szCs w:val="24"/>
        </w:rPr>
        <w:t xml:space="preserve"> Durkheim claimed all religious expressions including prayers, rites, places, and such reflected the nature of the sacred. Australian ethnography was used in explaining Totemism, while Buddhism was used briefly in the beginning of book one as a starting point to ground the religious phenomena.</w:t>
      </w:r>
      <w:r>
        <w:rPr>
          <w:sz w:val="24"/>
          <w:szCs w:val="24"/>
          <w:vertAlign w:val="superscript"/>
        </w:rPr>
        <w:footnoteReference w:id="4"/>
      </w:r>
      <w:r>
        <w:rPr>
          <w:sz w:val="24"/>
          <w:szCs w:val="24"/>
        </w:rPr>
        <w:t xml:space="preserve"> While his theories derived from the study of Australian Totemism were widely accepted, his explanation of the idea of the soul and his Buddhism groundings were criticized as non-empirical that caused debates among academia about the validity of his work.</w:t>
      </w:r>
      <w:r>
        <w:rPr>
          <w:sz w:val="24"/>
          <w:szCs w:val="24"/>
          <w:vertAlign w:val="superscript"/>
        </w:rPr>
        <w:footnoteReference w:id="5"/>
      </w:r>
      <w:r>
        <w:rPr>
          <w:sz w:val="24"/>
          <w:szCs w:val="24"/>
        </w:rPr>
        <w:t xml:space="preserve">   </w:t>
      </w:r>
    </w:p>
    <w:p w14:paraId="00000009" w14:textId="6CE116E8" w:rsidR="002C60F3" w:rsidRDefault="00000000">
      <w:pPr>
        <w:spacing w:line="480" w:lineRule="auto"/>
        <w:ind w:firstLine="1440"/>
        <w:rPr>
          <w:sz w:val="24"/>
          <w:szCs w:val="24"/>
        </w:rPr>
      </w:pPr>
      <w:r>
        <w:rPr>
          <w:sz w:val="24"/>
          <w:szCs w:val="24"/>
        </w:rPr>
        <w:t>Eliade was born in 1907, he was a phenomenologist of religion and one of the important theorists in religious sacred spaces.</w:t>
      </w:r>
      <w:r>
        <w:rPr>
          <w:sz w:val="24"/>
          <w:szCs w:val="24"/>
          <w:vertAlign w:val="superscript"/>
        </w:rPr>
        <w:footnoteReference w:id="6"/>
      </w:r>
      <w:r>
        <w:rPr>
          <w:sz w:val="24"/>
          <w:szCs w:val="24"/>
        </w:rPr>
        <w:t xml:space="preserve"> His key concept of sacred space is influential yet controversial. Eliade’s idea of the sacred often revolved around religious interpretations and symbolism. As a historian of religion, he used historical and cultural phenomenology to study the experiences of the believers to arrive to the meaning that constitutes a sacred space. History acts as a starting point in his research into the theory of religion. The two main modes of religious experiences according to Eliade are the same as Durkheim, namely the sacred and the profane. Yet, the meaning and his understanding of the concepts were </w:t>
      </w:r>
      <w:r w:rsidR="00233D2C">
        <w:rPr>
          <w:sz w:val="24"/>
          <w:szCs w:val="24"/>
        </w:rPr>
        <w:t>not exactly the same</w:t>
      </w:r>
      <w:r>
        <w:rPr>
          <w:sz w:val="24"/>
          <w:szCs w:val="24"/>
        </w:rPr>
        <w:t xml:space="preserve">. In </w:t>
      </w:r>
      <w:r>
        <w:rPr>
          <w:i/>
          <w:sz w:val="24"/>
          <w:szCs w:val="24"/>
        </w:rPr>
        <w:t>Myth and Reality</w:t>
      </w:r>
      <w:r>
        <w:rPr>
          <w:sz w:val="24"/>
          <w:szCs w:val="24"/>
        </w:rPr>
        <w:t xml:space="preserve">, he included a broad range of study of cosmogonic myths across </w:t>
      </w:r>
      <w:r>
        <w:rPr>
          <w:sz w:val="24"/>
          <w:szCs w:val="24"/>
        </w:rPr>
        <w:lastRenderedPageBreak/>
        <w:t>cultures. Concluded four characteristics of a sacred space that constitute the main functions of it for the believers.  In the book, Eliade also attempted to build his claims towards a universal concept of “return to origins”.</w:t>
      </w:r>
      <w:r>
        <w:rPr>
          <w:sz w:val="24"/>
          <w:szCs w:val="24"/>
          <w:vertAlign w:val="superscript"/>
        </w:rPr>
        <w:footnoteReference w:id="7"/>
      </w:r>
      <w:r>
        <w:rPr>
          <w:sz w:val="24"/>
          <w:szCs w:val="24"/>
        </w:rPr>
        <w:t xml:space="preserve"> He made his claim from the historical myths as well as from historic phenomena in religions. Besides his research in myths, he was also a keen interpreter in Hindu and Buddhist meditations in support of his claims. One of the influential classics concerning Buddhism was </w:t>
      </w:r>
      <w:r>
        <w:rPr>
          <w:i/>
          <w:sz w:val="24"/>
          <w:szCs w:val="24"/>
        </w:rPr>
        <w:t>Yoga: Immortality and Freedom</w:t>
      </w:r>
      <w:r>
        <w:rPr>
          <w:sz w:val="24"/>
          <w:szCs w:val="24"/>
        </w:rPr>
        <w:t>. However, with evidence of multiple mistranslations and the “numerous minor corrections”, the accuracy of his interpretations was controversial.</w:t>
      </w:r>
      <w:r>
        <w:rPr>
          <w:sz w:val="24"/>
          <w:szCs w:val="24"/>
          <w:vertAlign w:val="superscript"/>
        </w:rPr>
        <w:footnoteReference w:id="8"/>
      </w:r>
      <w:r>
        <w:rPr>
          <w:sz w:val="24"/>
          <w:szCs w:val="24"/>
        </w:rPr>
        <w:t xml:space="preserve"> Although the theories of Eliade remain to be debatable among academia, he remains to be a crucial scholar and a main contributor in the research of sacred space in the twentieth century.</w:t>
      </w:r>
    </w:p>
    <w:p w14:paraId="0000000A" w14:textId="77777777" w:rsidR="002C60F3" w:rsidRDefault="002C60F3">
      <w:pPr>
        <w:spacing w:line="480" w:lineRule="auto"/>
        <w:ind w:firstLine="1440"/>
        <w:rPr>
          <w:sz w:val="24"/>
          <w:szCs w:val="24"/>
        </w:rPr>
      </w:pPr>
    </w:p>
    <w:p w14:paraId="0000000B" w14:textId="77777777" w:rsidR="002C60F3" w:rsidRDefault="00000000">
      <w:pPr>
        <w:spacing w:line="480" w:lineRule="auto"/>
        <w:rPr>
          <w:sz w:val="24"/>
          <w:szCs w:val="24"/>
        </w:rPr>
      </w:pPr>
      <w:r>
        <w:rPr>
          <w:b/>
          <w:sz w:val="24"/>
          <w:szCs w:val="24"/>
        </w:rPr>
        <w:t xml:space="preserve">Summary </w:t>
      </w:r>
    </w:p>
    <w:p w14:paraId="0000000C" w14:textId="77777777" w:rsidR="002C60F3" w:rsidRDefault="00000000">
      <w:pPr>
        <w:spacing w:line="480" w:lineRule="auto"/>
        <w:rPr>
          <w:b/>
          <w:sz w:val="24"/>
          <w:szCs w:val="24"/>
        </w:rPr>
      </w:pPr>
      <w:r>
        <w:rPr>
          <w:sz w:val="24"/>
          <w:szCs w:val="24"/>
        </w:rPr>
        <w:t xml:space="preserve">                        In an attempt to define sacredness across religions with a set of universal characteristics, Durkheim sought to support the theory of “the real” with relevant evidence in the </w:t>
      </w:r>
      <w:r>
        <w:rPr>
          <w:i/>
          <w:sz w:val="24"/>
          <w:szCs w:val="24"/>
        </w:rPr>
        <w:t>Elementary Forms</w:t>
      </w:r>
      <w:r>
        <w:rPr>
          <w:sz w:val="24"/>
          <w:szCs w:val="24"/>
        </w:rPr>
        <w:t>. He regards the nature of religion as rooted from “the real”, and the closest experience an individual has with it is from the concept of the soul.</w:t>
      </w:r>
      <w:r>
        <w:rPr>
          <w:sz w:val="24"/>
          <w:szCs w:val="24"/>
          <w:vertAlign w:val="superscript"/>
        </w:rPr>
        <w:footnoteReference w:id="9"/>
      </w:r>
      <w:r>
        <w:rPr>
          <w:sz w:val="24"/>
          <w:szCs w:val="24"/>
        </w:rPr>
        <w:t xml:space="preserve"> The experience of the soul is brought about by the idea of death and as a social form. He claimed that religion exists to fulfill the nature of human needs, and individuals transcend deaths to rebirths as a collective. All religious principles exist through representations, therefore, religion is “an </w:t>
      </w:r>
      <w:r>
        <w:rPr>
          <w:sz w:val="24"/>
          <w:szCs w:val="24"/>
        </w:rPr>
        <w:lastRenderedPageBreak/>
        <w:t>eminently social thing”.</w:t>
      </w:r>
      <w:r>
        <w:rPr>
          <w:sz w:val="24"/>
          <w:szCs w:val="24"/>
          <w:vertAlign w:val="superscript"/>
        </w:rPr>
        <w:footnoteReference w:id="10"/>
      </w:r>
      <w:r>
        <w:rPr>
          <w:sz w:val="24"/>
          <w:szCs w:val="24"/>
        </w:rPr>
        <w:t xml:space="preserve"> Forms of religion such as totem or religious space all regard to have a social origin, they are considered to be a representation of “the real”. While building his claim towards the “unified system” of representations with Australian Totemism, he concluded that “to exist at all, all communities must be imagined.”</w:t>
      </w:r>
      <w:r>
        <w:rPr>
          <w:sz w:val="24"/>
          <w:szCs w:val="24"/>
          <w:vertAlign w:val="superscript"/>
        </w:rPr>
        <w:footnoteReference w:id="11"/>
      </w:r>
      <w:r>
        <w:rPr>
          <w:sz w:val="24"/>
          <w:szCs w:val="24"/>
        </w:rPr>
        <w:t xml:space="preserve"> The two main claims in the </w:t>
      </w:r>
      <w:r>
        <w:rPr>
          <w:i/>
          <w:sz w:val="24"/>
          <w:szCs w:val="24"/>
        </w:rPr>
        <w:t>Elementary Forms</w:t>
      </w:r>
      <w:r>
        <w:rPr>
          <w:sz w:val="24"/>
          <w:szCs w:val="24"/>
        </w:rPr>
        <w:t xml:space="preserve"> are: the first one, not all religions consider the supernatural, god or spirits as sacred.</w:t>
      </w:r>
      <w:r>
        <w:rPr>
          <w:sz w:val="24"/>
          <w:szCs w:val="24"/>
          <w:vertAlign w:val="superscript"/>
        </w:rPr>
        <w:footnoteReference w:id="12"/>
      </w:r>
      <w:r>
        <w:rPr>
          <w:sz w:val="24"/>
          <w:szCs w:val="24"/>
        </w:rPr>
        <w:t xml:space="preserve"> The second one, the nature of sacredness or “the real” is central in all religions, anything expressed in the society as a representation deems to be sacred</w:t>
      </w:r>
      <w:r>
        <w:rPr>
          <w:sz w:val="24"/>
          <w:szCs w:val="24"/>
          <w:vertAlign w:val="superscript"/>
        </w:rPr>
        <w:footnoteReference w:id="13"/>
      </w:r>
      <w:r>
        <w:rPr>
          <w:sz w:val="24"/>
          <w:szCs w:val="24"/>
        </w:rPr>
        <w:t>. Religion therefore is a communal lived experience with shared beliefs, practices, history, and myths. It exists to separate the two dimensions of experiences, the sacred and the profane</w:t>
      </w:r>
      <w:r>
        <w:rPr>
          <w:sz w:val="24"/>
          <w:szCs w:val="24"/>
          <w:vertAlign w:val="superscript"/>
        </w:rPr>
        <w:footnoteReference w:id="14"/>
      </w:r>
      <w:r>
        <w:rPr>
          <w:sz w:val="24"/>
          <w:szCs w:val="24"/>
        </w:rPr>
        <w:t xml:space="preserve"> , and the root of all religions is essentially “the real”. Durkheim therefore viewed sacred space in a sociological way through the idea of the society as a reality rather than regarding it as a form of supernatural.</w:t>
      </w:r>
      <w:r>
        <w:rPr>
          <w:b/>
          <w:sz w:val="24"/>
          <w:szCs w:val="24"/>
        </w:rPr>
        <w:t xml:space="preserve"> </w:t>
      </w:r>
    </w:p>
    <w:p w14:paraId="0000000D" w14:textId="77777777" w:rsidR="002C60F3" w:rsidRDefault="00000000">
      <w:pPr>
        <w:spacing w:line="480" w:lineRule="auto"/>
        <w:ind w:firstLine="1440"/>
        <w:rPr>
          <w:sz w:val="24"/>
          <w:szCs w:val="24"/>
        </w:rPr>
      </w:pPr>
      <w:r>
        <w:rPr>
          <w:sz w:val="24"/>
          <w:szCs w:val="24"/>
        </w:rPr>
        <w:t xml:space="preserve">Eliade’s approach in </w:t>
      </w:r>
      <w:r>
        <w:rPr>
          <w:i/>
          <w:sz w:val="24"/>
          <w:szCs w:val="24"/>
        </w:rPr>
        <w:t>Myth and Reality</w:t>
      </w:r>
      <w:r>
        <w:rPr>
          <w:sz w:val="24"/>
          <w:szCs w:val="24"/>
        </w:rPr>
        <w:t xml:space="preserve"> is ontological. He defines the sacred space as a historically conditioned religious space that sets apart the ordinary from the supernatural. He identified four characteristics of a sacred space. The first one being the “hierophany”, it is a sacred space that breaks into the homogeneity of space as a manifestation of sacredness. The second being an opening of a cosmic portal going beyond the human world. The third being, the sacred place is a point of communication with Heaven, the supernatural or the divine on another cosmic level.</w:t>
      </w:r>
      <w:r>
        <w:rPr>
          <w:sz w:val="24"/>
          <w:szCs w:val="24"/>
          <w:vertAlign w:val="superscript"/>
        </w:rPr>
        <w:footnoteReference w:id="15"/>
      </w:r>
      <w:r>
        <w:rPr>
          <w:sz w:val="24"/>
          <w:szCs w:val="24"/>
        </w:rPr>
        <w:t xml:space="preserve"> They can be expressed through nature, such as mountains, trees, or </w:t>
      </w:r>
      <w:r>
        <w:rPr>
          <w:sz w:val="24"/>
          <w:szCs w:val="24"/>
        </w:rPr>
        <w:lastRenderedPageBreak/>
        <w:t>rivers, while they can also be human constructs manifested as a religious place. The last characteristic being the orientation of the sacred space is usually located “in the middle” or at the “navel is the earth” that is referred to as the axis mundi.</w:t>
      </w:r>
      <w:r>
        <w:rPr>
          <w:sz w:val="24"/>
          <w:szCs w:val="24"/>
          <w:vertAlign w:val="superscript"/>
        </w:rPr>
        <w:footnoteReference w:id="16"/>
      </w:r>
      <w:r>
        <w:rPr>
          <w:sz w:val="24"/>
          <w:szCs w:val="24"/>
        </w:rPr>
        <w:t xml:space="preserve"> These characteristics contribute to the religious experience of a believer which brings about the other key theory of religion by Eliade, the “return to origins”. The concept of “return to origins” was demonstrated by the rites and rituals across traditions revisiting especially during life and death situations. Eliade believed that it is through the cosmogonic myths, one can rediscover the “source by reliving the origin”. This concept is parallel to his understanding of religion illustrated In </w:t>
      </w:r>
      <w:r>
        <w:rPr>
          <w:i/>
          <w:sz w:val="24"/>
          <w:szCs w:val="24"/>
        </w:rPr>
        <w:t>Yoga: Immortality and Freedom</w:t>
      </w:r>
      <w:r>
        <w:rPr>
          <w:sz w:val="24"/>
          <w:szCs w:val="24"/>
        </w:rPr>
        <w:t>. Revealed in the passage regarding creating a “mind-made body” in Buddhism, he mentioned “to obtain the state of unconditioned – in other words to this profane, painful, illusory life (mind-made body) and to be reborn to the mystical life that will make it possible to attain nirvana…”.</w:t>
      </w:r>
      <w:r>
        <w:rPr>
          <w:sz w:val="24"/>
          <w:szCs w:val="24"/>
          <w:vertAlign w:val="superscript"/>
        </w:rPr>
        <w:footnoteReference w:id="17"/>
      </w:r>
      <w:r>
        <w:rPr>
          <w:sz w:val="24"/>
          <w:szCs w:val="24"/>
        </w:rPr>
        <w:t xml:space="preserve"> Eliade regards the Nirvana or enlightenment as the mystical death and resurrection.</w:t>
      </w:r>
      <w:r>
        <w:rPr>
          <w:sz w:val="24"/>
          <w:szCs w:val="24"/>
          <w:vertAlign w:val="superscript"/>
        </w:rPr>
        <w:footnoteReference w:id="18"/>
      </w:r>
      <w:r>
        <w:rPr>
          <w:sz w:val="24"/>
          <w:szCs w:val="24"/>
        </w:rPr>
        <w:t xml:space="preserve"> The gap between mind-made body and Nirvana shows the symbolism of the concept of transcending the profane to the sacred.</w:t>
      </w:r>
      <w:r>
        <w:rPr>
          <w:sz w:val="24"/>
          <w:szCs w:val="24"/>
          <w:vertAlign w:val="superscript"/>
        </w:rPr>
        <w:t xml:space="preserve"> </w:t>
      </w:r>
      <w:r>
        <w:rPr>
          <w:sz w:val="24"/>
          <w:szCs w:val="24"/>
          <w:vertAlign w:val="superscript"/>
        </w:rPr>
        <w:footnoteReference w:id="19"/>
      </w:r>
      <w:r>
        <w:rPr>
          <w:sz w:val="24"/>
          <w:szCs w:val="24"/>
        </w:rPr>
        <w:t xml:space="preserve"> To Eliade, profane is seen as meaningless, peripheral, lack of orientation, and the sacred is the divine. </w:t>
      </w:r>
    </w:p>
    <w:p w14:paraId="0000000E" w14:textId="77777777" w:rsidR="002C60F3" w:rsidRDefault="002C60F3">
      <w:pPr>
        <w:spacing w:line="480" w:lineRule="auto"/>
        <w:ind w:firstLine="1440"/>
        <w:rPr>
          <w:sz w:val="24"/>
          <w:szCs w:val="24"/>
        </w:rPr>
      </w:pPr>
    </w:p>
    <w:p w14:paraId="0000000F" w14:textId="77777777" w:rsidR="002C60F3" w:rsidRDefault="00000000">
      <w:pPr>
        <w:spacing w:line="480" w:lineRule="auto"/>
        <w:rPr>
          <w:sz w:val="24"/>
          <w:szCs w:val="24"/>
        </w:rPr>
      </w:pPr>
      <w:r>
        <w:rPr>
          <w:b/>
          <w:sz w:val="24"/>
          <w:szCs w:val="24"/>
        </w:rPr>
        <w:t>Analysis</w:t>
      </w:r>
    </w:p>
    <w:p w14:paraId="00000010" w14:textId="77777777" w:rsidR="002C60F3" w:rsidRDefault="00000000">
      <w:pPr>
        <w:spacing w:line="480" w:lineRule="auto"/>
        <w:ind w:firstLine="1440"/>
        <w:rPr>
          <w:b/>
          <w:sz w:val="24"/>
          <w:szCs w:val="24"/>
        </w:rPr>
      </w:pPr>
      <w:r>
        <w:rPr>
          <w:sz w:val="24"/>
          <w:szCs w:val="24"/>
        </w:rPr>
        <w:t xml:space="preserve">Durkheim and Eliade are both historians of religion who approach religion in a phenomenological way. However, both theorists hold very different perspectives towards the </w:t>
      </w:r>
      <w:r>
        <w:rPr>
          <w:sz w:val="24"/>
          <w:szCs w:val="24"/>
        </w:rPr>
        <w:lastRenderedPageBreak/>
        <w:t>subject matter. This leads to the different conceptualization for the religious experience of the sacred and the profane. Durkheim regarded religion as a form of social expression, a collective representation that contributes to the sacred. Transforming the profane or the ordinary life into something that could fulfill the nature of human needs. While for Eliade, religion is a direct portal to the sacred as supernatural and divine. While concepts of the profane are similar between Eliade and Durkheim, the differences can still be seen when studying them in the context of the sacred space. Both theorists agree on religion as a form of access to the sacred that is opposite to the profane.</w:t>
      </w:r>
    </w:p>
    <w:p w14:paraId="00000011" w14:textId="77777777" w:rsidR="002C60F3" w:rsidRDefault="00000000">
      <w:pPr>
        <w:spacing w:line="480" w:lineRule="auto"/>
        <w:ind w:firstLine="1440"/>
        <w:rPr>
          <w:sz w:val="24"/>
          <w:szCs w:val="24"/>
        </w:rPr>
      </w:pPr>
      <w:r>
        <w:rPr>
          <w:sz w:val="24"/>
          <w:szCs w:val="24"/>
        </w:rPr>
        <w:t xml:space="preserve">The concepts of the sacred and the profane are parallel with the two Greek words </w:t>
      </w:r>
      <w:r>
        <w:rPr>
          <w:i/>
          <w:sz w:val="24"/>
          <w:szCs w:val="24"/>
        </w:rPr>
        <w:t>topos</w:t>
      </w:r>
      <w:r>
        <w:rPr>
          <w:sz w:val="24"/>
          <w:szCs w:val="24"/>
        </w:rPr>
        <w:t xml:space="preserve"> and </w:t>
      </w:r>
      <w:r>
        <w:rPr>
          <w:i/>
          <w:sz w:val="24"/>
          <w:szCs w:val="24"/>
        </w:rPr>
        <w:t>chora</w:t>
      </w:r>
      <w:r>
        <w:rPr>
          <w:sz w:val="24"/>
          <w:szCs w:val="24"/>
        </w:rPr>
        <w:t xml:space="preserve"> suggested by Aristotle and Plato respectively on the notion of place. A topos is a neutral and measurable location, while a </w:t>
      </w:r>
      <w:r>
        <w:rPr>
          <w:i/>
          <w:sz w:val="24"/>
          <w:szCs w:val="24"/>
        </w:rPr>
        <w:t>chora</w:t>
      </w:r>
      <w:r>
        <w:rPr>
          <w:sz w:val="24"/>
          <w:szCs w:val="24"/>
        </w:rPr>
        <w:t xml:space="preserve"> is storied, a place that carries its own energy. Durkheim’s notion of space aligns with topos as it has its own quality and independent existence. Yet for a sacred space, with the participation of rituals, the topos transforms into a </w:t>
      </w:r>
      <w:r>
        <w:rPr>
          <w:i/>
          <w:sz w:val="24"/>
          <w:szCs w:val="24"/>
        </w:rPr>
        <w:t>chora</w:t>
      </w:r>
      <w:r>
        <w:rPr>
          <w:sz w:val="24"/>
          <w:szCs w:val="24"/>
        </w:rPr>
        <w:t>.</w:t>
      </w:r>
      <w:r>
        <w:rPr>
          <w:sz w:val="24"/>
          <w:szCs w:val="24"/>
          <w:vertAlign w:val="superscript"/>
        </w:rPr>
        <w:footnoteReference w:id="20"/>
      </w:r>
      <w:r>
        <w:rPr>
          <w:sz w:val="24"/>
          <w:szCs w:val="24"/>
        </w:rPr>
        <w:t xml:space="preserve"> It is the “religious nature of man” that constitutes the meaning of a sacred space as they influence each other. For Eliade, the sacred place resonates with </w:t>
      </w:r>
      <w:r>
        <w:rPr>
          <w:i/>
          <w:sz w:val="24"/>
          <w:szCs w:val="24"/>
        </w:rPr>
        <w:t>chora</w:t>
      </w:r>
      <w:r>
        <w:rPr>
          <w:sz w:val="24"/>
          <w:szCs w:val="24"/>
        </w:rPr>
        <w:t>.</w:t>
      </w:r>
      <w:r>
        <w:rPr>
          <w:sz w:val="24"/>
          <w:szCs w:val="24"/>
          <w:vertAlign w:val="superscript"/>
        </w:rPr>
        <w:footnoteReference w:id="21"/>
      </w:r>
      <w:r>
        <w:rPr>
          <w:sz w:val="24"/>
          <w:szCs w:val="24"/>
        </w:rPr>
        <w:t xml:space="preserve"> It is an independent and divine force, a hierophany. The place speaks with its own voice in an almost ecological sense.</w:t>
      </w:r>
      <w:r>
        <w:rPr>
          <w:sz w:val="24"/>
          <w:szCs w:val="24"/>
          <w:vertAlign w:val="superscript"/>
        </w:rPr>
        <w:footnoteReference w:id="22"/>
      </w:r>
      <w:r>
        <w:rPr>
          <w:sz w:val="24"/>
          <w:szCs w:val="24"/>
        </w:rPr>
        <w:t xml:space="preserve"> Whether it is transforming a mundane place with religious interpretations or a divine location, both theorists agree that sacred space can create extraordinary experiences and meanings for the people who dwell in the sacred space.   </w:t>
      </w:r>
    </w:p>
    <w:p w14:paraId="00000012" w14:textId="77777777" w:rsidR="002C60F3" w:rsidRDefault="002C60F3">
      <w:pPr>
        <w:spacing w:line="480" w:lineRule="auto"/>
        <w:ind w:firstLine="1440"/>
        <w:rPr>
          <w:sz w:val="24"/>
          <w:szCs w:val="24"/>
        </w:rPr>
      </w:pPr>
    </w:p>
    <w:p w14:paraId="00000013" w14:textId="77777777" w:rsidR="002C60F3" w:rsidRDefault="00000000">
      <w:pPr>
        <w:spacing w:line="480" w:lineRule="auto"/>
        <w:ind w:firstLine="1440"/>
        <w:rPr>
          <w:sz w:val="24"/>
          <w:szCs w:val="24"/>
        </w:rPr>
      </w:pPr>
      <w:r>
        <w:rPr>
          <w:sz w:val="24"/>
          <w:szCs w:val="24"/>
        </w:rPr>
        <w:lastRenderedPageBreak/>
        <w:t>The two theorists’ orientations are very different from the physical space to the functions of the sacred place. According to Eliade’s specific characteristics of a sacred space, he centralizes the physical orientation of the space as well as the functions to be a religious portal to communicate with the Heaven or the divine. While Durkheim orients according to the needs of the society as a collective, focuses the function of representation rather than the physical orientation. Durkheim regards any religious place, objects, or situations “principles that exists in and through the minds of those who think of it”</w:t>
      </w:r>
      <w:r>
        <w:rPr>
          <w:sz w:val="24"/>
          <w:szCs w:val="24"/>
          <w:vertAlign w:val="superscript"/>
        </w:rPr>
        <w:footnoteReference w:id="23"/>
      </w:r>
      <w:r>
        <w:rPr>
          <w:sz w:val="24"/>
          <w:szCs w:val="24"/>
        </w:rPr>
        <w:t xml:space="preserve"> Therefore, within the context of religion, Eliade’s sacred space is myth driven, while Durkheim’s is mind driven.</w:t>
      </w:r>
    </w:p>
    <w:p w14:paraId="00000014" w14:textId="77777777" w:rsidR="002C60F3" w:rsidRDefault="00000000">
      <w:pPr>
        <w:spacing w:line="480" w:lineRule="auto"/>
        <w:ind w:firstLine="1440"/>
        <w:rPr>
          <w:sz w:val="24"/>
          <w:szCs w:val="24"/>
        </w:rPr>
      </w:pPr>
      <w:r>
        <w:rPr>
          <w:sz w:val="24"/>
          <w:szCs w:val="24"/>
        </w:rPr>
        <w:t>Although the fundamental definition of religion is different between the two theorists, the definition of religion is similar and is contained in a religion. According to Durkheim, all religions are considered to be religious. As all religions or religious forms are collectively created to meet needs of the human makeup.</w:t>
      </w:r>
      <w:r>
        <w:rPr>
          <w:sz w:val="24"/>
          <w:szCs w:val="24"/>
          <w:vertAlign w:val="superscript"/>
        </w:rPr>
        <w:footnoteReference w:id="24"/>
      </w:r>
      <w:r>
        <w:rPr>
          <w:sz w:val="24"/>
          <w:szCs w:val="24"/>
        </w:rPr>
        <w:t xml:space="preserve"> Therefore, being religious is a social experience. While for Eliade, religion is the way to access the sacred and being religious is the sacred experience. </w:t>
      </w:r>
    </w:p>
    <w:p w14:paraId="00000015" w14:textId="74B30D1E" w:rsidR="002C60F3" w:rsidRDefault="00000000">
      <w:pPr>
        <w:spacing w:line="480" w:lineRule="auto"/>
        <w:ind w:firstLine="1440"/>
        <w:rPr>
          <w:sz w:val="24"/>
          <w:szCs w:val="24"/>
        </w:rPr>
      </w:pPr>
      <w:r>
        <w:rPr>
          <w:sz w:val="24"/>
          <w:szCs w:val="24"/>
        </w:rPr>
        <w:t>In the pursuit of the sacred or the objective “spiritual truth”, both built their theories on the concept of death and rebirth. Both regards life without the “truth” is a life of the profane and therefore, religion became a way to the sacred. The concept of death is as an “eruption” in space to bring about the sacred or transcendence of a rebirth. Durkheim built his claim towards “the real” with the idea of the “immortality of souls”.</w:t>
      </w:r>
      <w:r>
        <w:rPr>
          <w:sz w:val="24"/>
          <w:szCs w:val="24"/>
          <w:vertAlign w:val="superscript"/>
        </w:rPr>
        <w:footnoteReference w:id="25"/>
      </w:r>
      <w:r>
        <w:rPr>
          <w:sz w:val="24"/>
          <w:szCs w:val="24"/>
        </w:rPr>
        <w:t xml:space="preserve">  He claimed the closest encounter an individual has with “the real” is the soul. Durkheim claimed the soul is felt most </w:t>
      </w:r>
      <w:r>
        <w:rPr>
          <w:sz w:val="24"/>
          <w:szCs w:val="24"/>
        </w:rPr>
        <w:lastRenderedPageBreak/>
        <w:t>intensely from the indisputable reality of death, “the soul is not merely distinct from its physical envelope…if it is not made into god, it is seen at least as a spark of divinity”.</w:t>
      </w:r>
      <w:r>
        <w:rPr>
          <w:sz w:val="24"/>
          <w:szCs w:val="24"/>
          <w:vertAlign w:val="superscript"/>
        </w:rPr>
        <w:footnoteReference w:id="26"/>
      </w:r>
      <w:r>
        <w:rPr>
          <w:sz w:val="24"/>
          <w:szCs w:val="24"/>
        </w:rPr>
        <w:t xml:space="preserve"> Thus, people seek religion, totems, or symbolism representations as the social life force to rebirth or perpetuate the individual life. For Eliade, the concept of death and rebirth was not only in theory of the return of origins, but also regarded as one of the important life events to communicate with the supernatural. Life and death rituals or rites are practices to recall or reaffirm Origin myths that “narrates the beginning of the world”</w:t>
      </w:r>
      <w:r>
        <w:rPr>
          <w:sz w:val="24"/>
          <w:szCs w:val="24"/>
          <w:vertAlign w:val="superscript"/>
        </w:rPr>
        <w:footnoteReference w:id="27"/>
      </w:r>
      <w:r>
        <w:rPr>
          <w:sz w:val="24"/>
          <w:szCs w:val="24"/>
        </w:rPr>
        <w:t>. He claims that all religious forms are functions to reconstruct or re</w:t>
      </w:r>
      <w:r w:rsidR="00C14C3E">
        <w:rPr>
          <w:sz w:val="24"/>
          <w:szCs w:val="24"/>
        </w:rPr>
        <w:t>-</w:t>
      </w:r>
      <w:r>
        <w:rPr>
          <w:sz w:val="24"/>
          <w:szCs w:val="24"/>
        </w:rPr>
        <w:t>actualiz</w:t>
      </w:r>
      <w:r w:rsidR="00C14C3E">
        <w:rPr>
          <w:sz w:val="24"/>
          <w:szCs w:val="24"/>
        </w:rPr>
        <w:t>e</w:t>
      </w:r>
      <w:r>
        <w:rPr>
          <w:sz w:val="24"/>
          <w:szCs w:val="24"/>
        </w:rPr>
        <w:t xml:space="preserve"> the origin, “the essential ethical events that have taken place since the Creation”</w:t>
      </w:r>
      <w:r>
        <w:rPr>
          <w:sz w:val="24"/>
          <w:szCs w:val="24"/>
          <w:vertAlign w:val="superscript"/>
        </w:rPr>
        <w:footnoteReference w:id="28"/>
      </w:r>
      <w:r>
        <w:rPr>
          <w:sz w:val="24"/>
          <w:szCs w:val="24"/>
        </w:rPr>
        <w:t>. “religious man wants to be the other than he finds himself on the ‘natural’ level and undertakes to make himself in accordance with the ideal image revealed to him by myths”</w:t>
      </w:r>
      <w:r>
        <w:rPr>
          <w:sz w:val="24"/>
          <w:szCs w:val="24"/>
          <w:vertAlign w:val="superscript"/>
        </w:rPr>
        <w:footnoteReference w:id="29"/>
      </w:r>
      <w:r>
        <w:rPr>
          <w:sz w:val="24"/>
          <w:szCs w:val="24"/>
        </w:rPr>
        <w:t xml:space="preserve"> Both theorists suggest that humans evolved from a time when they were closest to the sacred or the objective “truth” to wholeness. As Durkheim regards humans created religion from a deficit of needs, Eliade suggests transcendence with the return to origins. Both authors are theoretically different, yet the underlying claim of the objective “spiritual truths” are similar. </w:t>
      </w:r>
    </w:p>
    <w:p w14:paraId="00000016" w14:textId="77777777" w:rsidR="002C60F3" w:rsidRDefault="002C60F3">
      <w:pPr>
        <w:spacing w:line="480" w:lineRule="auto"/>
        <w:ind w:firstLine="1440"/>
        <w:rPr>
          <w:b/>
          <w:sz w:val="24"/>
          <w:szCs w:val="24"/>
        </w:rPr>
      </w:pPr>
    </w:p>
    <w:p w14:paraId="00000017" w14:textId="77777777" w:rsidR="002C60F3" w:rsidRDefault="00000000">
      <w:pPr>
        <w:spacing w:line="480" w:lineRule="auto"/>
        <w:rPr>
          <w:sz w:val="24"/>
          <w:szCs w:val="24"/>
        </w:rPr>
      </w:pPr>
      <w:r>
        <w:rPr>
          <w:b/>
          <w:sz w:val="24"/>
          <w:szCs w:val="24"/>
        </w:rPr>
        <w:t>Conclusion</w:t>
      </w:r>
    </w:p>
    <w:p w14:paraId="00000018" w14:textId="77777777" w:rsidR="002C60F3" w:rsidRDefault="00000000">
      <w:pPr>
        <w:spacing w:line="480" w:lineRule="auto"/>
        <w:ind w:firstLine="1440"/>
        <w:rPr>
          <w:sz w:val="24"/>
          <w:szCs w:val="24"/>
        </w:rPr>
      </w:pPr>
      <w:r>
        <w:rPr>
          <w:sz w:val="24"/>
          <w:szCs w:val="24"/>
        </w:rPr>
        <w:t xml:space="preserve">Both Durkheim and Eliade attempt to build a universal system to identify the roles and functions of religions in the society. Although religion was viewed differently between </w:t>
      </w:r>
      <w:r>
        <w:rPr>
          <w:sz w:val="24"/>
          <w:szCs w:val="24"/>
        </w:rPr>
        <w:lastRenderedPageBreak/>
        <w:t xml:space="preserve">the two authors, they have similar functions in the society as a way to bring about the sacred. Both conceptualizations of the sacred space parallels with </w:t>
      </w:r>
      <w:r>
        <w:rPr>
          <w:i/>
          <w:sz w:val="24"/>
          <w:szCs w:val="24"/>
        </w:rPr>
        <w:t>chora</w:t>
      </w:r>
      <w:r>
        <w:rPr>
          <w:sz w:val="24"/>
          <w:szCs w:val="24"/>
        </w:rPr>
        <w:t xml:space="preserve"> suggested by Plato, by “summoning its participants to a common dance”.</w:t>
      </w:r>
      <w:r>
        <w:rPr>
          <w:sz w:val="24"/>
          <w:szCs w:val="24"/>
          <w:vertAlign w:val="superscript"/>
        </w:rPr>
        <w:footnoteReference w:id="30"/>
      </w:r>
      <w:r>
        <w:rPr>
          <w:sz w:val="24"/>
          <w:szCs w:val="24"/>
        </w:rPr>
        <w:t xml:space="preserve"> Durkheim regards “the dance” as a way to express “the real”, and Eliade regards it as a way to “return to origins”. Sacred space and religious forms were seen as not just reminders for people of the separation of the sacred and the profane, but they were also referred to as an instrument to experience the sacred.</w:t>
      </w:r>
    </w:p>
    <w:p w14:paraId="00000019" w14:textId="77777777" w:rsidR="002C60F3" w:rsidRDefault="002C60F3">
      <w:pPr>
        <w:spacing w:line="480" w:lineRule="auto"/>
        <w:ind w:firstLine="1440"/>
        <w:rPr>
          <w:sz w:val="24"/>
          <w:szCs w:val="24"/>
        </w:rPr>
      </w:pPr>
    </w:p>
    <w:p w14:paraId="0000001A" w14:textId="77777777" w:rsidR="002C60F3" w:rsidRDefault="00000000">
      <w:pPr>
        <w:spacing w:line="480" w:lineRule="auto"/>
        <w:rPr>
          <w:b/>
          <w:sz w:val="24"/>
          <w:szCs w:val="24"/>
        </w:rPr>
      </w:pPr>
      <w:r>
        <w:rPr>
          <w:b/>
          <w:sz w:val="24"/>
          <w:szCs w:val="24"/>
        </w:rPr>
        <w:t>Bibliography</w:t>
      </w:r>
    </w:p>
    <w:p w14:paraId="0000001B" w14:textId="77777777" w:rsidR="002C60F3" w:rsidRDefault="00000000">
      <w:pPr>
        <w:spacing w:before="240" w:after="240" w:line="480" w:lineRule="auto"/>
        <w:rPr>
          <w:sz w:val="24"/>
          <w:szCs w:val="24"/>
        </w:rPr>
      </w:pPr>
      <w:r>
        <w:rPr>
          <w:sz w:val="24"/>
          <w:szCs w:val="24"/>
        </w:rPr>
        <w:t xml:space="preserve">Durkheim, Emile, (1995[1912]) </w:t>
      </w:r>
      <w:r>
        <w:rPr>
          <w:i/>
          <w:sz w:val="24"/>
          <w:szCs w:val="24"/>
        </w:rPr>
        <w:t>The Elementary Forms of Religious Life</w:t>
      </w:r>
      <w:r>
        <w:rPr>
          <w:sz w:val="24"/>
          <w:szCs w:val="24"/>
        </w:rPr>
        <w:t xml:space="preserve"> (New York: Free Press Press, 2001)</w:t>
      </w:r>
    </w:p>
    <w:p w14:paraId="0000001C" w14:textId="77777777" w:rsidR="002C60F3" w:rsidRDefault="00000000">
      <w:pPr>
        <w:spacing w:before="240" w:after="240" w:line="480" w:lineRule="auto"/>
        <w:rPr>
          <w:sz w:val="24"/>
          <w:szCs w:val="24"/>
        </w:rPr>
      </w:pPr>
      <w:r>
        <w:rPr>
          <w:sz w:val="24"/>
          <w:szCs w:val="24"/>
        </w:rPr>
        <w:t xml:space="preserve">Eliade, Mircea, </w:t>
      </w:r>
      <w:r>
        <w:rPr>
          <w:i/>
          <w:sz w:val="24"/>
          <w:szCs w:val="24"/>
        </w:rPr>
        <w:t>The Sacred and the Profane: The Nature of Religion</w:t>
      </w:r>
      <w:r>
        <w:rPr>
          <w:sz w:val="24"/>
          <w:szCs w:val="24"/>
        </w:rPr>
        <w:t xml:space="preserve"> (A Harvest Book Harcourt, Brace &amp; World, Inc. New York, 1987)</w:t>
      </w:r>
    </w:p>
    <w:p w14:paraId="0000001D" w14:textId="77777777" w:rsidR="002C60F3" w:rsidRDefault="00000000">
      <w:pPr>
        <w:spacing w:before="240" w:after="240" w:line="480" w:lineRule="auto"/>
        <w:rPr>
          <w:sz w:val="24"/>
          <w:szCs w:val="24"/>
        </w:rPr>
      </w:pPr>
      <w:r>
        <w:rPr>
          <w:sz w:val="24"/>
          <w:szCs w:val="24"/>
        </w:rPr>
        <w:t xml:space="preserve">Eliade, Mircea, </w:t>
      </w:r>
      <w:r>
        <w:rPr>
          <w:i/>
          <w:sz w:val="24"/>
          <w:szCs w:val="24"/>
        </w:rPr>
        <w:t>Myth and Reality</w:t>
      </w:r>
      <w:r>
        <w:rPr>
          <w:sz w:val="24"/>
          <w:szCs w:val="24"/>
        </w:rPr>
        <w:t xml:space="preserve"> (Harper and Row 1975)</w:t>
      </w:r>
    </w:p>
    <w:p w14:paraId="0000001E" w14:textId="77777777" w:rsidR="002C60F3" w:rsidRDefault="00000000">
      <w:pPr>
        <w:spacing w:before="240" w:after="240" w:line="480" w:lineRule="auto"/>
        <w:rPr>
          <w:sz w:val="24"/>
          <w:szCs w:val="24"/>
        </w:rPr>
      </w:pPr>
      <w:r>
        <w:rPr>
          <w:sz w:val="24"/>
          <w:szCs w:val="24"/>
        </w:rPr>
        <w:t xml:space="preserve">Gombrich, Richard, ‘Eliade on Buddhism’, </w:t>
      </w:r>
      <w:r>
        <w:rPr>
          <w:i/>
          <w:sz w:val="24"/>
          <w:szCs w:val="24"/>
        </w:rPr>
        <w:t>Religious Studies</w:t>
      </w:r>
      <w:r>
        <w:rPr>
          <w:sz w:val="24"/>
          <w:szCs w:val="24"/>
        </w:rPr>
        <w:t>, 10.2 (1974), 225–31 &lt;https://doi.org/10.1017/S0034412500007447&gt;</w:t>
      </w:r>
    </w:p>
    <w:p w14:paraId="0000001F" w14:textId="77777777" w:rsidR="002C60F3" w:rsidRDefault="00000000">
      <w:pPr>
        <w:spacing w:before="240" w:after="240" w:line="480" w:lineRule="auto"/>
        <w:rPr>
          <w:sz w:val="24"/>
          <w:szCs w:val="24"/>
        </w:rPr>
      </w:pPr>
      <w:r>
        <w:rPr>
          <w:sz w:val="24"/>
          <w:szCs w:val="24"/>
        </w:rPr>
        <w:t xml:space="preserve">Kang, Seung Il, ‘A Comparison of Mircea Eliade’s and Jonathan Z. Smith’s Views on Dur-an-Ki’, </w:t>
      </w:r>
      <w:r>
        <w:rPr>
          <w:i/>
          <w:sz w:val="24"/>
          <w:szCs w:val="24"/>
        </w:rPr>
        <w:t>Zeitschrift Für Religions- Und Geistesgeschichte</w:t>
      </w:r>
      <w:r>
        <w:rPr>
          <w:sz w:val="24"/>
          <w:szCs w:val="24"/>
        </w:rPr>
        <w:t>, 64.1 (2012), 62–65 &lt;https://doi.org/10.1163/157007312800211633&gt;</w:t>
      </w:r>
    </w:p>
    <w:p w14:paraId="00000020" w14:textId="77777777" w:rsidR="002C60F3" w:rsidRDefault="00000000">
      <w:pPr>
        <w:spacing w:before="240" w:after="240" w:line="480" w:lineRule="auto"/>
        <w:rPr>
          <w:sz w:val="24"/>
          <w:szCs w:val="24"/>
        </w:rPr>
      </w:pPr>
      <w:r>
        <w:rPr>
          <w:sz w:val="24"/>
          <w:szCs w:val="24"/>
        </w:rPr>
        <w:lastRenderedPageBreak/>
        <w:t xml:space="preserve">Lane, Belden C., </w:t>
      </w:r>
      <w:r>
        <w:rPr>
          <w:i/>
          <w:sz w:val="24"/>
          <w:szCs w:val="24"/>
        </w:rPr>
        <w:t>Landscape of the Sacred: Geography and Narrative in American Spirituality</w:t>
      </w:r>
      <w:r>
        <w:rPr>
          <w:sz w:val="24"/>
          <w:szCs w:val="24"/>
        </w:rPr>
        <w:t>, Expanded Edition (John Hopkins University Press, 2002)</w:t>
      </w:r>
    </w:p>
    <w:p w14:paraId="00000021" w14:textId="77777777" w:rsidR="002C60F3" w:rsidRDefault="00000000">
      <w:pPr>
        <w:spacing w:before="240" w:after="240" w:line="480" w:lineRule="auto"/>
        <w:rPr>
          <w:sz w:val="24"/>
          <w:szCs w:val="24"/>
        </w:rPr>
      </w:pPr>
      <w:r>
        <w:rPr>
          <w:sz w:val="24"/>
          <w:szCs w:val="24"/>
        </w:rPr>
        <w:t xml:space="preserve">Orru, Marco, and Amy Wang, ‘Durkheim, Religion, and Buddhism’, </w:t>
      </w:r>
      <w:r>
        <w:rPr>
          <w:i/>
          <w:sz w:val="24"/>
          <w:szCs w:val="24"/>
        </w:rPr>
        <w:t>Journal for the Scientific Study of Religion</w:t>
      </w:r>
      <w:r>
        <w:rPr>
          <w:sz w:val="24"/>
          <w:szCs w:val="24"/>
        </w:rPr>
        <w:t>, 31.1 (1992), 47 &lt;https://doi.org/10.2307/1386831&gt;</w:t>
      </w:r>
    </w:p>
    <w:p w14:paraId="00000022" w14:textId="77777777" w:rsidR="002C60F3" w:rsidRDefault="00000000">
      <w:pPr>
        <w:spacing w:before="240" w:after="240" w:line="480" w:lineRule="auto"/>
        <w:rPr>
          <w:sz w:val="24"/>
          <w:szCs w:val="24"/>
        </w:rPr>
      </w:pPr>
      <w:r>
        <w:rPr>
          <w:sz w:val="24"/>
          <w:szCs w:val="24"/>
        </w:rPr>
        <w:t xml:space="preserve"> </w:t>
      </w:r>
    </w:p>
    <w:sectPr w:rsidR="002C60F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0AAAE" w14:textId="77777777" w:rsidR="00C42A98" w:rsidRDefault="00C42A98">
      <w:r>
        <w:separator/>
      </w:r>
    </w:p>
  </w:endnote>
  <w:endnote w:type="continuationSeparator" w:id="0">
    <w:p w14:paraId="53793532" w14:textId="77777777" w:rsidR="00C42A98" w:rsidRDefault="00C42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ËÎÌå"/>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F5513" w14:textId="77777777" w:rsidR="00C42A98" w:rsidRDefault="00C42A98">
      <w:r>
        <w:separator/>
      </w:r>
    </w:p>
  </w:footnote>
  <w:footnote w:type="continuationSeparator" w:id="0">
    <w:p w14:paraId="400309CF" w14:textId="77777777" w:rsidR="00C42A98" w:rsidRDefault="00C42A98">
      <w:r>
        <w:continuationSeparator/>
      </w:r>
    </w:p>
  </w:footnote>
  <w:footnote w:id="1">
    <w:p w14:paraId="00000023"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w:t>
      </w:r>
      <w:r>
        <w:rPr>
          <w:i/>
          <w:color w:val="000000"/>
          <w:sz w:val="20"/>
          <w:szCs w:val="20"/>
        </w:rPr>
        <w:t xml:space="preserve"> Introduction to Durkheim </w:t>
      </w:r>
      <w:r>
        <w:rPr>
          <w:i/>
          <w:sz w:val="20"/>
          <w:szCs w:val="20"/>
        </w:rPr>
        <w:t>‘</w:t>
      </w:r>
      <w:r>
        <w:rPr>
          <w:i/>
          <w:color w:val="000000"/>
          <w:sz w:val="20"/>
          <w:szCs w:val="20"/>
        </w:rPr>
        <w:t>The Elementary Forms of Religious Life</w:t>
      </w:r>
      <w:r>
        <w:rPr>
          <w:i/>
          <w:sz w:val="20"/>
          <w:szCs w:val="20"/>
        </w:rPr>
        <w:t>’</w:t>
      </w:r>
      <w:r>
        <w:rPr>
          <w:color w:val="000000"/>
          <w:sz w:val="20"/>
          <w:szCs w:val="20"/>
        </w:rPr>
        <w:t xml:space="preserve"> (Oxford University Press, 2001), p. xxii.</w:t>
      </w:r>
    </w:p>
  </w:footnote>
  <w:footnote w:id="2">
    <w:p w14:paraId="00000024"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xvii.</w:t>
      </w:r>
    </w:p>
  </w:footnote>
  <w:footnote w:id="3">
    <w:p w14:paraId="00000025"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xviii.</w:t>
      </w:r>
    </w:p>
  </w:footnote>
  <w:footnote w:id="4">
    <w:p w14:paraId="00000026"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Marco Orru and Amy Wang, ‘Durkheim, Religion, and Buddhism’, </w:t>
      </w:r>
      <w:r>
        <w:rPr>
          <w:i/>
          <w:color w:val="000000"/>
          <w:sz w:val="20"/>
          <w:szCs w:val="20"/>
        </w:rPr>
        <w:t>Journal for the Scientific Study of Religion</w:t>
      </w:r>
      <w:r>
        <w:rPr>
          <w:color w:val="000000"/>
          <w:sz w:val="20"/>
          <w:szCs w:val="20"/>
        </w:rPr>
        <w:t>, 31.1 (1992), 47 (p. 48) &lt;https://doi.org/10.2307/1386831&gt;.</w:t>
      </w:r>
    </w:p>
  </w:footnote>
  <w:footnote w:id="5">
    <w:p w14:paraId="0000003E" w14:textId="77777777" w:rsidR="002C60F3" w:rsidRDefault="00000000">
      <w:pPr>
        <w:rPr>
          <w:sz w:val="20"/>
          <w:szCs w:val="20"/>
        </w:rPr>
      </w:pPr>
      <w:r>
        <w:rPr>
          <w:vertAlign w:val="superscript"/>
        </w:rPr>
        <w:footnoteRef/>
      </w:r>
      <w:r>
        <w:rPr>
          <w:sz w:val="20"/>
          <w:szCs w:val="20"/>
        </w:rPr>
        <w:t xml:space="preserve"> Orru and Wang.</w:t>
      </w:r>
    </w:p>
  </w:footnote>
  <w:footnote w:id="6">
    <w:p w14:paraId="00000027"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Seung Il Kang, ‘A Comparison of Mircea Eliade’s and Jonathan Z. Smith’s Views on Dur-an-Ki’, </w:t>
      </w:r>
      <w:r>
        <w:rPr>
          <w:i/>
          <w:color w:val="000000"/>
          <w:sz w:val="20"/>
          <w:szCs w:val="20"/>
        </w:rPr>
        <w:t>Zeitschrift Für Religions- Und Geistesgeschichte</w:t>
      </w:r>
      <w:r>
        <w:rPr>
          <w:color w:val="000000"/>
          <w:sz w:val="20"/>
          <w:szCs w:val="20"/>
        </w:rPr>
        <w:t>, 64.1 (2012), 62–65 (p. 62) &lt;https://doi.org/10.1163/157007312800211633&gt;.</w:t>
      </w:r>
    </w:p>
  </w:footnote>
  <w:footnote w:id="7">
    <w:p w14:paraId="00000028"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 xml:space="preserve">Eliade, </w:t>
      </w:r>
      <w:r>
        <w:rPr>
          <w:color w:val="000000"/>
          <w:sz w:val="20"/>
          <w:szCs w:val="20"/>
        </w:rPr>
        <w:t>Mircea</w:t>
      </w:r>
      <w:r>
        <w:rPr>
          <w:sz w:val="20"/>
          <w:szCs w:val="20"/>
        </w:rPr>
        <w:t xml:space="preserve">, </w:t>
      </w:r>
      <w:r>
        <w:rPr>
          <w:i/>
          <w:color w:val="000000"/>
          <w:sz w:val="20"/>
          <w:szCs w:val="20"/>
        </w:rPr>
        <w:t>Myth and Reality</w:t>
      </w:r>
      <w:r>
        <w:rPr>
          <w:sz w:val="20"/>
          <w:szCs w:val="20"/>
        </w:rPr>
        <w:t xml:space="preserve"> (Harper and Row 1975)</w:t>
      </w:r>
      <w:r>
        <w:rPr>
          <w:color w:val="000000"/>
          <w:sz w:val="20"/>
          <w:szCs w:val="20"/>
        </w:rPr>
        <w:t>, pp. 34–35.</w:t>
      </w:r>
    </w:p>
  </w:footnote>
  <w:footnote w:id="8">
    <w:p w14:paraId="00000029"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Richard Gombrich, ‘Eliade on Buddhism’, </w:t>
      </w:r>
      <w:r>
        <w:rPr>
          <w:i/>
          <w:color w:val="000000"/>
          <w:sz w:val="20"/>
          <w:szCs w:val="20"/>
        </w:rPr>
        <w:t>Religious Studies</w:t>
      </w:r>
      <w:r>
        <w:rPr>
          <w:color w:val="000000"/>
          <w:sz w:val="20"/>
          <w:szCs w:val="20"/>
        </w:rPr>
        <w:t>, 10.2 (1974), 225–31 &lt;https://doi.org/10.1017/S0034412500007447&gt;.</w:t>
      </w:r>
    </w:p>
  </w:footnote>
  <w:footnote w:id="9">
    <w:p w14:paraId="0000002A"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xxviii.</w:t>
      </w:r>
    </w:p>
  </w:footnote>
  <w:footnote w:id="10">
    <w:p w14:paraId="0000002B"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xix.</w:t>
      </w:r>
    </w:p>
  </w:footnote>
  <w:footnote w:id="11">
    <w:p w14:paraId="0000002C"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xxxiii.</w:t>
      </w:r>
    </w:p>
  </w:footnote>
  <w:footnote w:id="12">
    <w:p w14:paraId="0000002D"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Orru and Wang, pp. 50–51.</w:t>
      </w:r>
    </w:p>
  </w:footnote>
  <w:footnote w:id="13">
    <w:p w14:paraId="0000002E"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Orru and Wang, p. 52.</w:t>
      </w:r>
    </w:p>
  </w:footnote>
  <w:footnote w:id="14">
    <w:p w14:paraId="0000002F"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Lane, p. 49.</w:t>
      </w:r>
    </w:p>
  </w:footnote>
  <w:footnote w:id="15">
    <w:p w14:paraId="00000030"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Lane, p. 13.</w:t>
      </w:r>
    </w:p>
  </w:footnote>
  <w:footnote w:id="16">
    <w:p w14:paraId="00000031"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Lane, p. 13.</w:t>
      </w:r>
    </w:p>
  </w:footnote>
  <w:footnote w:id="17">
    <w:p w14:paraId="00000032"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Gombrich, p. 229.</w:t>
      </w:r>
    </w:p>
  </w:footnote>
  <w:footnote w:id="18">
    <w:p w14:paraId="00000033"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Gombrich, p. 228.</w:t>
      </w:r>
    </w:p>
  </w:footnote>
  <w:footnote w:id="19">
    <w:p w14:paraId="00000034"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Micea Eliade, pp. 34–35.</w:t>
      </w:r>
    </w:p>
  </w:footnote>
  <w:footnote w:id="20">
    <w:p w14:paraId="00000035"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Lane, p. 41.</w:t>
      </w:r>
    </w:p>
  </w:footnote>
  <w:footnote w:id="21">
    <w:p w14:paraId="00000036"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Lane, p. 39.</w:t>
      </w:r>
    </w:p>
  </w:footnote>
  <w:footnote w:id="22">
    <w:p w14:paraId="00000037"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Lane, p. 56.</w:t>
      </w:r>
    </w:p>
  </w:footnote>
  <w:footnote w:id="23">
    <w:p w14:paraId="00000038"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xix.</w:t>
      </w:r>
    </w:p>
  </w:footnote>
  <w:footnote w:id="24">
    <w:p w14:paraId="00000039"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xviii.</w:t>
      </w:r>
    </w:p>
  </w:footnote>
  <w:footnote w:id="25">
    <w:p w14:paraId="0000003A"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xxix.</w:t>
      </w:r>
    </w:p>
  </w:footnote>
  <w:footnote w:id="26">
    <w:p w14:paraId="0000003B"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sz w:val="20"/>
          <w:szCs w:val="20"/>
        </w:rPr>
        <w:t>Field K</w:t>
      </w:r>
      <w:r>
        <w:rPr>
          <w:color w:val="000000"/>
          <w:sz w:val="20"/>
          <w:szCs w:val="20"/>
        </w:rPr>
        <w:t>, p. xxx.</w:t>
      </w:r>
    </w:p>
  </w:footnote>
  <w:footnote w:id="27">
    <w:p w14:paraId="00000040" w14:textId="77777777" w:rsidR="002C60F3" w:rsidRDefault="00000000">
      <w:pPr>
        <w:rPr>
          <w:sz w:val="20"/>
          <w:szCs w:val="20"/>
        </w:rPr>
      </w:pPr>
      <w:r>
        <w:rPr>
          <w:vertAlign w:val="superscript"/>
        </w:rPr>
        <w:footnoteRef/>
      </w:r>
      <w:r>
        <w:rPr>
          <w:sz w:val="20"/>
          <w:szCs w:val="20"/>
        </w:rPr>
        <w:t xml:space="preserve"> </w:t>
      </w:r>
      <w:hyperlink r:id="rId1">
        <w:r>
          <w:rPr>
            <w:sz w:val="20"/>
            <w:szCs w:val="20"/>
          </w:rPr>
          <w:t>Mircea Eliade</w:t>
        </w:r>
      </w:hyperlink>
      <w:hyperlink r:id="rId2">
        <w:r>
          <w:rPr>
            <w:sz w:val="20"/>
            <w:szCs w:val="20"/>
          </w:rPr>
          <w:t>,</w:t>
        </w:r>
      </w:hyperlink>
      <w:hyperlink r:id="rId3">
        <w:r>
          <w:rPr>
            <w:sz w:val="20"/>
            <w:szCs w:val="20"/>
          </w:rPr>
          <w:t xml:space="preserve"> p. 21.</w:t>
        </w:r>
      </w:hyperlink>
    </w:p>
  </w:footnote>
  <w:footnote w:id="28">
    <w:p w14:paraId="0000003F" w14:textId="77777777" w:rsidR="002C60F3" w:rsidRDefault="00000000">
      <w:pPr>
        <w:rPr>
          <w:sz w:val="20"/>
          <w:szCs w:val="20"/>
        </w:rPr>
      </w:pPr>
      <w:r>
        <w:rPr>
          <w:vertAlign w:val="superscript"/>
        </w:rPr>
        <w:footnoteRef/>
      </w:r>
      <w:r>
        <w:rPr>
          <w:sz w:val="20"/>
          <w:szCs w:val="20"/>
        </w:rPr>
        <w:t xml:space="preserve"> </w:t>
      </w:r>
      <w:hyperlink r:id="rId4">
        <w:r>
          <w:rPr>
            <w:sz w:val="20"/>
            <w:szCs w:val="20"/>
          </w:rPr>
          <w:t>Mircea Eliade</w:t>
        </w:r>
      </w:hyperlink>
      <w:hyperlink r:id="rId5">
        <w:r>
          <w:rPr>
            <w:sz w:val="20"/>
            <w:szCs w:val="20"/>
          </w:rPr>
          <w:t xml:space="preserve">, </w:t>
        </w:r>
      </w:hyperlink>
      <w:hyperlink r:id="rId6">
        <w:r>
          <w:rPr>
            <w:sz w:val="20"/>
            <w:szCs w:val="20"/>
          </w:rPr>
          <w:t xml:space="preserve"> p. 23.</w:t>
        </w:r>
      </w:hyperlink>
    </w:p>
  </w:footnote>
  <w:footnote w:id="29">
    <w:p w14:paraId="0000003C"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Mircea Eliade, </w:t>
      </w:r>
      <w:r>
        <w:rPr>
          <w:i/>
          <w:color w:val="000000"/>
          <w:sz w:val="20"/>
          <w:szCs w:val="20"/>
        </w:rPr>
        <w:t>The Sacred and the Profane: The Nature of Religion</w:t>
      </w:r>
      <w:r>
        <w:rPr>
          <w:color w:val="000000"/>
          <w:sz w:val="20"/>
          <w:szCs w:val="20"/>
        </w:rPr>
        <w:t xml:space="preserve"> (A Harvest Book Harcourt, Brace &amp; World, Inc. New York, 1987), p. 187.</w:t>
      </w:r>
    </w:p>
  </w:footnote>
  <w:footnote w:id="30">
    <w:p w14:paraId="0000003D" w14:textId="77777777" w:rsidR="002C60F3"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Lane, p. 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60F3"/>
    <w:rsid w:val="00233D2C"/>
    <w:rsid w:val="002C60F3"/>
    <w:rsid w:val="00464BFA"/>
    <w:rsid w:val="00C14C3E"/>
    <w:rsid w:val="00C42A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22D08"/>
  <w15:docId w15:val="{9DB8981E-808F-4864-8930-A0DAE6F7F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zotero.org/google-docs/?3lqlPv" TargetMode="External"/><Relationship Id="rId2" Type="http://schemas.openxmlformats.org/officeDocument/2006/relationships/hyperlink" Target="https://www.zotero.org/google-docs/?3lqlPv" TargetMode="External"/><Relationship Id="rId1" Type="http://schemas.openxmlformats.org/officeDocument/2006/relationships/hyperlink" Target="https://www.zotero.org/google-docs/?3lqlPv" TargetMode="External"/><Relationship Id="rId6" Type="http://schemas.openxmlformats.org/officeDocument/2006/relationships/hyperlink" Target="https://www.zotero.org/google-docs/?AdifvH" TargetMode="External"/><Relationship Id="rId5" Type="http://schemas.openxmlformats.org/officeDocument/2006/relationships/hyperlink" Target="https://www.zotero.org/google-docs/?AdifvH" TargetMode="External"/><Relationship Id="rId4" Type="http://schemas.openxmlformats.org/officeDocument/2006/relationships/hyperlink" Target="https://www.zotero.org/google-docs/?Adifv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1028</TotalTime>
  <Pages>12</Pages>
  <Words>2556</Words>
  <Characters>13575</Characters>
  <Application>Microsoft Office Word</Application>
  <DocSecurity>0</DocSecurity>
  <Lines>271</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Ying Ching Lee</cp:lastModifiedBy>
  <cp:revision>9</cp:revision>
  <dcterms:created xsi:type="dcterms:W3CDTF">2022-11-13T17:09:00Z</dcterms:created>
  <dcterms:modified xsi:type="dcterms:W3CDTF">2022-11-14T10:17:00Z</dcterms:modified>
</cp:coreProperties>
</file>