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C08ED" w14:textId="5B96CC49" w:rsidR="00E26FD6" w:rsidRDefault="008E2437" w:rsidP="00373E59">
      <w:pPr>
        <w:jc w:val="center"/>
        <w:rPr>
          <w:b/>
          <w:bCs/>
        </w:rPr>
      </w:pPr>
      <w:r>
        <w:rPr>
          <w:b/>
          <w:bCs/>
          <w:noProof/>
        </w:rPr>
        <w:drawing>
          <wp:inline distT="0" distB="0" distL="0" distR="0" wp14:anchorId="531B17D1" wp14:editId="476A7EFF">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FC0DFD5" w14:textId="11E07479" w:rsidR="00373E59" w:rsidRPr="008E2437" w:rsidRDefault="00373E59" w:rsidP="00373E59">
      <w:pPr>
        <w:jc w:val="center"/>
        <w:rPr>
          <w:b/>
          <w:bCs/>
          <w:sz w:val="28"/>
          <w:szCs w:val="24"/>
        </w:rPr>
      </w:pPr>
    </w:p>
    <w:p w14:paraId="381A90AD" w14:textId="1B529168" w:rsidR="008E2437" w:rsidRPr="003A0341" w:rsidRDefault="001C6B7C" w:rsidP="003C64F6">
      <w:pPr>
        <w:jc w:val="center"/>
        <w:rPr>
          <w:rFonts w:asciiTheme="minorHAnsi" w:hAnsiTheme="minorHAnsi" w:cstheme="minorHAnsi"/>
          <w:b/>
          <w:bCs/>
          <w:sz w:val="32"/>
          <w:szCs w:val="28"/>
        </w:rPr>
      </w:pPr>
      <w:r w:rsidRPr="003A0341">
        <w:rPr>
          <w:rFonts w:asciiTheme="minorHAnsi" w:hAnsiTheme="minorHAnsi" w:cstheme="minorHAnsi"/>
          <w:b/>
          <w:bCs/>
          <w:sz w:val="32"/>
          <w:szCs w:val="28"/>
        </w:rPr>
        <w:t>Assignment 1</w:t>
      </w:r>
    </w:p>
    <w:p w14:paraId="1FDF2E3A" w14:textId="0BFFDAF3" w:rsidR="004F632F" w:rsidRPr="003A0341" w:rsidRDefault="003C64F6" w:rsidP="003C64F6">
      <w:pPr>
        <w:jc w:val="center"/>
        <w:rPr>
          <w:rFonts w:asciiTheme="minorHAnsi" w:hAnsiTheme="minorHAnsi" w:cstheme="minorHAnsi"/>
        </w:rPr>
      </w:pPr>
      <w:r>
        <w:rPr>
          <w:rFonts w:asciiTheme="minorHAnsi" w:hAnsiTheme="minorHAnsi" w:cstheme="minorHAnsi"/>
        </w:rPr>
        <w:t xml:space="preserve"> </w:t>
      </w:r>
    </w:p>
    <w:p w14:paraId="4BCC37A5" w14:textId="77777777" w:rsidR="00CE7F1F" w:rsidRDefault="004F632F" w:rsidP="00CE7F1F">
      <w:pPr>
        <w:jc w:val="center"/>
        <w:rPr>
          <w:rFonts w:asciiTheme="minorHAnsi" w:hAnsiTheme="minorHAnsi" w:cstheme="minorHAnsi"/>
          <w:b/>
          <w:bCs/>
        </w:rPr>
      </w:pPr>
      <w:proofErr w:type="gramStart"/>
      <w:r w:rsidRPr="003A0341">
        <w:rPr>
          <w:rFonts w:asciiTheme="minorHAnsi" w:hAnsiTheme="minorHAnsi" w:cstheme="minorHAnsi"/>
        </w:rPr>
        <w:t>Module :</w:t>
      </w:r>
      <w:proofErr w:type="gramEnd"/>
      <w:r w:rsidR="00A97433">
        <w:rPr>
          <w:rFonts w:asciiTheme="minorHAnsi" w:hAnsiTheme="minorHAnsi" w:cstheme="minorHAnsi"/>
        </w:rPr>
        <w:t xml:space="preserve"> </w:t>
      </w:r>
      <w:r w:rsidR="00A97433" w:rsidRPr="00A97433">
        <w:rPr>
          <w:rFonts w:asciiTheme="minorHAnsi" w:hAnsiTheme="minorHAnsi" w:cstheme="minorHAnsi"/>
        </w:rPr>
        <w:t>Community Engagement (LCBB4002)</w:t>
      </w:r>
    </w:p>
    <w:p w14:paraId="52F40316" w14:textId="64F6ADE8" w:rsidR="00F35AA7" w:rsidRPr="00CE7F1F" w:rsidRDefault="004F632F" w:rsidP="00CE7F1F">
      <w:pPr>
        <w:jc w:val="center"/>
        <w:rPr>
          <w:rFonts w:asciiTheme="minorHAnsi" w:hAnsiTheme="minorHAnsi" w:cstheme="minorHAnsi"/>
          <w:b/>
          <w:bCs/>
        </w:rPr>
        <w:sectPr w:rsidR="00F35AA7" w:rsidRPr="00CE7F1F" w:rsidSect="001A6B94">
          <w:pgSz w:w="12240" w:h="15840"/>
          <w:pgMar w:top="1440" w:right="1440" w:bottom="1440" w:left="1440" w:header="720" w:footer="720" w:gutter="0"/>
          <w:cols w:space="720"/>
          <w:docGrid w:linePitch="360"/>
        </w:sectPr>
      </w:pPr>
      <w:r w:rsidRPr="003A0341">
        <w:rPr>
          <w:rFonts w:asciiTheme="minorHAnsi" w:hAnsiTheme="minorHAnsi" w:cstheme="minorHAnsi"/>
        </w:rPr>
        <w:t>Lecturer:</w:t>
      </w:r>
      <w:r w:rsidR="00CE7F1F">
        <w:rPr>
          <w:rFonts w:asciiTheme="minorHAnsi" w:hAnsiTheme="minorHAnsi" w:cstheme="minorHAnsi"/>
          <w:b/>
          <w:bCs/>
        </w:rPr>
        <w:t xml:space="preserve"> </w:t>
      </w:r>
      <w:r w:rsidR="00D56124">
        <w:rPr>
          <w:rFonts w:asciiTheme="minorHAnsi" w:hAnsiTheme="minorHAnsi" w:cstheme="minorHAnsi"/>
          <w:b/>
          <w:bCs/>
        </w:rPr>
        <w:t xml:space="preserve"> </w:t>
      </w:r>
      <w:r w:rsidR="00CE7F1F" w:rsidRPr="00CE7F1F">
        <w:rPr>
          <w:rFonts w:asciiTheme="minorHAnsi" w:hAnsiTheme="minorHAnsi" w:cstheme="minorHAnsi"/>
        </w:rPr>
        <w:t xml:space="preserve">Dr </w:t>
      </w:r>
      <w:proofErr w:type="spellStart"/>
      <w:r w:rsidR="00CE7F1F" w:rsidRPr="00CE7F1F">
        <w:rPr>
          <w:rFonts w:asciiTheme="minorHAnsi" w:hAnsiTheme="minorHAnsi" w:cstheme="minorHAnsi"/>
        </w:rPr>
        <w:t>Faizu</w:t>
      </w:r>
      <w:proofErr w:type="spellEnd"/>
      <w:r w:rsidR="00CE7F1F" w:rsidRPr="00CE7F1F">
        <w:rPr>
          <w:rFonts w:asciiTheme="minorHAnsi" w:hAnsiTheme="minorHAnsi" w:cstheme="minorHAnsi"/>
        </w:rPr>
        <w:t xml:space="preserve"> Edu</w:t>
      </w:r>
    </w:p>
    <w:p w14:paraId="5E52D468" w14:textId="7BE234E2" w:rsidR="00690798" w:rsidRPr="003A0341" w:rsidRDefault="00690798" w:rsidP="003C64F6">
      <w:pPr>
        <w:ind w:left="2552" w:right="-2857" w:firstLine="567"/>
        <w:jc w:val="center"/>
        <w:rPr>
          <w:rFonts w:asciiTheme="minorHAnsi" w:hAnsiTheme="minorHAnsi" w:cstheme="minorHAnsi"/>
        </w:rPr>
      </w:pPr>
      <w:r w:rsidRPr="003A0341">
        <w:rPr>
          <w:rFonts w:asciiTheme="minorHAnsi" w:hAnsiTheme="minorHAnsi" w:cstheme="minorHAnsi"/>
        </w:rPr>
        <w:t>Student Name:</w:t>
      </w:r>
      <w:r w:rsidR="00D56124">
        <w:rPr>
          <w:rFonts w:asciiTheme="minorHAnsi" w:hAnsiTheme="minorHAnsi" w:cstheme="minorHAnsi"/>
        </w:rPr>
        <w:t xml:space="preserve">  </w:t>
      </w:r>
      <w:r w:rsidR="00F35AA7" w:rsidRPr="003A0341">
        <w:rPr>
          <w:rFonts w:asciiTheme="minorHAnsi" w:hAnsiTheme="minorHAnsi" w:cstheme="minorHAnsi"/>
        </w:rPr>
        <w:t>Adelina Stanciu</w:t>
      </w:r>
    </w:p>
    <w:p w14:paraId="4E865075" w14:textId="3013B7D1" w:rsidR="00F35AA7" w:rsidRPr="003A0341" w:rsidRDefault="00690798" w:rsidP="003C64F6">
      <w:pPr>
        <w:spacing w:after="480"/>
        <w:ind w:left="2410" w:right="-2857" w:firstLine="567"/>
        <w:jc w:val="center"/>
        <w:rPr>
          <w:rFonts w:asciiTheme="minorHAnsi" w:hAnsiTheme="minorHAnsi" w:cstheme="minorHAnsi"/>
        </w:rPr>
      </w:pPr>
      <w:r w:rsidRPr="003A0341">
        <w:rPr>
          <w:rFonts w:asciiTheme="minorHAnsi" w:hAnsiTheme="minorHAnsi" w:cstheme="minorHAnsi"/>
        </w:rPr>
        <w:t>Student ID:</w:t>
      </w:r>
      <w:r w:rsidR="00F35AA7" w:rsidRPr="003A0341">
        <w:rPr>
          <w:rFonts w:asciiTheme="minorHAnsi" w:hAnsiTheme="minorHAnsi" w:cstheme="minorHAnsi"/>
        </w:rPr>
        <w:tab/>
      </w:r>
      <w:r w:rsidR="00FC2D04" w:rsidRPr="003A0341">
        <w:rPr>
          <w:rFonts w:asciiTheme="minorHAnsi" w:hAnsiTheme="minorHAnsi" w:cstheme="minorHAnsi"/>
        </w:rPr>
        <w:t>2245080</w:t>
      </w:r>
    </w:p>
    <w:p w14:paraId="45EA0853" w14:textId="04AF4ECC" w:rsidR="006E567E" w:rsidRPr="003A0341" w:rsidRDefault="006E567E" w:rsidP="003C64F6">
      <w:pPr>
        <w:spacing w:after="480"/>
        <w:ind w:left="2410" w:right="-2857" w:firstLine="567"/>
        <w:jc w:val="center"/>
        <w:rPr>
          <w:rFonts w:asciiTheme="minorHAnsi" w:hAnsiTheme="minorHAnsi" w:cstheme="minorHAnsi"/>
        </w:rPr>
      </w:pPr>
      <w:r w:rsidRPr="003A0341">
        <w:rPr>
          <w:rFonts w:asciiTheme="minorHAnsi" w:hAnsiTheme="minorHAnsi" w:cstheme="minorHAnsi"/>
        </w:rPr>
        <w:t>W</w:t>
      </w:r>
      <w:r w:rsidR="00E8107C" w:rsidRPr="003A0341">
        <w:rPr>
          <w:rFonts w:asciiTheme="minorHAnsi" w:hAnsiTheme="minorHAnsi" w:cstheme="minorHAnsi"/>
        </w:rPr>
        <w:t xml:space="preserve">ord count: </w:t>
      </w:r>
      <w:r w:rsidR="003A0341" w:rsidRPr="003A0341">
        <w:rPr>
          <w:rFonts w:asciiTheme="minorHAnsi" w:hAnsiTheme="minorHAnsi" w:cstheme="minorHAnsi"/>
        </w:rPr>
        <w:t>1989</w:t>
      </w:r>
    </w:p>
    <w:p w14:paraId="7B64C6E9" w14:textId="77777777" w:rsidR="00F35AA7" w:rsidRDefault="00F35AA7" w:rsidP="00A55901">
      <w:pPr>
        <w:ind w:left="426"/>
      </w:pPr>
    </w:p>
    <w:p w14:paraId="3CD490BB" w14:textId="09D824B7" w:rsidR="00F35AA7" w:rsidRPr="00690798" w:rsidRDefault="00F35AA7" w:rsidP="00A55901">
      <w:pPr>
        <w:ind w:left="426"/>
        <w:sectPr w:rsidR="00F35AA7" w:rsidRPr="00690798" w:rsidSect="00A55901">
          <w:type w:val="continuous"/>
          <w:pgSz w:w="12240" w:h="15840"/>
          <w:pgMar w:top="1440" w:right="1440" w:bottom="1440" w:left="1440" w:header="720" w:footer="720" w:gutter="0"/>
          <w:cols w:num="2" w:space="1466"/>
          <w:docGrid w:linePitch="360"/>
        </w:sectPr>
      </w:pPr>
    </w:p>
    <w:sdt>
      <w:sdtPr>
        <w:rPr>
          <w:rFonts w:ascii="Arial" w:eastAsiaTheme="minorHAnsi" w:hAnsi="Arial" w:cstheme="minorBidi"/>
          <w:color w:val="auto"/>
          <w:sz w:val="24"/>
          <w:szCs w:val="22"/>
          <w:lang w:eastAsia="en-US"/>
        </w:rPr>
        <w:id w:val="943114622"/>
        <w:docPartObj>
          <w:docPartGallery w:val="Table of Contents"/>
          <w:docPartUnique/>
        </w:docPartObj>
      </w:sdtPr>
      <w:sdtEndPr>
        <w:rPr>
          <w:b/>
          <w:bCs/>
        </w:rPr>
      </w:sdtEndPr>
      <w:sdtContent>
        <w:p w14:paraId="7571DB48" w14:textId="77777777" w:rsidR="0059600E" w:rsidRPr="001A43F6" w:rsidRDefault="0059600E" w:rsidP="001A43F6">
          <w:pPr>
            <w:pStyle w:val="TOCHeading"/>
            <w:spacing w:line="360" w:lineRule="auto"/>
            <w:rPr>
              <w:rFonts w:ascii="Arial" w:hAnsi="Arial" w:cs="Arial"/>
              <w:b/>
              <w:bCs/>
            </w:rPr>
          </w:pPr>
          <w:r w:rsidRPr="001A43F6">
            <w:rPr>
              <w:rFonts w:ascii="Arial" w:hAnsi="Arial" w:cs="Arial"/>
              <w:b/>
              <w:bCs/>
            </w:rPr>
            <w:t>Table of Contents</w:t>
          </w:r>
        </w:p>
        <w:p w14:paraId="3E76C70B" w14:textId="1AACC6EB" w:rsidR="007A08F6" w:rsidRDefault="0059600E">
          <w:pPr>
            <w:pStyle w:val="TOC1"/>
            <w:rPr>
              <w:rFonts w:asciiTheme="minorHAnsi" w:eastAsiaTheme="minorEastAsia" w:hAnsiTheme="minorHAnsi"/>
              <w:b w:val="0"/>
              <w:bCs w:val="0"/>
              <w:sz w:val="22"/>
              <w:lang w:val="en-US"/>
            </w:rPr>
          </w:pPr>
          <w:r>
            <w:fldChar w:fldCharType="begin"/>
          </w:r>
          <w:r>
            <w:instrText xml:space="preserve"> TOC \o "1-3" \h \z \u </w:instrText>
          </w:r>
          <w:r>
            <w:fldChar w:fldCharType="separate"/>
          </w:r>
          <w:hyperlink w:anchor="_Toc141307409" w:history="1">
            <w:r w:rsidR="007A08F6" w:rsidRPr="00C50E96">
              <w:rPr>
                <w:rStyle w:val="Hyperlink"/>
              </w:rPr>
              <w:t>Introduction</w:t>
            </w:r>
            <w:r w:rsidR="007A08F6">
              <w:rPr>
                <w:webHidden/>
              </w:rPr>
              <w:tab/>
            </w:r>
            <w:r w:rsidR="00AA0829">
              <w:rPr>
                <w:webHidden/>
              </w:rPr>
              <w:t>2</w:t>
            </w:r>
          </w:hyperlink>
        </w:p>
        <w:p w14:paraId="1B7BCF6C" w14:textId="556B48DE" w:rsidR="007A08F6" w:rsidRPr="00D934E6" w:rsidRDefault="00007297" w:rsidP="00D934E6">
          <w:pPr>
            <w:pStyle w:val="TOC1"/>
            <w:rPr>
              <w:rFonts w:asciiTheme="minorHAnsi" w:eastAsiaTheme="minorEastAsia" w:hAnsiTheme="minorHAnsi"/>
              <w:b w:val="0"/>
              <w:bCs w:val="0"/>
              <w:sz w:val="22"/>
              <w:lang w:val="en-US"/>
            </w:rPr>
          </w:pPr>
          <w:hyperlink w:anchor="_Toc141307410" w:history="1">
            <w:r w:rsidR="007A08F6" w:rsidRPr="00C50E96">
              <w:rPr>
                <w:rStyle w:val="Hyperlink"/>
              </w:rPr>
              <w:t xml:space="preserve"> </w:t>
            </w:r>
            <w:r w:rsidR="006D1B3C">
              <w:rPr>
                <w:rStyle w:val="Hyperlink"/>
              </w:rPr>
              <w:t>The project</w:t>
            </w:r>
            <w:r w:rsidR="007A08F6">
              <w:rPr>
                <w:webHidden/>
              </w:rPr>
              <w:tab/>
            </w:r>
            <w:r w:rsidR="00AA0829">
              <w:rPr>
                <w:webHidden/>
              </w:rPr>
              <w:t>2</w:t>
            </w:r>
          </w:hyperlink>
        </w:p>
        <w:p w14:paraId="34723AD1" w14:textId="54EB0AB7" w:rsidR="007A08F6" w:rsidRPr="00D934E6" w:rsidRDefault="002C6109" w:rsidP="00D934E6">
          <w:pPr>
            <w:pStyle w:val="TOC1"/>
            <w:rPr>
              <w:rFonts w:asciiTheme="minorHAnsi" w:eastAsiaTheme="minorEastAsia" w:hAnsiTheme="minorHAnsi"/>
              <w:b w:val="0"/>
              <w:bCs w:val="0"/>
              <w:sz w:val="22"/>
              <w:lang w:val="en-US"/>
            </w:rPr>
          </w:pPr>
          <w:r w:rsidRPr="002C6109">
            <w:t>The Stakeholders and means of community involvement</w:t>
          </w:r>
          <w:r w:rsidRPr="002C6109">
            <w:t xml:space="preserve"> </w:t>
          </w:r>
          <w:hyperlink w:anchor="_Toc141307420" w:history="1">
            <w:r w:rsidR="007A08F6">
              <w:rPr>
                <w:webHidden/>
              </w:rPr>
              <w:tab/>
            </w:r>
            <w:r w:rsidR="00AA0829">
              <w:rPr>
                <w:webHidden/>
              </w:rPr>
              <w:t>3</w:t>
            </w:r>
          </w:hyperlink>
        </w:p>
        <w:p w14:paraId="5FFCBBDC" w14:textId="1AF76FE1" w:rsidR="007A08F6" w:rsidRPr="00312FDD" w:rsidRDefault="007549FF" w:rsidP="00312FDD">
          <w:pPr>
            <w:pStyle w:val="TOC1"/>
            <w:rPr>
              <w:rFonts w:asciiTheme="minorHAnsi" w:eastAsiaTheme="minorEastAsia" w:hAnsiTheme="minorHAnsi"/>
              <w:b w:val="0"/>
              <w:bCs w:val="0"/>
              <w:sz w:val="22"/>
              <w:lang w:val="en-US"/>
            </w:rPr>
          </w:pPr>
          <w:r w:rsidRPr="007549FF">
            <w:t>The decision</w:t>
          </w:r>
          <w:r w:rsidRPr="007549FF">
            <w:t xml:space="preserve"> </w:t>
          </w:r>
          <w:hyperlink w:anchor="_Toc141307425" w:history="1">
            <w:r w:rsidR="007A08F6">
              <w:rPr>
                <w:webHidden/>
              </w:rPr>
              <w:tab/>
            </w:r>
            <w:r w:rsidR="00AA0829">
              <w:rPr>
                <w:webHidden/>
              </w:rPr>
              <w:t>4</w:t>
            </w:r>
          </w:hyperlink>
        </w:p>
        <w:p w14:paraId="61EBEA65" w14:textId="0AC7C1BD" w:rsidR="007A08F6" w:rsidRPr="00312FDD" w:rsidRDefault="0016398E" w:rsidP="00312FDD">
          <w:pPr>
            <w:pStyle w:val="TOC1"/>
            <w:rPr>
              <w:rFonts w:asciiTheme="minorHAnsi" w:eastAsiaTheme="minorEastAsia" w:hAnsiTheme="minorHAnsi"/>
              <w:b w:val="0"/>
              <w:bCs w:val="0"/>
              <w:sz w:val="22"/>
              <w:lang w:val="en-US"/>
            </w:rPr>
          </w:pPr>
          <w:r w:rsidRPr="0016398E">
            <w:t>The challenges and the lessons</w:t>
          </w:r>
          <w:r w:rsidRPr="0016398E">
            <w:t xml:space="preserve"> </w:t>
          </w:r>
          <w:hyperlink w:anchor="_Toc141307430" w:history="1">
            <w:r w:rsidR="007A08F6">
              <w:rPr>
                <w:webHidden/>
              </w:rPr>
              <w:tab/>
            </w:r>
            <w:r w:rsidR="00AA0829">
              <w:rPr>
                <w:webHidden/>
              </w:rPr>
              <w:t>5</w:t>
            </w:r>
          </w:hyperlink>
        </w:p>
        <w:p w14:paraId="407F6FC4" w14:textId="01C029E8" w:rsidR="007A08F6" w:rsidRDefault="00007297">
          <w:pPr>
            <w:pStyle w:val="TOC1"/>
            <w:rPr>
              <w:rFonts w:asciiTheme="minorHAnsi" w:eastAsiaTheme="minorEastAsia" w:hAnsiTheme="minorHAnsi"/>
              <w:b w:val="0"/>
              <w:bCs w:val="0"/>
              <w:sz w:val="22"/>
              <w:lang w:val="en-US"/>
            </w:rPr>
          </w:pPr>
          <w:hyperlink w:anchor="_Toc141307435" w:history="1">
            <w:r w:rsidR="007A08F6" w:rsidRPr="00C50E96">
              <w:rPr>
                <w:rStyle w:val="Hyperlink"/>
              </w:rPr>
              <w:t>Conclusio</w:t>
            </w:r>
            <w:r w:rsidR="00312FDD">
              <w:rPr>
                <w:rStyle w:val="Hyperlink"/>
              </w:rPr>
              <w:t>n</w:t>
            </w:r>
            <w:r w:rsidR="007A08F6">
              <w:rPr>
                <w:webHidden/>
              </w:rPr>
              <w:tab/>
            </w:r>
            <w:r w:rsidR="00AA0829">
              <w:rPr>
                <w:webHidden/>
              </w:rPr>
              <w:t>5</w:t>
            </w:r>
          </w:hyperlink>
        </w:p>
        <w:p w14:paraId="73EF95C8" w14:textId="5951B184" w:rsidR="007A08F6" w:rsidRDefault="00007297">
          <w:pPr>
            <w:pStyle w:val="TOC1"/>
            <w:rPr>
              <w:rFonts w:asciiTheme="minorHAnsi" w:eastAsiaTheme="minorEastAsia" w:hAnsiTheme="minorHAnsi"/>
              <w:b w:val="0"/>
              <w:bCs w:val="0"/>
              <w:sz w:val="22"/>
              <w:lang w:val="en-US"/>
            </w:rPr>
          </w:pPr>
          <w:hyperlink w:anchor="_Toc141307436" w:history="1">
            <w:r w:rsidR="007A08F6" w:rsidRPr="00C50E96">
              <w:rPr>
                <w:rStyle w:val="Hyperlink"/>
              </w:rPr>
              <w:t>References</w:t>
            </w:r>
            <w:r w:rsidR="007A08F6">
              <w:rPr>
                <w:webHidden/>
              </w:rPr>
              <w:tab/>
            </w:r>
            <w:r w:rsidR="00AA0829">
              <w:rPr>
                <w:webHidden/>
              </w:rPr>
              <w:t>7</w:t>
            </w:r>
          </w:hyperlink>
        </w:p>
        <w:p w14:paraId="3AC09BDF" w14:textId="77777777" w:rsidR="00FA36DD" w:rsidRDefault="0059600E" w:rsidP="00ED4729">
          <w:pPr>
            <w:rPr>
              <w:b/>
              <w:bCs/>
            </w:rPr>
          </w:pPr>
          <w:r>
            <w:rPr>
              <w:b/>
              <w:bCs/>
            </w:rPr>
            <w:fldChar w:fldCharType="end"/>
          </w:r>
        </w:p>
      </w:sdtContent>
    </w:sdt>
    <w:p w14:paraId="4D9B5A32" w14:textId="1B8FA1F9" w:rsidR="00563F1A" w:rsidRPr="00563F1A" w:rsidRDefault="00BF6066" w:rsidP="00563F1A">
      <w:pPr>
        <w:spacing w:before="120" w:line="259" w:lineRule="auto"/>
        <w:jc w:val="center"/>
        <w:rPr>
          <w:rFonts w:asciiTheme="minorHAnsi" w:hAnsiTheme="minorHAnsi" w:cstheme="minorHAnsi"/>
          <w:b/>
          <w:bCs/>
          <w:color w:val="2E74B5" w:themeColor="accent5" w:themeShade="BF"/>
          <w:sz w:val="28"/>
          <w:szCs w:val="24"/>
        </w:rPr>
      </w:pPr>
      <w:r>
        <w:rPr>
          <w:b/>
          <w:bCs/>
          <w:color w:val="2E74B5" w:themeColor="accent5" w:themeShade="BF"/>
          <w:sz w:val="28"/>
          <w:szCs w:val="24"/>
        </w:rPr>
        <w:br w:type="page"/>
      </w:r>
      <w:r w:rsidR="00684516" w:rsidRPr="00563F1A">
        <w:rPr>
          <w:rFonts w:asciiTheme="minorHAnsi" w:hAnsiTheme="minorHAnsi" w:cstheme="minorHAnsi"/>
          <w:b/>
          <w:bCs/>
          <w:sz w:val="32"/>
          <w:szCs w:val="28"/>
        </w:rPr>
        <w:lastRenderedPageBreak/>
        <w:t>Re</w:t>
      </w:r>
      <w:r w:rsidR="00563F1A" w:rsidRPr="00563F1A">
        <w:rPr>
          <w:rFonts w:asciiTheme="minorHAnsi" w:hAnsiTheme="minorHAnsi" w:cstheme="minorHAnsi"/>
          <w:b/>
          <w:bCs/>
          <w:sz w:val="32"/>
          <w:szCs w:val="28"/>
        </w:rPr>
        <w:t xml:space="preserve">stauration of </w:t>
      </w:r>
      <w:proofErr w:type="spellStart"/>
      <w:r w:rsidR="00563F1A" w:rsidRPr="00563F1A">
        <w:rPr>
          <w:rFonts w:asciiTheme="minorHAnsi" w:hAnsiTheme="minorHAnsi" w:cstheme="minorHAnsi"/>
          <w:b/>
          <w:bCs/>
          <w:sz w:val="32"/>
          <w:szCs w:val="28"/>
        </w:rPr>
        <w:t>Testwood</w:t>
      </w:r>
      <w:proofErr w:type="spellEnd"/>
      <w:r w:rsidR="00563F1A" w:rsidRPr="00563F1A">
        <w:rPr>
          <w:rFonts w:asciiTheme="minorHAnsi" w:hAnsiTheme="minorHAnsi" w:cstheme="minorHAnsi"/>
          <w:b/>
          <w:bCs/>
          <w:sz w:val="32"/>
          <w:szCs w:val="28"/>
        </w:rPr>
        <w:t xml:space="preserve"> Paddling Pool</w:t>
      </w:r>
      <w:r w:rsidR="00207850">
        <w:rPr>
          <w:rFonts w:asciiTheme="minorHAnsi" w:hAnsiTheme="minorHAnsi" w:cstheme="minorHAnsi"/>
          <w:b/>
          <w:bCs/>
          <w:sz w:val="32"/>
          <w:szCs w:val="28"/>
        </w:rPr>
        <w:t xml:space="preserve"> – Social Development</w:t>
      </w:r>
      <w:r w:rsidR="005703A6">
        <w:rPr>
          <w:rFonts w:asciiTheme="minorHAnsi" w:hAnsiTheme="minorHAnsi" w:cstheme="minorHAnsi"/>
          <w:b/>
          <w:bCs/>
          <w:sz w:val="32"/>
          <w:szCs w:val="28"/>
        </w:rPr>
        <w:t xml:space="preserve"> Project</w:t>
      </w:r>
    </w:p>
    <w:p w14:paraId="3E70A894" w14:textId="77777777" w:rsidR="00563F1A" w:rsidRDefault="00563F1A" w:rsidP="0062595F">
      <w:pPr>
        <w:spacing w:before="120" w:line="259" w:lineRule="auto"/>
        <w:jc w:val="left"/>
        <w:rPr>
          <w:b/>
          <w:bCs/>
          <w:color w:val="2E74B5" w:themeColor="accent5" w:themeShade="BF"/>
          <w:sz w:val="28"/>
          <w:szCs w:val="24"/>
        </w:rPr>
      </w:pPr>
    </w:p>
    <w:p w14:paraId="7F88F51F" w14:textId="5BE0141E" w:rsidR="0062595F" w:rsidRPr="00563F1A" w:rsidRDefault="0062595F" w:rsidP="00211A7F">
      <w:pPr>
        <w:spacing w:before="120" w:line="259" w:lineRule="auto"/>
        <w:rPr>
          <w:rFonts w:asciiTheme="minorHAnsi" w:hAnsiTheme="minorHAnsi" w:cstheme="minorHAnsi"/>
          <w:b/>
          <w:bCs/>
          <w:szCs w:val="24"/>
        </w:rPr>
      </w:pPr>
      <w:r w:rsidRPr="00563F1A">
        <w:rPr>
          <w:rFonts w:asciiTheme="minorHAnsi" w:hAnsiTheme="minorHAnsi" w:cstheme="minorHAnsi"/>
          <w:b/>
          <w:bCs/>
          <w:szCs w:val="24"/>
        </w:rPr>
        <w:t>Introduction</w:t>
      </w:r>
    </w:p>
    <w:p w14:paraId="1B493F91" w14:textId="253C4403"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Community engagement plays a crucial role in social development, bringing individuals together to actively participate in the decision-making processes that affect their lives. It fosters collaboration and empowers communities to identify and address their needs and aspirations. Community engagement enhances social development by promoting inclusiveness, building social capital, and fostering sustainable development.</w:t>
      </w:r>
    </w:p>
    <w:p w14:paraId="15722562" w14:textId="4170BE2A"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Shared interests and goals create strong bonds among community members. People with similar passions, hobbies, or objectives often come together to engage in activities, initiatives, or projects that align with their common interests (Fisher et al., 2014). </w:t>
      </w:r>
    </w:p>
    <w:p w14:paraId="3E7094BC" w14:textId="251FDBF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In 2017, people predominantly parents from a small town in New Forrest, Hampshire, were brought together by the wish to re-establish the life of a well-beloved play area for their children. The process was timely and at some points difficult, however the result enriched the social life of the community. Public spaces, parks, community centres, and recreational facilities, such as the paddling pool that is subject for this report, act as gathering points, encouraging community members to interact and engage in activities. These shared spaces provide opportunities for socialization, recreation, and the development of interpersonal relationships according to Kaczynski et al. (2014).</w:t>
      </w:r>
    </w:p>
    <w:p w14:paraId="20E7027B" w14:textId="5ED4F9B4"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This report aims to describe the process of restoring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in Totton, Southampton, and the role the community played in this activity, by illustrating what the project included, how community engagement principles were covered and how the stakeholders participated to this common activity.</w:t>
      </w:r>
    </w:p>
    <w:p w14:paraId="5956F9E8" w14:textId="77777777" w:rsidR="0062595F" w:rsidRPr="008619F4" w:rsidRDefault="0062595F" w:rsidP="00211A7F">
      <w:pPr>
        <w:spacing w:before="120" w:line="259" w:lineRule="auto"/>
        <w:rPr>
          <w:rFonts w:asciiTheme="minorHAnsi" w:hAnsiTheme="minorHAnsi" w:cstheme="minorHAnsi"/>
          <w:szCs w:val="24"/>
        </w:rPr>
      </w:pPr>
    </w:p>
    <w:p w14:paraId="30660D1F" w14:textId="2E79C426" w:rsidR="0062595F" w:rsidRPr="00BB632C" w:rsidRDefault="0062595F" w:rsidP="00211A7F">
      <w:pPr>
        <w:spacing w:before="120" w:line="259" w:lineRule="auto"/>
        <w:rPr>
          <w:rFonts w:asciiTheme="minorHAnsi" w:hAnsiTheme="minorHAnsi" w:cstheme="minorHAnsi"/>
          <w:b/>
          <w:bCs/>
          <w:szCs w:val="24"/>
        </w:rPr>
      </w:pPr>
      <w:r w:rsidRPr="00BB632C">
        <w:rPr>
          <w:rFonts w:asciiTheme="minorHAnsi" w:hAnsiTheme="minorHAnsi" w:cstheme="minorHAnsi"/>
          <w:b/>
          <w:bCs/>
          <w:szCs w:val="24"/>
        </w:rPr>
        <w:t>The Project</w:t>
      </w:r>
    </w:p>
    <w:p w14:paraId="14218D91" w14:textId="62931B11"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Based on the academic citation, a community can be described as a collective of individuals who possess similar qualities, interests, or objectives and engage in interactions within a particular physical or online environment. This concept is endorsed by McMillan and Chavis (1986), who put forth the notion of community as "a perception of belongingness, a recognition of the importance of members to each other and to the group, and a shared confidence in fulfilling members' needs through their dedication to remaining connected."</w:t>
      </w:r>
    </w:p>
    <w:p w14:paraId="6640C1F9"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In the case of this social development project, the strong sense of community helped its success in being completed effectively. In 2015, a campaign was initiated to save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in Totton, Hampshire. The pool had been closed due to concerns about safety and the absence of an automatic chlorine treatment system, which would have costed approximately </w:t>
      </w:r>
      <w:r w:rsidRPr="008619F4">
        <w:rPr>
          <w:rFonts w:asciiTheme="minorHAnsi" w:hAnsiTheme="minorHAnsi" w:cstheme="minorHAnsi"/>
          <w:szCs w:val="24"/>
        </w:rPr>
        <w:lastRenderedPageBreak/>
        <w:t xml:space="preserve">£18,000. That year, a review was to be conducted to assess the future of the town's three paddling pools. Over 900 people had signed a petition urging the Totton town council to keep all three pools open. Hampshire county councillor David Harrison suggested that alternatives could have been explored to keep the pool operational without incurring significant costs. However, Totton district conservative councillor David Russell indicated that the review may have resulted in the closure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pool, as the town had three pools, more than neighbouring larger towns Southampton and Eastleigh. The debate focused on the council's budget constraints and the popularity of the pool among residents. (Daily Echo)</w:t>
      </w:r>
    </w:p>
    <w:p w14:paraId="5D5E668A"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As per ATSDR (2020), the first principle of community engagement was accomplished as the project was clearly described and the means for the goals to be achieved were drawn in a concise manner.</w:t>
      </w:r>
    </w:p>
    <w:p w14:paraId="0990AA5B" w14:textId="77777777" w:rsidR="0062595F" w:rsidRPr="008619F4" w:rsidRDefault="0062595F" w:rsidP="00211A7F">
      <w:pPr>
        <w:spacing w:before="120" w:line="259" w:lineRule="auto"/>
        <w:rPr>
          <w:rFonts w:asciiTheme="minorHAnsi" w:hAnsiTheme="minorHAnsi" w:cstheme="minorHAnsi"/>
          <w:szCs w:val="24"/>
        </w:rPr>
      </w:pPr>
    </w:p>
    <w:p w14:paraId="03AAA4A4" w14:textId="692CCA60" w:rsidR="0062595F" w:rsidRPr="001E076C" w:rsidRDefault="0062595F" w:rsidP="00211A7F">
      <w:pPr>
        <w:spacing w:before="120" w:line="259" w:lineRule="auto"/>
        <w:rPr>
          <w:rFonts w:asciiTheme="minorHAnsi" w:hAnsiTheme="minorHAnsi" w:cstheme="minorHAnsi"/>
          <w:b/>
          <w:bCs/>
          <w:szCs w:val="24"/>
        </w:rPr>
      </w:pPr>
      <w:r w:rsidRPr="001E076C">
        <w:rPr>
          <w:rFonts w:asciiTheme="minorHAnsi" w:hAnsiTheme="minorHAnsi" w:cstheme="minorHAnsi"/>
          <w:b/>
          <w:bCs/>
          <w:szCs w:val="24"/>
        </w:rPr>
        <w:t xml:space="preserve">The Stakeholders and means of community </w:t>
      </w:r>
      <w:proofErr w:type="gramStart"/>
      <w:r w:rsidR="001E076C" w:rsidRPr="001E076C">
        <w:rPr>
          <w:rFonts w:asciiTheme="minorHAnsi" w:hAnsiTheme="minorHAnsi" w:cstheme="minorHAnsi"/>
          <w:b/>
          <w:bCs/>
          <w:szCs w:val="24"/>
        </w:rPr>
        <w:t>involvement</w:t>
      </w:r>
      <w:proofErr w:type="gramEnd"/>
    </w:p>
    <w:p w14:paraId="3A3AC25A" w14:textId="1E95A5D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Guerci and </w:t>
      </w:r>
      <w:proofErr w:type="spellStart"/>
      <w:r w:rsidRPr="008619F4">
        <w:rPr>
          <w:rFonts w:asciiTheme="minorHAnsi" w:hAnsiTheme="minorHAnsi" w:cstheme="minorHAnsi"/>
          <w:szCs w:val="24"/>
        </w:rPr>
        <w:t>Vinante</w:t>
      </w:r>
      <w:proofErr w:type="spellEnd"/>
      <w:r w:rsidRPr="008619F4">
        <w:rPr>
          <w:rFonts w:asciiTheme="minorHAnsi" w:hAnsiTheme="minorHAnsi" w:cstheme="minorHAnsi"/>
          <w:szCs w:val="24"/>
        </w:rPr>
        <w:t xml:space="preserve"> (2011) noted that Stakeholders in community engagement are usually those who are assigned or given a responsibility to initiate, execute or manage the initiative. Furthermore, the individual or groups are also interested in the outcome of the engagement. Therefore, in the community engagement perspective, stakeholders can be defined as individual or groups, who have a vested interested in the performance and or success of the engagement, or who are constrained by the engagement.</w:t>
      </w:r>
    </w:p>
    <w:p w14:paraId="0B51842E" w14:textId="77777777" w:rsidR="0047782A"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main stakeholders in the case of the paddling pool were the children that were at the time deprived of a playing and recreational facility. Social media platforms offer valuable opportunities for community engagement projects. They can be utilized in various ways, such as disseminating information to keep residents informed and engaged throughout the process (Smith, 2018). The parents in the community were deeply involved in the action as well, with one resident, Trevor Newbury coming up with a fundraising campaign (Improving, repairing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Totton, 2015). The resident explained that with a population of 35000 community members, if one British Pound was donated, the funds would be more than enough to cover the restauration of the pool. According to Harrison (2016) the amount that was raised within the community was £7033.66, the funds being donated to the local council. social media platforms provide a convenient space for community members to share their thoughts and ideas through online surveys, polls, and comment sections, allowing for community input in decision-making (Johnson &amp; Brown, 2019). Moreover, these platforms enable the creation of online communities where residents can connect, share stories, and support one another, fostering ongoing communication and collaboration (Smith, 2018). The initiatives in this situation were advertised through social media, local </w:t>
      </w:r>
      <w:r w:rsidR="0047782A" w:rsidRPr="008619F4">
        <w:rPr>
          <w:rFonts w:asciiTheme="minorHAnsi" w:hAnsiTheme="minorHAnsi" w:cstheme="minorHAnsi"/>
          <w:szCs w:val="24"/>
        </w:rPr>
        <w:t>newspapers,</w:t>
      </w:r>
      <w:r w:rsidRPr="008619F4">
        <w:rPr>
          <w:rFonts w:asciiTheme="minorHAnsi" w:hAnsiTheme="minorHAnsi" w:cstheme="minorHAnsi"/>
          <w:szCs w:val="24"/>
        </w:rPr>
        <w:t xml:space="preserve"> and digital articles, however the feedback that can be found from the community members criticised that the action was not promoted enough. </w:t>
      </w:r>
    </w:p>
    <w:p w14:paraId="5F3C0CFD" w14:textId="2FCDF58A"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lastRenderedPageBreak/>
        <w:t>As the project took place in and involved stakeholders closely linked to the same community, the second and third principles of community engagement were automatically established, people knowing the community that they belonged to and sharing a main goal.</w:t>
      </w:r>
    </w:p>
    <w:p w14:paraId="18061277" w14:textId="7FEE637C" w:rsidR="0062595F"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County, District and Toun Councillor David Harrison was the catalyst of this action, starting a petition and acting as the voice of the community throughout the whole process, providing transparency on the steps and describing openly how each council meeting occurred. However, one year later in 2016 the paddling pool was closed, </w:t>
      </w:r>
      <w:proofErr w:type="spellStart"/>
      <w:r w:rsidRPr="008619F4">
        <w:rPr>
          <w:rFonts w:asciiTheme="minorHAnsi" w:hAnsiTheme="minorHAnsi" w:cstheme="minorHAnsi"/>
          <w:szCs w:val="24"/>
        </w:rPr>
        <w:t>nd</w:t>
      </w:r>
      <w:proofErr w:type="spellEnd"/>
      <w:r w:rsidRPr="008619F4">
        <w:rPr>
          <w:rFonts w:asciiTheme="minorHAnsi" w:hAnsiTheme="minorHAnsi" w:cstheme="minorHAnsi"/>
          <w:szCs w:val="24"/>
        </w:rPr>
        <w:t xml:space="preserve"> the children of the community still could not enjoy the recreational facility. The advisory from the council according to Harrison (2016) was that the pool, over 50 years old, was abiding the new health and safety regulations by which an automatic filtration system was mandatory.</w:t>
      </w:r>
    </w:p>
    <w:p w14:paraId="18AD31A9" w14:textId="77777777" w:rsidR="004E3206" w:rsidRDefault="004E3206" w:rsidP="00211A7F">
      <w:pPr>
        <w:spacing w:before="120" w:line="259" w:lineRule="auto"/>
        <w:rPr>
          <w:rFonts w:asciiTheme="minorHAnsi" w:hAnsiTheme="minorHAnsi" w:cstheme="minorHAnsi"/>
          <w:szCs w:val="24"/>
        </w:rPr>
      </w:pPr>
    </w:p>
    <w:p w14:paraId="70E4E2F0" w14:textId="49005F92" w:rsidR="0037168C" w:rsidRPr="0037168C" w:rsidRDefault="0037168C" w:rsidP="00211A7F">
      <w:pPr>
        <w:spacing w:before="120" w:line="259" w:lineRule="auto"/>
        <w:rPr>
          <w:rFonts w:asciiTheme="minorHAnsi" w:hAnsiTheme="minorHAnsi" w:cstheme="minorHAnsi"/>
          <w:b/>
          <w:bCs/>
          <w:szCs w:val="24"/>
        </w:rPr>
      </w:pPr>
      <w:r w:rsidRPr="0037168C">
        <w:rPr>
          <w:rFonts w:asciiTheme="minorHAnsi" w:hAnsiTheme="minorHAnsi" w:cstheme="minorHAnsi"/>
          <w:b/>
          <w:bCs/>
          <w:szCs w:val="24"/>
        </w:rPr>
        <w:t>The decision</w:t>
      </w:r>
    </w:p>
    <w:p w14:paraId="424FA901" w14:textId="56438E9F"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A debate at the Totton &amp; Eling Town Council focused on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pool's future. The discussion revolved around reducing the pool's water level to address safety concerns during unattended periods, as well as reducing the number of weeks the pool is open to save money. Additionally, a proposal was made to shrink the pool's size to 60% of its dimensions at the time.</w:t>
      </w:r>
    </w:p>
    <w:p w14:paraId="55A81BD8" w14:textId="2DF58172"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During the debate, it was highlighted that many people would be unhappy with this reduction since the pool is heavily used on hot summer days. Despite Councillor Harrison’s personal reluctance, there was a strong desire to see the pool reopen in time for the summer holidays.</w:t>
      </w:r>
    </w:p>
    <w:p w14:paraId="2D4111B9"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Within the Conservative party, there appeared to be no consensus. One member expressed concern that such a significant reduction in size would betray the contributors to the fundraising efforts. Another member was unhappy and abstained from voting.</w:t>
      </w:r>
    </w:p>
    <w:p w14:paraId="3451C165"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A compromise was suggested, proposing that the contractor maintain the pool's current size while reducing water quantity by incorporating gently sloping sides. This compromise was seen as beneficial, enabling disabled access, and providing a safe area for babies and toddlers to sit in shallow water with their parents.</w:t>
      </w:r>
    </w:p>
    <w:p w14:paraId="0AB4A455" w14:textId="513B7DE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Despite the compromise not fulfilling all aspirations, it was supported as the available funding couldn't cover the cost of a filtration system suitable for the pool's size, estimated at 75,000 litters. This decision was seen as the last opportunity to ensure the pool's availability for the upcoming summer holidays. Therefore, the fourth principle was achieved to an extent, the council acknowledging and respecting the community members’ rights to recreation facilities and accepting to get actively involved in the project.</w:t>
      </w:r>
    </w:p>
    <w:p w14:paraId="4F10FF7C" w14:textId="77777777" w:rsidR="0062595F"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local authorities are undoubtedly stakeholders in this social development project as well, as they were directly involved and responsible for making and funding decisions. As a result of this final meeting, the process was put in motion and contractors were contacted. The council provided a report regarding the repairs and ultimate costs of the project. Although the </w:t>
      </w:r>
      <w:r w:rsidRPr="008619F4">
        <w:rPr>
          <w:rFonts w:asciiTheme="minorHAnsi" w:hAnsiTheme="minorHAnsi" w:cstheme="minorHAnsi"/>
          <w:szCs w:val="24"/>
        </w:rPr>
        <w:lastRenderedPageBreak/>
        <w:t>community members did raise a substantial amount, most of the funds, totalling £63,000 were approved by the council, the paddling pool being finalised at the end of July 2016 (Stephens, 2017).</w:t>
      </w:r>
    </w:p>
    <w:p w14:paraId="728B9319" w14:textId="77777777" w:rsidR="00FD4594" w:rsidRPr="008619F4" w:rsidRDefault="00FD4594" w:rsidP="00211A7F">
      <w:pPr>
        <w:spacing w:before="120" w:line="259" w:lineRule="auto"/>
        <w:rPr>
          <w:rFonts w:asciiTheme="minorHAnsi" w:hAnsiTheme="minorHAnsi" w:cstheme="minorHAnsi"/>
          <w:szCs w:val="24"/>
        </w:rPr>
      </w:pPr>
    </w:p>
    <w:p w14:paraId="5A261123" w14:textId="51840167" w:rsidR="0062595F" w:rsidRPr="000A1764" w:rsidRDefault="000A1764" w:rsidP="00211A7F">
      <w:pPr>
        <w:spacing w:before="120" w:line="259" w:lineRule="auto"/>
        <w:rPr>
          <w:rFonts w:asciiTheme="minorHAnsi" w:hAnsiTheme="minorHAnsi" w:cstheme="minorHAnsi"/>
          <w:b/>
          <w:bCs/>
          <w:szCs w:val="24"/>
        </w:rPr>
      </w:pPr>
      <w:r w:rsidRPr="000A1764">
        <w:rPr>
          <w:rFonts w:asciiTheme="minorHAnsi" w:hAnsiTheme="minorHAnsi" w:cstheme="minorHAnsi"/>
          <w:b/>
          <w:bCs/>
          <w:szCs w:val="24"/>
        </w:rPr>
        <w:t>The challenges</w:t>
      </w:r>
      <w:r w:rsidR="00FD4594">
        <w:rPr>
          <w:rFonts w:asciiTheme="minorHAnsi" w:hAnsiTheme="minorHAnsi" w:cstheme="minorHAnsi"/>
          <w:b/>
          <w:bCs/>
          <w:szCs w:val="24"/>
        </w:rPr>
        <w:t xml:space="preserve"> and the lessons</w:t>
      </w:r>
    </w:p>
    <w:p w14:paraId="1802CB03" w14:textId="3669F4A1" w:rsidR="0062595F" w:rsidRPr="00FD459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One of problems throughout this project was the lack of transparency between the local authorities and the rest of the stakeholders. The information that can be found about the communication with the local authorities illustrates the timely process of winning the collaboration of the council. The reluctance of the council in getting involved in rehabilitating the paddling pool has upset the local community and lessened its credibility. The council took a very long time to provide a public report on the plans for the project, therefore misleading information begun to spread. Lastly, The Chairman of the Amenities Committee of Totton &amp; Eling Town Council addressed the concerns and misinformation regarding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stating that it had been built in accordance with health and safety regulations and insurance requirements and that despite comments about its size, the pool was still to be one of the largest in the area and met the necessary depth standards (Brooks, 2016).  The public's expectation for the pool to remain the same as it was 50 years prior would not have been practical due to updated health and safety requirements. The Council planned to open the pool for the summer school holidays, and it was expected that children would enjoy it as much as the previous pool.  </w:t>
      </w:r>
    </w:p>
    <w:p w14:paraId="3E32DFD6"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A lesson that can be drown from this project is the empowerment that individuals can have when united in a community and the impact of collective collaboration. In this community, the people had the power to make the authorities listen and put in practice the collective demands. </w:t>
      </w:r>
    </w:p>
    <w:p w14:paraId="676B340C"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On a negative note, the council made public information about the bad practices in addressing the paddling pool restauration, involving the technical details such as materials and poor professional investigation, that ultimately caused excessive costs. </w:t>
      </w:r>
    </w:p>
    <w:p w14:paraId="16B897FD" w14:textId="77777777" w:rsidR="0062595F" w:rsidRPr="008619F4" w:rsidRDefault="0062595F" w:rsidP="00211A7F">
      <w:pPr>
        <w:spacing w:before="120" w:line="259" w:lineRule="auto"/>
        <w:rPr>
          <w:rFonts w:asciiTheme="minorHAnsi" w:hAnsiTheme="minorHAnsi" w:cstheme="minorHAnsi"/>
          <w:szCs w:val="24"/>
        </w:rPr>
      </w:pPr>
    </w:p>
    <w:p w14:paraId="4869D1CC" w14:textId="4D9F2000" w:rsidR="0062595F" w:rsidRPr="00635FBB" w:rsidRDefault="0062595F" w:rsidP="00211A7F">
      <w:pPr>
        <w:spacing w:before="120" w:line="259" w:lineRule="auto"/>
        <w:rPr>
          <w:rFonts w:asciiTheme="minorHAnsi" w:hAnsiTheme="minorHAnsi" w:cstheme="minorHAnsi"/>
          <w:b/>
          <w:bCs/>
          <w:szCs w:val="24"/>
        </w:rPr>
      </w:pPr>
      <w:r w:rsidRPr="00635FBB">
        <w:rPr>
          <w:rFonts w:asciiTheme="minorHAnsi" w:hAnsiTheme="minorHAnsi" w:cstheme="minorHAnsi"/>
          <w:b/>
          <w:bCs/>
          <w:szCs w:val="24"/>
        </w:rPr>
        <w:t>Conclusion</w:t>
      </w:r>
    </w:p>
    <w:p w14:paraId="5812733B" w14:textId="4885C9CE"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In conclusion, community engagement is a powerful tool for social development and the revitalization of public spaces. The case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in Totton, Southampton, exemplifies the positive impact that community involvement can have on a project. By bringing together individuals with a shared interest in providing a safe and enjoyable recreational space for their children, the community was able to successfully restore the paddling pool.</w:t>
      </w:r>
    </w:p>
    <w:p w14:paraId="3B8B13A6" w14:textId="638B72E6"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process of community engagement in the restoration project involved active participation from community members, local authorities, and other stakeholders. Through collaborative efforts, the community was able to identify their needs and aspirations for the paddling pool, ensuring that the revitalization aligned with their preferences. This sense of ownership and </w:t>
      </w:r>
      <w:r w:rsidRPr="008619F4">
        <w:rPr>
          <w:rFonts w:asciiTheme="minorHAnsi" w:hAnsiTheme="minorHAnsi" w:cstheme="minorHAnsi"/>
          <w:szCs w:val="24"/>
        </w:rPr>
        <w:lastRenderedPageBreak/>
        <w:t>responsibility fostered a strong bond among community members, promoting social cohesion and a shared commitment to the project.</w:t>
      </w:r>
    </w:p>
    <w:p w14:paraId="2834E14D" w14:textId="698F20BF"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restoration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not only provided a much-needed recreational space for children and families but also enriched the social life of the community. Public spaces and recreational facilities act as gathering points, encouraging interaction and the development of interpersonal relationships. The revitalized paddling pool now serves as a hub for community members to come together, socialize, and engage in activities.</w:t>
      </w:r>
    </w:p>
    <w:p w14:paraId="09B25BE3" w14:textId="032492A0"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This report highlights the importance of community engagement in social development and the revitalization of public spaces. By involving community members in decision-making processes and actively seeking their input, projects can be tailored to meet the specific needs and aspirations of the community. This not only enhances inclusiveness but also builds social capital and fosters sustainable development.</w:t>
      </w:r>
    </w:p>
    <w:p w14:paraId="1A7BD81A" w14:textId="1FDE0651" w:rsidR="00AA0829"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Moving forward, it is essential to continue promoting community engagement in the maintenance and ongoing management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By maintaining open lines of communication, encouraging ongoing participation, and fostering a sense of ownership among community members, the paddling pool can continue to thrive as a valuable community asset. The success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restoration project serves as a testament to the power of community engagement in creating vibrant and inclusive spaces for all.</w:t>
      </w:r>
    </w:p>
    <w:p w14:paraId="23A50CFF" w14:textId="77777777" w:rsidR="00AA0829" w:rsidRDefault="00AA0829">
      <w:pPr>
        <w:spacing w:before="120" w:line="259" w:lineRule="auto"/>
        <w:jc w:val="left"/>
        <w:rPr>
          <w:rFonts w:asciiTheme="minorHAnsi" w:hAnsiTheme="minorHAnsi" w:cstheme="minorHAnsi"/>
          <w:szCs w:val="24"/>
        </w:rPr>
      </w:pPr>
      <w:r>
        <w:rPr>
          <w:rFonts w:asciiTheme="minorHAnsi" w:hAnsiTheme="minorHAnsi" w:cstheme="minorHAnsi"/>
          <w:szCs w:val="24"/>
        </w:rPr>
        <w:br w:type="page"/>
      </w:r>
    </w:p>
    <w:p w14:paraId="3CC8B8B0" w14:textId="77777777" w:rsidR="0085628B" w:rsidRPr="00893AC0" w:rsidRDefault="0085628B" w:rsidP="0085628B">
      <w:pPr>
        <w:spacing w:before="120" w:line="259" w:lineRule="auto"/>
        <w:rPr>
          <w:rFonts w:asciiTheme="minorHAnsi" w:hAnsiTheme="minorHAnsi" w:cstheme="minorHAnsi"/>
          <w:b/>
          <w:bCs/>
          <w:szCs w:val="24"/>
        </w:rPr>
      </w:pPr>
      <w:r w:rsidRPr="00893AC0">
        <w:rPr>
          <w:rFonts w:asciiTheme="minorHAnsi" w:hAnsiTheme="minorHAnsi" w:cstheme="minorHAnsi"/>
          <w:b/>
          <w:bCs/>
          <w:szCs w:val="24"/>
        </w:rPr>
        <w:lastRenderedPageBreak/>
        <w:t>Reference</w:t>
      </w:r>
    </w:p>
    <w:p w14:paraId="7B620B8E" w14:textId="77777777" w:rsidR="0085628B" w:rsidRPr="0085628B" w:rsidRDefault="0085628B" w:rsidP="0085628B">
      <w:pPr>
        <w:spacing w:before="120" w:line="259" w:lineRule="auto"/>
        <w:rPr>
          <w:rFonts w:asciiTheme="minorHAnsi" w:hAnsiTheme="minorHAnsi" w:cstheme="minorHAnsi"/>
          <w:szCs w:val="24"/>
        </w:rPr>
      </w:pPr>
    </w:p>
    <w:p w14:paraId="7B623BB2" w14:textId="57CD0C2B"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Atsdr.cdc.gov. (2020)</w:t>
      </w:r>
      <w:r w:rsidR="00B56B90">
        <w:rPr>
          <w:rFonts w:asciiTheme="minorHAnsi" w:hAnsiTheme="minorHAnsi" w:cstheme="minorHAnsi"/>
          <w:szCs w:val="24"/>
        </w:rPr>
        <w:t xml:space="preserve"> ‘</w:t>
      </w:r>
      <w:r w:rsidRPr="0085628B">
        <w:rPr>
          <w:rFonts w:asciiTheme="minorHAnsi" w:hAnsiTheme="minorHAnsi" w:cstheme="minorHAnsi"/>
          <w:szCs w:val="24"/>
        </w:rPr>
        <w:t xml:space="preserve">Principles </w:t>
      </w:r>
      <w:proofErr w:type="gramStart"/>
      <w:r w:rsidRPr="0085628B">
        <w:rPr>
          <w:rFonts w:asciiTheme="minorHAnsi" w:hAnsiTheme="minorHAnsi" w:cstheme="minorHAnsi"/>
          <w:szCs w:val="24"/>
        </w:rPr>
        <w:t>Of</w:t>
      </w:r>
      <w:proofErr w:type="gramEnd"/>
      <w:r w:rsidRPr="0085628B">
        <w:rPr>
          <w:rFonts w:asciiTheme="minorHAnsi" w:hAnsiTheme="minorHAnsi" w:cstheme="minorHAnsi"/>
          <w:szCs w:val="24"/>
        </w:rPr>
        <w:t xml:space="preserve"> Community Engagement</w:t>
      </w:r>
      <w:r w:rsidR="00B56B90">
        <w:rPr>
          <w:rFonts w:asciiTheme="minorHAnsi" w:hAnsiTheme="minorHAnsi" w:cstheme="minorHAnsi"/>
          <w:szCs w:val="24"/>
        </w:rPr>
        <w:t>’.</w:t>
      </w:r>
      <w:r w:rsidRPr="0085628B">
        <w:rPr>
          <w:rFonts w:asciiTheme="minorHAnsi" w:hAnsiTheme="minorHAnsi" w:cstheme="minorHAnsi"/>
          <w:szCs w:val="24"/>
        </w:rPr>
        <w:t xml:space="preserve"> </w:t>
      </w:r>
      <w:r w:rsidRPr="00B56B90">
        <w:rPr>
          <w:rFonts w:asciiTheme="minorHAnsi" w:hAnsiTheme="minorHAnsi" w:cstheme="minorHAnsi"/>
          <w:i/>
          <w:iCs/>
          <w:szCs w:val="24"/>
        </w:rPr>
        <w:t>ATSDR</w:t>
      </w:r>
      <w:r w:rsidRPr="0085628B">
        <w:rPr>
          <w:rFonts w:asciiTheme="minorHAnsi" w:hAnsiTheme="minorHAnsi" w:cstheme="minorHAnsi"/>
          <w:szCs w:val="24"/>
        </w:rPr>
        <w:t>. Available at: https://www.atsdr.cdc.gov/communityengagement/index.html (Accessed: 30 November 2023).</w:t>
      </w:r>
    </w:p>
    <w:p w14:paraId="02991846" w14:textId="77777777"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Brooks, D. (2016) ‘</w:t>
      </w:r>
      <w:proofErr w:type="spellStart"/>
      <w:r w:rsidRPr="0085628B">
        <w:rPr>
          <w:rFonts w:asciiTheme="minorHAnsi" w:hAnsiTheme="minorHAnsi" w:cstheme="minorHAnsi"/>
          <w:szCs w:val="24"/>
        </w:rPr>
        <w:t>Testwood</w:t>
      </w:r>
      <w:proofErr w:type="spellEnd"/>
      <w:r w:rsidRPr="0085628B">
        <w:rPr>
          <w:rFonts w:asciiTheme="minorHAnsi" w:hAnsiTheme="minorHAnsi" w:cstheme="minorHAnsi"/>
          <w:szCs w:val="24"/>
        </w:rPr>
        <w:t xml:space="preserve"> Paddling Pool Statement.pdf’. </w:t>
      </w:r>
      <w:r w:rsidRPr="00B56B90">
        <w:rPr>
          <w:rFonts w:asciiTheme="minorHAnsi" w:hAnsiTheme="minorHAnsi" w:cstheme="minorHAnsi"/>
          <w:i/>
          <w:iCs/>
          <w:szCs w:val="24"/>
        </w:rPr>
        <w:t>Totton and Eling Town Council</w:t>
      </w:r>
      <w:r w:rsidRPr="0085628B">
        <w:rPr>
          <w:rFonts w:asciiTheme="minorHAnsi" w:hAnsiTheme="minorHAnsi" w:cstheme="minorHAnsi"/>
          <w:szCs w:val="24"/>
        </w:rPr>
        <w:t>. Available at: https://www.tottoneling-tc.gov.uk/Search/Default.aspx?q=Paddling&amp;page_num=1 (Accessed: 30 November 2023).</w:t>
      </w:r>
    </w:p>
    <w:p w14:paraId="4644EB9A" w14:textId="121BAD3A"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Fisher, K., Joye, D., and Smith, R. (2014) ‘The Uses and Gratifications of Community Festivals: A Study of Food and Wine Festivals in Australia’, </w:t>
      </w:r>
      <w:r w:rsidRPr="0019355D">
        <w:rPr>
          <w:rFonts w:asciiTheme="minorHAnsi" w:hAnsiTheme="minorHAnsi" w:cstheme="minorHAnsi"/>
          <w:i/>
          <w:iCs/>
          <w:szCs w:val="24"/>
        </w:rPr>
        <w:t>Event Management</w:t>
      </w:r>
      <w:r w:rsidRPr="0085628B">
        <w:rPr>
          <w:rFonts w:asciiTheme="minorHAnsi" w:hAnsiTheme="minorHAnsi" w:cstheme="minorHAnsi"/>
          <w:szCs w:val="24"/>
        </w:rPr>
        <w:t>, 18(3), 283-301.</w:t>
      </w:r>
    </w:p>
    <w:p w14:paraId="5D0F594C" w14:textId="77777777" w:rsidR="0085628B" w:rsidRPr="0085628B" w:rsidRDefault="0085628B" w:rsidP="0085628B">
      <w:pPr>
        <w:spacing w:before="120" w:line="259" w:lineRule="auto"/>
        <w:rPr>
          <w:rFonts w:asciiTheme="minorHAnsi" w:hAnsiTheme="minorHAnsi" w:cstheme="minorHAnsi"/>
          <w:szCs w:val="24"/>
        </w:rPr>
      </w:pPr>
    </w:p>
    <w:p w14:paraId="30E1AE19" w14:textId="4BFC6617"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Guerci, M. and </w:t>
      </w:r>
      <w:proofErr w:type="spellStart"/>
      <w:r w:rsidRPr="0085628B">
        <w:rPr>
          <w:rFonts w:asciiTheme="minorHAnsi" w:hAnsiTheme="minorHAnsi" w:cstheme="minorHAnsi"/>
          <w:szCs w:val="24"/>
        </w:rPr>
        <w:t>Vinante</w:t>
      </w:r>
      <w:proofErr w:type="spellEnd"/>
      <w:r w:rsidRPr="0085628B">
        <w:rPr>
          <w:rFonts w:asciiTheme="minorHAnsi" w:hAnsiTheme="minorHAnsi" w:cstheme="minorHAnsi"/>
          <w:szCs w:val="24"/>
        </w:rPr>
        <w:t xml:space="preserve">, M. (2011), </w:t>
      </w:r>
      <w:r w:rsidR="0019355D">
        <w:rPr>
          <w:rFonts w:asciiTheme="minorHAnsi" w:hAnsiTheme="minorHAnsi" w:cstheme="minorHAnsi"/>
          <w:szCs w:val="24"/>
        </w:rPr>
        <w:t>‘</w:t>
      </w:r>
      <w:r w:rsidRPr="0085628B">
        <w:rPr>
          <w:rFonts w:asciiTheme="minorHAnsi" w:hAnsiTheme="minorHAnsi" w:cstheme="minorHAnsi"/>
          <w:szCs w:val="24"/>
        </w:rPr>
        <w:t>Training evaluation: an analysis of the stakeholders' evaluation needs</w:t>
      </w:r>
      <w:r w:rsidR="0019355D">
        <w:rPr>
          <w:rFonts w:asciiTheme="minorHAnsi" w:hAnsiTheme="minorHAnsi" w:cstheme="minorHAnsi"/>
          <w:szCs w:val="24"/>
        </w:rPr>
        <w:t>’</w:t>
      </w:r>
      <w:r w:rsidRPr="0085628B">
        <w:rPr>
          <w:rFonts w:asciiTheme="minorHAnsi" w:hAnsiTheme="minorHAnsi" w:cstheme="minorHAnsi"/>
          <w:szCs w:val="24"/>
        </w:rPr>
        <w:t xml:space="preserve">, </w:t>
      </w:r>
      <w:r w:rsidRPr="0019355D">
        <w:rPr>
          <w:rFonts w:asciiTheme="minorHAnsi" w:hAnsiTheme="minorHAnsi" w:cstheme="minorHAnsi"/>
          <w:i/>
          <w:iCs/>
          <w:szCs w:val="24"/>
        </w:rPr>
        <w:t>Journal of European Industrial Training</w:t>
      </w:r>
      <w:r w:rsidRPr="0085628B">
        <w:rPr>
          <w:rFonts w:asciiTheme="minorHAnsi" w:hAnsiTheme="minorHAnsi" w:cstheme="minorHAnsi"/>
          <w:szCs w:val="24"/>
        </w:rPr>
        <w:t>, Vol. 35 No. 4, pp. 385-410. https://doi.org/10.1108/03090591111128342</w:t>
      </w:r>
    </w:p>
    <w:p w14:paraId="5CE0C7BA" w14:textId="77777777" w:rsidR="0085628B" w:rsidRPr="0085628B" w:rsidRDefault="0085628B" w:rsidP="0085628B">
      <w:pPr>
        <w:spacing w:before="120" w:line="259" w:lineRule="auto"/>
        <w:rPr>
          <w:rFonts w:asciiTheme="minorHAnsi" w:hAnsiTheme="minorHAnsi" w:cstheme="minorHAnsi"/>
          <w:szCs w:val="24"/>
        </w:rPr>
      </w:pPr>
    </w:p>
    <w:p w14:paraId="365B11D3" w14:textId="5A04A094"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Harrison, D. (2016) </w:t>
      </w:r>
      <w:proofErr w:type="spellStart"/>
      <w:r w:rsidRPr="0019355D">
        <w:rPr>
          <w:rFonts w:asciiTheme="minorHAnsi" w:hAnsiTheme="minorHAnsi" w:cstheme="minorHAnsi"/>
          <w:i/>
          <w:iCs/>
          <w:szCs w:val="24"/>
        </w:rPr>
        <w:t>Testwood</w:t>
      </w:r>
      <w:proofErr w:type="spellEnd"/>
      <w:r w:rsidRPr="0019355D">
        <w:rPr>
          <w:rFonts w:asciiTheme="minorHAnsi" w:hAnsiTheme="minorHAnsi" w:cstheme="minorHAnsi"/>
          <w:i/>
          <w:iCs/>
          <w:szCs w:val="24"/>
        </w:rPr>
        <w:t xml:space="preserve"> paddling pool – Open for this </w:t>
      </w:r>
      <w:proofErr w:type="gramStart"/>
      <w:r w:rsidRPr="0019355D">
        <w:rPr>
          <w:rFonts w:asciiTheme="minorHAnsi" w:hAnsiTheme="minorHAnsi" w:cstheme="minorHAnsi"/>
          <w:i/>
          <w:iCs/>
          <w:szCs w:val="24"/>
        </w:rPr>
        <w:t>summer!</w:t>
      </w:r>
      <w:r w:rsidRPr="0085628B">
        <w:rPr>
          <w:rFonts w:asciiTheme="minorHAnsi" w:hAnsiTheme="minorHAnsi" w:cstheme="minorHAnsi"/>
          <w:szCs w:val="24"/>
        </w:rPr>
        <w:t>.</w:t>
      </w:r>
      <w:proofErr w:type="gramEnd"/>
      <w:r w:rsidRPr="0085628B">
        <w:rPr>
          <w:rFonts w:asciiTheme="minorHAnsi" w:hAnsiTheme="minorHAnsi" w:cstheme="minorHAnsi"/>
          <w:szCs w:val="24"/>
        </w:rPr>
        <w:t xml:space="preserve"> Available at: https://www.dharrison.org.uk/testwood-paddling-pool-open-summer/ (Accessed: 30/11/2023).</w:t>
      </w:r>
    </w:p>
    <w:p w14:paraId="5EC78AAA" w14:textId="77777777" w:rsidR="0085628B" w:rsidRPr="0085628B" w:rsidRDefault="0085628B" w:rsidP="0085628B">
      <w:pPr>
        <w:spacing w:before="120" w:line="259" w:lineRule="auto"/>
        <w:rPr>
          <w:rFonts w:asciiTheme="minorHAnsi" w:hAnsiTheme="minorHAnsi" w:cstheme="minorHAnsi"/>
          <w:szCs w:val="24"/>
        </w:rPr>
      </w:pPr>
    </w:p>
    <w:p w14:paraId="281F92BF" w14:textId="1C90C9D2"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Harrison, D. (2016) </w:t>
      </w:r>
      <w:r w:rsidRPr="0019355D">
        <w:rPr>
          <w:rFonts w:asciiTheme="minorHAnsi" w:hAnsiTheme="minorHAnsi" w:cstheme="minorHAnsi"/>
          <w:i/>
          <w:iCs/>
          <w:szCs w:val="24"/>
        </w:rPr>
        <w:t xml:space="preserve">Thanks To </w:t>
      </w:r>
      <w:proofErr w:type="gramStart"/>
      <w:r w:rsidRPr="0019355D">
        <w:rPr>
          <w:rFonts w:asciiTheme="minorHAnsi" w:hAnsiTheme="minorHAnsi" w:cstheme="minorHAnsi"/>
          <w:i/>
          <w:iCs/>
          <w:szCs w:val="24"/>
        </w:rPr>
        <w:t>The</w:t>
      </w:r>
      <w:proofErr w:type="gramEnd"/>
      <w:r w:rsidRPr="0019355D">
        <w:rPr>
          <w:rFonts w:asciiTheme="minorHAnsi" w:hAnsiTheme="minorHAnsi" w:cstheme="minorHAnsi"/>
          <w:i/>
          <w:iCs/>
          <w:szCs w:val="24"/>
        </w:rPr>
        <w:t xml:space="preserve"> Paddling Pool Fund Raisers</w:t>
      </w:r>
      <w:r w:rsidRPr="0085628B">
        <w:rPr>
          <w:rFonts w:asciiTheme="minorHAnsi" w:hAnsiTheme="minorHAnsi" w:cstheme="minorHAnsi"/>
          <w:szCs w:val="24"/>
        </w:rPr>
        <w:t>. Available at: https://www.dharrison.org.uk/testwood-paddling-pool-open-summer/ (Accessed: 30/11/2023).</w:t>
      </w:r>
    </w:p>
    <w:p w14:paraId="5E4D6DF2" w14:textId="77777777" w:rsidR="0085628B" w:rsidRPr="0085628B" w:rsidRDefault="0085628B" w:rsidP="0085628B">
      <w:pPr>
        <w:spacing w:before="120" w:line="259" w:lineRule="auto"/>
        <w:rPr>
          <w:rFonts w:asciiTheme="minorHAnsi" w:hAnsiTheme="minorHAnsi" w:cstheme="minorHAnsi"/>
          <w:szCs w:val="24"/>
        </w:rPr>
      </w:pPr>
    </w:p>
    <w:p w14:paraId="5B7FBE78" w14:textId="4C569D6E"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Improving, repairing </w:t>
      </w:r>
      <w:proofErr w:type="spellStart"/>
      <w:r w:rsidRPr="0085628B">
        <w:rPr>
          <w:rFonts w:asciiTheme="minorHAnsi" w:hAnsiTheme="minorHAnsi" w:cstheme="minorHAnsi"/>
          <w:szCs w:val="24"/>
        </w:rPr>
        <w:t>Testwood</w:t>
      </w:r>
      <w:proofErr w:type="spellEnd"/>
      <w:r w:rsidRPr="0085628B">
        <w:rPr>
          <w:rFonts w:asciiTheme="minorHAnsi" w:hAnsiTheme="minorHAnsi" w:cstheme="minorHAnsi"/>
          <w:szCs w:val="24"/>
        </w:rPr>
        <w:t xml:space="preserve"> Paddling Pool Totton (2015) Available at: https://www.indiegogo.com/projects/improving-repairing-testwood-paddling-pool-totton#/ (Accessed: 30/11/2023).</w:t>
      </w:r>
    </w:p>
    <w:p w14:paraId="4EBAEE77" w14:textId="77777777" w:rsidR="0085628B" w:rsidRPr="0085628B" w:rsidRDefault="0085628B" w:rsidP="0085628B">
      <w:pPr>
        <w:spacing w:before="120" w:line="259" w:lineRule="auto"/>
        <w:rPr>
          <w:rFonts w:asciiTheme="minorHAnsi" w:hAnsiTheme="minorHAnsi" w:cstheme="minorHAnsi"/>
          <w:szCs w:val="24"/>
        </w:rPr>
      </w:pPr>
    </w:p>
    <w:p w14:paraId="745B2225" w14:textId="31E26386"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Johnson, A., and Brown, K. (2019) ‘Engaging Communities in Public Space Rehabilitation: Lessons from Successful Initiatives’. </w:t>
      </w:r>
      <w:r w:rsidRPr="002F3086">
        <w:rPr>
          <w:rFonts w:asciiTheme="minorHAnsi" w:hAnsiTheme="minorHAnsi" w:cstheme="minorHAnsi"/>
          <w:i/>
          <w:iCs/>
          <w:szCs w:val="24"/>
        </w:rPr>
        <w:t>Urban Studies</w:t>
      </w:r>
      <w:r w:rsidRPr="0085628B">
        <w:rPr>
          <w:rFonts w:asciiTheme="minorHAnsi" w:hAnsiTheme="minorHAnsi" w:cstheme="minorHAnsi"/>
          <w:szCs w:val="24"/>
        </w:rPr>
        <w:t>, 36(4), 123-140.</w:t>
      </w:r>
    </w:p>
    <w:p w14:paraId="6739DA41" w14:textId="77777777" w:rsidR="0085628B" w:rsidRPr="0085628B" w:rsidRDefault="0085628B" w:rsidP="0085628B">
      <w:pPr>
        <w:spacing w:before="120" w:line="259" w:lineRule="auto"/>
        <w:rPr>
          <w:rFonts w:asciiTheme="minorHAnsi" w:hAnsiTheme="minorHAnsi" w:cstheme="minorHAnsi"/>
          <w:szCs w:val="24"/>
        </w:rPr>
      </w:pPr>
    </w:p>
    <w:p w14:paraId="3176D059" w14:textId="77777777" w:rsidR="0085628B" w:rsidRPr="0085628B" w:rsidRDefault="0085628B" w:rsidP="0085628B">
      <w:pPr>
        <w:spacing w:before="120" w:line="259" w:lineRule="auto"/>
        <w:rPr>
          <w:rFonts w:asciiTheme="minorHAnsi" w:hAnsiTheme="minorHAnsi" w:cstheme="minorHAnsi"/>
          <w:szCs w:val="24"/>
        </w:rPr>
      </w:pPr>
    </w:p>
    <w:p w14:paraId="3623ACEA" w14:textId="5510C7FF"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Kaczynski, A. T., Besenyi, G. M., Stanis, S. A. W., and </w:t>
      </w:r>
      <w:proofErr w:type="spellStart"/>
      <w:r w:rsidRPr="0085628B">
        <w:rPr>
          <w:rFonts w:asciiTheme="minorHAnsi" w:hAnsiTheme="minorHAnsi" w:cstheme="minorHAnsi"/>
          <w:szCs w:val="24"/>
        </w:rPr>
        <w:t>Koohsari</w:t>
      </w:r>
      <w:proofErr w:type="spellEnd"/>
      <w:r w:rsidRPr="0085628B">
        <w:rPr>
          <w:rFonts w:asciiTheme="minorHAnsi" w:hAnsiTheme="minorHAnsi" w:cstheme="minorHAnsi"/>
          <w:szCs w:val="24"/>
        </w:rPr>
        <w:t xml:space="preserve">, M. J. (2014) ‘Our Town: Residents' Perceptions of the </w:t>
      </w:r>
      <w:proofErr w:type="spellStart"/>
      <w:r w:rsidRPr="0085628B">
        <w:rPr>
          <w:rFonts w:asciiTheme="minorHAnsi" w:hAnsiTheme="minorHAnsi" w:cstheme="minorHAnsi"/>
          <w:szCs w:val="24"/>
        </w:rPr>
        <w:t>Neighborhood</w:t>
      </w:r>
      <w:proofErr w:type="spellEnd"/>
      <w:r w:rsidRPr="0085628B">
        <w:rPr>
          <w:rFonts w:asciiTheme="minorHAnsi" w:hAnsiTheme="minorHAnsi" w:cstheme="minorHAnsi"/>
          <w:szCs w:val="24"/>
        </w:rPr>
        <w:t xml:space="preserve"> Correlates of Social Capital and Physical Activity’, </w:t>
      </w:r>
      <w:r w:rsidRPr="002F3086">
        <w:rPr>
          <w:rFonts w:asciiTheme="minorHAnsi" w:hAnsiTheme="minorHAnsi" w:cstheme="minorHAnsi"/>
          <w:i/>
          <w:iCs/>
          <w:szCs w:val="24"/>
        </w:rPr>
        <w:t>Journal of Urban Health</w:t>
      </w:r>
      <w:r w:rsidRPr="0085628B">
        <w:rPr>
          <w:rFonts w:asciiTheme="minorHAnsi" w:hAnsiTheme="minorHAnsi" w:cstheme="minorHAnsi"/>
          <w:szCs w:val="24"/>
        </w:rPr>
        <w:t>, 91(5), 894-905</w:t>
      </w:r>
    </w:p>
    <w:p w14:paraId="11AD6AE5" w14:textId="77777777" w:rsidR="0085628B" w:rsidRPr="0085628B" w:rsidRDefault="0085628B" w:rsidP="0085628B">
      <w:pPr>
        <w:spacing w:before="120" w:line="259" w:lineRule="auto"/>
        <w:rPr>
          <w:rFonts w:asciiTheme="minorHAnsi" w:hAnsiTheme="minorHAnsi" w:cstheme="minorHAnsi"/>
          <w:szCs w:val="24"/>
        </w:rPr>
      </w:pPr>
    </w:p>
    <w:p w14:paraId="44EA9D85" w14:textId="7FD563F0"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McMillan, D. W., &amp; Chavis, D. M. (1986). ‘Sense of community: A definition and theory’. </w:t>
      </w:r>
      <w:r w:rsidRPr="00653149">
        <w:rPr>
          <w:rFonts w:asciiTheme="minorHAnsi" w:hAnsiTheme="minorHAnsi" w:cstheme="minorHAnsi"/>
          <w:i/>
          <w:iCs/>
          <w:szCs w:val="24"/>
        </w:rPr>
        <w:t>Journal of Community Psychology</w:t>
      </w:r>
      <w:r w:rsidRPr="0085628B">
        <w:rPr>
          <w:rFonts w:asciiTheme="minorHAnsi" w:hAnsiTheme="minorHAnsi" w:cstheme="minorHAnsi"/>
          <w:szCs w:val="24"/>
        </w:rPr>
        <w:t>, 14(1), 6-23.</w:t>
      </w:r>
    </w:p>
    <w:p w14:paraId="77A9D858" w14:textId="77777777" w:rsidR="0085628B" w:rsidRPr="0085628B" w:rsidRDefault="0085628B" w:rsidP="0085628B">
      <w:pPr>
        <w:spacing w:before="120" w:line="259" w:lineRule="auto"/>
        <w:rPr>
          <w:rFonts w:asciiTheme="minorHAnsi" w:hAnsiTheme="minorHAnsi" w:cstheme="minorHAnsi"/>
          <w:szCs w:val="24"/>
        </w:rPr>
      </w:pPr>
    </w:p>
    <w:p w14:paraId="49DDB0CA" w14:textId="77777777" w:rsidR="0085628B" w:rsidRPr="0085628B" w:rsidRDefault="0085628B" w:rsidP="0085628B">
      <w:pPr>
        <w:spacing w:before="120" w:line="259" w:lineRule="auto"/>
        <w:rPr>
          <w:rFonts w:asciiTheme="minorHAnsi" w:hAnsiTheme="minorHAnsi" w:cstheme="minorHAnsi"/>
          <w:szCs w:val="24"/>
        </w:rPr>
      </w:pPr>
    </w:p>
    <w:p w14:paraId="58D402EF" w14:textId="3867FA61"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Ramachandra, A. and Abu Mansor, N. N. (2014) 'Sustainability of community engagement – in the hands of stakeholders?', </w:t>
      </w:r>
      <w:r w:rsidRPr="00653149">
        <w:rPr>
          <w:rFonts w:asciiTheme="minorHAnsi" w:hAnsiTheme="minorHAnsi" w:cstheme="minorHAnsi"/>
          <w:i/>
          <w:iCs/>
          <w:szCs w:val="24"/>
        </w:rPr>
        <w:t xml:space="preserve">Education &amp; </w:t>
      </w:r>
      <w:proofErr w:type="gramStart"/>
      <w:r w:rsidRPr="00653149">
        <w:rPr>
          <w:rFonts w:asciiTheme="minorHAnsi" w:hAnsiTheme="minorHAnsi" w:cstheme="minorHAnsi"/>
          <w:i/>
          <w:iCs/>
          <w:szCs w:val="24"/>
        </w:rPr>
        <w:t>Training</w:t>
      </w:r>
      <w:r w:rsidRPr="0085628B">
        <w:rPr>
          <w:rFonts w:asciiTheme="minorHAnsi" w:hAnsiTheme="minorHAnsi" w:cstheme="minorHAnsi"/>
          <w:szCs w:val="24"/>
        </w:rPr>
        <w:t>,  Vol.</w:t>
      </w:r>
      <w:proofErr w:type="gramEnd"/>
      <w:r w:rsidRPr="0085628B">
        <w:rPr>
          <w:rFonts w:asciiTheme="minorHAnsi" w:hAnsiTheme="minorHAnsi" w:cstheme="minorHAnsi"/>
          <w:szCs w:val="24"/>
        </w:rPr>
        <w:t xml:space="preserve"> 56, </w:t>
      </w:r>
      <w:proofErr w:type="spellStart"/>
      <w:r w:rsidRPr="0085628B">
        <w:rPr>
          <w:rFonts w:asciiTheme="minorHAnsi" w:hAnsiTheme="minorHAnsi" w:cstheme="minorHAnsi"/>
          <w:szCs w:val="24"/>
        </w:rPr>
        <w:t>Iss</w:t>
      </w:r>
      <w:proofErr w:type="spellEnd"/>
      <w:r w:rsidRPr="0085628B">
        <w:rPr>
          <w:rFonts w:asciiTheme="minorHAnsi" w:hAnsiTheme="minorHAnsi" w:cstheme="minorHAnsi"/>
          <w:szCs w:val="24"/>
        </w:rPr>
        <w:t>. 7, DOI:10.1108/ET-07-2014-0084, Pp. 588-598.</w:t>
      </w:r>
    </w:p>
    <w:p w14:paraId="58816496" w14:textId="77777777" w:rsidR="0085628B" w:rsidRPr="0085628B" w:rsidRDefault="0085628B" w:rsidP="0085628B">
      <w:pPr>
        <w:spacing w:before="120" w:line="259" w:lineRule="auto"/>
        <w:rPr>
          <w:rFonts w:asciiTheme="minorHAnsi" w:hAnsiTheme="minorHAnsi" w:cstheme="minorHAnsi"/>
          <w:szCs w:val="24"/>
        </w:rPr>
      </w:pPr>
    </w:p>
    <w:p w14:paraId="76FCBF8E" w14:textId="62AD0A92"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Smith, J. (2018) </w:t>
      </w:r>
      <w:r w:rsidR="00653149">
        <w:rPr>
          <w:rFonts w:asciiTheme="minorHAnsi" w:hAnsiTheme="minorHAnsi" w:cstheme="minorHAnsi"/>
          <w:szCs w:val="24"/>
        </w:rPr>
        <w:t>‘</w:t>
      </w:r>
      <w:r w:rsidRPr="0085628B">
        <w:rPr>
          <w:rFonts w:asciiTheme="minorHAnsi" w:hAnsiTheme="minorHAnsi" w:cstheme="minorHAnsi"/>
          <w:szCs w:val="24"/>
        </w:rPr>
        <w:t>The Role of Community Engagement in Urban Regeneration</w:t>
      </w:r>
      <w:r w:rsidR="00653149">
        <w:rPr>
          <w:rFonts w:asciiTheme="minorHAnsi" w:hAnsiTheme="minorHAnsi" w:cstheme="minorHAnsi"/>
          <w:szCs w:val="24"/>
        </w:rPr>
        <w:t>’</w:t>
      </w:r>
      <w:r w:rsidRPr="0085628B">
        <w:rPr>
          <w:rFonts w:asciiTheme="minorHAnsi" w:hAnsiTheme="minorHAnsi" w:cstheme="minorHAnsi"/>
          <w:szCs w:val="24"/>
        </w:rPr>
        <w:t xml:space="preserve">. </w:t>
      </w:r>
      <w:r w:rsidRPr="00653149">
        <w:rPr>
          <w:rFonts w:asciiTheme="minorHAnsi" w:hAnsiTheme="minorHAnsi" w:cstheme="minorHAnsi"/>
          <w:i/>
          <w:iCs/>
          <w:szCs w:val="24"/>
        </w:rPr>
        <w:t>Journal of Community Development</w:t>
      </w:r>
      <w:r w:rsidRPr="0085628B">
        <w:rPr>
          <w:rFonts w:asciiTheme="minorHAnsi" w:hAnsiTheme="minorHAnsi" w:cstheme="minorHAnsi"/>
          <w:szCs w:val="24"/>
        </w:rPr>
        <w:t>, 25(2), 45-62.</w:t>
      </w:r>
    </w:p>
    <w:p w14:paraId="594DAE75" w14:textId="77777777" w:rsidR="0085628B" w:rsidRPr="0085628B" w:rsidRDefault="0085628B" w:rsidP="0085628B">
      <w:pPr>
        <w:spacing w:before="120" w:line="259" w:lineRule="auto"/>
        <w:rPr>
          <w:rFonts w:asciiTheme="minorHAnsi" w:hAnsiTheme="minorHAnsi" w:cstheme="minorHAnsi"/>
          <w:szCs w:val="24"/>
        </w:rPr>
      </w:pPr>
    </w:p>
    <w:p w14:paraId="4F7A3F5F" w14:textId="142AB2B8" w:rsidR="0062595F" w:rsidRPr="008619F4"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 xml:space="preserve">Stephens, M. (2017) </w:t>
      </w:r>
      <w:r w:rsidRPr="00653149">
        <w:rPr>
          <w:rFonts w:asciiTheme="minorHAnsi" w:hAnsiTheme="minorHAnsi" w:cstheme="minorHAnsi"/>
          <w:i/>
          <w:iCs/>
          <w:szCs w:val="24"/>
        </w:rPr>
        <w:t>Pool information from Moore Stephens (South) LLP towards Mr D Biggs</w:t>
      </w:r>
      <w:r w:rsidRPr="0085628B">
        <w:rPr>
          <w:rFonts w:asciiTheme="minorHAnsi" w:hAnsiTheme="minorHAnsi" w:cstheme="minorHAnsi"/>
          <w:szCs w:val="24"/>
        </w:rPr>
        <w:t>, 7 March. [Letter]. Totton and Eling Town Council. A/RM715/TOTTC716/RM715/SA/ID:466081. Available from: https://www.tottoneling-tc.gov.uk/Search/Default.aspx?q=Paddling&amp;page_num=3 (Accessed: 30/11/2023)</w:t>
      </w:r>
    </w:p>
    <w:p w14:paraId="1C1E1F9C" w14:textId="77777777" w:rsidR="0062595F" w:rsidRPr="008619F4" w:rsidRDefault="0062595F" w:rsidP="00211A7F">
      <w:pPr>
        <w:spacing w:before="120" w:line="259" w:lineRule="auto"/>
        <w:rPr>
          <w:rFonts w:asciiTheme="minorHAnsi" w:hAnsiTheme="minorHAnsi" w:cstheme="minorHAnsi"/>
          <w:szCs w:val="24"/>
        </w:rPr>
      </w:pPr>
    </w:p>
    <w:p w14:paraId="4AAF660F" w14:textId="77777777" w:rsidR="0062595F" w:rsidRPr="008619F4" w:rsidRDefault="0062595F" w:rsidP="00211A7F">
      <w:pPr>
        <w:spacing w:before="120" w:line="259" w:lineRule="auto"/>
        <w:rPr>
          <w:rFonts w:asciiTheme="minorHAnsi" w:hAnsiTheme="minorHAnsi" w:cstheme="minorHAnsi"/>
          <w:szCs w:val="24"/>
        </w:rPr>
      </w:pPr>
    </w:p>
    <w:p w14:paraId="45EB24BE" w14:textId="77777777" w:rsidR="0062595F" w:rsidRPr="008619F4" w:rsidRDefault="0062595F" w:rsidP="00211A7F">
      <w:pPr>
        <w:spacing w:before="120" w:line="259" w:lineRule="auto"/>
        <w:rPr>
          <w:rFonts w:asciiTheme="minorHAnsi" w:hAnsiTheme="minorHAnsi" w:cstheme="minorHAnsi"/>
          <w:szCs w:val="24"/>
        </w:rPr>
      </w:pPr>
    </w:p>
    <w:p w14:paraId="68ED57F3" w14:textId="77777777" w:rsidR="0062595F" w:rsidRPr="008619F4" w:rsidRDefault="0062595F" w:rsidP="00211A7F">
      <w:pPr>
        <w:spacing w:before="120" w:line="259" w:lineRule="auto"/>
        <w:rPr>
          <w:rFonts w:asciiTheme="minorHAnsi" w:hAnsiTheme="minorHAnsi" w:cstheme="minorHAnsi"/>
          <w:szCs w:val="24"/>
        </w:rPr>
      </w:pPr>
    </w:p>
    <w:p w14:paraId="7453F7B1" w14:textId="77777777" w:rsidR="0062595F" w:rsidRPr="008619F4" w:rsidRDefault="0062595F" w:rsidP="00211A7F">
      <w:pPr>
        <w:spacing w:before="120" w:line="259" w:lineRule="auto"/>
        <w:rPr>
          <w:rFonts w:asciiTheme="minorHAnsi" w:hAnsiTheme="minorHAnsi" w:cstheme="minorHAnsi"/>
          <w:szCs w:val="24"/>
        </w:rPr>
      </w:pPr>
    </w:p>
    <w:p w14:paraId="54522927" w14:textId="77777777" w:rsidR="0062595F" w:rsidRPr="008619F4" w:rsidRDefault="0062595F" w:rsidP="00211A7F">
      <w:pPr>
        <w:spacing w:before="120" w:line="259" w:lineRule="auto"/>
        <w:rPr>
          <w:rFonts w:asciiTheme="minorHAnsi" w:hAnsiTheme="minorHAnsi" w:cstheme="minorHAnsi"/>
          <w:szCs w:val="24"/>
        </w:rPr>
      </w:pPr>
    </w:p>
    <w:p w14:paraId="6F018DB7" w14:textId="77777777" w:rsidR="0062595F" w:rsidRPr="008619F4" w:rsidRDefault="0062595F" w:rsidP="00211A7F">
      <w:pPr>
        <w:spacing w:before="120" w:line="259" w:lineRule="auto"/>
        <w:rPr>
          <w:rFonts w:asciiTheme="minorHAnsi" w:hAnsiTheme="minorHAnsi" w:cstheme="minorHAnsi"/>
          <w:szCs w:val="24"/>
        </w:rPr>
      </w:pPr>
    </w:p>
    <w:p w14:paraId="29A68970" w14:textId="77777777" w:rsidR="0062595F" w:rsidRPr="008619F4" w:rsidRDefault="0062595F" w:rsidP="00211A7F">
      <w:pPr>
        <w:spacing w:before="120" w:line="259" w:lineRule="auto"/>
        <w:rPr>
          <w:rFonts w:asciiTheme="minorHAnsi" w:hAnsiTheme="minorHAnsi" w:cstheme="minorHAnsi"/>
          <w:szCs w:val="24"/>
        </w:rPr>
      </w:pPr>
    </w:p>
    <w:p w14:paraId="7A9E0E70" w14:textId="74F34D26" w:rsidR="00997368" w:rsidRPr="008619F4" w:rsidRDefault="00997368" w:rsidP="00211A7F">
      <w:pPr>
        <w:spacing w:before="120" w:line="259" w:lineRule="auto"/>
        <w:rPr>
          <w:rFonts w:asciiTheme="minorHAnsi" w:hAnsiTheme="minorHAnsi" w:cstheme="minorHAnsi"/>
          <w:szCs w:val="24"/>
        </w:rPr>
      </w:pPr>
    </w:p>
    <w:sectPr w:rsidR="00997368" w:rsidRPr="008619F4" w:rsidSect="00117121">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68F0B" w14:textId="77777777" w:rsidR="007A5FB4" w:rsidRDefault="007A5FB4" w:rsidP="00117121">
      <w:pPr>
        <w:spacing w:after="0" w:line="240" w:lineRule="auto"/>
      </w:pPr>
      <w:r>
        <w:separator/>
      </w:r>
    </w:p>
  </w:endnote>
  <w:endnote w:type="continuationSeparator" w:id="0">
    <w:p w14:paraId="22476333" w14:textId="77777777" w:rsidR="007A5FB4" w:rsidRDefault="007A5FB4"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7DEB5" w14:textId="77777777" w:rsidR="007A5FB4" w:rsidRDefault="007A5FB4" w:rsidP="00117121">
      <w:pPr>
        <w:spacing w:after="0" w:line="240" w:lineRule="auto"/>
      </w:pPr>
      <w:r>
        <w:separator/>
      </w:r>
    </w:p>
  </w:footnote>
  <w:footnote w:type="continuationSeparator" w:id="0">
    <w:p w14:paraId="5B5FF866" w14:textId="77777777" w:rsidR="007A5FB4" w:rsidRDefault="007A5FB4"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91A9A"/>
    <w:multiLevelType w:val="hybridMultilevel"/>
    <w:tmpl w:val="5EA66E3C"/>
    <w:lvl w:ilvl="0" w:tplc="08090001">
      <w:start w:val="1"/>
      <w:numFmt w:val="bullet"/>
      <w:lvlText w:val=""/>
      <w:lvlJc w:val="left"/>
      <w:pPr>
        <w:ind w:left="720" w:hanging="360"/>
      </w:pPr>
      <w:rPr>
        <w:rFonts w:ascii="Symbol" w:hAnsi="Symbol" w:hint="default"/>
      </w:rPr>
    </w:lvl>
    <w:lvl w:ilvl="1" w:tplc="8FC4FF10">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991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0FE2"/>
    <w:rsid w:val="00015DA6"/>
    <w:rsid w:val="00035039"/>
    <w:rsid w:val="00057574"/>
    <w:rsid w:val="00062292"/>
    <w:rsid w:val="00073B4B"/>
    <w:rsid w:val="00073F69"/>
    <w:rsid w:val="0009015E"/>
    <w:rsid w:val="000A1764"/>
    <w:rsid w:val="000B0885"/>
    <w:rsid w:val="000C5533"/>
    <w:rsid w:val="000D31BC"/>
    <w:rsid w:val="000E4AC6"/>
    <w:rsid w:val="000F5E48"/>
    <w:rsid w:val="001039FE"/>
    <w:rsid w:val="00117121"/>
    <w:rsid w:val="00131F92"/>
    <w:rsid w:val="00140868"/>
    <w:rsid w:val="0016398E"/>
    <w:rsid w:val="00164D16"/>
    <w:rsid w:val="00184CD5"/>
    <w:rsid w:val="00192AD5"/>
    <w:rsid w:val="0019355D"/>
    <w:rsid w:val="00193CAE"/>
    <w:rsid w:val="0019612B"/>
    <w:rsid w:val="00196AC9"/>
    <w:rsid w:val="001A10BE"/>
    <w:rsid w:val="001A43F6"/>
    <w:rsid w:val="001A6B94"/>
    <w:rsid w:val="001B39A6"/>
    <w:rsid w:val="001C6B7C"/>
    <w:rsid w:val="001D27A6"/>
    <w:rsid w:val="001D4904"/>
    <w:rsid w:val="001E076C"/>
    <w:rsid w:val="001E426E"/>
    <w:rsid w:val="001E624E"/>
    <w:rsid w:val="001F46CD"/>
    <w:rsid w:val="001F519C"/>
    <w:rsid w:val="002052D6"/>
    <w:rsid w:val="00207850"/>
    <w:rsid w:val="00211A7F"/>
    <w:rsid w:val="00216ACA"/>
    <w:rsid w:val="0022384D"/>
    <w:rsid w:val="002721A4"/>
    <w:rsid w:val="0028404F"/>
    <w:rsid w:val="00295FDE"/>
    <w:rsid w:val="002A7C3B"/>
    <w:rsid w:val="002B5EE9"/>
    <w:rsid w:val="002C6109"/>
    <w:rsid w:val="002F15E5"/>
    <w:rsid w:val="002F3086"/>
    <w:rsid w:val="002F39D0"/>
    <w:rsid w:val="00312FDD"/>
    <w:rsid w:val="003257C0"/>
    <w:rsid w:val="00330680"/>
    <w:rsid w:val="00334634"/>
    <w:rsid w:val="00336CFC"/>
    <w:rsid w:val="00336FD0"/>
    <w:rsid w:val="003400C8"/>
    <w:rsid w:val="00340A11"/>
    <w:rsid w:val="00351BA8"/>
    <w:rsid w:val="0035265A"/>
    <w:rsid w:val="00357ACF"/>
    <w:rsid w:val="0036583F"/>
    <w:rsid w:val="0037168C"/>
    <w:rsid w:val="00373E59"/>
    <w:rsid w:val="003948AA"/>
    <w:rsid w:val="003A0341"/>
    <w:rsid w:val="003B12C6"/>
    <w:rsid w:val="003C553D"/>
    <w:rsid w:val="003C64F6"/>
    <w:rsid w:val="003D6D5F"/>
    <w:rsid w:val="003E250C"/>
    <w:rsid w:val="003F3356"/>
    <w:rsid w:val="003F617B"/>
    <w:rsid w:val="004236DC"/>
    <w:rsid w:val="0042627C"/>
    <w:rsid w:val="00426BF7"/>
    <w:rsid w:val="004359D4"/>
    <w:rsid w:val="00442CC4"/>
    <w:rsid w:val="00447793"/>
    <w:rsid w:val="00451275"/>
    <w:rsid w:val="0047782A"/>
    <w:rsid w:val="00481DAE"/>
    <w:rsid w:val="0049325D"/>
    <w:rsid w:val="00496C64"/>
    <w:rsid w:val="004A21D5"/>
    <w:rsid w:val="004A6008"/>
    <w:rsid w:val="004B42BF"/>
    <w:rsid w:val="004B4F85"/>
    <w:rsid w:val="004E3206"/>
    <w:rsid w:val="004F5DC4"/>
    <w:rsid w:val="004F632F"/>
    <w:rsid w:val="005176C5"/>
    <w:rsid w:val="005637AF"/>
    <w:rsid w:val="00563F1A"/>
    <w:rsid w:val="005703A6"/>
    <w:rsid w:val="005751DA"/>
    <w:rsid w:val="0058189A"/>
    <w:rsid w:val="00584D31"/>
    <w:rsid w:val="0059569E"/>
    <w:rsid w:val="0059600E"/>
    <w:rsid w:val="005A0811"/>
    <w:rsid w:val="005A2D78"/>
    <w:rsid w:val="005B2E2F"/>
    <w:rsid w:val="005B4CD2"/>
    <w:rsid w:val="005B4E7C"/>
    <w:rsid w:val="005B6E3A"/>
    <w:rsid w:val="005C33DF"/>
    <w:rsid w:val="005E2379"/>
    <w:rsid w:val="005E3946"/>
    <w:rsid w:val="005E4868"/>
    <w:rsid w:val="005E575A"/>
    <w:rsid w:val="00616207"/>
    <w:rsid w:val="0062045A"/>
    <w:rsid w:val="0062595F"/>
    <w:rsid w:val="00634032"/>
    <w:rsid w:val="00634F5C"/>
    <w:rsid w:val="00635FBB"/>
    <w:rsid w:val="00637C93"/>
    <w:rsid w:val="00641282"/>
    <w:rsid w:val="00647B78"/>
    <w:rsid w:val="00653149"/>
    <w:rsid w:val="00673E63"/>
    <w:rsid w:val="00683266"/>
    <w:rsid w:val="00683DB0"/>
    <w:rsid w:val="00684516"/>
    <w:rsid w:val="00690798"/>
    <w:rsid w:val="0069170B"/>
    <w:rsid w:val="00692FDC"/>
    <w:rsid w:val="00693899"/>
    <w:rsid w:val="006A641C"/>
    <w:rsid w:val="006A75C2"/>
    <w:rsid w:val="006B28C1"/>
    <w:rsid w:val="006D1B3C"/>
    <w:rsid w:val="006E567E"/>
    <w:rsid w:val="006E7807"/>
    <w:rsid w:val="00715331"/>
    <w:rsid w:val="007549FF"/>
    <w:rsid w:val="00760388"/>
    <w:rsid w:val="00771AC3"/>
    <w:rsid w:val="007774DA"/>
    <w:rsid w:val="00777832"/>
    <w:rsid w:val="007933BC"/>
    <w:rsid w:val="007A08F6"/>
    <w:rsid w:val="007A1EA0"/>
    <w:rsid w:val="007A5FB4"/>
    <w:rsid w:val="007B22A6"/>
    <w:rsid w:val="007D7F54"/>
    <w:rsid w:val="007E1791"/>
    <w:rsid w:val="007E1DAF"/>
    <w:rsid w:val="0080292E"/>
    <w:rsid w:val="0080317F"/>
    <w:rsid w:val="00824590"/>
    <w:rsid w:val="00825502"/>
    <w:rsid w:val="008546B2"/>
    <w:rsid w:val="0085628B"/>
    <w:rsid w:val="008619F4"/>
    <w:rsid w:val="00867244"/>
    <w:rsid w:val="00873841"/>
    <w:rsid w:val="008846E9"/>
    <w:rsid w:val="00893AC0"/>
    <w:rsid w:val="008A2B8E"/>
    <w:rsid w:val="008A302E"/>
    <w:rsid w:val="008B682F"/>
    <w:rsid w:val="008C6CAB"/>
    <w:rsid w:val="008C7870"/>
    <w:rsid w:val="008D2CDA"/>
    <w:rsid w:val="008D35A5"/>
    <w:rsid w:val="008D39F4"/>
    <w:rsid w:val="008D551B"/>
    <w:rsid w:val="008E2437"/>
    <w:rsid w:val="008F25AD"/>
    <w:rsid w:val="008F5F64"/>
    <w:rsid w:val="00900DBF"/>
    <w:rsid w:val="00902498"/>
    <w:rsid w:val="009220DD"/>
    <w:rsid w:val="00953C0F"/>
    <w:rsid w:val="009618D5"/>
    <w:rsid w:val="0097132C"/>
    <w:rsid w:val="0097341E"/>
    <w:rsid w:val="0097422F"/>
    <w:rsid w:val="00976FF7"/>
    <w:rsid w:val="009906C8"/>
    <w:rsid w:val="00997368"/>
    <w:rsid w:val="009A6152"/>
    <w:rsid w:val="009D3C94"/>
    <w:rsid w:val="009D5257"/>
    <w:rsid w:val="00A16944"/>
    <w:rsid w:val="00A20791"/>
    <w:rsid w:val="00A413DE"/>
    <w:rsid w:val="00A4231F"/>
    <w:rsid w:val="00A4250C"/>
    <w:rsid w:val="00A55901"/>
    <w:rsid w:val="00A62C1E"/>
    <w:rsid w:val="00A74D10"/>
    <w:rsid w:val="00A870EB"/>
    <w:rsid w:val="00A87CA5"/>
    <w:rsid w:val="00A87D4F"/>
    <w:rsid w:val="00A95E7A"/>
    <w:rsid w:val="00A97433"/>
    <w:rsid w:val="00AA0829"/>
    <w:rsid w:val="00AA228B"/>
    <w:rsid w:val="00AB144D"/>
    <w:rsid w:val="00AC15AF"/>
    <w:rsid w:val="00AC4A00"/>
    <w:rsid w:val="00AC6F2B"/>
    <w:rsid w:val="00AD30F3"/>
    <w:rsid w:val="00AD3995"/>
    <w:rsid w:val="00AD7A6A"/>
    <w:rsid w:val="00AF6D00"/>
    <w:rsid w:val="00B00D5A"/>
    <w:rsid w:val="00B16C41"/>
    <w:rsid w:val="00B25FB9"/>
    <w:rsid w:val="00B5437D"/>
    <w:rsid w:val="00B56B90"/>
    <w:rsid w:val="00B61592"/>
    <w:rsid w:val="00B66D62"/>
    <w:rsid w:val="00B77C1A"/>
    <w:rsid w:val="00B93701"/>
    <w:rsid w:val="00BA6FC6"/>
    <w:rsid w:val="00BB632C"/>
    <w:rsid w:val="00BD68E2"/>
    <w:rsid w:val="00BE339F"/>
    <w:rsid w:val="00BE5DC8"/>
    <w:rsid w:val="00BF5CD9"/>
    <w:rsid w:val="00BF6066"/>
    <w:rsid w:val="00C00CF3"/>
    <w:rsid w:val="00C0126D"/>
    <w:rsid w:val="00C10ACA"/>
    <w:rsid w:val="00C1447E"/>
    <w:rsid w:val="00C14C0B"/>
    <w:rsid w:val="00C16795"/>
    <w:rsid w:val="00C25798"/>
    <w:rsid w:val="00C3461A"/>
    <w:rsid w:val="00C35F66"/>
    <w:rsid w:val="00C42BBC"/>
    <w:rsid w:val="00C47F3E"/>
    <w:rsid w:val="00C52A13"/>
    <w:rsid w:val="00C56121"/>
    <w:rsid w:val="00C61417"/>
    <w:rsid w:val="00C64687"/>
    <w:rsid w:val="00C73862"/>
    <w:rsid w:val="00C852AA"/>
    <w:rsid w:val="00CA0853"/>
    <w:rsid w:val="00CA2F02"/>
    <w:rsid w:val="00CC109E"/>
    <w:rsid w:val="00CC3F23"/>
    <w:rsid w:val="00CD4023"/>
    <w:rsid w:val="00CE48B1"/>
    <w:rsid w:val="00CE7F1F"/>
    <w:rsid w:val="00CF5619"/>
    <w:rsid w:val="00D2096D"/>
    <w:rsid w:val="00D56124"/>
    <w:rsid w:val="00D62FFB"/>
    <w:rsid w:val="00D656F6"/>
    <w:rsid w:val="00D7434C"/>
    <w:rsid w:val="00D75176"/>
    <w:rsid w:val="00D934E6"/>
    <w:rsid w:val="00D95F84"/>
    <w:rsid w:val="00DA5A7B"/>
    <w:rsid w:val="00DC1999"/>
    <w:rsid w:val="00DD6B2B"/>
    <w:rsid w:val="00DD6F9C"/>
    <w:rsid w:val="00E26FD6"/>
    <w:rsid w:val="00E40342"/>
    <w:rsid w:val="00E41410"/>
    <w:rsid w:val="00E45419"/>
    <w:rsid w:val="00E46301"/>
    <w:rsid w:val="00E47DC4"/>
    <w:rsid w:val="00E5762D"/>
    <w:rsid w:val="00E72925"/>
    <w:rsid w:val="00E8107C"/>
    <w:rsid w:val="00E82CEC"/>
    <w:rsid w:val="00E9287A"/>
    <w:rsid w:val="00E92A62"/>
    <w:rsid w:val="00E967CB"/>
    <w:rsid w:val="00E96B12"/>
    <w:rsid w:val="00EA3BD1"/>
    <w:rsid w:val="00EA51E8"/>
    <w:rsid w:val="00EB0DA0"/>
    <w:rsid w:val="00EC68A5"/>
    <w:rsid w:val="00ED16F5"/>
    <w:rsid w:val="00ED4729"/>
    <w:rsid w:val="00EF2C05"/>
    <w:rsid w:val="00EF5487"/>
    <w:rsid w:val="00F042B3"/>
    <w:rsid w:val="00F32E89"/>
    <w:rsid w:val="00F35AA7"/>
    <w:rsid w:val="00F44632"/>
    <w:rsid w:val="00F61FD7"/>
    <w:rsid w:val="00FA348F"/>
    <w:rsid w:val="00FA36DD"/>
    <w:rsid w:val="00FC2D04"/>
    <w:rsid w:val="00FD3639"/>
    <w:rsid w:val="00FD4594"/>
    <w:rsid w:val="00FD72F5"/>
    <w:rsid w:val="00FE56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379"/>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8F5F64"/>
    <w:pPr>
      <w:keepNext/>
      <w:keepLines/>
      <w:spacing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D30F3"/>
    <w:pPr>
      <w:keepNext/>
      <w:keepLines/>
      <w:spacing w:before="40" w:after="0" w:line="48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336CFC"/>
    <w:pPr>
      <w:keepNext/>
      <w:keepLines/>
      <w:spacing w:before="40" w:after="0"/>
      <w:outlineLvl w:val="2"/>
    </w:pPr>
    <w:rPr>
      <w:rFonts w:eastAsiaTheme="majorEastAsia" w:cstheme="majorBidi"/>
      <w:b/>
      <w:color w:val="C45911" w:themeColor="accent2"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6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D30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CFC"/>
    <w:rPr>
      <w:rFonts w:ascii="Arial" w:eastAsiaTheme="majorEastAsia" w:hAnsi="Arial" w:cstheme="majorBidi"/>
      <w:b/>
      <w:color w:val="C45911" w:themeColor="accent2"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ListParagraph">
    <w:name w:val="List Paragraph"/>
    <w:basedOn w:val="Normal"/>
    <w:uiPriority w:val="34"/>
    <w:qFormat/>
    <w:rsid w:val="00E41410"/>
    <w:pPr>
      <w:spacing w:line="259" w:lineRule="auto"/>
      <w:ind w:left="720"/>
      <w:contextualSpacing/>
      <w:jc w:val="left"/>
    </w:pPr>
    <w:rPr>
      <w:rFonts w:asciiTheme="minorHAnsi" w:eastAsiaTheme="minorEastAsia" w:hAnsiTheme="minorHAnsi"/>
      <w:sz w:val="22"/>
      <w:lang w:eastAsia="zh-CN"/>
    </w:rPr>
  </w:style>
  <w:style w:type="paragraph" w:styleId="Caption">
    <w:name w:val="caption"/>
    <w:basedOn w:val="Normal"/>
    <w:next w:val="Normal"/>
    <w:uiPriority w:val="35"/>
    <w:unhideWhenUsed/>
    <w:qFormat/>
    <w:rsid w:val="00E92A62"/>
    <w:pPr>
      <w:spacing w:after="200" w:line="240" w:lineRule="auto"/>
    </w:pPr>
    <w:rPr>
      <w:i/>
      <w:iCs/>
      <w:color w:val="44546A" w:themeColor="text2"/>
      <w:sz w:val="18"/>
      <w:szCs w:val="18"/>
    </w:rPr>
  </w:style>
  <w:style w:type="paragraph" w:styleId="NormalWeb">
    <w:name w:val="Normal (Web)"/>
    <w:basedOn w:val="Normal"/>
    <w:uiPriority w:val="99"/>
    <w:semiHidden/>
    <w:unhideWhenUsed/>
    <w:rsid w:val="000F5E4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F042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158">
      <w:bodyDiv w:val="1"/>
      <w:marLeft w:val="0"/>
      <w:marRight w:val="0"/>
      <w:marTop w:val="0"/>
      <w:marBottom w:val="0"/>
      <w:divBdr>
        <w:top w:val="none" w:sz="0" w:space="0" w:color="auto"/>
        <w:left w:val="none" w:sz="0" w:space="0" w:color="auto"/>
        <w:bottom w:val="none" w:sz="0" w:space="0" w:color="auto"/>
        <w:right w:val="none" w:sz="0" w:space="0" w:color="auto"/>
      </w:divBdr>
    </w:div>
    <w:div w:id="48234763">
      <w:bodyDiv w:val="1"/>
      <w:marLeft w:val="0"/>
      <w:marRight w:val="0"/>
      <w:marTop w:val="0"/>
      <w:marBottom w:val="0"/>
      <w:divBdr>
        <w:top w:val="none" w:sz="0" w:space="0" w:color="auto"/>
        <w:left w:val="none" w:sz="0" w:space="0" w:color="auto"/>
        <w:bottom w:val="none" w:sz="0" w:space="0" w:color="auto"/>
        <w:right w:val="none" w:sz="0" w:space="0" w:color="auto"/>
      </w:divBdr>
    </w:div>
    <w:div w:id="656691385">
      <w:bodyDiv w:val="1"/>
      <w:marLeft w:val="0"/>
      <w:marRight w:val="0"/>
      <w:marTop w:val="0"/>
      <w:marBottom w:val="0"/>
      <w:divBdr>
        <w:top w:val="none" w:sz="0" w:space="0" w:color="auto"/>
        <w:left w:val="none" w:sz="0" w:space="0" w:color="auto"/>
        <w:bottom w:val="none" w:sz="0" w:space="0" w:color="auto"/>
        <w:right w:val="none" w:sz="0" w:space="0" w:color="auto"/>
      </w:divBdr>
    </w:div>
    <w:div w:id="905729391">
      <w:bodyDiv w:val="1"/>
      <w:marLeft w:val="0"/>
      <w:marRight w:val="0"/>
      <w:marTop w:val="0"/>
      <w:marBottom w:val="0"/>
      <w:divBdr>
        <w:top w:val="none" w:sz="0" w:space="0" w:color="auto"/>
        <w:left w:val="none" w:sz="0" w:space="0" w:color="auto"/>
        <w:bottom w:val="none" w:sz="0" w:space="0" w:color="auto"/>
        <w:right w:val="none" w:sz="0" w:space="0" w:color="auto"/>
      </w:divBdr>
    </w:div>
    <w:div w:id="1320646427">
      <w:bodyDiv w:val="1"/>
      <w:marLeft w:val="0"/>
      <w:marRight w:val="0"/>
      <w:marTop w:val="0"/>
      <w:marBottom w:val="0"/>
      <w:divBdr>
        <w:top w:val="none" w:sz="0" w:space="0" w:color="auto"/>
        <w:left w:val="none" w:sz="0" w:space="0" w:color="auto"/>
        <w:bottom w:val="none" w:sz="0" w:space="0" w:color="auto"/>
        <w:right w:val="none" w:sz="0" w:space="0" w:color="auto"/>
      </w:divBdr>
    </w:div>
    <w:div w:id="1422262827">
      <w:bodyDiv w:val="1"/>
      <w:marLeft w:val="0"/>
      <w:marRight w:val="0"/>
      <w:marTop w:val="0"/>
      <w:marBottom w:val="0"/>
      <w:divBdr>
        <w:top w:val="none" w:sz="0" w:space="0" w:color="auto"/>
        <w:left w:val="none" w:sz="0" w:space="0" w:color="auto"/>
        <w:bottom w:val="none" w:sz="0" w:space="0" w:color="auto"/>
        <w:right w:val="none" w:sz="0" w:space="0" w:color="auto"/>
      </w:divBdr>
    </w:div>
    <w:div w:id="172609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2419</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2023-12-07T06:06:00Z</dcterms:created>
  <dcterms:modified xsi:type="dcterms:W3CDTF">2023-12-07T06:06:00Z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dc493f9ccb169e11aa109336a19bd984b8e4ea25c546cf8e526484baf7745f2f</vt:lpwstr>
  </property>
</Properties>
</file>