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B76AB41" w14:textId="77777777" w:rsidR="0026577C" w:rsidRDefault="0026577C" w:rsidP="00EA7B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Theory and Methodology for the Study of Classics (CLCL7005)</w:t>
      </w:r>
    </w:p>
    <w:p w14:paraId="4DEE5F62" w14:textId="10F6DC04" w:rsidR="0026577C" w:rsidRPr="00D50854" w:rsidRDefault="0026577C" w:rsidP="00EA7BA9">
      <w:pPr>
        <w:spacing w:line="48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EA7BA9">
        <w:rPr>
          <w:rFonts w:ascii="Times New Roman" w:hAnsi="Times New Roman" w:cs="Times New Roman"/>
          <w:sz w:val="24"/>
          <w:szCs w:val="24"/>
          <w:u w:val="single"/>
        </w:rPr>
        <w:t xml:space="preserve">Working Title: </w:t>
      </w:r>
      <w:r w:rsidRPr="00D50854">
        <w:rPr>
          <w:rFonts w:ascii="Times New Roman" w:hAnsi="Times New Roman" w:cs="Times New Roman"/>
          <w:i/>
          <w:sz w:val="24"/>
          <w:szCs w:val="24"/>
          <w:u w:val="single"/>
        </w:rPr>
        <w:t>Does the world of the dead mirror the world of the living in first century AD Pompeii?</w:t>
      </w:r>
    </w:p>
    <w:p w14:paraId="6C6127C3" w14:textId="0EE04676" w:rsidR="004A365C" w:rsidRDefault="004A365C" w:rsidP="004A36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1,018</w:t>
      </w:r>
      <w:bookmarkStart w:id="0" w:name="_GoBack"/>
      <w:bookmarkEnd w:id="0"/>
    </w:p>
    <w:p w14:paraId="16810B15" w14:textId="77777777" w:rsidR="000A3497" w:rsidRDefault="0026577C" w:rsidP="0012508B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A7BA9">
        <w:rPr>
          <w:rFonts w:ascii="Times New Roman" w:hAnsi="Times New Roman" w:cs="Times New Roman"/>
          <w:b/>
          <w:sz w:val="24"/>
          <w:szCs w:val="24"/>
          <w:u w:val="single"/>
        </w:rPr>
        <w:t>Abstract</w:t>
      </w:r>
      <w:r w:rsidR="000A3497"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6F92D4BB" w14:textId="67D10DF3" w:rsidR="00D5747D" w:rsidRDefault="00B9560A" w:rsidP="001250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paper will explore the extent to which the </w:t>
      </w:r>
      <w:r w:rsidR="0089208B">
        <w:rPr>
          <w:rFonts w:ascii="Times New Roman" w:hAnsi="Times New Roman" w:cs="Times New Roman"/>
          <w:sz w:val="24"/>
          <w:szCs w:val="24"/>
        </w:rPr>
        <w:t xml:space="preserve">representations of the </w:t>
      </w:r>
      <w:r w:rsidR="002A365C">
        <w:rPr>
          <w:rFonts w:ascii="Times New Roman" w:hAnsi="Times New Roman" w:cs="Times New Roman"/>
          <w:sz w:val="24"/>
          <w:szCs w:val="24"/>
        </w:rPr>
        <w:t xml:space="preserve">identity of the </w:t>
      </w:r>
      <w:r w:rsidR="0089208B">
        <w:rPr>
          <w:rFonts w:ascii="Times New Roman" w:hAnsi="Times New Roman" w:cs="Times New Roman"/>
          <w:sz w:val="24"/>
          <w:szCs w:val="24"/>
        </w:rPr>
        <w:t xml:space="preserve">dead accurately reflected the lives </w:t>
      </w:r>
      <w:r w:rsidR="00381F20">
        <w:rPr>
          <w:rFonts w:ascii="Times New Roman" w:hAnsi="Times New Roman" w:cs="Times New Roman"/>
          <w:sz w:val="24"/>
          <w:szCs w:val="24"/>
        </w:rPr>
        <w:t xml:space="preserve">and identities </w:t>
      </w:r>
      <w:r w:rsidR="0089208B">
        <w:rPr>
          <w:rFonts w:ascii="Times New Roman" w:hAnsi="Times New Roman" w:cs="Times New Roman"/>
          <w:sz w:val="24"/>
          <w:szCs w:val="24"/>
        </w:rPr>
        <w:t>of the living population</w:t>
      </w:r>
      <w:r w:rsidR="005B122C">
        <w:rPr>
          <w:rFonts w:ascii="Times New Roman" w:hAnsi="Times New Roman" w:cs="Times New Roman"/>
          <w:sz w:val="24"/>
          <w:szCs w:val="24"/>
        </w:rPr>
        <w:t xml:space="preserve"> in first century AD Pompeii</w:t>
      </w:r>
      <w:r w:rsidR="00884612">
        <w:rPr>
          <w:rFonts w:ascii="Times New Roman" w:hAnsi="Times New Roman" w:cs="Times New Roman"/>
          <w:sz w:val="24"/>
          <w:szCs w:val="24"/>
        </w:rPr>
        <w:t xml:space="preserve">, through analysis of funerary evidence, more specifically clothing and grave goods, </w:t>
      </w:r>
      <w:r w:rsidR="00691AC0">
        <w:rPr>
          <w:rFonts w:ascii="Times New Roman" w:hAnsi="Times New Roman" w:cs="Times New Roman"/>
          <w:sz w:val="24"/>
          <w:szCs w:val="24"/>
        </w:rPr>
        <w:t xml:space="preserve">and comparing them to </w:t>
      </w:r>
      <w:r w:rsidR="00F110F3">
        <w:rPr>
          <w:rFonts w:ascii="Times New Roman" w:hAnsi="Times New Roman" w:cs="Times New Roman"/>
          <w:sz w:val="24"/>
          <w:szCs w:val="24"/>
        </w:rPr>
        <w:t>evidence of the</w:t>
      </w:r>
      <w:r w:rsidR="002F0AEA">
        <w:rPr>
          <w:rFonts w:ascii="Times New Roman" w:hAnsi="Times New Roman" w:cs="Times New Roman"/>
          <w:sz w:val="24"/>
          <w:szCs w:val="24"/>
        </w:rPr>
        <w:t>ir counterparts</w:t>
      </w:r>
      <w:r w:rsidR="00F110F3">
        <w:rPr>
          <w:rFonts w:ascii="Times New Roman" w:hAnsi="Times New Roman" w:cs="Times New Roman"/>
          <w:sz w:val="24"/>
          <w:szCs w:val="24"/>
        </w:rPr>
        <w:t xml:space="preserve"> used by those </w:t>
      </w:r>
      <w:r w:rsidR="005B122C">
        <w:rPr>
          <w:rFonts w:ascii="Times New Roman" w:hAnsi="Times New Roman" w:cs="Times New Roman"/>
          <w:sz w:val="24"/>
          <w:szCs w:val="24"/>
        </w:rPr>
        <w:t xml:space="preserve">living in the town at this time. </w:t>
      </w:r>
      <w:r w:rsidR="0003739A">
        <w:rPr>
          <w:rFonts w:ascii="Times New Roman" w:hAnsi="Times New Roman" w:cs="Times New Roman"/>
          <w:sz w:val="24"/>
          <w:szCs w:val="24"/>
        </w:rPr>
        <w:t>Identity is a complex concept that is made up of a number of characterisations (</w:t>
      </w:r>
      <w:r w:rsidR="005E589A">
        <w:rPr>
          <w:rFonts w:ascii="Times New Roman" w:hAnsi="Times New Roman" w:cs="Times New Roman"/>
          <w:sz w:val="24"/>
          <w:szCs w:val="24"/>
        </w:rPr>
        <w:t xml:space="preserve">including, </w:t>
      </w:r>
      <w:r w:rsidR="0003739A">
        <w:rPr>
          <w:rFonts w:ascii="Times New Roman" w:hAnsi="Times New Roman" w:cs="Times New Roman"/>
          <w:sz w:val="24"/>
          <w:szCs w:val="24"/>
        </w:rPr>
        <w:t>for example, social status, gender, age, profession, religion</w:t>
      </w:r>
      <w:r w:rsidR="0009454C">
        <w:rPr>
          <w:rFonts w:ascii="Times New Roman" w:hAnsi="Times New Roman" w:cs="Times New Roman"/>
          <w:sz w:val="24"/>
          <w:szCs w:val="24"/>
        </w:rPr>
        <w:t xml:space="preserve">, and inclusion within particular groups), </w:t>
      </w:r>
      <w:r w:rsidR="00101E18">
        <w:rPr>
          <w:rFonts w:ascii="Times New Roman" w:hAnsi="Times New Roman" w:cs="Times New Roman"/>
          <w:sz w:val="24"/>
          <w:szCs w:val="24"/>
        </w:rPr>
        <w:t>attitudes</w:t>
      </w:r>
      <w:r w:rsidR="00EC7C65">
        <w:rPr>
          <w:rFonts w:ascii="Times New Roman" w:hAnsi="Times New Roman" w:cs="Times New Roman"/>
          <w:sz w:val="24"/>
          <w:szCs w:val="24"/>
        </w:rPr>
        <w:t xml:space="preserve"> and ideals</w:t>
      </w:r>
      <w:r w:rsidR="00101E18">
        <w:rPr>
          <w:rFonts w:ascii="Times New Roman" w:hAnsi="Times New Roman" w:cs="Times New Roman"/>
          <w:sz w:val="24"/>
          <w:szCs w:val="24"/>
        </w:rPr>
        <w:t>, cultural influences</w:t>
      </w:r>
      <w:r w:rsidR="00EC7C65">
        <w:rPr>
          <w:rFonts w:ascii="Times New Roman" w:hAnsi="Times New Roman" w:cs="Times New Roman"/>
          <w:sz w:val="24"/>
          <w:szCs w:val="24"/>
        </w:rPr>
        <w:t>,</w:t>
      </w:r>
      <w:r w:rsidR="00101E18">
        <w:rPr>
          <w:rFonts w:ascii="Times New Roman" w:hAnsi="Times New Roman" w:cs="Times New Roman"/>
          <w:sz w:val="24"/>
          <w:szCs w:val="24"/>
        </w:rPr>
        <w:t xml:space="preserve"> and experiences that are unique to each individual. </w:t>
      </w:r>
      <w:r w:rsidR="00E33D8E">
        <w:rPr>
          <w:rFonts w:ascii="Times New Roman" w:hAnsi="Times New Roman" w:cs="Times New Roman"/>
          <w:sz w:val="24"/>
          <w:szCs w:val="24"/>
        </w:rPr>
        <w:t>These aspects of an individual’s identity are not necessarily fixed; they may develop over time and in response to contemporary socio-cultural, economic</w:t>
      </w:r>
      <w:r w:rsidR="0011450A">
        <w:rPr>
          <w:rFonts w:ascii="Times New Roman" w:hAnsi="Times New Roman" w:cs="Times New Roman"/>
          <w:sz w:val="24"/>
          <w:szCs w:val="24"/>
        </w:rPr>
        <w:t>,</w:t>
      </w:r>
      <w:r w:rsidR="00E33D8E">
        <w:rPr>
          <w:rFonts w:ascii="Times New Roman" w:hAnsi="Times New Roman" w:cs="Times New Roman"/>
          <w:sz w:val="24"/>
          <w:szCs w:val="24"/>
        </w:rPr>
        <w:t xml:space="preserve"> and political </w:t>
      </w:r>
      <w:r w:rsidR="00C50CA8">
        <w:rPr>
          <w:rFonts w:ascii="Times New Roman" w:hAnsi="Times New Roman" w:cs="Times New Roman"/>
          <w:sz w:val="24"/>
          <w:szCs w:val="24"/>
        </w:rPr>
        <w:t>changes around them. As such this research will be placed within the context of the relationship between the individuals and the community they live</w:t>
      </w:r>
      <w:r w:rsidR="00DA7292">
        <w:rPr>
          <w:rFonts w:ascii="Times New Roman" w:hAnsi="Times New Roman" w:cs="Times New Roman"/>
          <w:sz w:val="24"/>
          <w:szCs w:val="24"/>
        </w:rPr>
        <w:t>d, and died,</w:t>
      </w:r>
      <w:r w:rsidR="00C50CA8">
        <w:rPr>
          <w:rFonts w:ascii="Times New Roman" w:hAnsi="Times New Roman" w:cs="Times New Roman"/>
          <w:sz w:val="24"/>
          <w:szCs w:val="24"/>
        </w:rPr>
        <w:t xml:space="preserve"> in. </w:t>
      </w:r>
      <w:r w:rsidR="00FA1B85">
        <w:rPr>
          <w:rFonts w:ascii="Times New Roman" w:hAnsi="Times New Roman" w:cs="Times New Roman"/>
          <w:sz w:val="24"/>
          <w:szCs w:val="24"/>
        </w:rPr>
        <w:t>The concept of the community itself is not fixed either; the mixing of peoples</w:t>
      </w:r>
      <w:r w:rsidR="00670B94">
        <w:rPr>
          <w:rFonts w:ascii="Times New Roman" w:hAnsi="Times New Roman" w:cs="Times New Roman"/>
          <w:sz w:val="24"/>
          <w:szCs w:val="24"/>
        </w:rPr>
        <w:t xml:space="preserve"> of different cultural and ethnic backgrounds</w:t>
      </w:r>
      <w:r w:rsidR="00FA1B85">
        <w:rPr>
          <w:rFonts w:ascii="Times New Roman" w:hAnsi="Times New Roman" w:cs="Times New Roman"/>
          <w:sz w:val="24"/>
          <w:szCs w:val="24"/>
        </w:rPr>
        <w:t>, ideas, material culture, religion</w:t>
      </w:r>
      <w:r w:rsidR="0011450A">
        <w:rPr>
          <w:rFonts w:ascii="Times New Roman" w:hAnsi="Times New Roman" w:cs="Times New Roman"/>
          <w:sz w:val="24"/>
          <w:szCs w:val="24"/>
        </w:rPr>
        <w:t xml:space="preserve">, and language, resulting from migration, travel, and trade, would have amalgamated into a culture that is uniquely Pompeiian. </w:t>
      </w:r>
      <w:r w:rsidR="00BC7671">
        <w:rPr>
          <w:rFonts w:ascii="Times New Roman" w:hAnsi="Times New Roman" w:cs="Times New Roman"/>
          <w:sz w:val="24"/>
          <w:szCs w:val="24"/>
        </w:rPr>
        <w:t>C</w:t>
      </w:r>
      <w:r w:rsidR="00B17BA5">
        <w:rPr>
          <w:rFonts w:ascii="Times New Roman" w:hAnsi="Times New Roman" w:cs="Times New Roman"/>
          <w:sz w:val="24"/>
          <w:szCs w:val="24"/>
        </w:rPr>
        <w:t xml:space="preserve">are must </w:t>
      </w:r>
      <w:r w:rsidR="00CC6519">
        <w:rPr>
          <w:rFonts w:ascii="Times New Roman" w:hAnsi="Times New Roman" w:cs="Times New Roman"/>
          <w:sz w:val="24"/>
          <w:szCs w:val="24"/>
        </w:rPr>
        <w:t xml:space="preserve">also </w:t>
      </w:r>
      <w:r w:rsidR="00B17BA5">
        <w:rPr>
          <w:rFonts w:ascii="Times New Roman" w:hAnsi="Times New Roman" w:cs="Times New Roman"/>
          <w:sz w:val="24"/>
          <w:szCs w:val="24"/>
        </w:rPr>
        <w:t>be taken to consider how historical events</w:t>
      </w:r>
      <w:r w:rsidR="00F14682">
        <w:rPr>
          <w:rFonts w:ascii="Times New Roman" w:hAnsi="Times New Roman" w:cs="Times New Roman"/>
          <w:sz w:val="24"/>
          <w:szCs w:val="24"/>
        </w:rPr>
        <w:t xml:space="preserve">, both </w:t>
      </w:r>
      <w:r w:rsidR="007C4460">
        <w:rPr>
          <w:rFonts w:ascii="Times New Roman" w:hAnsi="Times New Roman" w:cs="Times New Roman"/>
          <w:sz w:val="24"/>
          <w:szCs w:val="24"/>
        </w:rPr>
        <w:t>in</w:t>
      </w:r>
      <w:r w:rsidR="00F14682">
        <w:rPr>
          <w:rFonts w:ascii="Times New Roman" w:hAnsi="Times New Roman" w:cs="Times New Roman"/>
          <w:sz w:val="24"/>
          <w:szCs w:val="24"/>
        </w:rPr>
        <w:t xml:space="preserve"> and relating to Pompeii,</w:t>
      </w:r>
      <w:r w:rsidR="008E1086">
        <w:rPr>
          <w:rFonts w:ascii="Times New Roman" w:hAnsi="Times New Roman" w:cs="Times New Roman"/>
          <w:sz w:val="24"/>
          <w:szCs w:val="24"/>
        </w:rPr>
        <w:t xml:space="preserve"> and within the wider Empire, b</w:t>
      </w:r>
      <w:r w:rsidR="00B17BA5">
        <w:rPr>
          <w:rFonts w:ascii="Times New Roman" w:hAnsi="Times New Roman" w:cs="Times New Roman"/>
          <w:sz w:val="24"/>
          <w:szCs w:val="24"/>
        </w:rPr>
        <w:t xml:space="preserve">efore the first century impacted the </w:t>
      </w:r>
      <w:r w:rsidR="00BC7671">
        <w:rPr>
          <w:rFonts w:ascii="Times New Roman" w:hAnsi="Times New Roman" w:cs="Times New Roman"/>
          <w:sz w:val="24"/>
          <w:szCs w:val="24"/>
        </w:rPr>
        <w:t xml:space="preserve">factors mentioned above, and therefore the </w:t>
      </w:r>
      <w:r w:rsidR="00CC6519">
        <w:rPr>
          <w:rFonts w:ascii="Times New Roman" w:hAnsi="Times New Roman" w:cs="Times New Roman"/>
          <w:sz w:val="24"/>
          <w:szCs w:val="24"/>
        </w:rPr>
        <w:t xml:space="preserve">future </w:t>
      </w:r>
      <w:r w:rsidR="009E480C">
        <w:rPr>
          <w:rFonts w:ascii="Times New Roman" w:hAnsi="Times New Roman" w:cs="Times New Roman"/>
          <w:sz w:val="24"/>
          <w:szCs w:val="24"/>
        </w:rPr>
        <w:t xml:space="preserve">cultural climate. </w:t>
      </w:r>
      <w:r w:rsidR="00AC1D55">
        <w:rPr>
          <w:rFonts w:ascii="Times New Roman" w:hAnsi="Times New Roman" w:cs="Times New Roman"/>
          <w:sz w:val="24"/>
          <w:szCs w:val="24"/>
        </w:rPr>
        <w:t xml:space="preserve">The remains of Pompeii are often used to </w:t>
      </w:r>
      <w:r w:rsidR="008D2AE4">
        <w:rPr>
          <w:rFonts w:ascii="Times New Roman" w:hAnsi="Times New Roman" w:cs="Times New Roman"/>
          <w:sz w:val="24"/>
          <w:szCs w:val="24"/>
        </w:rPr>
        <w:t>illuminate aspects of Roman history and culture, of which there were undoubtedly major in</w:t>
      </w:r>
      <w:r w:rsidR="00FF171A">
        <w:rPr>
          <w:rFonts w:ascii="Times New Roman" w:hAnsi="Times New Roman" w:cs="Times New Roman"/>
          <w:sz w:val="24"/>
          <w:szCs w:val="24"/>
        </w:rPr>
        <w:t>fluences</w:t>
      </w:r>
      <w:r w:rsidR="005E0510">
        <w:rPr>
          <w:rFonts w:ascii="Times New Roman" w:hAnsi="Times New Roman" w:cs="Times New Roman"/>
          <w:sz w:val="24"/>
          <w:szCs w:val="24"/>
        </w:rPr>
        <w:t xml:space="preserve">, however this research will question </w:t>
      </w:r>
      <w:r w:rsidR="00061D46">
        <w:rPr>
          <w:rFonts w:ascii="Times New Roman" w:hAnsi="Times New Roman" w:cs="Times New Roman"/>
          <w:sz w:val="24"/>
          <w:szCs w:val="24"/>
        </w:rPr>
        <w:t>how deeply ‘Roman’ the Pompeiian identity really was</w:t>
      </w:r>
      <w:r w:rsidR="00F555FC">
        <w:rPr>
          <w:rFonts w:ascii="Times New Roman" w:hAnsi="Times New Roman" w:cs="Times New Roman"/>
          <w:sz w:val="24"/>
          <w:szCs w:val="24"/>
        </w:rPr>
        <w:t xml:space="preserve">, as opposed </w:t>
      </w:r>
      <w:r w:rsidR="00503F0F">
        <w:rPr>
          <w:rFonts w:ascii="Times New Roman" w:hAnsi="Times New Roman" w:cs="Times New Roman"/>
          <w:sz w:val="24"/>
          <w:szCs w:val="24"/>
        </w:rPr>
        <w:t>one that was accumulated over time with influences from other external cultures</w:t>
      </w:r>
      <w:r w:rsidR="00F5673D">
        <w:rPr>
          <w:rFonts w:ascii="Times New Roman" w:hAnsi="Times New Roman" w:cs="Times New Roman"/>
          <w:sz w:val="24"/>
          <w:szCs w:val="24"/>
        </w:rPr>
        <w:t>,</w:t>
      </w:r>
      <w:r w:rsidR="00503F0F">
        <w:rPr>
          <w:rFonts w:ascii="Times New Roman" w:hAnsi="Times New Roman" w:cs="Times New Roman"/>
          <w:sz w:val="24"/>
          <w:szCs w:val="24"/>
        </w:rPr>
        <w:t xml:space="preserve"> as well as the ‘original’</w:t>
      </w:r>
      <w:r w:rsidR="007640A0">
        <w:rPr>
          <w:rFonts w:ascii="Times New Roman" w:hAnsi="Times New Roman" w:cs="Times New Roman"/>
          <w:sz w:val="24"/>
          <w:szCs w:val="24"/>
        </w:rPr>
        <w:t xml:space="preserve"> founding society of Pompeii. </w:t>
      </w:r>
    </w:p>
    <w:p w14:paraId="6EF7FB4C" w14:textId="4F2C5C79" w:rsidR="004D48C9" w:rsidRDefault="004D48C9" w:rsidP="001250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Pompeii as a site provides an almost unparalleled</w:t>
      </w:r>
      <w:r w:rsidR="00D4706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source of evidence</w:t>
      </w:r>
      <w:r w:rsidR="00D4706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47061">
        <w:rPr>
          <w:rFonts w:ascii="Times New Roman" w:hAnsi="Times New Roman" w:cs="Times New Roman"/>
          <w:sz w:val="24"/>
          <w:szCs w:val="24"/>
        </w:rPr>
        <w:t xml:space="preserve">in terms of extent and state of preservation, </w:t>
      </w:r>
      <w:r>
        <w:rPr>
          <w:rFonts w:ascii="Times New Roman" w:hAnsi="Times New Roman" w:cs="Times New Roman"/>
          <w:sz w:val="24"/>
          <w:szCs w:val="24"/>
        </w:rPr>
        <w:t>of the structu</w:t>
      </w:r>
      <w:r w:rsidR="00834891">
        <w:rPr>
          <w:rFonts w:ascii="Times New Roman" w:hAnsi="Times New Roman" w:cs="Times New Roman"/>
          <w:sz w:val="24"/>
          <w:szCs w:val="24"/>
        </w:rPr>
        <w:t>re</w:t>
      </w:r>
      <w:r w:rsidR="00080877">
        <w:rPr>
          <w:rFonts w:ascii="Times New Roman" w:hAnsi="Times New Roman" w:cs="Times New Roman"/>
          <w:sz w:val="24"/>
          <w:szCs w:val="24"/>
        </w:rPr>
        <w:t xml:space="preserve"> of</w:t>
      </w:r>
      <w:r w:rsidR="00DB7328">
        <w:rPr>
          <w:rFonts w:ascii="Times New Roman" w:hAnsi="Times New Roman" w:cs="Times New Roman"/>
          <w:sz w:val="24"/>
          <w:szCs w:val="24"/>
        </w:rPr>
        <w:t>,</w:t>
      </w:r>
      <w:r w:rsidR="00834891">
        <w:rPr>
          <w:rFonts w:ascii="Times New Roman" w:hAnsi="Times New Roman" w:cs="Times New Roman"/>
          <w:sz w:val="24"/>
          <w:szCs w:val="24"/>
        </w:rPr>
        <w:t xml:space="preserve"> and life in</w:t>
      </w:r>
      <w:r w:rsidR="00DB7328">
        <w:rPr>
          <w:rFonts w:ascii="Times New Roman" w:hAnsi="Times New Roman" w:cs="Times New Roman"/>
          <w:sz w:val="24"/>
          <w:szCs w:val="24"/>
        </w:rPr>
        <w:t>,</w:t>
      </w:r>
      <w:r w:rsidR="00834891">
        <w:rPr>
          <w:rFonts w:ascii="Times New Roman" w:hAnsi="Times New Roman" w:cs="Times New Roman"/>
          <w:sz w:val="24"/>
          <w:szCs w:val="24"/>
        </w:rPr>
        <w:t xml:space="preserve"> an ancient town, which is why I have chosen it as the place within which to focus my research. </w:t>
      </w:r>
      <w:r w:rsidR="00BC7671">
        <w:rPr>
          <w:rFonts w:ascii="Times New Roman" w:hAnsi="Times New Roman" w:cs="Times New Roman"/>
          <w:sz w:val="24"/>
          <w:szCs w:val="24"/>
        </w:rPr>
        <w:t xml:space="preserve">As a result of this, the main basis of the evidence used is archaeological; what material evidence did the ancient inhabitants of Pompeii leave behind </w:t>
      </w:r>
      <w:r w:rsidR="00F7415A">
        <w:rPr>
          <w:rFonts w:ascii="Times New Roman" w:hAnsi="Times New Roman" w:cs="Times New Roman"/>
          <w:sz w:val="24"/>
          <w:szCs w:val="24"/>
        </w:rPr>
        <w:t>that can direct us to an understanding of how they interpreted their own identities</w:t>
      </w:r>
      <w:r w:rsidR="00445164">
        <w:rPr>
          <w:rFonts w:ascii="Times New Roman" w:hAnsi="Times New Roman" w:cs="Times New Roman"/>
          <w:sz w:val="24"/>
          <w:szCs w:val="24"/>
        </w:rPr>
        <w:t>?</w:t>
      </w:r>
      <w:r w:rsidR="00F7415A">
        <w:rPr>
          <w:rFonts w:ascii="Times New Roman" w:hAnsi="Times New Roman" w:cs="Times New Roman"/>
          <w:sz w:val="24"/>
          <w:szCs w:val="24"/>
        </w:rPr>
        <w:t xml:space="preserve"> </w:t>
      </w:r>
      <w:r w:rsidR="00AD1A43">
        <w:rPr>
          <w:rFonts w:ascii="Times New Roman" w:hAnsi="Times New Roman" w:cs="Times New Roman"/>
          <w:sz w:val="24"/>
          <w:szCs w:val="24"/>
        </w:rPr>
        <w:t xml:space="preserve">It is not enough, however, to assume that the archaeological evidence </w:t>
      </w:r>
      <w:r w:rsidR="00C271A2">
        <w:rPr>
          <w:rFonts w:ascii="Times New Roman" w:hAnsi="Times New Roman" w:cs="Times New Roman"/>
          <w:sz w:val="24"/>
          <w:szCs w:val="24"/>
        </w:rPr>
        <w:t>alone is sufficient</w:t>
      </w:r>
      <w:r w:rsidR="000F3834">
        <w:rPr>
          <w:rFonts w:ascii="Times New Roman" w:hAnsi="Times New Roman" w:cs="Times New Roman"/>
          <w:sz w:val="24"/>
          <w:szCs w:val="24"/>
        </w:rPr>
        <w:t xml:space="preserve"> to understand an individual’s point of view a</w:t>
      </w:r>
      <w:r w:rsidR="006428C0">
        <w:rPr>
          <w:rFonts w:ascii="Times New Roman" w:hAnsi="Times New Roman" w:cs="Times New Roman"/>
          <w:sz w:val="24"/>
          <w:szCs w:val="24"/>
        </w:rPr>
        <w:t xml:space="preserve">lmost two thousand years later; without the inherent and inherited </w:t>
      </w:r>
      <w:r w:rsidR="00F30E45">
        <w:rPr>
          <w:rFonts w:ascii="Times New Roman" w:hAnsi="Times New Roman" w:cs="Times New Roman"/>
          <w:sz w:val="24"/>
          <w:szCs w:val="24"/>
        </w:rPr>
        <w:t xml:space="preserve">cultural understanding of an ancient Pompeiian, it is easy to misinterpret the evidence. </w:t>
      </w:r>
      <w:r w:rsidR="006168FA">
        <w:rPr>
          <w:rFonts w:ascii="Times New Roman" w:hAnsi="Times New Roman" w:cs="Times New Roman"/>
          <w:sz w:val="24"/>
          <w:szCs w:val="24"/>
        </w:rPr>
        <w:t xml:space="preserve">With this in mind, </w:t>
      </w:r>
      <w:r w:rsidR="00B14E11">
        <w:rPr>
          <w:rFonts w:ascii="Times New Roman" w:hAnsi="Times New Roman" w:cs="Times New Roman"/>
          <w:sz w:val="24"/>
          <w:szCs w:val="24"/>
        </w:rPr>
        <w:t xml:space="preserve">I will be </w:t>
      </w:r>
      <w:r w:rsidR="004D1B46">
        <w:rPr>
          <w:rFonts w:ascii="Times New Roman" w:hAnsi="Times New Roman" w:cs="Times New Roman"/>
          <w:sz w:val="24"/>
          <w:szCs w:val="24"/>
        </w:rPr>
        <w:t>consulting the archaeological evidence in close comparison with other forms of primary sources, such as literary, iconographic, and epigraphic</w:t>
      </w:r>
      <w:r w:rsidR="00C271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A708C12" w14:textId="63968700" w:rsidR="00EA7BA9" w:rsidRPr="00B63394" w:rsidRDefault="0068055B" w:rsidP="001250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looking at the evidence</w:t>
      </w:r>
      <w:r w:rsidR="00492293">
        <w:rPr>
          <w:rFonts w:ascii="Times New Roman" w:hAnsi="Times New Roman" w:cs="Times New Roman"/>
          <w:sz w:val="24"/>
          <w:szCs w:val="24"/>
        </w:rPr>
        <w:t xml:space="preserve"> of identity, and particularly when a</w:t>
      </w:r>
      <w:r>
        <w:rPr>
          <w:rFonts w:ascii="Times New Roman" w:hAnsi="Times New Roman" w:cs="Times New Roman"/>
          <w:sz w:val="24"/>
          <w:szCs w:val="24"/>
        </w:rPr>
        <w:t>ssociated with funerary practice</w:t>
      </w:r>
      <w:r w:rsidR="0049229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issue of dating </w:t>
      </w:r>
      <w:r w:rsidR="00210E5F">
        <w:rPr>
          <w:rFonts w:ascii="Times New Roman" w:hAnsi="Times New Roman" w:cs="Times New Roman"/>
          <w:sz w:val="24"/>
          <w:szCs w:val="24"/>
        </w:rPr>
        <w:t xml:space="preserve">becomes especially relevant. </w:t>
      </w:r>
      <w:r w:rsidR="00142309">
        <w:rPr>
          <w:rFonts w:ascii="Times New Roman" w:hAnsi="Times New Roman" w:cs="Times New Roman"/>
          <w:sz w:val="24"/>
          <w:szCs w:val="24"/>
        </w:rPr>
        <w:t xml:space="preserve">While the ‘latest fashions’ may have been more common amongst the living population, archaising trends </w:t>
      </w:r>
      <w:r w:rsidR="004513BF">
        <w:rPr>
          <w:rFonts w:ascii="Times New Roman" w:hAnsi="Times New Roman" w:cs="Times New Roman"/>
          <w:sz w:val="24"/>
          <w:szCs w:val="24"/>
        </w:rPr>
        <w:t xml:space="preserve">(as in, using a more tradition-inspired representation of the deceased that may hark back to trends </w:t>
      </w:r>
      <w:r w:rsidR="00C7297F">
        <w:rPr>
          <w:rFonts w:ascii="Times New Roman" w:hAnsi="Times New Roman" w:cs="Times New Roman"/>
          <w:sz w:val="24"/>
          <w:szCs w:val="24"/>
        </w:rPr>
        <w:t xml:space="preserve">and practices </w:t>
      </w:r>
      <w:r w:rsidR="004513BF">
        <w:rPr>
          <w:rFonts w:ascii="Times New Roman" w:hAnsi="Times New Roman" w:cs="Times New Roman"/>
          <w:sz w:val="24"/>
          <w:szCs w:val="24"/>
        </w:rPr>
        <w:t xml:space="preserve">of past generations) can often be </w:t>
      </w:r>
      <w:r w:rsidR="006713C8">
        <w:rPr>
          <w:rFonts w:ascii="Times New Roman" w:hAnsi="Times New Roman" w:cs="Times New Roman"/>
          <w:sz w:val="24"/>
          <w:szCs w:val="24"/>
        </w:rPr>
        <w:t>seen in</w:t>
      </w:r>
      <w:r w:rsidR="00857A24">
        <w:rPr>
          <w:rFonts w:ascii="Times New Roman" w:hAnsi="Times New Roman" w:cs="Times New Roman"/>
          <w:sz w:val="24"/>
          <w:szCs w:val="24"/>
        </w:rPr>
        <w:t xml:space="preserve"> the world of the dead. Due to this, I will be critical of the dating attributed to the case studies included in this research as proposed by modern scholarship. </w:t>
      </w:r>
      <w:r w:rsidR="005F50F3">
        <w:rPr>
          <w:rFonts w:ascii="Times New Roman" w:hAnsi="Times New Roman" w:cs="Times New Roman"/>
          <w:sz w:val="24"/>
          <w:szCs w:val="24"/>
        </w:rPr>
        <w:t xml:space="preserve">This in itself comes with its own problems; it is very difficult to </w:t>
      </w:r>
      <w:r w:rsidR="00BC2E71">
        <w:rPr>
          <w:rFonts w:ascii="Times New Roman" w:hAnsi="Times New Roman" w:cs="Times New Roman"/>
          <w:sz w:val="24"/>
          <w:szCs w:val="24"/>
        </w:rPr>
        <w:t>accurately date material objects</w:t>
      </w:r>
      <w:r w:rsidR="00B47234">
        <w:rPr>
          <w:rFonts w:ascii="Times New Roman" w:hAnsi="Times New Roman" w:cs="Times New Roman"/>
          <w:sz w:val="24"/>
          <w:szCs w:val="24"/>
        </w:rPr>
        <w:t xml:space="preserve"> to within a timescale that best correlates with a potentially</w:t>
      </w:r>
      <w:r w:rsidR="0018275A">
        <w:rPr>
          <w:rFonts w:ascii="Times New Roman" w:hAnsi="Times New Roman" w:cs="Times New Roman"/>
          <w:sz w:val="24"/>
          <w:szCs w:val="24"/>
        </w:rPr>
        <w:t>, at times,</w:t>
      </w:r>
      <w:r w:rsidR="00B47234">
        <w:rPr>
          <w:rFonts w:ascii="Times New Roman" w:hAnsi="Times New Roman" w:cs="Times New Roman"/>
          <w:sz w:val="24"/>
          <w:szCs w:val="24"/>
        </w:rPr>
        <w:t xml:space="preserve"> rapidly changing cultural climate</w:t>
      </w:r>
      <w:r w:rsidR="00866E14">
        <w:rPr>
          <w:rFonts w:ascii="Times New Roman" w:hAnsi="Times New Roman" w:cs="Times New Roman"/>
          <w:sz w:val="24"/>
          <w:szCs w:val="24"/>
        </w:rPr>
        <w:t xml:space="preserve">. </w:t>
      </w:r>
      <w:r w:rsidR="00BA2CAA">
        <w:rPr>
          <w:rFonts w:ascii="Times New Roman" w:hAnsi="Times New Roman" w:cs="Times New Roman"/>
          <w:sz w:val="24"/>
          <w:szCs w:val="24"/>
        </w:rPr>
        <w:t>By comparing individual pieces of evidence with other, known, earlier pieces</w:t>
      </w:r>
      <w:r w:rsidR="00F8698D">
        <w:rPr>
          <w:rFonts w:ascii="Times New Roman" w:hAnsi="Times New Roman" w:cs="Times New Roman"/>
          <w:sz w:val="24"/>
          <w:szCs w:val="24"/>
        </w:rPr>
        <w:t xml:space="preserve"> (dated within a broader time scale)</w:t>
      </w:r>
      <w:r w:rsidR="005E73F9">
        <w:rPr>
          <w:rFonts w:ascii="Times New Roman" w:hAnsi="Times New Roman" w:cs="Times New Roman"/>
          <w:sz w:val="24"/>
          <w:szCs w:val="24"/>
        </w:rPr>
        <w:t xml:space="preserve"> it is possible to attempt to track any archaising trends that may have been present</w:t>
      </w:r>
      <w:r w:rsidR="001522A8">
        <w:rPr>
          <w:rFonts w:ascii="Times New Roman" w:hAnsi="Times New Roman" w:cs="Times New Roman"/>
          <w:sz w:val="24"/>
          <w:szCs w:val="24"/>
        </w:rPr>
        <w:t>, and as a result corroborate or question the previous dating attempts</w:t>
      </w:r>
      <w:r w:rsidR="005E73F9">
        <w:rPr>
          <w:rFonts w:ascii="Times New Roman" w:hAnsi="Times New Roman" w:cs="Times New Roman"/>
          <w:sz w:val="24"/>
          <w:szCs w:val="24"/>
        </w:rPr>
        <w:t xml:space="preserve">. </w:t>
      </w:r>
      <w:r w:rsidR="00EA7BA9">
        <w:br w:type="page"/>
      </w:r>
    </w:p>
    <w:p w14:paraId="0ABA52F4" w14:textId="77777777" w:rsidR="005359CF" w:rsidRPr="00EA7BA9" w:rsidRDefault="00EA7BA9" w:rsidP="00EA7BA9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A7BA9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290D07E6" w14:textId="77777777" w:rsidR="00EA7BA9" w:rsidRDefault="00EA7BA9" w:rsidP="00EA7BA9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Ancient Sources:</w:t>
      </w:r>
    </w:p>
    <w:p w14:paraId="6471E5D9" w14:textId="77777777" w:rsidR="00A42DDF" w:rsidRDefault="00A42DDF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Ovid, Tristia. L. R. Lind (trans.). 1975. Athens: University of Georgia Press.</w:t>
      </w:r>
    </w:p>
    <w:p w14:paraId="008BA52E" w14:textId="77777777" w:rsidR="00A42DDF" w:rsidRDefault="00A42DDF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Petronius, The Satyricon. J. Sullivan (trans.). 1965. Harmondsworth: Penguin Books Ltd. </w:t>
      </w:r>
    </w:p>
    <w:p w14:paraId="084C860B" w14:textId="77777777" w:rsidR="00A42DDF" w:rsidRPr="008C6951" w:rsidRDefault="00A42DDF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Strabo, Geography. H. C. Hamilton, W. Falconer (trans.). 1903. London: George Bell &amp; Sons. </w:t>
      </w:r>
    </w:p>
    <w:p w14:paraId="04CD44E8" w14:textId="22611DBC" w:rsidR="006B27B9" w:rsidRDefault="006B27B9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Modern Scholarship</w:t>
      </w:r>
    </w:p>
    <w:p w14:paraId="4B71BC9A" w14:textId="77777777" w:rsidR="00415865" w:rsidRPr="0070631A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Campbell, V. (2015) </w:t>
      </w:r>
      <w:r>
        <w:rPr>
          <w:rFonts w:ascii="Times New Roman" w:hAnsi="Times New Roman" w:cs="Times New Roman"/>
          <w:i/>
          <w:sz w:val="24"/>
          <w:szCs w:val="24"/>
        </w:rPr>
        <w:t>The Tombs of Pompeii: Organisation, Space and Society</w:t>
      </w:r>
      <w:r>
        <w:rPr>
          <w:rFonts w:ascii="Times New Roman" w:hAnsi="Times New Roman" w:cs="Times New Roman"/>
          <w:sz w:val="24"/>
          <w:szCs w:val="24"/>
        </w:rPr>
        <w:t>. New York: Routledge.</w:t>
      </w:r>
    </w:p>
    <w:p w14:paraId="655D3D01" w14:textId="77777777" w:rsidR="00415865" w:rsidRPr="00A31906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Carafa, P. (2007) ‘Recent Work on Early Pompeii’, in Foss, P., Dobbins, J. (ed.) </w:t>
      </w:r>
      <w:r>
        <w:rPr>
          <w:rFonts w:ascii="Times New Roman" w:hAnsi="Times New Roman" w:cs="Times New Roman"/>
          <w:i/>
          <w:sz w:val="24"/>
          <w:szCs w:val="24"/>
        </w:rPr>
        <w:t>The World of Pompeii</w:t>
      </w:r>
      <w:r>
        <w:rPr>
          <w:rFonts w:ascii="Times New Roman" w:hAnsi="Times New Roman" w:cs="Times New Roman"/>
          <w:sz w:val="24"/>
          <w:szCs w:val="24"/>
        </w:rPr>
        <w:t>. London: Routledge.</w:t>
      </w:r>
    </w:p>
    <w:p w14:paraId="44FA4021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D’Ambra, E. (1988) ‘A Myth for a Smith: A Meleager Sarcophagus from a Tomb in Ostia’, </w:t>
      </w:r>
      <w:r>
        <w:rPr>
          <w:rFonts w:ascii="Times New Roman" w:hAnsi="Times New Roman" w:cs="Times New Roman"/>
          <w:i/>
          <w:sz w:val="24"/>
          <w:szCs w:val="24"/>
        </w:rPr>
        <w:t>American Journal of Archaeology</w:t>
      </w:r>
      <w:r>
        <w:rPr>
          <w:rFonts w:ascii="Times New Roman" w:hAnsi="Times New Roman" w:cs="Times New Roman"/>
          <w:sz w:val="24"/>
          <w:szCs w:val="24"/>
        </w:rPr>
        <w:t>, 92(1), pp. 85-99.</w:t>
      </w:r>
    </w:p>
    <w:p w14:paraId="4F7B19FD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Davies, G. (2008) ‘Portrait Statues as Models for Gender Roles in Roman Society’, </w:t>
      </w:r>
      <w:r>
        <w:rPr>
          <w:rFonts w:ascii="Times New Roman" w:hAnsi="Times New Roman" w:cs="Times New Roman"/>
          <w:i/>
          <w:sz w:val="24"/>
          <w:szCs w:val="24"/>
        </w:rPr>
        <w:t>Memoirs of the American Academy in Rome. Supplementary Volumes</w:t>
      </w:r>
      <w:r>
        <w:rPr>
          <w:rFonts w:ascii="Times New Roman" w:hAnsi="Times New Roman" w:cs="Times New Roman"/>
          <w:sz w:val="24"/>
          <w:szCs w:val="24"/>
        </w:rPr>
        <w:t>, 7, pp. 207-220.</w:t>
      </w:r>
    </w:p>
    <w:p w14:paraId="40A0DD3F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 Quiroga, P. (2010) ‘Empire Sociology: Italian Freedmen, From Success to Oblivion’, </w:t>
      </w:r>
      <w:r>
        <w:rPr>
          <w:rFonts w:ascii="Times New Roman" w:hAnsi="Times New Roman" w:cs="Times New Roman"/>
          <w:i/>
          <w:sz w:val="24"/>
          <w:szCs w:val="24"/>
        </w:rPr>
        <w:t>Historia: Zeitschrift für Alte Geschichte</w:t>
      </w:r>
      <w:r>
        <w:rPr>
          <w:rFonts w:ascii="Times New Roman" w:hAnsi="Times New Roman" w:cs="Times New Roman"/>
          <w:sz w:val="24"/>
          <w:szCs w:val="24"/>
        </w:rPr>
        <w:t>, 59 (3), pp. 321-341.</w:t>
      </w:r>
    </w:p>
    <w:p w14:paraId="765487A9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Dixon, S. (2008) ‘Gracious Patrons and Vulgur Success Stories in Roman Public Media’, </w:t>
      </w:r>
      <w:r>
        <w:rPr>
          <w:rFonts w:ascii="Times New Roman" w:hAnsi="Times New Roman" w:cs="Times New Roman"/>
          <w:i/>
          <w:sz w:val="24"/>
          <w:szCs w:val="24"/>
        </w:rPr>
        <w:t>Memoirs of the American Academy in Rome. Supplementary Volumes</w:t>
      </w:r>
      <w:r>
        <w:rPr>
          <w:rFonts w:ascii="Times New Roman" w:hAnsi="Times New Roman" w:cs="Times New Roman"/>
          <w:sz w:val="24"/>
          <w:szCs w:val="24"/>
        </w:rPr>
        <w:t>, 7, pp. 57-68.</w:t>
      </w:r>
    </w:p>
    <w:p w14:paraId="23E54D11" w14:textId="77777777" w:rsidR="00415865" w:rsidRPr="006A1799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Dolansky, F. (2011) ‘Honouring the Family Dead on the Parentalia: Ceremony, Spectacle, and Memory’, </w:t>
      </w:r>
      <w:r>
        <w:rPr>
          <w:rFonts w:ascii="Times New Roman" w:hAnsi="Times New Roman" w:cs="Times New Roman"/>
          <w:i/>
          <w:sz w:val="24"/>
          <w:szCs w:val="24"/>
        </w:rPr>
        <w:t>Phoenix</w:t>
      </w:r>
      <w:r>
        <w:rPr>
          <w:rFonts w:ascii="Times New Roman" w:hAnsi="Times New Roman" w:cs="Times New Roman"/>
          <w:sz w:val="24"/>
          <w:szCs w:val="24"/>
        </w:rPr>
        <w:t>, 65 (1/2), pp. 125-157.</w:t>
      </w:r>
    </w:p>
    <w:p w14:paraId="2ECA4398" w14:textId="77777777" w:rsidR="00415865" w:rsidRPr="006906E3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906E3">
        <w:rPr>
          <w:rFonts w:ascii="Times New Roman" w:hAnsi="Times New Roman" w:cs="Times New Roman"/>
          <w:sz w:val="24"/>
          <w:szCs w:val="24"/>
        </w:rPr>
        <w:t xml:space="preserve">Emmerson, A. (2011) ‘Evidence for Junian Latins in the tombs of Pompeii?’, </w:t>
      </w:r>
      <w:r w:rsidRPr="006906E3">
        <w:rPr>
          <w:rFonts w:ascii="Times New Roman" w:hAnsi="Times New Roman" w:cs="Times New Roman"/>
          <w:i/>
          <w:sz w:val="24"/>
          <w:szCs w:val="24"/>
        </w:rPr>
        <w:t>Journal of Roman Archaeology</w:t>
      </w:r>
      <w:r w:rsidRPr="006906E3">
        <w:rPr>
          <w:rFonts w:ascii="Times New Roman" w:hAnsi="Times New Roman" w:cs="Times New Roman"/>
          <w:sz w:val="24"/>
          <w:szCs w:val="24"/>
        </w:rPr>
        <w:t xml:space="preserve">, 24, pp. 161-190. </w:t>
      </w:r>
    </w:p>
    <w:p w14:paraId="208FDD76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Franklin, Jr., J. (2004) ‘Fragmented Pompeian Prosopography: The Enticing and Frustrating Veii’, </w:t>
      </w:r>
      <w:r>
        <w:rPr>
          <w:rFonts w:ascii="Times New Roman" w:hAnsi="Times New Roman" w:cs="Times New Roman"/>
          <w:i/>
          <w:sz w:val="24"/>
          <w:szCs w:val="24"/>
        </w:rPr>
        <w:t>The Classical World</w:t>
      </w:r>
      <w:r>
        <w:rPr>
          <w:rFonts w:ascii="Times New Roman" w:hAnsi="Times New Roman" w:cs="Times New Roman"/>
          <w:sz w:val="24"/>
          <w:szCs w:val="24"/>
        </w:rPr>
        <w:t xml:space="preserve">, 98(1), pp. 21-29. </w:t>
      </w:r>
    </w:p>
    <w:p w14:paraId="4A2FB708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Grasby, R. and Tomlin, R. (2002) ‘The Sepulchral Monument of the Procurator C. Julius Classicianus’, </w:t>
      </w:r>
      <w:r>
        <w:rPr>
          <w:rFonts w:ascii="Times New Roman" w:hAnsi="Times New Roman" w:cs="Times New Roman"/>
          <w:i/>
          <w:sz w:val="24"/>
          <w:szCs w:val="24"/>
        </w:rPr>
        <w:t>Britannia</w:t>
      </w:r>
      <w:r>
        <w:rPr>
          <w:rFonts w:ascii="Times New Roman" w:hAnsi="Times New Roman" w:cs="Times New Roman"/>
          <w:sz w:val="24"/>
          <w:szCs w:val="24"/>
        </w:rPr>
        <w:t>, 33, pp. 43-75.</w:t>
      </w:r>
    </w:p>
    <w:p w14:paraId="238D8C78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Hartnett, J. (2008) ‘Streetside Benches and Urban Society in Pompeii’, </w:t>
      </w:r>
      <w:r>
        <w:rPr>
          <w:rFonts w:ascii="Times New Roman" w:hAnsi="Times New Roman" w:cs="Times New Roman"/>
          <w:i/>
          <w:sz w:val="24"/>
          <w:szCs w:val="24"/>
        </w:rPr>
        <w:t>American Journal of Archaeology</w:t>
      </w:r>
      <w:r>
        <w:rPr>
          <w:rFonts w:ascii="Times New Roman" w:hAnsi="Times New Roman" w:cs="Times New Roman"/>
          <w:sz w:val="24"/>
          <w:szCs w:val="24"/>
        </w:rPr>
        <w:t xml:space="preserve">, 112(1), pp. 91-119. </w:t>
      </w:r>
    </w:p>
    <w:p w14:paraId="085293EA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906E3">
        <w:rPr>
          <w:rFonts w:ascii="Times New Roman" w:hAnsi="Times New Roman" w:cs="Times New Roman"/>
          <w:sz w:val="24"/>
          <w:szCs w:val="24"/>
        </w:rPr>
        <w:t xml:space="preserve">Hope, M. (1997) ‘Constructing Roman identity: Funerary monuments and social structure in the Roman world’, </w:t>
      </w:r>
      <w:r w:rsidRPr="006906E3">
        <w:rPr>
          <w:rFonts w:ascii="Times New Roman" w:hAnsi="Times New Roman" w:cs="Times New Roman"/>
          <w:i/>
          <w:sz w:val="24"/>
          <w:szCs w:val="24"/>
        </w:rPr>
        <w:t>Mortality. Promoting the interdisciplinary study of death and dying</w:t>
      </w:r>
      <w:r w:rsidRPr="006906E3">
        <w:rPr>
          <w:rFonts w:ascii="Times New Roman" w:hAnsi="Times New Roman" w:cs="Times New Roman"/>
          <w:sz w:val="24"/>
          <w:szCs w:val="24"/>
        </w:rPr>
        <w:t>, 2(2), pp. 103-121.</w:t>
      </w:r>
    </w:p>
    <w:p w14:paraId="630133F3" w14:textId="77777777" w:rsidR="00415865" w:rsidRPr="007A72D7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Hope, V.M. (2018) ‘Dead People’s Clothes: Materialising Mourning and Memory in Ancient Rome’, in Newby, Z. and Toulson, R. (eds.) </w:t>
      </w:r>
      <w:r>
        <w:rPr>
          <w:rFonts w:ascii="Times New Roman" w:hAnsi="Times New Roman" w:cs="Times New Roman"/>
          <w:i/>
          <w:sz w:val="24"/>
          <w:szCs w:val="24"/>
        </w:rPr>
        <w:t>The Materiality of Mourning: Cross-disciplinary Perspectives</w:t>
      </w:r>
      <w:r>
        <w:rPr>
          <w:rFonts w:ascii="Times New Roman" w:hAnsi="Times New Roman" w:cs="Times New Roman"/>
          <w:sz w:val="24"/>
          <w:szCs w:val="24"/>
        </w:rPr>
        <w:t>. London: Routledge.</w:t>
      </w:r>
    </w:p>
    <w:p w14:paraId="4032D71B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Lazer, E. (2009) </w:t>
      </w:r>
      <w:r>
        <w:rPr>
          <w:rFonts w:ascii="Times New Roman" w:hAnsi="Times New Roman" w:cs="Times New Roman"/>
          <w:i/>
          <w:sz w:val="24"/>
          <w:szCs w:val="24"/>
        </w:rPr>
        <w:t>Resurrecting Pompeii</w:t>
      </w:r>
      <w:r>
        <w:rPr>
          <w:rFonts w:ascii="Times New Roman" w:hAnsi="Times New Roman" w:cs="Times New Roman"/>
          <w:sz w:val="24"/>
          <w:szCs w:val="24"/>
        </w:rPr>
        <w:t>. London: Routledge.</w:t>
      </w:r>
    </w:p>
    <w:p w14:paraId="7972FAE0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Leiwo, M. (1994)</w:t>
      </w:r>
      <w:r>
        <w:rPr>
          <w:rFonts w:ascii="Times New Roman" w:hAnsi="Times New Roman" w:cs="Times New Roman"/>
          <w:i/>
          <w:sz w:val="24"/>
          <w:szCs w:val="24"/>
        </w:rPr>
        <w:t xml:space="preserve"> Neapolitana: a study of population and language in Graeco-Roman Naples</w:t>
      </w:r>
      <w:r>
        <w:rPr>
          <w:rFonts w:ascii="Times New Roman" w:hAnsi="Times New Roman" w:cs="Times New Roman"/>
          <w:sz w:val="24"/>
          <w:szCs w:val="24"/>
        </w:rPr>
        <w:t xml:space="preserve">. Helsinki: Finnish Society of Sciences and Letters. </w:t>
      </w:r>
    </w:p>
    <w:p w14:paraId="4B0F5BEF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Mouritsen, H. (2005) ‘Freedmen and Decurions: Epitaphs and Social History in Imperial Italy’, </w:t>
      </w:r>
      <w:r>
        <w:rPr>
          <w:rFonts w:ascii="Times New Roman" w:hAnsi="Times New Roman" w:cs="Times New Roman"/>
          <w:i/>
          <w:sz w:val="24"/>
          <w:szCs w:val="24"/>
        </w:rPr>
        <w:t>The Journal of Roman Studies</w:t>
      </w:r>
      <w:r>
        <w:rPr>
          <w:rFonts w:ascii="Times New Roman" w:hAnsi="Times New Roman" w:cs="Times New Roman"/>
          <w:sz w:val="24"/>
          <w:szCs w:val="24"/>
        </w:rPr>
        <w:t>, 95, pp. 38-63.</w:t>
      </w:r>
    </w:p>
    <w:p w14:paraId="2746C3B5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Petersen, L. (2003) ‘The Baker, His Tomb, His Wife, and Her Breadbasket: The Monument of Eurysaces in Rome’, </w:t>
      </w:r>
      <w:r>
        <w:rPr>
          <w:rFonts w:ascii="Times New Roman" w:hAnsi="Times New Roman" w:cs="Times New Roman"/>
          <w:i/>
          <w:sz w:val="24"/>
          <w:szCs w:val="24"/>
        </w:rPr>
        <w:t>The Art Bulletin</w:t>
      </w:r>
      <w:r>
        <w:rPr>
          <w:rFonts w:ascii="Times New Roman" w:hAnsi="Times New Roman" w:cs="Times New Roman"/>
          <w:sz w:val="24"/>
          <w:szCs w:val="24"/>
        </w:rPr>
        <w:t>, 85(2), pp. 230-257.</w:t>
      </w:r>
    </w:p>
    <w:p w14:paraId="60CEAF19" w14:textId="77777777" w:rsidR="00415865" w:rsidRDefault="00415865" w:rsidP="00EA7BA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Venit, M. (1997) ‘The Tomb of the Tigrane Pasha Street and the Iconography of Death in Roman Alexandria’, </w:t>
      </w:r>
      <w:r>
        <w:rPr>
          <w:rFonts w:ascii="Times New Roman" w:hAnsi="Times New Roman" w:cs="Times New Roman"/>
          <w:i/>
          <w:sz w:val="24"/>
          <w:szCs w:val="24"/>
        </w:rPr>
        <w:t>American Journal of Archaeology</w:t>
      </w:r>
      <w:r>
        <w:rPr>
          <w:rFonts w:ascii="Times New Roman" w:hAnsi="Times New Roman" w:cs="Times New Roman"/>
          <w:sz w:val="24"/>
          <w:szCs w:val="24"/>
        </w:rPr>
        <w:t>, 101(4), pp. 701-729.</w:t>
      </w:r>
    </w:p>
    <w:sectPr w:rsidR="0041586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4E8533" w14:textId="77777777" w:rsidR="00D31D4E" w:rsidRDefault="00D31D4E" w:rsidP="00D31D4E">
      <w:pPr>
        <w:spacing w:after="0" w:line="240" w:lineRule="auto"/>
      </w:pPr>
      <w:r>
        <w:separator/>
      </w:r>
    </w:p>
  </w:endnote>
  <w:endnote w:type="continuationSeparator" w:id="0">
    <w:p w14:paraId="735C8BD8" w14:textId="77777777" w:rsidR="00D31D4E" w:rsidRDefault="00D31D4E" w:rsidP="00D31D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937709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61CA8F" w14:textId="0BC5870A" w:rsidR="00D31D4E" w:rsidRDefault="00D31D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3731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29057DF" w14:textId="77777777" w:rsidR="00D31D4E" w:rsidRDefault="00D31D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DBBFE4E" w14:textId="77777777" w:rsidR="00D31D4E" w:rsidRDefault="00D31D4E" w:rsidP="00D31D4E">
      <w:pPr>
        <w:spacing w:after="0" w:line="240" w:lineRule="auto"/>
      </w:pPr>
      <w:r>
        <w:separator/>
      </w:r>
    </w:p>
  </w:footnote>
  <w:footnote w:type="continuationSeparator" w:id="0">
    <w:p w14:paraId="6D8F468A" w14:textId="77777777" w:rsidR="00D31D4E" w:rsidRDefault="00D31D4E" w:rsidP="00D31D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5C2233" w14:textId="7768D529" w:rsidR="00D31D4E" w:rsidRPr="00D31D4E" w:rsidRDefault="00D31D4E">
    <w:pPr>
      <w:pStyle w:val="Header"/>
      <w:rPr>
        <w:rFonts w:ascii="Times New Roman" w:hAnsi="Times New Roman" w:cs="Times New Roman"/>
        <w:sz w:val="24"/>
        <w:szCs w:val="24"/>
      </w:rPr>
    </w:pPr>
    <w:r>
      <w:tab/>
    </w:r>
    <w:r>
      <w:tab/>
    </w:r>
    <w:r>
      <w:rPr>
        <w:rFonts w:ascii="Times New Roman" w:hAnsi="Times New Roman" w:cs="Times New Roman"/>
        <w:sz w:val="24"/>
        <w:szCs w:val="24"/>
      </w:rPr>
      <w:t>Eleanor Travers (1500674)</w:t>
    </w:r>
  </w:p>
  <w:p w14:paraId="4321C7BE" w14:textId="77777777" w:rsidR="00D31D4E" w:rsidRDefault="00D31D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577C"/>
    <w:rsid w:val="00002BA2"/>
    <w:rsid w:val="00005814"/>
    <w:rsid w:val="00016502"/>
    <w:rsid w:val="0003739A"/>
    <w:rsid w:val="00061D46"/>
    <w:rsid w:val="00080877"/>
    <w:rsid w:val="00093344"/>
    <w:rsid w:val="0009454C"/>
    <w:rsid w:val="000A3497"/>
    <w:rsid w:val="000E487C"/>
    <w:rsid w:val="000F3834"/>
    <w:rsid w:val="00101E18"/>
    <w:rsid w:val="0011450A"/>
    <w:rsid w:val="0012508B"/>
    <w:rsid w:val="00136692"/>
    <w:rsid w:val="00142309"/>
    <w:rsid w:val="001522A8"/>
    <w:rsid w:val="00154CC2"/>
    <w:rsid w:val="0018275A"/>
    <w:rsid w:val="00210E5F"/>
    <w:rsid w:val="00252C81"/>
    <w:rsid w:val="0026577C"/>
    <w:rsid w:val="002A365C"/>
    <w:rsid w:val="002F0AEA"/>
    <w:rsid w:val="00381F20"/>
    <w:rsid w:val="003A1302"/>
    <w:rsid w:val="004007F5"/>
    <w:rsid w:val="0040088A"/>
    <w:rsid w:val="00415865"/>
    <w:rsid w:val="00434B19"/>
    <w:rsid w:val="00445164"/>
    <w:rsid w:val="004513BF"/>
    <w:rsid w:val="00492293"/>
    <w:rsid w:val="004A365C"/>
    <w:rsid w:val="004D1B46"/>
    <w:rsid w:val="004D48C9"/>
    <w:rsid w:val="00503F0F"/>
    <w:rsid w:val="00530C38"/>
    <w:rsid w:val="005665AD"/>
    <w:rsid w:val="00574970"/>
    <w:rsid w:val="00580B3E"/>
    <w:rsid w:val="005B122C"/>
    <w:rsid w:val="005E0510"/>
    <w:rsid w:val="005E589A"/>
    <w:rsid w:val="005E6905"/>
    <w:rsid w:val="005E73F9"/>
    <w:rsid w:val="005F50F3"/>
    <w:rsid w:val="006168FA"/>
    <w:rsid w:val="006428C0"/>
    <w:rsid w:val="0064507C"/>
    <w:rsid w:val="0065052F"/>
    <w:rsid w:val="00670B94"/>
    <w:rsid w:val="006713C8"/>
    <w:rsid w:val="0068055B"/>
    <w:rsid w:val="006906E3"/>
    <w:rsid w:val="00691AC0"/>
    <w:rsid w:val="006A1799"/>
    <w:rsid w:val="006B27B9"/>
    <w:rsid w:val="006B5DDA"/>
    <w:rsid w:val="006C26F9"/>
    <w:rsid w:val="0070631A"/>
    <w:rsid w:val="00747AF0"/>
    <w:rsid w:val="0075017B"/>
    <w:rsid w:val="007637C7"/>
    <w:rsid w:val="007640A0"/>
    <w:rsid w:val="007A72D7"/>
    <w:rsid w:val="007C4460"/>
    <w:rsid w:val="007F559B"/>
    <w:rsid w:val="0080652F"/>
    <w:rsid w:val="0083097F"/>
    <w:rsid w:val="00834891"/>
    <w:rsid w:val="00856149"/>
    <w:rsid w:val="00857A24"/>
    <w:rsid w:val="00866E14"/>
    <w:rsid w:val="00884612"/>
    <w:rsid w:val="0089208B"/>
    <w:rsid w:val="008C6951"/>
    <w:rsid w:val="008D0BBE"/>
    <w:rsid w:val="008D2AE4"/>
    <w:rsid w:val="008E1086"/>
    <w:rsid w:val="0090477B"/>
    <w:rsid w:val="0098186E"/>
    <w:rsid w:val="009B1B82"/>
    <w:rsid w:val="009E480C"/>
    <w:rsid w:val="00A10D28"/>
    <w:rsid w:val="00A15516"/>
    <w:rsid w:val="00A31906"/>
    <w:rsid w:val="00A42DDF"/>
    <w:rsid w:val="00AC1D55"/>
    <w:rsid w:val="00AC543E"/>
    <w:rsid w:val="00AD1100"/>
    <w:rsid w:val="00AD1A43"/>
    <w:rsid w:val="00B01F65"/>
    <w:rsid w:val="00B14E11"/>
    <w:rsid w:val="00B17BA5"/>
    <w:rsid w:val="00B47234"/>
    <w:rsid w:val="00B63394"/>
    <w:rsid w:val="00B923BF"/>
    <w:rsid w:val="00B9560A"/>
    <w:rsid w:val="00BA2CAA"/>
    <w:rsid w:val="00BC2E71"/>
    <w:rsid w:val="00BC7671"/>
    <w:rsid w:val="00BD4B01"/>
    <w:rsid w:val="00BE16E5"/>
    <w:rsid w:val="00C065B4"/>
    <w:rsid w:val="00C119C4"/>
    <w:rsid w:val="00C11CC5"/>
    <w:rsid w:val="00C12409"/>
    <w:rsid w:val="00C130A0"/>
    <w:rsid w:val="00C271A2"/>
    <w:rsid w:val="00C50CA8"/>
    <w:rsid w:val="00C63FA7"/>
    <w:rsid w:val="00C70D74"/>
    <w:rsid w:val="00C7297F"/>
    <w:rsid w:val="00C816E1"/>
    <w:rsid w:val="00CB6208"/>
    <w:rsid w:val="00CC6519"/>
    <w:rsid w:val="00D31D4E"/>
    <w:rsid w:val="00D32EF2"/>
    <w:rsid w:val="00D37318"/>
    <w:rsid w:val="00D47061"/>
    <w:rsid w:val="00D50854"/>
    <w:rsid w:val="00D5747D"/>
    <w:rsid w:val="00D858B2"/>
    <w:rsid w:val="00DA7292"/>
    <w:rsid w:val="00DB7328"/>
    <w:rsid w:val="00DD74C2"/>
    <w:rsid w:val="00E33D8E"/>
    <w:rsid w:val="00E713A3"/>
    <w:rsid w:val="00EA7BA9"/>
    <w:rsid w:val="00EC7C65"/>
    <w:rsid w:val="00EE531C"/>
    <w:rsid w:val="00EF77DD"/>
    <w:rsid w:val="00F110F3"/>
    <w:rsid w:val="00F14682"/>
    <w:rsid w:val="00F30E45"/>
    <w:rsid w:val="00F439D6"/>
    <w:rsid w:val="00F555FC"/>
    <w:rsid w:val="00F5673D"/>
    <w:rsid w:val="00F65FCF"/>
    <w:rsid w:val="00F7415A"/>
    <w:rsid w:val="00F8698D"/>
    <w:rsid w:val="00FA1B85"/>
    <w:rsid w:val="00FD11B7"/>
    <w:rsid w:val="00FD28D0"/>
    <w:rsid w:val="00FF1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5F9E2"/>
  <w15:chartTrackingRefBased/>
  <w15:docId w15:val="{213A9DF5-48DE-4F77-85C5-A8C0C6866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57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271A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271A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271A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271A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271A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71A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71A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31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D4E"/>
  </w:style>
  <w:style w:type="paragraph" w:styleId="Footer">
    <w:name w:val="footer"/>
    <w:basedOn w:val="Normal"/>
    <w:link w:val="FooterChar"/>
    <w:uiPriority w:val="99"/>
    <w:unhideWhenUsed/>
    <w:rsid w:val="00D31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D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1A30"/>
    <w:rsid w:val="00221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952EB1E80E4AA5B2A0C54D813A585E">
    <w:name w:val="96952EB1E80E4AA5B2A0C54D813A585E"/>
    <w:rsid w:val="00221A3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5CB69B-8CEF-4C5C-BD02-F3D56BF67B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1030</Words>
  <Characters>5877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Travers (1500674)</dc:creator>
  <cp:keywords/>
  <dc:description/>
  <cp:lastModifiedBy>Eleanor Travers (1500674)</cp:lastModifiedBy>
  <cp:revision>2</cp:revision>
  <dcterms:created xsi:type="dcterms:W3CDTF">2018-11-15T22:20:00Z</dcterms:created>
  <dcterms:modified xsi:type="dcterms:W3CDTF">2018-11-15T22:20:00Z</dcterms:modified>
</cp:coreProperties>
</file>