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5FE0A62" w:rsidRDefault="15FE0A62" w14:paraId="4EF56C5C" w14:textId="337438A1">
      <w:r w:rsidRPr="70E5653A" w:rsidR="15FE0A62">
        <w:rPr>
          <w:rFonts w:ascii="Aptos" w:hAnsi="Aptos" w:eastAsia="Aptos" w:cs="Aptos"/>
          <w:noProof w:val="0"/>
          <w:sz w:val="32"/>
          <w:szCs w:val="32"/>
          <w:lang w:val="en-GB"/>
        </w:rPr>
        <w:t>Torn anterior cruciate ligament</w:t>
      </w:r>
    </w:p>
    <w:p w:rsidR="70E5653A" w:rsidP="70E5653A" w:rsidRDefault="70E5653A" w14:paraId="7ABCC473" w14:textId="269B5A5A">
      <w:pPr>
        <w:rPr>
          <w:rFonts w:ascii="Aptos" w:hAnsi="Aptos" w:eastAsia="Aptos" w:cs="Aptos"/>
          <w:noProof w:val="0"/>
          <w:sz w:val="32"/>
          <w:szCs w:val="32"/>
          <w:lang w:val="en-GB"/>
        </w:rPr>
      </w:pPr>
    </w:p>
    <w:p w:rsidR="7341B162" w:rsidP="70E5653A" w:rsidRDefault="7341B162" w14:paraId="725F1059" w14:textId="22A3FB3B">
      <w:pPr>
        <w:rPr>
          <w:rFonts w:ascii="Aptos" w:hAnsi="Aptos" w:eastAsia="Aptos" w:cs="Aptos"/>
          <w:noProof w:val="0"/>
          <w:sz w:val="24"/>
          <w:szCs w:val="24"/>
          <w:u w:val="single"/>
          <w:lang w:val="en-GB"/>
        </w:rPr>
      </w:pPr>
      <w:r w:rsidRPr="70E5653A" w:rsidR="7341B162">
        <w:rPr>
          <w:rFonts w:ascii="Aptos" w:hAnsi="Aptos" w:eastAsia="Aptos" w:cs="Aptos"/>
          <w:noProof w:val="0"/>
          <w:sz w:val="24"/>
          <w:szCs w:val="24"/>
          <w:u w:val="single"/>
          <w:lang w:val="en-GB"/>
        </w:rPr>
        <w:t>Overview</w:t>
      </w:r>
    </w:p>
    <w:p w:rsidR="56EB8C58" w:rsidRDefault="56EB8C58" w14:paraId="55D35E17" w14:textId="58D77616">
      <w:r w:rsidRPr="70E5653A" w:rsidR="56EB8C58">
        <w:rPr>
          <w:rFonts w:ascii="Times New Roman" w:hAnsi="Times New Roman" w:eastAsia="Times New Roman" w:cs="Times New Roman"/>
          <w:noProof w:val="0"/>
          <w:sz w:val="24"/>
          <w:szCs w:val="24"/>
          <w:lang w:val="en-GB"/>
        </w:rPr>
        <w:t xml:space="preserve">ACL tears are a common and dangerous knee injury, particularly in </w:t>
      </w:r>
      <w:r w:rsidRPr="70E5653A" w:rsidR="56EB8C58">
        <w:rPr>
          <w:rFonts w:ascii="Times New Roman" w:hAnsi="Times New Roman" w:eastAsia="Times New Roman" w:cs="Times New Roman"/>
          <w:noProof w:val="0"/>
          <w:sz w:val="24"/>
          <w:szCs w:val="24"/>
          <w:lang w:val="en-GB"/>
        </w:rPr>
        <w:t>sportsmen</w:t>
      </w:r>
      <w:r w:rsidRPr="70E5653A" w:rsidR="56EB8C58">
        <w:rPr>
          <w:rFonts w:ascii="Times New Roman" w:hAnsi="Times New Roman" w:eastAsia="Times New Roman" w:cs="Times New Roman"/>
          <w:noProof w:val="0"/>
          <w:sz w:val="24"/>
          <w:szCs w:val="24"/>
          <w:lang w:val="en-GB"/>
        </w:rPr>
        <w:t xml:space="preserve"> or people who engage in activities that call for abrupt pauses or direction changes. By restricting the tibia's forward motion in relation to the femur and managing rotational stresses, the ACL stabilises the knee. Non-contact mechanisms like sudden direction changes or uncomfortable landings cause </w:t>
      </w:r>
      <w:r w:rsidRPr="70E5653A" w:rsidR="56EB8C58">
        <w:rPr>
          <w:rFonts w:ascii="Times New Roman" w:hAnsi="Times New Roman" w:eastAsia="Times New Roman" w:cs="Times New Roman"/>
          <w:noProof w:val="0"/>
          <w:sz w:val="24"/>
          <w:szCs w:val="24"/>
          <w:lang w:val="en-GB"/>
        </w:rPr>
        <w:t>the majority of</w:t>
      </w:r>
      <w:r w:rsidRPr="70E5653A" w:rsidR="56EB8C58">
        <w:rPr>
          <w:rFonts w:ascii="Times New Roman" w:hAnsi="Times New Roman" w:eastAsia="Times New Roman" w:cs="Times New Roman"/>
          <w:noProof w:val="0"/>
          <w:sz w:val="24"/>
          <w:szCs w:val="24"/>
          <w:lang w:val="en-GB"/>
        </w:rPr>
        <w:t xml:space="preserve"> ACL injuries. Pain, swelling, and a "popping" sound are common symptoms, and joint instability is </w:t>
      </w:r>
      <w:r w:rsidRPr="70E5653A" w:rsidR="56EB8C58">
        <w:rPr>
          <w:rFonts w:ascii="Times New Roman" w:hAnsi="Times New Roman" w:eastAsia="Times New Roman" w:cs="Times New Roman"/>
          <w:noProof w:val="0"/>
          <w:sz w:val="24"/>
          <w:szCs w:val="24"/>
          <w:lang w:val="en-GB"/>
        </w:rPr>
        <w:t>frequently</w:t>
      </w:r>
      <w:r w:rsidRPr="70E5653A" w:rsidR="56EB8C58">
        <w:rPr>
          <w:rFonts w:ascii="Times New Roman" w:hAnsi="Times New Roman" w:eastAsia="Times New Roman" w:cs="Times New Roman"/>
          <w:noProof w:val="0"/>
          <w:sz w:val="24"/>
          <w:szCs w:val="24"/>
          <w:lang w:val="en-GB"/>
        </w:rPr>
        <w:t xml:space="preserve"> present as well (Miyasaka, Daniel &amp; Stone, 1991). Clinical tests, such the Lachman test, that are backed by MRI are used to make the diagnosis. The degree of exercise and injury severity </w:t>
      </w:r>
      <w:r w:rsidRPr="70E5653A" w:rsidR="56EB8C58">
        <w:rPr>
          <w:rFonts w:ascii="Times New Roman" w:hAnsi="Times New Roman" w:eastAsia="Times New Roman" w:cs="Times New Roman"/>
          <w:noProof w:val="0"/>
          <w:sz w:val="24"/>
          <w:szCs w:val="24"/>
          <w:lang w:val="en-GB"/>
        </w:rPr>
        <w:t>determine</w:t>
      </w:r>
      <w:r w:rsidRPr="70E5653A" w:rsidR="56EB8C58">
        <w:rPr>
          <w:rFonts w:ascii="Times New Roman" w:hAnsi="Times New Roman" w:eastAsia="Times New Roman" w:cs="Times New Roman"/>
          <w:noProof w:val="0"/>
          <w:sz w:val="24"/>
          <w:szCs w:val="24"/>
          <w:lang w:val="en-GB"/>
        </w:rPr>
        <w:t xml:space="preserve"> the course of treatment. For people who are less active, non-surgical rehabilitation might be enough, but for those who have significant physical demands, surgical reconstruction is </w:t>
      </w:r>
      <w:r w:rsidRPr="70E5653A" w:rsidR="56EB8C58">
        <w:rPr>
          <w:rFonts w:ascii="Times New Roman" w:hAnsi="Times New Roman" w:eastAsia="Times New Roman" w:cs="Times New Roman"/>
          <w:noProof w:val="0"/>
          <w:sz w:val="24"/>
          <w:szCs w:val="24"/>
          <w:lang w:val="en-GB"/>
        </w:rPr>
        <w:t>frequently</w:t>
      </w:r>
      <w:r w:rsidRPr="70E5653A" w:rsidR="56EB8C58">
        <w:rPr>
          <w:rFonts w:ascii="Times New Roman" w:hAnsi="Times New Roman" w:eastAsia="Times New Roman" w:cs="Times New Roman"/>
          <w:noProof w:val="0"/>
          <w:sz w:val="24"/>
          <w:szCs w:val="24"/>
          <w:lang w:val="en-GB"/>
        </w:rPr>
        <w:t xml:space="preserve"> </w:t>
      </w:r>
      <w:r w:rsidRPr="70E5653A" w:rsidR="56EB8C58">
        <w:rPr>
          <w:rFonts w:ascii="Times New Roman" w:hAnsi="Times New Roman" w:eastAsia="Times New Roman" w:cs="Times New Roman"/>
          <w:noProof w:val="0"/>
          <w:sz w:val="24"/>
          <w:szCs w:val="24"/>
          <w:lang w:val="en-GB"/>
        </w:rPr>
        <w:t>advised</w:t>
      </w:r>
      <w:r w:rsidRPr="70E5653A" w:rsidR="56EB8C58">
        <w:rPr>
          <w:rFonts w:ascii="Times New Roman" w:hAnsi="Times New Roman" w:eastAsia="Times New Roman" w:cs="Times New Roman"/>
          <w:noProof w:val="0"/>
          <w:sz w:val="24"/>
          <w:szCs w:val="24"/>
          <w:lang w:val="en-GB"/>
        </w:rPr>
        <w:t xml:space="preserve">. According to </w:t>
      </w:r>
      <w:r w:rsidRPr="70E5653A" w:rsidR="56EB8C58">
        <w:rPr>
          <w:rFonts w:ascii="Times New Roman" w:hAnsi="Times New Roman" w:eastAsia="Times New Roman" w:cs="Times New Roman"/>
          <w:noProof w:val="0"/>
          <w:sz w:val="24"/>
          <w:szCs w:val="24"/>
          <w:lang w:val="en-GB"/>
        </w:rPr>
        <w:t>Logerstedt</w:t>
      </w:r>
      <w:r w:rsidRPr="70E5653A" w:rsidR="56EB8C58">
        <w:rPr>
          <w:rFonts w:ascii="Times New Roman" w:hAnsi="Times New Roman" w:eastAsia="Times New Roman" w:cs="Times New Roman"/>
          <w:noProof w:val="0"/>
          <w:sz w:val="24"/>
          <w:szCs w:val="24"/>
          <w:lang w:val="en-GB"/>
        </w:rPr>
        <w:t xml:space="preserve"> et al. (2010), knee function restoration </w:t>
      </w:r>
      <w:r w:rsidRPr="70E5653A" w:rsidR="56EB8C58">
        <w:rPr>
          <w:rFonts w:ascii="Times New Roman" w:hAnsi="Times New Roman" w:eastAsia="Times New Roman" w:cs="Times New Roman"/>
          <w:noProof w:val="0"/>
          <w:sz w:val="24"/>
          <w:szCs w:val="24"/>
          <w:lang w:val="en-GB"/>
        </w:rPr>
        <w:t>need</w:t>
      </w:r>
      <w:r w:rsidRPr="70E5653A" w:rsidR="56EB8C58">
        <w:rPr>
          <w:rFonts w:ascii="Times New Roman" w:hAnsi="Times New Roman" w:eastAsia="Times New Roman" w:cs="Times New Roman"/>
          <w:noProof w:val="0"/>
          <w:sz w:val="24"/>
          <w:szCs w:val="24"/>
          <w:lang w:val="en-GB"/>
        </w:rPr>
        <w:t xml:space="preserve"> a systematic rehabilitation program. For the best long-term results and injury avoidance, early diagnosis and customised therapy are crucial.</w:t>
      </w:r>
    </w:p>
    <w:p w:rsidR="70E5653A" w:rsidP="70E5653A" w:rsidRDefault="70E5653A" w14:paraId="0CD235E6" w14:textId="5A573B8E">
      <w:pPr>
        <w:rPr>
          <w:rFonts w:ascii="Times New Roman" w:hAnsi="Times New Roman" w:eastAsia="Times New Roman" w:cs="Times New Roman"/>
          <w:noProof w:val="0"/>
          <w:sz w:val="24"/>
          <w:szCs w:val="24"/>
          <w:lang w:val="en-GB"/>
        </w:rPr>
      </w:pPr>
    </w:p>
    <w:p w:rsidR="48CB11E6" w:rsidP="70E5653A" w:rsidRDefault="48CB11E6" w14:paraId="27C0F088" w14:textId="031AD148">
      <w:pPr>
        <w:rPr>
          <w:rFonts w:ascii="Times New Roman" w:hAnsi="Times New Roman" w:eastAsia="Times New Roman" w:cs="Times New Roman"/>
          <w:noProof w:val="0"/>
          <w:sz w:val="24"/>
          <w:szCs w:val="24"/>
          <w:u w:val="single"/>
          <w:lang w:val="en-GB"/>
        </w:rPr>
      </w:pPr>
      <w:r w:rsidRPr="70E5653A" w:rsidR="48CB11E6">
        <w:rPr>
          <w:rFonts w:ascii="Times New Roman" w:hAnsi="Times New Roman" w:eastAsia="Times New Roman" w:cs="Times New Roman"/>
          <w:noProof w:val="0"/>
          <w:sz w:val="24"/>
          <w:szCs w:val="24"/>
          <w:u w:val="single"/>
          <w:lang w:val="en-GB"/>
        </w:rPr>
        <w:t>Epidemiology</w:t>
      </w:r>
    </w:p>
    <w:p w:rsidR="48007BD6" w:rsidRDefault="48007BD6" w14:paraId="5AD57008" w14:textId="629A4EC2">
      <w:r w:rsidRPr="70E5653A" w:rsidR="48007BD6">
        <w:rPr>
          <w:rFonts w:ascii="Times New Roman" w:hAnsi="Times New Roman" w:eastAsia="Times New Roman" w:cs="Times New Roman"/>
          <w:noProof w:val="0"/>
          <w:sz w:val="24"/>
          <w:szCs w:val="24"/>
          <w:lang w:val="en-GB"/>
        </w:rPr>
        <w:t xml:space="preserve">Injuries to the anterior cruciate ligament (ACL) are among the most prevalent and incapacitating knee injuries, especially in athletes who play sports requiring a lot of cutting, turning, and jumping. Research has shown that a combination of anatomical, hormonal, and neuromuscular abnormalities </w:t>
      </w:r>
      <w:r w:rsidRPr="70E5653A" w:rsidR="48007BD6">
        <w:rPr>
          <w:rFonts w:ascii="Times New Roman" w:hAnsi="Times New Roman" w:eastAsia="Times New Roman" w:cs="Times New Roman"/>
          <w:noProof w:val="0"/>
          <w:sz w:val="24"/>
          <w:szCs w:val="24"/>
          <w:lang w:val="en-GB"/>
        </w:rPr>
        <w:t>account</w:t>
      </w:r>
      <w:r w:rsidRPr="70E5653A" w:rsidR="48007BD6">
        <w:rPr>
          <w:rFonts w:ascii="Times New Roman" w:hAnsi="Times New Roman" w:eastAsia="Times New Roman" w:cs="Times New Roman"/>
          <w:noProof w:val="0"/>
          <w:sz w:val="24"/>
          <w:szCs w:val="24"/>
          <w:lang w:val="en-GB"/>
        </w:rPr>
        <w:t xml:space="preserve"> for the significantly greater rate of ACL injuries among female athletes than male players (Arendt &amp; Dick, 1995). ACL tears in women are </w:t>
      </w:r>
      <w:r w:rsidRPr="70E5653A" w:rsidR="48007BD6">
        <w:rPr>
          <w:rFonts w:ascii="Times New Roman" w:hAnsi="Times New Roman" w:eastAsia="Times New Roman" w:cs="Times New Roman"/>
          <w:noProof w:val="0"/>
          <w:sz w:val="24"/>
          <w:szCs w:val="24"/>
          <w:lang w:val="en-GB"/>
        </w:rPr>
        <w:t>very common</w:t>
      </w:r>
      <w:r w:rsidRPr="70E5653A" w:rsidR="48007BD6">
        <w:rPr>
          <w:rFonts w:ascii="Times New Roman" w:hAnsi="Times New Roman" w:eastAsia="Times New Roman" w:cs="Times New Roman"/>
          <w:noProof w:val="0"/>
          <w:sz w:val="24"/>
          <w:szCs w:val="24"/>
          <w:lang w:val="en-GB"/>
        </w:rPr>
        <w:t xml:space="preserve"> in sports like basketball and soccer, with non-contact mechanisms causing most of the injuries. They </w:t>
      </w:r>
      <w:r w:rsidRPr="70E5653A" w:rsidR="48007BD6">
        <w:rPr>
          <w:rFonts w:ascii="Times New Roman" w:hAnsi="Times New Roman" w:eastAsia="Times New Roman" w:cs="Times New Roman"/>
          <w:noProof w:val="0"/>
          <w:sz w:val="24"/>
          <w:szCs w:val="24"/>
          <w:lang w:val="en-GB"/>
        </w:rPr>
        <w:t>frequently</w:t>
      </w:r>
      <w:r w:rsidRPr="70E5653A" w:rsidR="48007BD6">
        <w:rPr>
          <w:rFonts w:ascii="Times New Roman" w:hAnsi="Times New Roman" w:eastAsia="Times New Roman" w:cs="Times New Roman"/>
          <w:noProof w:val="0"/>
          <w:sz w:val="24"/>
          <w:szCs w:val="24"/>
          <w:lang w:val="en-GB"/>
        </w:rPr>
        <w:t xml:space="preserve"> happen during abrupt direction changes, poor landing technique, or deceleration motions. ACL injuries have serious long-term effects and frequently necessitate surgical restoration and protracted rehabilitation. Effective therapy entails evidence-based protocols that integrate non-surgical and surgical techniques, such as post-operative rehabilitation to regain knee function, strength, and stability (Logerstedt et al., 2010). People may have lower performance levels and a higher chance of developing secondary issues, such early-onset osteoarthritis, if they are not well managed. Sports medicine has made preventative techniques like neuromuscular training programs a top priority due to the incidence and consequences of ACL injuries, particularly in young, active people. Through enhancements in strength, balance, and movement mechanics, these strategies seek to lower the chance of injury.</w:t>
      </w:r>
    </w:p>
    <w:p w:rsidR="70E5653A" w:rsidP="70E5653A" w:rsidRDefault="70E5653A" w14:paraId="4A747BE8" w14:textId="39EAC3B4">
      <w:pPr>
        <w:pStyle w:val="Normal"/>
        <w:rPr>
          <w:rFonts w:ascii="Times New Roman" w:hAnsi="Times New Roman" w:eastAsia="Times New Roman" w:cs="Times New Roman"/>
          <w:noProof w:val="0"/>
          <w:sz w:val="24"/>
          <w:szCs w:val="24"/>
          <w:u w:val="single"/>
          <w:lang w:val="en-GB"/>
        </w:rPr>
      </w:pPr>
    </w:p>
    <w:p w:rsidR="70E5653A" w:rsidP="70E5653A" w:rsidRDefault="70E5653A" w14:paraId="37E217BE" w14:textId="7F4C3BB0">
      <w:pPr>
        <w:pStyle w:val="Normal"/>
        <w:rPr>
          <w:rFonts w:ascii="Times New Roman" w:hAnsi="Times New Roman" w:eastAsia="Times New Roman" w:cs="Times New Roman"/>
          <w:noProof w:val="0"/>
          <w:sz w:val="24"/>
          <w:szCs w:val="24"/>
          <w:u w:val="single"/>
          <w:lang w:val="en-GB"/>
        </w:rPr>
      </w:pPr>
    </w:p>
    <w:p w:rsidR="130E2239" w:rsidP="70E5653A" w:rsidRDefault="130E2239" w14:paraId="0FD4A469" w14:textId="2C1FDA36">
      <w:pPr>
        <w:pStyle w:val="Normal"/>
        <w:rPr>
          <w:rFonts w:ascii="Times New Roman" w:hAnsi="Times New Roman" w:eastAsia="Times New Roman" w:cs="Times New Roman"/>
          <w:noProof w:val="0"/>
          <w:sz w:val="24"/>
          <w:szCs w:val="24"/>
          <w:lang w:val="en-GB"/>
        </w:rPr>
      </w:pPr>
      <w:r w:rsidRPr="70E5653A" w:rsidR="130E2239">
        <w:rPr>
          <w:rFonts w:ascii="Times New Roman" w:hAnsi="Times New Roman" w:eastAsia="Times New Roman" w:cs="Times New Roman"/>
          <w:noProof w:val="0"/>
          <w:sz w:val="24"/>
          <w:szCs w:val="24"/>
          <w:u w:val="single"/>
          <w:lang w:val="en-GB"/>
        </w:rPr>
        <w:t>Aetiology</w:t>
      </w:r>
    </w:p>
    <w:p w:rsidR="130E2239" w:rsidP="70E5653A" w:rsidRDefault="130E2239" w14:paraId="4AC883AC" w14:textId="4F6B8076">
      <w:pPr>
        <w:rPr>
          <w:rFonts w:ascii="Times New Roman" w:hAnsi="Times New Roman" w:eastAsia="Times New Roman" w:cs="Times New Roman"/>
          <w:noProof w:val="0"/>
          <w:sz w:val="24"/>
          <w:szCs w:val="24"/>
          <w:lang w:val="en-GB"/>
        </w:rPr>
      </w:pPr>
      <w:r w:rsidRPr="70E5653A" w:rsidR="130E2239">
        <w:rPr>
          <w:rFonts w:ascii="Times New Roman" w:hAnsi="Times New Roman" w:eastAsia="Times New Roman" w:cs="Times New Roman"/>
          <w:noProof w:val="0"/>
          <w:sz w:val="24"/>
          <w:szCs w:val="24"/>
          <w:lang w:val="en-GB"/>
        </w:rPr>
        <w:t xml:space="preserve"> Numerous studies have examined the epidemiology of ACL injuries; data show that the incidence of ACL ruptures varies between 30 and 78 per 100,000 people per year, with a significantly higher prevalence in sports like football, basketball, and skiing that require jumping, cutting, and pivoting (Arendt &amp; Dick, 1995). Even while </w:t>
      </w:r>
      <w:r w:rsidRPr="70E5653A" w:rsidR="130E2239">
        <w:rPr>
          <w:rFonts w:ascii="Times New Roman" w:hAnsi="Times New Roman" w:eastAsia="Times New Roman" w:cs="Times New Roman"/>
          <w:noProof w:val="0"/>
          <w:sz w:val="24"/>
          <w:szCs w:val="24"/>
          <w:lang w:val="en-GB"/>
        </w:rPr>
        <w:t>participating</w:t>
      </w:r>
      <w:r w:rsidRPr="70E5653A" w:rsidR="130E2239">
        <w:rPr>
          <w:rFonts w:ascii="Times New Roman" w:hAnsi="Times New Roman" w:eastAsia="Times New Roman" w:cs="Times New Roman"/>
          <w:noProof w:val="0"/>
          <w:sz w:val="24"/>
          <w:szCs w:val="24"/>
          <w:lang w:val="en-GB"/>
        </w:rPr>
        <w:t xml:space="preserve"> in the same sports, female athletes are more likely than their male counterparts to get an ACL injury. This is </w:t>
      </w:r>
      <w:r w:rsidRPr="70E5653A" w:rsidR="130E2239">
        <w:rPr>
          <w:rFonts w:ascii="Times New Roman" w:hAnsi="Times New Roman" w:eastAsia="Times New Roman" w:cs="Times New Roman"/>
          <w:noProof w:val="0"/>
          <w:sz w:val="24"/>
          <w:szCs w:val="24"/>
          <w:lang w:val="en-GB"/>
        </w:rPr>
        <w:t>a very significant</w:t>
      </w:r>
      <w:r w:rsidRPr="70E5653A" w:rsidR="130E2239">
        <w:rPr>
          <w:rFonts w:ascii="Times New Roman" w:hAnsi="Times New Roman" w:eastAsia="Times New Roman" w:cs="Times New Roman"/>
          <w:noProof w:val="0"/>
          <w:sz w:val="24"/>
          <w:szCs w:val="24"/>
          <w:lang w:val="en-GB"/>
        </w:rPr>
        <w:t xml:space="preserve"> epidemiological finding. Numerous variables, such as hormonal effects, variations in neuromuscular control, and biomechanical movement patterns, have been connected to this enhanced sensitivity (Arendt &amp; Dick, 1995).</w:t>
      </w:r>
      <w:r w:rsidRPr="70E5653A" w:rsidR="44284915">
        <w:rPr>
          <w:rFonts w:ascii="Times New Roman" w:hAnsi="Times New Roman" w:eastAsia="Times New Roman" w:cs="Times New Roman"/>
          <w:noProof w:val="0"/>
          <w:sz w:val="24"/>
          <w:szCs w:val="24"/>
          <w:lang w:val="en-GB"/>
        </w:rPr>
        <w:t xml:space="preserve"> </w:t>
      </w:r>
      <w:r w:rsidRPr="70E5653A" w:rsidR="5E4C835A">
        <w:rPr>
          <w:rFonts w:ascii="Times New Roman" w:hAnsi="Times New Roman" w:eastAsia="Times New Roman" w:cs="Times New Roman"/>
          <w:noProof w:val="0"/>
          <w:sz w:val="24"/>
          <w:szCs w:val="24"/>
          <w:lang w:val="en-GB"/>
        </w:rPr>
        <w:t xml:space="preserve">Non-contact mechanisms account for </w:t>
      </w:r>
      <w:r w:rsidRPr="70E5653A" w:rsidR="5E4C835A">
        <w:rPr>
          <w:rFonts w:ascii="Times New Roman" w:hAnsi="Times New Roman" w:eastAsia="Times New Roman" w:cs="Times New Roman"/>
          <w:noProof w:val="0"/>
          <w:sz w:val="24"/>
          <w:szCs w:val="24"/>
          <w:lang w:val="en-GB"/>
        </w:rPr>
        <w:t>the majority of</w:t>
      </w:r>
      <w:r w:rsidRPr="70E5653A" w:rsidR="5E4C835A">
        <w:rPr>
          <w:rFonts w:ascii="Times New Roman" w:hAnsi="Times New Roman" w:eastAsia="Times New Roman" w:cs="Times New Roman"/>
          <w:noProof w:val="0"/>
          <w:sz w:val="24"/>
          <w:szCs w:val="24"/>
          <w:lang w:val="en-GB"/>
        </w:rPr>
        <w:t xml:space="preserve"> ACL injuries, commonly occurring during rapid deceleration, sudden changes in direction, or landing from a jump with poor alignment. These mechanisms highlight the importance of intrinsic risk factors in the epidemiology of ACL injuries. The consequences of ACL tears can be </w:t>
      </w:r>
      <w:r w:rsidRPr="70E5653A" w:rsidR="5E4C835A">
        <w:rPr>
          <w:rFonts w:ascii="Times New Roman" w:hAnsi="Times New Roman" w:eastAsia="Times New Roman" w:cs="Times New Roman"/>
          <w:noProof w:val="0"/>
          <w:sz w:val="24"/>
          <w:szCs w:val="24"/>
          <w:lang w:val="en-GB"/>
        </w:rPr>
        <w:t>substantial</w:t>
      </w:r>
      <w:r w:rsidRPr="70E5653A" w:rsidR="5E4C835A">
        <w:rPr>
          <w:rFonts w:ascii="Times New Roman" w:hAnsi="Times New Roman" w:eastAsia="Times New Roman" w:cs="Times New Roman"/>
          <w:noProof w:val="0"/>
          <w:sz w:val="24"/>
          <w:szCs w:val="24"/>
          <w:lang w:val="en-GB"/>
        </w:rPr>
        <w:t>, not only due to the physical limitations they impose but also because of the economic and psychosocial burden associated with surgical intervention, prolonged rehabilitation, and time lost from sport and work.</w:t>
      </w:r>
      <w:r w:rsidRPr="70E5653A" w:rsidR="59CF4A5E">
        <w:rPr>
          <w:rFonts w:ascii="Times New Roman" w:hAnsi="Times New Roman" w:eastAsia="Times New Roman" w:cs="Times New Roman"/>
          <w:noProof w:val="0"/>
          <w:sz w:val="24"/>
          <w:szCs w:val="24"/>
          <w:lang w:val="en-GB"/>
        </w:rPr>
        <w:t xml:space="preserve"> ACL injuries have </w:t>
      </w:r>
      <w:r w:rsidRPr="70E5653A" w:rsidR="59CF4A5E">
        <w:rPr>
          <w:rFonts w:ascii="Times New Roman" w:hAnsi="Times New Roman" w:eastAsia="Times New Roman" w:cs="Times New Roman"/>
          <w:noProof w:val="0"/>
          <w:sz w:val="24"/>
          <w:szCs w:val="24"/>
          <w:lang w:val="en-GB"/>
        </w:rPr>
        <w:t>a large impact</w:t>
      </w:r>
      <w:r w:rsidRPr="70E5653A" w:rsidR="59CF4A5E">
        <w:rPr>
          <w:rFonts w:ascii="Times New Roman" w:hAnsi="Times New Roman" w:eastAsia="Times New Roman" w:cs="Times New Roman"/>
          <w:noProof w:val="0"/>
          <w:sz w:val="24"/>
          <w:szCs w:val="24"/>
          <w:lang w:val="en-GB"/>
        </w:rPr>
        <w:t xml:space="preserve"> on functional mobility and are a major issue in orthopaedic and sports medicine, according to </w:t>
      </w:r>
      <w:r w:rsidRPr="70E5653A" w:rsidR="59CF4A5E">
        <w:rPr>
          <w:rFonts w:ascii="Times New Roman" w:hAnsi="Times New Roman" w:eastAsia="Times New Roman" w:cs="Times New Roman"/>
          <w:noProof w:val="0"/>
          <w:sz w:val="24"/>
          <w:szCs w:val="24"/>
          <w:lang w:val="en-GB"/>
        </w:rPr>
        <w:t>Logerstedt</w:t>
      </w:r>
      <w:r w:rsidRPr="70E5653A" w:rsidR="59CF4A5E">
        <w:rPr>
          <w:rFonts w:ascii="Times New Roman" w:hAnsi="Times New Roman" w:eastAsia="Times New Roman" w:cs="Times New Roman"/>
          <w:noProof w:val="0"/>
          <w:sz w:val="24"/>
          <w:szCs w:val="24"/>
          <w:lang w:val="en-GB"/>
        </w:rPr>
        <w:t xml:space="preserve"> et al. (2010).  </w:t>
      </w:r>
      <w:r w:rsidRPr="70E5653A" w:rsidR="59CF4A5E">
        <w:rPr>
          <w:rFonts w:ascii="Times New Roman" w:hAnsi="Times New Roman" w:eastAsia="Times New Roman" w:cs="Times New Roman"/>
          <w:noProof w:val="0"/>
          <w:sz w:val="24"/>
          <w:szCs w:val="24"/>
          <w:lang w:val="en-GB"/>
        </w:rPr>
        <w:t>In order to</w:t>
      </w:r>
      <w:r w:rsidRPr="70E5653A" w:rsidR="59CF4A5E">
        <w:rPr>
          <w:rFonts w:ascii="Times New Roman" w:hAnsi="Times New Roman" w:eastAsia="Times New Roman" w:cs="Times New Roman"/>
          <w:noProof w:val="0"/>
          <w:sz w:val="24"/>
          <w:szCs w:val="24"/>
          <w:lang w:val="en-GB"/>
        </w:rPr>
        <w:t xml:space="preserve"> successfully manage ACL injuries, they support evidence-based clinical recommendations that emphasise precise diagnosis, sensible surgical judgement, and organised rehabilitation procedures.  Furthermore, preventative methods have taken centre stage in epidemiological discussions because to the high rates of incidence and reinjury.  Programs for neuromuscular training have shown promise in lowering the likelihood of ACL injuries, particularly in high-risk individuals.  </w:t>
      </w:r>
      <w:r w:rsidRPr="70E5653A" w:rsidR="59CF4A5E">
        <w:rPr>
          <w:rFonts w:ascii="Times New Roman" w:hAnsi="Times New Roman" w:eastAsia="Times New Roman" w:cs="Times New Roman"/>
          <w:noProof w:val="0"/>
          <w:sz w:val="24"/>
          <w:szCs w:val="24"/>
          <w:lang w:val="en-GB"/>
        </w:rPr>
        <w:t>All things considered</w:t>
      </w:r>
      <w:r w:rsidRPr="70E5653A" w:rsidR="59CF4A5E">
        <w:rPr>
          <w:rFonts w:ascii="Times New Roman" w:hAnsi="Times New Roman" w:eastAsia="Times New Roman" w:cs="Times New Roman"/>
          <w:noProof w:val="0"/>
          <w:sz w:val="24"/>
          <w:szCs w:val="24"/>
          <w:lang w:val="en-GB"/>
        </w:rPr>
        <w:t>, knowing the epidemiology of A</w:t>
      </w:r>
      <w:r w:rsidRPr="70E5653A" w:rsidR="59CF4A5E">
        <w:rPr>
          <w:rFonts w:ascii="Times New Roman" w:hAnsi="Times New Roman" w:eastAsia="Times New Roman" w:cs="Times New Roman"/>
          <w:noProof w:val="0"/>
          <w:sz w:val="24"/>
          <w:szCs w:val="24"/>
          <w:lang w:val="en-GB"/>
        </w:rPr>
        <w:t>CL tears is essential for creating focused preventative, therapeutic, and long-term care plans.</w:t>
      </w:r>
      <w:r w:rsidRPr="70E5653A" w:rsidR="0E6B3005">
        <w:rPr>
          <w:rFonts w:ascii="Times New Roman" w:hAnsi="Times New Roman" w:eastAsia="Times New Roman" w:cs="Times New Roman"/>
          <w:noProof w:val="0"/>
          <w:sz w:val="24"/>
          <w:szCs w:val="24"/>
          <w:lang w:val="en-GB"/>
        </w:rPr>
        <w:t xml:space="preserve"> </w:t>
      </w:r>
    </w:p>
    <w:p w:rsidR="70E5653A" w:rsidP="70E5653A" w:rsidRDefault="70E5653A" w14:paraId="2AC4A5D7" w14:textId="27DF053A">
      <w:pPr>
        <w:rPr>
          <w:rFonts w:ascii="Times New Roman" w:hAnsi="Times New Roman" w:eastAsia="Times New Roman" w:cs="Times New Roman"/>
          <w:noProof w:val="0"/>
          <w:sz w:val="24"/>
          <w:szCs w:val="24"/>
          <w:lang w:val="en-GB"/>
        </w:rPr>
      </w:pPr>
    </w:p>
    <w:p w:rsidR="1DFD90A9" w:rsidP="70E5653A" w:rsidRDefault="1DFD90A9" w14:paraId="47D83CD7" w14:textId="241B5A72">
      <w:pPr>
        <w:rPr>
          <w:rFonts w:ascii="Times New Roman" w:hAnsi="Times New Roman" w:eastAsia="Times New Roman" w:cs="Times New Roman"/>
          <w:noProof w:val="0"/>
          <w:sz w:val="24"/>
          <w:szCs w:val="24"/>
          <w:lang w:val="en-GB"/>
        </w:rPr>
      </w:pPr>
      <w:r w:rsidRPr="70E5653A" w:rsidR="1DFD90A9">
        <w:rPr>
          <w:rFonts w:ascii="Times New Roman" w:hAnsi="Times New Roman" w:eastAsia="Times New Roman" w:cs="Times New Roman"/>
          <w:noProof w:val="0"/>
          <w:sz w:val="24"/>
          <w:szCs w:val="24"/>
          <w:lang w:val="en-GB"/>
        </w:rPr>
        <w:t>Studies have consistently found that female athletes are more likely to experience a</w:t>
      </w:r>
      <w:r w:rsidRPr="70E5653A" w:rsidR="6539BD64">
        <w:rPr>
          <w:rFonts w:ascii="Times New Roman" w:hAnsi="Times New Roman" w:eastAsia="Times New Roman" w:cs="Times New Roman"/>
          <w:noProof w:val="0"/>
          <w:sz w:val="24"/>
          <w:szCs w:val="24"/>
          <w:lang w:val="en-GB"/>
        </w:rPr>
        <w:t>cl</w:t>
      </w:r>
      <w:r w:rsidRPr="70E5653A" w:rsidR="1DFD90A9">
        <w:rPr>
          <w:rFonts w:ascii="Times New Roman" w:hAnsi="Times New Roman" w:eastAsia="Times New Roman" w:cs="Times New Roman"/>
          <w:noProof w:val="0"/>
          <w:sz w:val="24"/>
          <w:szCs w:val="24"/>
          <w:lang w:val="en-GB"/>
        </w:rPr>
        <w:t xml:space="preserve"> injuries than their male counterparts, no matter the sport. One major reason for this is anatomical differences, particularly the Q-angle. In females, the Q-angle is larger than in males, which increases the strain on the knee during movements like sudden direction changes or jumps. This angle is formed by lines from the patella to the tibial tuberosity and from the patella to the anterior superior iliac spine, and it makes the knee joint less stable. According to Arendt and Dick (1995), this anatomical difference plays </w:t>
      </w:r>
      <w:r w:rsidRPr="70E5653A" w:rsidR="1DFD90A9">
        <w:rPr>
          <w:rFonts w:ascii="Times New Roman" w:hAnsi="Times New Roman" w:eastAsia="Times New Roman" w:cs="Times New Roman"/>
          <w:noProof w:val="0"/>
          <w:sz w:val="24"/>
          <w:szCs w:val="24"/>
          <w:lang w:val="en-GB"/>
        </w:rPr>
        <w:t>a big ro</w:t>
      </w:r>
      <w:r w:rsidRPr="70E5653A" w:rsidR="1DFD90A9">
        <w:rPr>
          <w:rFonts w:ascii="Times New Roman" w:hAnsi="Times New Roman" w:eastAsia="Times New Roman" w:cs="Times New Roman"/>
          <w:noProof w:val="0"/>
          <w:sz w:val="24"/>
          <w:szCs w:val="24"/>
          <w:lang w:val="en-GB"/>
        </w:rPr>
        <w:t xml:space="preserve">le in why </w:t>
      </w:r>
      <w:r w:rsidRPr="70E5653A" w:rsidR="1DFD90A9">
        <w:rPr>
          <w:rFonts w:ascii="Times New Roman" w:hAnsi="Times New Roman" w:eastAsia="Times New Roman" w:cs="Times New Roman"/>
          <w:noProof w:val="0"/>
          <w:sz w:val="24"/>
          <w:szCs w:val="24"/>
          <w:lang w:val="en-GB"/>
        </w:rPr>
        <w:t>women are more prone to ACL injuries, especially in high-impact sports like soccer and basketball. The findings suggest that understanding these physical differences can be key to preventing ACL injuries in female athletes and tailoring injury prevention strategies to their unique needs. Moreover, females are more likely to sustain an ACL injury due to biomechanical factors. Women frequent</w:t>
      </w:r>
      <w:r w:rsidRPr="70E5653A" w:rsidR="1DFD90A9">
        <w:rPr>
          <w:rFonts w:ascii="Times New Roman" w:hAnsi="Times New Roman" w:eastAsia="Times New Roman" w:cs="Times New Roman"/>
          <w:noProof w:val="0"/>
          <w:sz w:val="24"/>
          <w:szCs w:val="24"/>
          <w:lang w:val="en-GB"/>
        </w:rPr>
        <w:t>ly exhibit</w:t>
      </w:r>
      <w:r w:rsidRPr="70E5653A" w:rsidR="1DFD90A9">
        <w:rPr>
          <w:rFonts w:ascii="Times New Roman" w:hAnsi="Times New Roman" w:eastAsia="Times New Roman" w:cs="Times New Roman"/>
          <w:noProof w:val="0"/>
          <w:sz w:val="24"/>
          <w:szCs w:val="24"/>
          <w:lang w:val="en-GB"/>
        </w:rPr>
        <w:t xml:space="preserve"> </w:t>
      </w:r>
      <w:r w:rsidRPr="70E5653A" w:rsidR="1DFD90A9">
        <w:rPr>
          <w:rFonts w:ascii="Times New Roman" w:hAnsi="Times New Roman" w:eastAsia="Times New Roman" w:cs="Times New Roman"/>
          <w:noProof w:val="0"/>
          <w:sz w:val="24"/>
          <w:szCs w:val="24"/>
          <w:lang w:val="en-GB"/>
        </w:rPr>
        <w:t>less id</w:t>
      </w:r>
      <w:r w:rsidRPr="70E5653A" w:rsidR="1DFD90A9">
        <w:rPr>
          <w:rFonts w:ascii="Times New Roman" w:hAnsi="Times New Roman" w:eastAsia="Times New Roman" w:cs="Times New Roman"/>
          <w:noProof w:val="0"/>
          <w:sz w:val="24"/>
          <w:szCs w:val="24"/>
          <w:lang w:val="en-GB"/>
        </w:rPr>
        <w:t>eal landing mechanics, including increased knee valgus (inward collapse) and less efficient hamstring activation during activities like jumping or abrupt direction changes (Michaud et al., 2016). These elements put more strain on the ACL, increasing its vulnerability to damage. The risk of ACL tears in females may be further increased by hormonal fluctuations, especially during the menstrual cycle, which may also lead to increased ligament laxity (Arendt &amp; Dick, 1995). These hormonal, biomechanical, and anatomical factors work together to explain why ACL injuries are more common in women than in men.</w:t>
      </w:r>
    </w:p>
    <w:p w:rsidR="70E5653A" w:rsidP="70E5653A" w:rsidRDefault="70E5653A" w14:paraId="6E99BFBE" w14:textId="22427942">
      <w:pPr>
        <w:rPr>
          <w:rFonts w:ascii="Times New Roman" w:hAnsi="Times New Roman" w:eastAsia="Times New Roman" w:cs="Times New Roman"/>
          <w:noProof w:val="0"/>
          <w:sz w:val="24"/>
          <w:szCs w:val="24"/>
          <w:lang w:val="en-GB"/>
        </w:rPr>
      </w:pPr>
    </w:p>
    <w:p w:rsidR="36EE1FC4" w:rsidP="6782A96D" w:rsidRDefault="36EE1FC4" w14:paraId="7DA1C0A2" w14:textId="60A8346C">
      <w:pPr>
        <w:rPr>
          <w:rFonts w:ascii="Times New Roman" w:hAnsi="Times New Roman" w:eastAsia="Times New Roman" w:cs="Times New Roman"/>
          <w:noProof w:val="0"/>
          <w:sz w:val="24"/>
          <w:szCs w:val="24"/>
          <w:u w:val="single"/>
          <w:lang w:val="en-GB"/>
        </w:rPr>
      </w:pPr>
      <w:r w:rsidRPr="6782A96D" w:rsidR="36EE1FC4">
        <w:rPr>
          <w:rFonts w:ascii="Times New Roman" w:hAnsi="Times New Roman" w:eastAsia="Times New Roman" w:cs="Times New Roman"/>
          <w:noProof w:val="0"/>
          <w:sz w:val="24"/>
          <w:szCs w:val="24"/>
          <w:u w:val="single"/>
          <w:lang w:val="en-GB"/>
        </w:rPr>
        <w:t xml:space="preserve">Condition in relation </w:t>
      </w:r>
    </w:p>
    <w:p w:rsidR="6782A96D" w:rsidP="6782A96D" w:rsidRDefault="6782A96D" w14:paraId="2972E5CD" w14:textId="1B6CD547">
      <w:pPr>
        <w:rPr>
          <w:rFonts w:ascii="Times New Roman" w:hAnsi="Times New Roman" w:eastAsia="Times New Roman" w:cs="Times New Roman"/>
          <w:noProof w:val="0"/>
          <w:sz w:val="24"/>
          <w:szCs w:val="24"/>
          <w:u w:val="single"/>
          <w:lang w:val="en-GB"/>
        </w:rPr>
      </w:pPr>
    </w:p>
    <w:p w:rsidR="507AB37B" w:rsidP="6782A96D" w:rsidRDefault="507AB37B" w14:paraId="6142ADD4" w14:textId="06FAB832">
      <w:pPr>
        <w:rPr>
          <w:rFonts w:ascii="Times New Roman" w:hAnsi="Times New Roman" w:eastAsia="Times New Roman" w:cs="Times New Roman"/>
          <w:noProof w:val="0"/>
          <w:sz w:val="24"/>
          <w:szCs w:val="24"/>
          <w:lang w:val="en-GB"/>
        </w:rPr>
      </w:pPr>
      <w:r w:rsidRPr="6782A96D" w:rsidR="507AB37B">
        <w:rPr>
          <w:rFonts w:ascii="Times New Roman" w:hAnsi="Times New Roman" w:eastAsia="Times New Roman" w:cs="Times New Roman"/>
          <w:noProof w:val="0"/>
          <w:sz w:val="24"/>
          <w:szCs w:val="24"/>
          <w:lang w:val="en-GB"/>
        </w:rPr>
        <w:t>In addition to having an immediate effect on knee stability and sports performance, anterior cruciate ligament (ACL) injuries are important because they are strongly linked to the development of post-traumatic osteoarthritis (PTOA).  According to research, even after undergoing surgical reconstruction, people who have an ACL rupture are significantly more likely to develop osteoarthritis in the injured knee, frequently within ten years of the injury (Friel &amp; Chu, 2013).  The mechanical and biological alterations that follow an ACL injury are mostly to blame for this.  The knee frequently becomes biomechanically unstable after an ACL tear, leading to aberrant joint loading patterns and elevated shear forces during motion.  These altered mechanics accelerate the breakdown of articular cartilage and contribute to early degenerative changes.</w:t>
      </w:r>
      <w:r w:rsidRPr="6782A96D" w:rsidR="45C47648">
        <w:rPr>
          <w:rFonts w:ascii="Times New Roman" w:hAnsi="Times New Roman" w:eastAsia="Times New Roman" w:cs="Times New Roman"/>
          <w:noProof w:val="0"/>
          <w:sz w:val="24"/>
          <w:szCs w:val="24"/>
          <w:lang w:val="en-GB"/>
        </w:rPr>
        <w:t xml:space="preserve"> Furthermore, injury to other intra-articular structures, including the menisci and articular cartilage, commonly coexists with ACL injuries.  According to Lohmander et al. (2007), these combined traumas greatly raise the likelihood of PTOA and worsen joint deterioration.  Furthermore, the physiological and inflammatory alterations that take place at the moment of injury may start a series of molecular processes that result in cartilage degradation even with surgical intervention meant to restore joint stability.  The breakdown of joint tissue after injury is also facilitated by the release of catabolic enzymes, disturbed joint homeostasis, and synovial inflammation. These results highlight the significance of joint-preserving techniques, thorough rehabilitation, and early diagnosis after an ACL damage.  To lessen long-term effects, proper surgical planning, focused post-operative treatment, and the prevention of secondary injury are crucial.  Patients with a history of ACL rupture require continuous monitoring and care because, although ACL restoration can restore functional stability, it does not completely remove the risk of PTOA.</w:t>
      </w:r>
    </w:p>
    <w:p w:rsidR="2FFDA8C2" w:rsidP="6782A96D" w:rsidRDefault="2FFDA8C2" w14:paraId="2F03D86C" w14:textId="6705BDEF">
      <w:pPr>
        <w:rPr>
          <w:rFonts w:ascii="Times New Roman" w:hAnsi="Times New Roman" w:eastAsia="Times New Roman" w:cs="Times New Roman"/>
          <w:noProof w:val="0"/>
          <w:sz w:val="24"/>
          <w:szCs w:val="24"/>
          <w:u w:val="single"/>
          <w:lang w:val="en-GB"/>
        </w:rPr>
      </w:pPr>
      <w:r w:rsidRPr="6782A96D" w:rsidR="2FFDA8C2">
        <w:rPr>
          <w:rFonts w:ascii="Times New Roman" w:hAnsi="Times New Roman" w:eastAsia="Times New Roman" w:cs="Times New Roman"/>
          <w:noProof w:val="0"/>
          <w:sz w:val="24"/>
          <w:szCs w:val="24"/>
          <w:u w:val="single"/>
          <w:lang w:val="en-GB"/>
        </w:rPr>
        <w:t>Rehabilitation</w:t>
      </w:r>
    </w:p>
    <w:p w:rsidR="145E999C" w:rsidRDefault="145E999C" w14:paraId="1D812EE8" w14:textId="45B62876">
      <w:r w:rsidRPr="6782A96D" w:rsidR="145E999C">
        <w:rPr>
          <w:rFonts w:ascii="Times New Roman" w:hAnsi="Times New Roman" w:eastAsia="Times New Roman" w:cs="Times New Roman"/>
          <w:noProof w:val="0"/>
          <w:sz w:val="24"/>
          <w:szCs w:val="24"/>
          <w:lang w:val="en-GB"/>
        </w:rPr>
        <w:t>In order to</w:t>
      </w:r>
      <w:r w:rsidRPr="6782A96D" w:rsidR="145E999C">
        <w:rPr>
          <w:rFonts w:ascii="Times New Roman" w:hAnsi="Times New Roman" w:eastAsia="Times New Roman" w:cs="Times New Roman"/>
          <w:noProof w:val="0"/>
          <w:sz w:val="24"/>
          <w:szCs w:val="24"/>
          <w:lang w:val="en-GB"/>
        </w:rPr>
        <w:t xml:space="preserve"> restore knee function, avoid re-injury, and ensure a safe return to physical activity after an anterior cruciate ligament (ACL) damage, rehabilitation is a crucial part of the healing process. Usually, rehabilitation regimens are broken down into phases, each with distinct </w:t>
      </w:r>
      <w:r w:rsidRPr="6782A96D" w:rsidR="145E999C">
        <w:rPr>
          <w:rFonts w:ascii="Times New Roman" w:hAnsi="Times New Roman" w:eastAsia="Times New Roman" w:cs="Times New Roman"/>
          <w:noProof w:val="0"/>
          <w:sz w:val="24"/>
          <w:szCs w:val="24"/>
          <w:lang w:val="en-GB"/>
        </w:rPr>
        <w:t>objectives</w:t>
      </w:r>
      <w:r w:rsidRPr="6782A96D" w:rsidR="145E999C">
        <w:rPr>
          <w:rFonts w:ascii="Times New Roman" w:hAnsi="Times New Roman" w:eastAsia="Times New Roman" w:cs="Times New Roman"/>
          <w:noProof w:val="0"/>
          <w:sz w:val="24"/>
          <w:szCs w:val="24"/>
          <w:lang w:val="en-GB"/>
        </w:rPr>
        <w:t xml:space="preserve"> based on the patient's development and recovery schedule. The main </w:t>
      </w:r>
      <w:r w:rsidRPr="6782A96D" w:rsidR="145E999C">
        <w:rPr>
          <w:rFonts w:ascii="Times New Roman" w:hAnsi="Times New Roman" w:eastAsia="Times New Roman" w:cs="Times New Roman"/>
          <w:noProof w:val="0"/>
          <w:sz w:val="24"/>
          <w:szCs w:val="24"/>
          <w:lang w:val="en-GB"/>
        </w:rPr>
        <w:t>objectives</w:t>
      </w:r>
      <w:r w:rsidRPr="6782A96D" w:rsidR="145E999C">
        <w:rPr>
          <w:rFonts w:ascii="Times New Roman" w:hAnsi="Times New Roman" w:eastAsia="Times New Roman" w:cs="Times New Roman"/>
          <w:noProof w:val="0"/>
          <w:sz w:val="24"/>
          <w:szCs w:val="24"/>
          <w:lang w:val="en-GB"/>
        </w:rPr>
        <w:t xml:space="preserve"> during the </w:t>
      </w:r>
      <w:r w:rsidRPr="6782A96D" w:rsidR="145E999C">
        <w:rPr>
          <w:rFonts w:ascii="Times New Roman" w:hAnsi="Times New Roman" w:eastAsia="Times New Roman" w:cs="Times New Roman"/>
          <w:noProof w:val="0"/>
          <w:sz w:val="24"/>
          <w:szCs w:val="24"/>
          <w:lang w:val="en-GB"/>
        </w:rPr>
        <w:t>initial</w:t>
      </w:r>
      <w:r w:rsidRPr="6782A96D" w:rsidR="145E999C">
        <w:rPr>
          <w:rFonts w:ascii="Times New Roman" w:hAnsi="Times New Roman" w:eastAsia="Times New Roman" w:cs="Times New Roman"/>
          <w:noProof w:val="0"/>
          <w:sz w:val="24"/>
          <w:szCs w:val="24"/>
          <w:lang w:val="en-GB"/>
        </w:rPr>
        <w:t xml:space="preserve"> phase (0–2 weeks after the injury or surgery) are to decrease pain and swelling, restore knee extension, and re-establish quadriceps activation. During this time, isometric exercises, limited weight-bearing, and cryotherapy are </w:t>
      </w:r>
      <w:r w:rsidRPr="6782A96D" w:rsidR="145E999C">
        <w:rPr>
          <w:rFonts w:ascii="Times New Roman" w:hAnsi="Times New Roman" w:eastAsia="Times New Roman" w:cs="Times New Roman"/>
          <w:noProof w:val="0"/>
          <w:sz w:val="24"/>
          <w:szCs w:val="24"/>
          <w:lang w:val="en-GB"/>
        </w:rPr>
        <w:t>frequently</w:t>
      </w:r>
      <w:r w:rsidRPr="6782A96D" w:rsidR="145E999C">
        <w:rPr>
          <w:rFonts w:ascii="Times New Roman" w:hAnsi="Times New Roman" w:eastAsia="Times New Roman" w:cs="Times New Roman"/>
          <w:noProof w:val="0"/>
          <w:sz w:val="24"/>
          <w:szCs w:val="24"/>
          <w:lang w:val="en-GB"/>
        </w:rPr>
        <w:t xml:space="preserve"> recommended (Adams et al., 2012). Early in the healing phase, it is essential to restore complete knee extension since loss of extension is linked to long-term joint dysfunction and poor functional results. Patients enter the intermediate phase of therapy (2–12 weeks), when the focus is on increasing muscle strength, neuromuscular control, and range of motion (ROM).  The lower anterior tibial translation pressures of closed kinetic chain activities, including leg presses and squats, are </w:t>
      </w:r>
      <w:r w:rsidRPr="6782A96D" w:rsidR="145E999C">
        <w:rPr>
          <w:rFonts w:ascii="Times New Roman" w:hAnsi="Times New Roman" w:eastAsia="Times New Roman" w:cs="Times New Roman"/>
          <w:noProof w:val="0"/>
          <w:sz w:val="24"/>
          <w:szCs w:val="24"/>
          <w:lang w:val="en-GB"/>
        </w:rPr>
        <w:t>frequently</w:t>
      </w:r>
      <w:r w:rsidRPr="6782A96D" w:rsidR="145E999C">
        <w:rPr>
          <w:rFonts w:ascii="Times New Roman" w:hAnsi="Times New Roman" w:eastAsia="Times New Roman" w:cs="Times New Roman"/>
          <w:noProof w:val="0"/>
          <w:sz w:val="24"/>
          <w:szCs w:val="24"/>
          <w:lang w:val="en-GB"/>
        </w:rPr>
        <w:t xml:space="preserve"> used because they lessen the strain on the healing ACL graft (Escamilla et al., 2012).  At this point, proprioceptive training, balancing drills, and core strengthening are also essential for restoring dynamic knee stability.  Neuromuscular electrical stimulation (NMES) can improve muscle recruitment and strength development in situations when voluntary quadriceps activation is compromised (Lepley et al., 2015).</w:t>
      </w:r>
      <w:r w:rsidRPr="6782A96D" w:rsidR="60E15C1B">
        <w:rPr>
          <w:rFonts w:ascii="Times New Roman" w:hAnsi="Times New Roman" w:eastAsia="Times New Roman" w:cs="Times New Roman"/>
          <w:noProof w:val="0"/>
          <w:sz w:val="24"/>
          <w:szCs w:val="24"/>
          <w:lang w:val="en-GB"/>
        </w:rPr>
        <w:t xml:space="preserve"> Sport-specific training and advanced neuromuscular re-education are the focus of the late recovery phase, which lasts three to six months.  To simulate the demands of athletic performance, directional change exercises, agility drills, and plyometric drills are progressively added.  Safe mechanics may be ensured and flawed movement patterns corrected with the use of movement analysis and biomechanical feedback.  Isokinetic strength testing, hop tests, and psychological readiness evaluations are examples of objective measures that are commonly used to inform judgements about returning to sports (</w:t>
      </w:r>
      <w:r w:rsidRPr="6782A96D" w:rsidR="60E15C1B">
        <w:rPr>
          <w:rFonts w:ascii="Times New Roman" w:hAnsi="Times New Roman" w:eastAsia="Times New Roman" w:cs="Times New Roman"/>
          <w:noProof w:val="0"/>
          <w:sz w:val="24"/>
          <w:szCs w:val="24"/>
          <w:lang w:val="en-GB"/>
        </w:rPr>
        <w:t>Logerstedt</w:t>
      </w:r>
      <w:r w:rsidRPr="6782A96D" w:rsidR="60E15C1B">
        <w:rPr>
          <w:rFonts w:ascii="Times New Roman" w:hAnsi="Times New Roman" w:eastAsia="Times New Roman" w:cs="Times New Roman"/>
          <w:noProof w:val="0"/>
          <w:sz w:val="24"/>
          <w:szCs w:val="24"/>
          <w:lang w:val="en-GB"/>
        </w:rPr>
        <w:t xml:space="preserve"> et al., 2012).  Fulfilling these requirements </w:t>
      </w:r>
      <w:r w:rsidRPr="6782A96D" w:rsidR="60E15C1B">
        <w:rPr>
          <w:rFonts w:ascii="Times New Roman" w:hAnsi="Times New Roman" w:eastAsia="Times New Roman" w:cs="Times New Roman"/>
          <w:noProof w:val="0"/>
          <w:sz w:val="24"/>
          <w:szCs w:val="24"/>
          <w:lang w:val="en-GB"/>
        </w:rPr>
        <w:t>considerably lowers</w:t>
      </w:r>
      <w:r w:rsidRPr="6782A96D" w:rsidR="60E15C1B">
        <w:rPr>
          <w:rFonts w:ascii="Times New Roman" w:hAnsi="Times New Roman" w:eastAsia="Times New Roman" w:cs="Times New Roman"/>
          <w:noProof w:val="0"/>
          <w:sz w:val="24"/>
          <w:szCs w:val="24"/>
          <w:lang w:val="en-GB"/>
        </w:rPr>
        <w:t xml:space="preserve"> the chance of re-injury, which is notably high in the first two years after ACL repair, especially for younger, more active people. Importantly, rehabilitation results are also influenced by psychological variables.  Lack of confidence, poor rehabilitation program adherence, and fear of re-injury can all impede development and postpone returning to sports.  Incorporating </w:t>
      </w:r>
      <w:r w:rsidRPr="6782A96D" w:rsidR="60E15C1B">
        <w:rPr>
          <w:rFonts w:ascii="Times New Roman" w:hAnsi="Times New Roman" w:eastAsia="Times New Roman" w:cs="Times New Roman"/>
          <w:noProof w:val="0"/>
          <w:sz w:val="24"/>
          <w:szCs w:val="24"/>
          <w:lang w:val="en-GB"/>
        </w:rPr>
        <w:t>goal-setting</w:t>
      </w:r>
      <w:r w:rsidRPr="6782A96D" w:rsidR="60E15C1B">
        <w:rPr>
          <w:rFonts w:ascii="Times New Roman" w:hAnsi="Times New Roman" w:eastAsia="Times New Roman" w:cs="Times New Roman"/>
          <w:noProof w:val="0"/>
          <w:sz w:val="24"/>
          <w:szCs w:val="24"/>
          <w:lang w:val="en-GB"/>
        </w:rPr>
        <w:t>, psychological support, and patient education into the rehabilitation process can improve long-term success and motivation (Ardern et al., 2013).  Furthermore, there is evidence that injury prevention programs, like FIFA 11+ or neuromuscular training regimens, may be used after recovery to reduce the probability of ACL injuries, especially in high-risk groups like female players.</w:t>
      </w:r>
      <w:r w:rsidRPr="6782A96D" w:rsidR="6BD4A398">
        <w:rPr>
          <w:rFonts w:ascii="Times New Roman" w:hAnsi="Times New Roman" w:eastAsia="Times New Roman" w:cs="Times New Roman"/>
          <w:noProof w:val="0"/>
          <w:sz w:val="24"/>
          <w:szCs w:val="24"/>
          <w:lang w:val="en-GB"/>
        </w:rPr>
        <w:t xml:space="preserve"> After all, there is no one-size-fits-all strategy for ACL rehabilitation.  A multidisciplinary, customised strategy that takes into account the patient's objectives, the demands of the sport, and their clinical presentation is necessary.  For the rehabilitation program to maximise healing and lower the risk of re-injury or secondary problems, it must be continuously monitored and adjusted.</w:t>
      </w:r>
    </w:p>
    <w:p w:rsidR="70E5653A" w:rsidP="70E5653A" w:rsidRDefault="70E5653A" w14:paraId="0A0AA525" w14:textId="7B5395E4">
      <w:pPr>
        <w:rPr>
          <w:rFonts w:ascii="Times New Roman" w:hAnsi="Times New Roman" w:eastAsia="Times New Roman" w:cs="Times New Roman"/>
          <w:noProof w:val="0"/>
          <w:sz w:val="24"/>
          <w:szCs w:val="24"/>
          <w:lang w:val="en-GB"/>
        </w:rPr>
      </w:pPr>
    </w:p>
    <w:p w:rsidR="70E5653A" w:rsidP="6782A96D" w:rsidRDefault="70E5653A" w14:paraId="0F11B58A" w14:textId="69DE7249">
      <w:pPr>
        <w:rPr>
          <w:rFonts w:ascii="Times New Roman" w:hAnsi="Times New Roman" w:eastAsia="Times New Roman" w:cs="Times New Roman"/>
          <w:noProof w:val="0"/>
          <w:sz w:val="24"/>
          <w:szCs w:val="24"/>
          <w:lang w:val="en-GB"/>
        </w:rPr>
      </w:pPr>
      <w:r w:rsidRPr="6782A96D" w:rsidR="118A5F20">
        <w:rPr>
          <w:rFonts w:ascii="Times New Roman" w:hAnsi="Times New Roman" w:eastAsia="Times New Roman" w:cs="Times New Roman"/>
          <w:noProof w:val="0"/>
          <w:sz w:val="24"/>
          <w:szCs w:val="24"/>
          <w:lang w:val="en-GB"/>
        </w:rPr>
        <w:t>Word Count 1671</w:t>
      </w:r>
    </w:p>
    <w:p w:rsidR="70E5653A" w:rsidP="6782A96D" w:rsidRDefault="70E5653A" w14:paraId="7ACFEA16" w14:textId="51C0F655">
      <w:pPr>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p>
    <w:p w:rsidR="70E5653A" w:rsidP="6782A96D" w:rsidRDefault="70E5653A" w14:paraId="3CE23F9D" w14:textId="4867C555">
      <w:pPr>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p>
    <w:p w:rsidR="70E5653A" w:rsidP="6782A96D" w:rsidRDefault="70E5653A" w14:paraId="3A023FFF" w14:textId="1BEE11EB">
      <w:pPr>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p>
    <w:p w:rsidR="70E5653A" w:rsidP="6782A96D" w:rsidRDefault="70E5653A" w14:paraId="158F6A14" w14:textId="630ADBC9">
      <w:pPr>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p>
    <w:p w:rsidR="70E5653A" w:rsidP="6782A96D" w:rsidRDefault="70E5653A" w14:paraId="7D101D2B" w14:textId="0207AA6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6782A96D" w:rsidR="2B32C4EC">
        <w:rPr>
          <w:rFonts w:ascii="Aptos" w:hAnsi="Aptos" w:eastAsia="Aptos" w:cs="Aptos"/>
          <w:b w:val="0"/>
          <w:bCs w:val="0"/>
          <w:i w:val="0"/>
          <w:iCs w:val="0"/>
          <w:caps w:val="0"/>
          <w:smallCaps w:val="0"/>
          <w:noProof w:val="0"/>
          <w:color w:val="000000" w:themeColor="text1" w:themeTint="FF" w:themeShade="FF"/>
          <w:sz w:val="28"/>
          <w:szCs w:val="28"/>
          <w:lang w:val="en-GB"/>
        </w:rPr>
        <w:t>References</w:t>
      </w:r>
    </w:p>
    <w:p w:rsidR="70E5653A" w:rsidP="6782A96D" w:rsidRDefault="70E5653A" w14:paraId="6E0AD723" w14:textId="1048C96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Arendt, E. &amp; Dick, R., 1995.</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Knee injury patterns among men and women in collegiate basketball and soccer.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The American Journal of Sports Medicine</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03ae70ea915c4fea">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https://journals.sagepub.com/doi/10.1177/036354659502300611</w:t>
        </w:r>
      </w:hyperlink>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0E5653A" w:rsidP="6782A96D" w:rsidRDefault="70E5653A" w14:paraId="2B03A71A" w14:textId="0C6B695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Di Paolo, S., Pignotti, G., &amp; Del Medico, M., 2018.</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Epidemiology of anterior cruciate ligament injuries in Italian first division soccer players.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Journal of Orthopaedics and Traumatology</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01d1a89fc4504b48">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https://link.springer.com/article/10.1186/s10195-018-0516-9</w:t>
        </w:r>
      </w:hyperlink>
    </w:p>
    <w:p w:rsidR="70E5653A" w:rsidP="6782A96D" w:rsidRDefault="70E5653A" w14:paraId="1DF0D810" w14:textId="317D731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Friel, N.A. &amp; Chu, C.R., 2013.</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The role of ACL injury in the development of posttraumatic knee osteoarthritis.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Clinics in Sports Medicine</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e5dbb692e6c4f93">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https://www.ncbi.nlm.nih.gov/pmc/articles/PMC6548436/</w:t>
        </w:r>
      </w:hyperlink>
    </w:p>
    <w:p w:rsidR="70E5653A" w:rsidP="6782A96D" w:rsidRDefault="70E5653A" w14:paraId="3D5C4133" w14:textId="0136AEB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Irrgang, J.J. et al., 2010.</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Knee pain and mobility impairments: meniscal and articular cartilage lesions.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 xml:space="preserve">Journal of Orthopaedic &amp; Sports Physical Therapy. </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2a41ed53692c4c8e">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https://www.jospt.org/doi/10.2519/jospt.2010.0303</w:t>
        </w:r>
      </w:hyperlink>
    </w:p>
    <w:p w:rsidR="70E5653A" w:rsidP="6782A96D" w:rsidRDefault="70E5653A" w14:paraId="5F9AE3F5" w14:textId="2D29EFC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Lohmander, L.S. et al., 2007.</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The long-term consequence of anterior cruciate ligament and meniscus injuries: osteoarthritis.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The American Journal of Sports Medicine.</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 Available at: </w:t>
      </w:r>
      <w:hyperlink r:id="R4d8599aa1f07402b">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https://pubmed.ncbi.nlm.nih.gov/17761605/</w:t>
        </w:r>
      </w:hyperlink>
    </w:p>
    <w:p w:rsidR="70E5653A" w:rsidP="6782A96D" w:rsidRDefault="70E5653A" w14:paraId="1D10D7CB" w14:textId="24DB3CA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Palmieri-Smith, R.M. et al., 2015.</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Combination of eccentric exercise and neuromuscular electrical stimulation to improve quadriceps function post-ACL reconstruction.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The Knee.</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6472a82fd931411c">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https://pubmed.ncbi.nlm.nih.gov/25819154/</w:t>
        </w:r>
      </w:hyperlink>
    </w:p>
    <w:p w:rsidR="70E5653A" w:rsidP="6782A96D" w:rsidRDefault="70E5653A" w14:paraId="70C6E581" w14:textId="15B426B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Pinczewski, L.A. et al., 1996.</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A 10-year comparison of anterior cruciate ligament reconstruction with patellar tendon or hamstring tendon autograft.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The American Journal of Sports Medicine</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cfac1cc8cf34176">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https://pubmed.ncbi.nlm.nih.gov/8600737/</w:t>
        </w:r>
      </w:hyperlink>
    </w:p>
    <w:p w:rsidR="70E5653A" w:rsidP="6782A96D" w:rsidRDefault="70E5653A" w14:paraId="13F3FE91" w14:textId="61AEA14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Snyder-Mackler, L. et al., 2010.</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Knee stability and movement coordination impairments: clinical practice guidelines linked to the International Classification of Functioning, Disability, and Health from the Orthopaedic Section of the American Physical Therapy Association.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Journal of Orthopaedic &amp; Sports Physical Therapy</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9dae20be3624357">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https://www.orthopt.org/uploads/content_files/ICF/2014/11</w:t>
        </w:r>
      </w:hyperlink>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._</w:t>
      </w:r>
    </w:p>
    <w:p w:rsidR="70E5653A" w:rsidP="6782A96D" w:rsidRDefault="70E5653A" w14:paraId="13E50FA7" w14:textId="575C08E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Wright, R.W. et al., 2016.</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Effect of graft choice on the outcome of ACL reconstruction in the MOON cohort.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Journal of Orthopaedic Research</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34(11), pp.1735–1743. Available at: </w:t>
      </w:r>
      <w:hyperlink r:id="Rb97e1f6bb8d84ce3">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https://onlinelibrary.wiley.com/doi/full/10.1002/jor.23298</w:t>
        </w:r>
      </w:hyperlink>
    </w:p>
    <w:p w:rsidR="70E5653A" w:rsidP="6782A96D" w:rsidRDefault="70E5653A" w14:paraId="0925F534" w14:textId="41B06AF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82A96D" w:rsidR="2B32C4EC">
        <w:rPr>
          <w:rFonts w:ascii="Aptos" w:hAnsi="Aptos" w:eastAsia="Aptos" w:cs="Aptos"/>
          <w:b w:val="1"/>
          <w:bCs w:val="1"/>
          <w:i w:val="0"/>
          <w:iCs w:val="0"/>
          <w:caps w:val="0"/>
          <w:smallCaps w:val="0"/>
          <w:noProof w:val="0"/>
          <w:color w:val="000000" w:themeColor="text1" w:themeTint="FF" w:themeShade="FF"/>
          <w:sz w:val="24"/>
          <w:szCs w:val="24"/>
          <w:lang w:val="en-GB"/>
        </w:rPr>
        <w:t>Zebis, M.K. et al., 2013.</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Neuromuscular training for prevention of ACL injuries in female athletes. </w:t>
      </w:r>
      <w:r w:rsidRPr="6782A96D" w:rsidR="2B32C4EC">
        <w:rPr>
          <w:rFonts w:ascii="Aptos" w:hAnsi="Aptos" w:eastAsia="Aptos" w:cs="Aptos"/>
          <w:b w:val="0"/>
          <w:bCs w:val="0"/>
          <w:i w:val="1"/>
          <w:iCs w:val="1"/>
          <w:caps w:val="0"/>
          <w:smallCaps w:val="0"/>
          <w:noProof w:val="0"/>
          <w:color w:val="000000" w:themeColor="text1" w:themeTint="FF" w:themeShade="FF"/>
          <w:sz w:val="24"/>
          <w:szCs w:val="24"/>
          <w:lang w:val="en-GB"/>
        </w:rPr>
        <w:t>British Journal of Sports Medicine</w:t>
      </w:r>
      <w:r w:rsidRPr="6782A96D" w:rsidR="2B32C4EC">
        <w:rPr>
          <w:rFonts w:ascii="Aptos" w:hAnsi="Aptos" w:eastAsia="Aptos" w:cs="Aptos"/>
          <w:b w:val="0"/>
          <w:bCs w:val="0"/>
          <w:i w:val="0"/>
          <w:iCs w:val="0"/>
          <w:caps w:val="0"/>
          <w:smallCaps w:val="0"/>
          <w:noProof w:val="0"/>
          <w:color w:val="000000" w:themeColor="text1" w:themeTint="FF" w:themeShade="FF"/>
          <w:sz w:val="24"/>
          <w:szCs w:val="24"/>
          <w:lang w:val="en-GB"/>
        </w:rPr>
        <w:t xml:space="preserve">, 48(21), pp.1543–1549. Available at: </w:t>
      </w:r>
      <w:hyperlink r:id="Rf0987150bad547bc">
        <w:r w:rsidRPr="6782A96D" w:rsidR="2B32C4EC">
          <w:rPr>
            <w:rStyle w:val="Hyperlink"/>
            <w:rFonts w:ascii="Aptos" w:hAnsi="Aptos" w:eastAsia="Aptos" w:cs="Aptos"/>
            <w:b w:val="0"/>
            <w:bCs w:val="0"/>
            <w:i w:val="0"/>
            <w:iCs w:val="0"/>
            <w:caps w:val="0"/>
            <w:smallCaps w:val="0"/>
            <w:strike w:val="0"/>
            <w:dstrike w:val="0"/>
            <w:noProof w:val="0"/>
            <w:sz w:val="24"/>
            <w:szCs w:val="24"/>
            <w:lang w:val="en-GB"/>
          </w:rPr>
          <w:t>https://bjsm.bmj.com/content/48/21/1543</w:t>
        </w:r>
      </w:hyperlink>
    </w:p>
    <w:p w:rsidR="70E5653A" w:rsidP="6782A96D" w:rsidRDefault="70E5653A" w14:paraId="514886C8" w14:textId="025F7BE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0E5653A" w:rsidP="70E5653A" w:rsidRDefault="70E5653A" w14:paraId="60B63601" w14:textId="4B3AA87F">
      <w:pPr>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5fc7b55380b548d6"/>
      <w:footerReference w:type="default" r:id="R28dc4204774a46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782A96D" w:rsidTr="6782A96D" w14:paraId="40DB36DD">
      <w:trPr>
        <w:trHeight w:val="300"/>
      </w:trPr>
      <w:tc>
        <w:tcPr>
          <w:tcW w:w="3005" w:type="dxa"/>
          <w:tcMar/>
        </w:tcPr>
        <w:p w:rsidR="6782A96D" w:rsidP="6782A96D" w:rsidRDefault="6782A96D" w14:paraId="400A4280" w14:textId="0C95B719">
          <w:pPr>
            <w:pStyle w:val="Header"/>
            <w:bidi w:val="0"/>
            <w:ind w:left="-115"/>
            <w:jc w:val="left"/>
          </w:pPr>
        </w:p>
      </w:tc>
      <w:tc>
        <w:tcPr>
          <w:tcW w:w="3005" w:type="dxa"/>
          <w:tcMar/>
        </w:tcPr>
        <w:p w:rsidR="6782A96D" w:rsidP="6782A96D" w:rsidRDefault="6782A96D" w14:paraId="1BBE9BC5" w14:textId="0DCA0DC7">
          <w:pPr>
            <w:pStyle w:val="Header"/>
            <w:bidi w:val="0"/>
            <w:jc w:val="center"/>
          </w:pPr>
        </w:p>
      </w:tc>
      <w:tc>
        <w:tcPr>
          <w:tcW w:w="3005" w:type="dxa"/>
          <w:tcMar/>
        </w:tcPr>
        <w:p w:rsidR="6782A96D" w:rsidP="6782A96D" w:rsidRDefault="6782A96D" w14:paraId="703941E4" w14:textId="7D2ADD0E">
          <w:pPr>
            <w:pStyle w:val="Header"/>
            <w:bidi w:val="0"/>
            <w:ind w:right="-115"/>
            <w:jc w:val="right"/>
          </w:pPr>
          <w:r>
            <w:fldChar w:fldCharType="begin"/>
          </w:r>
          <w:r>
            <w:instrText xml:space="preserve">PAGE</w:instrText>
          </w:r>
          <w:r>
            <w:fldChar w:fldCharType="separate"/>
          </w:r>
          <w:r>
            <w:fldChar w:fldCharType="end"/>
          </w:r>
        </w:p>
      </w:tc>
    </w:tr>
  </w:tbl>
  <w:p w:rsidR="6782A96D" w:rsidP="6782A96D" w:rsidRDefault="6782A96D" w14:paraId="4057F9E6" w14:textId="16915F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782A96D" w:rsidTr="6782A96D" w14:paraId="6B966E1D">
      <w:trPr>
        <w:trHeight w:val="300"/>
      </w:trPr>
      <w:tc>
        <w:tcPr>
          <w:tcW w:w="3005" w:type="dxa"/>
          <w:tcMar/>
        </w:tcPr>
        <w:p w:rsidR="6782A96D" w:rsidP="6782A96D" w:rsidRDefault="6782A96D" w14:paraId="66C740F7" w14:textId="56A8AACB">
          <w:pPr>
            <w:pStyle w:val="Header"/>
            <w:bidi w:val="0"/>
            <w:ind w:left="-115"/>
            <w:jc w:val="left"/>
          </w:pPr>
          <w:r w:rsidR="6782A96D">
            <w:rPr/>
            <w:t>2404670</w:t>
          </w:r>
        </w:p>
      </w:tc>
      <w:tc>
        <w:tcPr>
          <w:tcW w:w="3005" w:type="dxa"/>
          <w:tcMar/>
        </w:tcPr>
        <w:p w:rsidR="6782A96D" w:rsidP="6782A96D" w:rsidRDefault="6782A96D" w14:paraId="1F16C3D5" w14:textId="6DCBBCC3">
          <w:pPr>
            <w:pStyle w:val="Header"/>
            <w:bidi w:val="0"/>
            <w:jc w:val="center"/>
          </w:pPr>
          <w:r w:rsidR="6782A96D">
            <w:rPr/>
            <w:t>Cynyr</w:t>
          </w:r>
          <w:r w:rsidR="6782A96D">
            <w:rPr/>
            <w:t xml:space="preserve"> Llewelyn-Jones</w:t>
          </w:r>
        </w:p>
      </w:tc>
      <w:tc>
        <w:tcPr>
          <w:tcW w:w="3005" w:type="dxa"/>
          <w:tcMar/>
        </w:tcPr>
        <w:p w:rsidR="6782A96D" w:rsidP="6782A96D" w:rsidRDefault="6782A96D" w14:paraId="4A9F2E6A" w14:textId="59F44774">
          <w:pPr>
            <w:pStyle w:val="Header"/>
            <w:bidi w:val="0"/>
            <w:ind w:right="-115"/>
            <w:jc w:val="right"/>
          </w:pPr>
          <w:r w:rsidR="6782A96D">
            <w:rPr/>
            <w:t>Bmst4004</w:t>
          </w:r>
        </w:p>
      </w:tc>
    </w:tr>
  </w:tbl>
  <w:p w:rsidR="6782A96D" w:rsidP="6782A96D" w:rsidRDefault="6782A96D" w14:paraId="4124FEE9" w14:textId="11A2F7A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9F526B"/>
    <w:rsid w:val="00D2DEDA"/>
    <w:rsid w:val="02550CD0"/>
    <w:rsid w:val="02621E67"/>
    <w:rsid w:val="049CDB5A"/>
    <w:rsid w:val="0C3ABBEC"/>
    <w:rsid w:val="0C87D042"/>
    <w:rsid w:val="0D564BFB"/>
    <w:rsid w:val="0E6B3005"/>
    <w:rsid w:val="118A5F20"/>
    <w:rsid w:val="12F81E0C"/>
    <w:rsid w:val="130E2239"/>
    <w:rsid w:val="130E768A"/>
    <w:rsid w:val="145E999C"/>
    <w:rsid w:val="14659D87"/>
    <w:rsid w:val="15FE0A62"/>
    <w:rsid w:val="1C519CAE"/>
    <w:rsid w:val="1DFD90A9"/>
    <w:rsid w:val="1EEC32CF"/>
    <w:rsid w:val="208B4CC7"/>
    <w:rsid w:val="212419C2"/>
    <w:rsid w:val="2140D090"/>
    <w:rsid w:val="217CC56A"/>
    <w:rsid w:val="2282B15D"/>
    <w:rsid w:val="2775E849"/>
    <w:rsid w:val="2B0C2BCB"/>
    <w:rsid w:val="2B32C4EC"/>
    <w:rsid w:val="2FFDA8C2"/>
    <w:rsid w:val="322EFB2D"/>
    <w:rsid w:val="325CFA4C"/>
    <w:rsid w:val="34DF485D"/>
    <w:rsid w:val="35438D36"/>
    <w:rsid w:val="36EE1FC4"/>
    <w:rsid w:val="379F526B"/>
    <w:rsid w:val="3D07AA02"/>
    <w:rsid w:val="44284915"/>
    <w:rsid w:val="45C47648"/>
    <w:rsid w:val="46CBBACD"/>
    <w:rsid w:val="48007BD6"/>
    <w:rsid w:val="48CB11E6"/>
    <w:rsid w:val="4E58BE7B"/>
    <w:rsid w:val="4EC9BB6E"/>
    <w:rsid w:val="4F295867"/>
    <w:rsid w:val="507AB37B"/>
    <w:rsid w:val="51CB1868"/>
    <w:rsid w:val="53BC4918"/>
    <w:rsid w:val="5688B7D8"/>
    <w:rsid w:val="56EB8C58"/>
    <w:rsid w:val="59CF4A5E"/>
    <w:rsid w:val="5A691542"/>
    <w:rsid w:val="5B74D3FE"/>
    <w:rsid w:val="5E4C835A"/>
    <w:rsid w:val="601B4A23"/>
    <w:rsid w:val="60E15C1B"/>
    <w:rsid w:val="6539BD64"/>
    <w:rsid w:val="66976477"/>
    <w:rsid w:val="6782A96D"/>
    <w:rsid w:val="6BD4A398"/>
    <w:rsid w:val="6FB5D420"/>
    <w:rsid w:val="70E5653A"/>
    <w:rsid w:val="7341B162"/>
    <w:rsid w:val="77CC8625"/>
    <w:rsid w:val="79D7D3A0"/>
    <w:rsid w:val="7A4E7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F526B"/>
  <w15:chartTrackingRefBased/>
  <w15:docId w15:val="{3F1D9193-E86F-40F0-B0FD-BB79693CF3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782A96D"/>
    <w:rPr>
      <w:color w:val="467886"/>
      <w:u w:val="single"/>
    </w:rPr>
  </w:style>
  <w:style w:type="paragraph" w:styleId="Header">
    <w:uiPriority w:val="99"/>
    <w:name w:val="header"/>
    <w:basedOn w:val="Normal"/>
    <w:unhideWhenUsed/>
    <w:rsid w:val="6782A96D"/>
    <w:pPr>
      <w:tabs>
        <w:tab w:val="center" w:leader="none" w:pos="4680"/>
        <w:tab w:val="right" w:leader="none" w:pos="9360"/>
      </w:tabs>
      <w:spacing w:after="0" w:line="240" w:lineRule="auto"/>
    </w:pPr>
  </w:style>
  <w:style w:type="paragraph" w:styleId="Footer">
    <w:uiPriority w:val="99"/>
    <w:name w:val="footer"/>
    <w:basedOn w:val="Normal"/>
    <w:unhideWhenUsed/>
    <w:rsid w:val="6782A96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journals.sagepub.com/doi/10.1177/036354659502300611" TargetMode="External" Id="R03ae70ea915c4fea" /><Relationship Type="http://schemas.openxmlformats.org/officeDocument/2006/relationships/hyperlink" Target="https://link.springer.com/article/10.1186/s10195-018-0516-9" TargetMode="External" Id="R01d1a89fc4504b48" /><Relationship Type="http://schemas.openxmlformats.org/officeDocument/2006/relationships/hyperlink" Target="https://www.ncbi.nlm.nih.gov/pmc/articles/PMC6548436/" TargetMode="External" Id="R9e5dbb692e6c4f93" /><Relationship Type="http://schemas.openxmlformats.org/officeDocument/2006/relationships/hyperlink" Target="https://www.jospt.org/doi/10.2519/jospt.2010.0303" TargetMode="External" Id="R2a41ed53692c4c8e" /><Relationship Type="http://schemas.openxmlformats.org/officeDocument/2006/relationships/hyperlink" Target="https://pubmed.ncbi.nlm.nih.gov/17761605/" TargetMode="External" Id="R4d8599aa1f07402b" /><Relationship Type="http://schemas.openxmlformats.org/officeDocument/2006/relationships/hyperlink" Target="https://pubmed.ncbi.nlm.nih.gov/25819154/" TargetMode="External" Id="R6472a82fd931411c" /><Relationship Type="http://schemas.openxmlformats.org/officeDocument/2006/relationships/hyperlink" Target="https://pubmed.ncbi.nlm.nih.gov/8600737/" TargetMode="External" Id="R9cfac1cc8cf34176" /><Relationship Type="http://schemas.openxmlformats.org/officeDocument/2006/relationships/hyperlink" Target="https://www.orthopt.org/uploads/content_files/ICF/2014/11" TargetMode="External" Id="R29dae20be3624357" /><Relationship Type="http://schemas.openxmlformats.org/officeDocument/2006/relationships/hyperlink" Target="https://onlinelibrary.wiley.com/doi/full/10.1002/jor.23298" TargetMode="External" Id="Rb97e1f6bb8d84ce3" /><Relationship Type="http://schemas.openxmlformats.org/officeDocument/2006/relationships/hyperlink" Target="https://bjsm.bmj.com/content/48/21/1543" TargetMode="External" Id="Rf0987150bad547bc" /><Relationship Type="http://schemas.openxmlformats.org/officeDocument/2006/relationships/header" Target="/word/header.xml" Id="R5fc7b55380b548d6" /><Relationship Type="http://schemas.openxmlformats.org/officeDocument/2006/relationships/footer" Target="/word/footer.xml" Id="R28dc4204774a46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Cynyr Llewelyn-Jones (2404670)</dc:creator>
  <keywords/>
  <dc:description/>
  <lastModifiedBy>Cynyr Llewelyn-Jones (2404670)</lastModifiedBy>
  <revision>3</revision>
  <dcterms:created xsi:type="dcterms:W3CDTF">2025-04-10T10:04:22.6793178Z</dcterms:created>
  <dcterms:modified xsi:type="dcterms:W3CDTF">2025-04-23T15:35:10.4475545Z</dcterms:modified>
</coreProperties>
</file>