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8CEE8" w14:textId="77777777" w:rsidR="00BD13D9" w:rsidRPr="009C1688" w:rsidRDefault="00BD13D9" w:rsidP="00BD13D9">
      <w:pPr>
        <w:pStyle w:val="s7"/>
        <w:spacing w:before="0" w:beforeAutospacing="0" w:after="120" w:afterAutospacing="0" w:line="360" w:lineRule="auto"/>
        <w:jc w:val="center"/>
        <w:rPr>
          <w:sz w:val="32"/>
          <w:szCs w:val="32"/>
        </w:rPr>
      </w:pPr>
      <w:r w:rsidRPr="009C1688">
        <w:rPr>
          <w:sz w:val="32"/>
          <w:szCs w:val="32"/>
        </w:rPr>
        <w:t xml:space="preserve">Name- </w:t>
      </w:r>
      <w:r w:rsidRPr="009C1688">
        <w:rPr>
          <w:b/>
          <w:bCs/>
          <w:sz w:val="32"/>
          <w:szCs w:val="32"/>
        </w:rPr>
        <w:t>Amit Tiwari</w:t>
      </w:r>
    </w:p>
    <w:p w14:paraId="0AD692EB" w14:textId="77777777" w:rsidR="00BD13D9" w:rsidRPr="009C1688" w:rsidRDefault="00BD13D9" w:rsidP="00BD13D9">
      <w:pPr>
        <w:pStyle w:val="s7"/>
        <w:spacing w:before="0" w:beforeAutospacing="0" w:after="120" w:afterAutospacing="0" w:line="360" w:lineRule="auto"/>
        <w:jc w:val="center"/>
        <w:rPr>
          <w:b/>
          <w:bCs/>
          <w:sz w:val="32"/>
          <w:szCs w:val="32"/>
        </w:rPr>
      </w:pPr>
      <w:r w:rsidRPr="009C1688">
        <w:rPr>
          <w:sz w:val="32"/>
          <w:szCs w:val="32"/>
        </w:rPr>
        <w:t xml:space="preserve">Student ID - </w:t>
      </w:r>
      <w:r w:rsidRPr="009C1688">
        <w:rPr>
          <w:b/>
          <w:bCs/>
          <w:sz w:val="32"/>
          <w:szCs w:val="32"/>
        </w:rPr>
        <w:t>252693</w:t>
      </w:r>
      <w:r>
        <w:rPr>
          <w:b/>
          <w:bCs/>
          <w:sz w:val="32"/>
          <w:szCs w:val="32"/>
        </w:rPr>
        <w:t>1</w:t>
      </w:r>
    </w:p>
    <w:p w14:paraId="64CF05C7" w14:textId="77777777" w:rsidR="00BD13D9" w:rsidRPr="009C1688" w:rsidRDefault="00BD13D9" w:rsidP="00BD13D9">
      <w:pPr>
        <w:pStyle w:val="s7"/>
        <w:spacing w:before="0" w:beforeAutospacing="0" w:after="120" w:afterAutospacing="0" w:line="360" w:lineRule="auto"/>
        <w:jc w:val="center"/>
        <w:rPr>
          <w:b/>
          <w:bCs/>
          <w:color w:val="000000"/>
          <w:sz w:val="32"/>
          <w:szCs w:val="32"/>
        </w:rPr>
      </w:pPr>
      <w:r w:rsidRPr="009C1688">
        <w:rPr>
          <w:rStyle w:val="s5"/>
          <w:rFonts w:eastAsiaTheme="majorEastAsia"/>
          <w:color w:val="000000"/>
          <w:sz w:val="32"/>
          <w:szCs w:val="32"/>
        </w:rPr>
        <w:t>Programme:</w:t>
      </w:r>
      <w:r w:rsidRPr="009C1688">
        <w:rPr>
          <w:rStyle w:val="apple-converted-space"/>
          <w:rFonts w:eastAsiaTheme="majorEastAsia"/>
          <w:b/>
          <w:bCs/>
          <w:color w:val="000000"/>
          <w:sz w:val="32"/>
          <w:szCs w:val="32"/>
        </w:rPr>
        <w:t> </w:t>
      </w:r>
      <w:r w:rsidRPr="009C1688">
        <w:rPr>
          <w:rStyle w:val="s6"/>
          <w:rFonts w:eastAsiaTheme="majorEastAsia"/>
          <w:b/>
          <w:bCs/>
          <w:color w:val="000000"/>
          <w:sz w:val="32"/>
          <w:szCs w:val="32"/>
        </w:rPr>
        <w:t>MSc Public Health and Social Care in Practice</w:t>
      </w:r>
    </w:p>
    <w:p w14:paraId="751D9D46" w14:textId="10196A1D" w:rsidR="00BD13D9" w:rsidRDefault="00BD13D9" w:rsidP="00BD13D9">
      <w:pPr>
        <w:pStyle w:val="p1"/>
        <w:jc w:val="center"/>
        <w:rPr>
          <w:rFonts w:ascii="Times New Roman" w:hAnsi="Times New Roman" w:cs="Times New Roman"/>
          <w:b/>
          <w:bCs/>
          <w:sz w:val="32"/>
          <w:szCs w:val="32"/>
        </w:rPr>
      </w:pPr>
      <w:r w:rsidRPr="00BD13D9">
        <w:rPr>
          <w:rStyle w:val="s5"/>
          <w:rFonts w:ascii="Times New Roman" w:eastAsiaTheme="majorEastAsia" w:hAnsi="Times New Roman" w:cs="Times New Roman"/>
          <w:sz w:val="32"/>
          <w:szCs w:val="32"/>
        </w:rPr>
        <w:t>Module:</w:t>
      </w:r>
      <w:r w:rsidRPr="00BD13D9">
        <w:rPr>
          <w:rStyle w:val="s5"/>
          <w:rFonts w:ascii="Times New Roman" w:eastAsiaTheme="majorEastAsia" w:hAnsi="Times New Roman" w:cs="Times New Roman"/>
          <w:b/>
          <w:bCs/>
          <w:sz w:val="32"/>
          <w:szCs w:val="32"/>
        </w:rPr>
        <w:t> </w:t>
      </w:r>
      <w:r w:rsidRPr="00BD13D9">
        <w:rPr>
          <w:rFonts w:ascii="Times New Roman" w:hAnsi="Times New Roman" w:cs="Times New Roman"/>
          <w:b/>
          <w:bCs/>
          <w:sz w:val="32"/>
          <w:szCs w:val="32"/>
        </w:rPr>
        <w:t>Social Epidemiology and Public Health Development</w:t>
      </w:r>
    </w:p>
    <w:p w14:paraId="250BA4C7" w14:textId="77777777" w:rsidR="00BD13D9" w:rsidRPr="00BD13D9" w:rsidRDefault="00BD13D9" w:rsidP="00BD13D9">
      <w:pPr>
        <w:pStyle w:val="p1"/>
        <w:jc w:val="center"/>
        <w:rPr>
          <w:rFonts w:ascii="Times New Roman" w:hAnsi="Times New Roman" w:cs="Times New Roman"/>
          <w:sz w:val="32"/>
          <w:szCs w:val="32"/>
        </w:rPr>
      </w:pPr>
    </w:p>
    <w:p w14:paraId="0C277B8C" w14:textId="1DAFDFCE" w:rsidR="00BD13D9" w:rsidRPr="009C1688" w:rsidRDefault="00BD13D9" w:rsidP="00BD13D9">
      <w:pPr>
        <w:pStyle w:val="s7"/>
        <w:spacing w:before="0" w:beforeAutospacing="0" w:after="120" w:afterAutospacing="0" w:line="360" w:lineRule="auto"/>
        <w:jc w:val="center"/>
        <w:rPr>
          <w:b/>
          <w:bCs/>
          <w:color w:val="000000"/>
          <w:sz w:val="32"/>
          <w:szCs w:val="32"/>
        </w:rPr>
      </w:pPr>
      <w:r w:rsidRPr="009C1688">
        <w:rPr>
          <w:rStyle w:val="s5"/>
          <w:rFonts w:eastAsiaTheme="majorEastAsia"/>
          <w:color w:val="000000"/>
          <w:sz w:val="32"/>
          <w:szCs w:val="32"/>
        </w:rPr>
        <w:t>Module code:</w:t>
      </w:r>
      <w:r w:rsidRPr="009C1688">
        <w:rPr>
          <w:rStyle w:val="apple-converted-space"/>
          <w:rFonts w:eastAsiaTheme="majorEastAsia"/>
          <w:b/>
          <w:bCs/>
          <w:color w:val="000000"/>
          <w:sz w:val="32"/>
          <w:szCs w:val="32"/>
        </w:rPr>
        <w:t> </w:t>
      </w:r>
      <w:r w:rsidRPr="009C1688">
        <w:rPr>
          <w:rStyle w:val="s6"/>
          <w:rFonts w:eastAsiaTheme="majorEastAsia"/>
          <w:b/>
          <w:bCs/>
          <w:color w:val="000000"/>
          <w:sz w:val="32"/>
          <w:szCs w:val="32"/>
        </w:rPr>
        <w:t>LCHS700</w:t>
      </w:r>
      <w:r>
        <w:rPr>
          <w:rStyle w:val="s6"/>
          <w:rFonts w:eastAsiaTheme="majorEastAsia"/>
          <w:b/>
          <w:bCs/>
          <w:color w:val="000000"/>
          <w:sz w:val="32"/>
          <w:szCs w:val="32"/>
        </w:rPr>
        <w:t>0</w:t>
      </w:r>
    </w:p>
    <w:p w14:paraId="38149CA3" w14:textId="77777777" w:rsidR="00BD13D9" w:rsidRPr="00BD13D9" w:rsidRDefault="00BD13D9" w:rsidP="00BD13D9">
      <w:pPr>
        <w:pStyle w:val="p1"/>
        <w:jc w:val="center"/>
        <w:rPr>
          <w:rFonts w:ascii="Times New Roman" w:hAnsi="Times New Roman" w:cs="Times New Roman"/>
          <w:sz w:val="32"/>
          <w:szCs w:val="32"/>
        </w:rPr>
      </w:pPr>
      <w:r w:rsidRPr="00BD13D9">
        <w:rPr>
          <w:rStyle w:val="s5"/>
          <w:rFonts w:ascii="Times New Roman" w:hAnsi="Times New Roman" w:cs="Times New Roman"/>
          <w:sz w:val="32"/>
          <w:szCs w:val="32"/>
        </w:rPr>
        <w:t>Lecturer</w:t>
      </w:r>
      <w:r w:rsidRPr="00BD13D9">
        <w:rPr>
          <w:rStyle w:val="s5"/>
          <w:rFonts w:ascii="Times New Roman" w:hAnsi="Times New Roman" w:cs="Times New Roman"/>
          <w:b/>
          <w:bCs/>
          <w:sz w:val="32"/>
          <w:szCs w:val="32"/>
        </w:rPr>
        <w:t>:</w:t>
      </w:r>
      <w:r w:rsidRPr="00BD13D9">
        <w:rPr>
          <w:rStyle w:val="s6"/>
          <w:rFonts w:ascii="Times New Roman" w:hAnsi="Times New Roman" w:cs="Times New Roman"/>
          <w:sz w:val="32"/>
          <w:szCs w:val="32"/>
        </w:rPr>
        <w:t xml:space="preserve"> </w:t>
      </w:r>
      <w:proofErr w:type="spellStart"/>
      <w:r w:rsidRPr="00BD13D9">
        <w:rPr>
          <w:rFonts w:ascii="Times New Roman" w:hAnsi="Times New Roman" w:cs="Times New Roman"/>
          <w:b/>
          <w:bCs/>
          <w:sz w:val="32"/>
          <w:szCs w:val="32"/>
        </w:rPr>
        <w:t>Itse</w:t>
      </w:r>
      <w:proofErr w:type="spellEnd"/>
      <w:r w:rsidRPr="00BD13D9">
        <w:rPr>
          <w:rFonts w:ascii="Times New Roman" w:hAnsi="Times New Roman" w:cs="Times New Roman"/>
          <w:b/>
          <w:bCs/>
          <w:sz w:val="32"/>
          <w:szCs w:val="32"/>
        </w:rPr>
        <w:t xml:space="preserve"> Olaoye</w:t>
      </w:r>
    </w:p>
    <w:p w14:paraId="61BB59BD" w14:textId="09C9FC0D" w:rsidR="00BD13D9" w:rsidRDefault="00BD13D9" w:rsidP="00BD13D9">
      <w:pPr>
        <w:jc w:val="center"/>
        <w:rPr>
          <w:rStyle w:val="s6"/>
          <w:b/>
          <w:bCs/>
          <w:color w:val="000000"/>
          <w:sz w:val="32"/>
          <w:szCs w:val="32"/>
        </w:rPr>
      </w:pPr>
    </w:p>
    <w:p w14:paraId="6BEC368A" w14:textId="5F6AE540" w:rsidR="00B4594A" w:rsidRPr="00877083" w:rsidRDefault="00B4594A" w:rsidP="00BD13D9">
      <w:pPr>
        <w:jc w:val="center"/>
        <w:rPr>
          <w:rStyle w:val="s6"/>
          <w:b/>
          <w:bCs/>
          <w:color w:val="000000"/>
          <w:sz w:val="32"/>
          <w:szCs w:val="32"/>
        </w:rPr>
      </w:pPr>
      <w:r w:rsidRPr="00877083">
        <w:rPr>
          <w:rStyle w:val="s6"/>
          <w:color w:val="000000"/>
          <w:sz w:val="32"/>
          <w:szCs w:val="32"/>
        </w:rPr>
        <w:t>T</w:t>
      </w:r>
      <w:r w:rsidR="00877083" w:rsidRPr="00877083">
        <w:rPr>
          <w:rStyle w:val="s6"/>
          <w:color w:val="000000"/>
          <w:sz w:val="32"/>
          <w:szCs w:val="32"/>
        </w:rPr>
        <w:t>ask</w:t>
      </w:r>
      <w:r w:rsidRPr="00877083">
        <w:rPr>
          <w:rStyle w:val="s6"/>
          <w:b/>
          <w:bCs/>
          <w:color w:val="000000"/>
          <w:sz w:val="32"/>
          <w:szCs w:val="32"/>
        </w:rPr>
        <w:t xml:space="preserve">-1 </w:t>
      </w:r>
    </w:p>
    <w:p w14:paraId="52ABC336" w14:textId="52BEE4D4" w:rsidR="00877083" w:rsidRPr="00877083" w:rsidRDefault="00877083" w:rsidP="00877083">
      <w:pPr>
        <w:pStyle w:val="p1"/>
        <w:jc w:val="center"/>
        <w:rPr>
          <w:rStyle w:val="s6"/>
          <w:rFonts w:ascii="Times New Roman" w:hAnsi="Times New Roman" w:cs="Times New Roman"/>
          <w:sz w:val="36"/>
          <w:szCs w:val="36"/>
        </w:rPr>
      </w:pPr>
      <w:r w:rsidRPr="00877083">
        <w:rPr>
          <w:rStyle w:val="s6"/>
          <w:rFonts w:ascii="Times New Roman" w:hAnsi="Times New Roman" w:cs="Times New Roman"/>
          <w:sz w:val="36"/>
          <w:szCs w:val="36"/>
        </w:rPr>
        <w:t xml:space="preserve">Topic- </w:t>
      </w:r>
      <w:r w:rsidRPr="00877083">
        <w:rPr>
          <w:rFonts w:ascii="Times New Roman" w:hAnsi="Times New Roman" w:cs="Times New Roman"/>
          <w:b/>
          <w:bCs/>
          <w:sz w:val="36"/>
          <w:szCs w:val="36"/>
        </w:rPr>
        <w:t>Ethnicity and health inequalities</w:t>
      </w:r>
    </w:p>
    <w:p w14:paraId="7370C6F4" w14:textId="77777777" w:rsidR="00BD13D9" w:rsidRDefault="00BD13D9" w:rsidP="00BD13D9">
      <w:pPr>
        <w:jc w:val="both"/>
        <w:rPr>
          <w:b/>
          <w:bCs/>
          <w:sz w:val="36"/>
          <w:szCs w:val="36"/>
          <w:u w:val="single"/>
          <w:lang w:val="en-IN"/>
        </w:rPr>
      </w:pPr>
    </w:p>
    <w:p w14:paraId="6F3ACFAD" w14:textId="77777777" w:rsidR="00BD13D9" w:rsidRPr="00B4594A" w:rsidRDefault="00BD13D9" w:rsidP="00BD13D9">
      <w:pPr>
        <w:jc w:val="both"/>
        <w:rPr>
          <w:b/>
          <w:bCs/>
          <w:sz w:val="36"/>
          <w:szCs w:val="36"/>
          <w:lang w:val="en-IN"/>
        </w:rPr>
      </w:pPr>
      <w:r w:rsidRPr="00B4594A">
        <w:rPr>
          <w:b/>
          <w:bCs/>
          <w:sz w:val="36"/>
          <w:szCs w:val="36"/>
          <w:lang w:val="en-IN"/>
        </w:rPr>
        <w:t xml:space="preserve">TABLE OF CONTENTS     </w:t>
      </w:r>
    </w:p>
    <w:p w14:paraId="57BEDCA3" w14:textId="77777777" w:rsidR="00A26F70" w:rsidRDefault="00A26F70" w:rsidP="00A26F70">
      <w:pPr>
        <w:pStyle w:val="ListParagraph"/>
        <w:rPr>
          <w:rStyle w:val="s6"/>
          <w:b/>
          <w:bCs/>
          <w:sz w:val="36"/>
          <w:szCs w:val="36"/>
          <w:lang w:val="en-IN"/>
        </w:rPr>
      </w:pPr>
    </w:p>
    <w:p w14:paraId="552413E6" w14:textId="46EA7EC1" w:rsidR="00BD13D9" w:rsidRPr="00A26F70" w:rsidRDefault="00A26F70" w:rsidP="00A26F70">
      <w:pPr>
        <w:pStyle w:val="ListParagraph"/>
        <w:numPr>
          <w:ilvl w:val="0"/>
          <w:numId w:val="2"/>
        </w:numPr>
        <w:spacing w:line="360" w:lineRule="auto"/>
        <w:rPr>
          <w:rStyle w:val="s6"/>
          <w:b/>
          <w:bCs/>
          <w:sz w:val="32"/>
          <w:szCs w:val="32"/>
          <w:lang w:val="en-IN"/>
        </w:rPr>
      </w:pPr>
      <w:r w:rsidRPr="00A26F70">
        <w:rPr>
          <w:rStyle w:val="s6"/>
          <w:b/>
          <w:bCs/>
          <w:sz w:val="32"/>
          <w:szCs w:val="32"/>
          <w:lang w:val="en-IN"/>
        </w:rPr>
        <w:t>Introduction</w:t>
      </w:r>
    </w:p>
    <w:p w14:paraId="25680CC2" w14:textId="0B028D2B" w:rsidR="00A26F70" w:rsidRPr="00A26F70" w:rsidRDefault="00A26F70" w:rsidP="00A26F70">
      <w:pPr>
        <w:pStyle w:val="ListParagraph"/>
        <w:numPr>
          <w:ilvl w:val="0"/>
          <w:numId w:val="2"/>
        </w:numPr>
        <w:spacing w:line="360" w:lineRule="auto"/>
        <w:rPr>
          <w:b/>
          <w:bCs/>
          <w:sz w:val="32"/>
          <w:szCs w:val="32"/>
          <w:lang w:val="en-IN"/>
        </w:rPr>
      </w:pPr>
      <w:r w:rsidRPr="00A26F70">
        <w:rPr>
          <w:b/>
          <w:bCs/>
          <w:color w:val="000000"/>
          <w:sz w:val="32"/>
          <w:szCs w:val="32"/>
        </w:rPr>
        <w:t>Contextual Background and Underlying Factors</w:t>
      </w:r>
    </w:p>
    <w:p w14:paraId="5C9F782F" w14:textId="040A9D45" w:rsidR="00A26F70" w:rsidRPr="00877083" w:rsidRDefault="00877083" w:rsidP="00A26F70">
      <w:pPr>
        <w:pStyle w:val="ListParagraph"/>
        <w:numPr>
          <w:ilvl w:val="1"/>
          <w:numId w:val="2"/>
        </w:numPr>
        <w:spacing w:line="360" w:lineRule="auto"/>
        <w:rPr>
          <w:sz w:val="32"/>
          <w:szCs w:val="32"/>
          <w:lang w:val="en-IN"/>
        </w:rPr>
      </w:pPr>
      <w:r w:rsidRPr="00877083">
        <w:rPr>
          <w:color w:val="000000"/>
          <w:sz w:val="32"/>
          <w:szCs w:val="32"/>
        </w:rPr>
        <w:t xml:space="preserve">Higher Rates of Diabetes Among Ethnic Minorities </w:t>
      </w:r>
    </w:p>
    <w:p w14:paraId="28BB7EA0" w14:textId="77777777" w:rsidR="00877083" w:rsidRPr="00877083" w:rsidRDefault="00877083" w:rsidP="00A26F70">
      <w:pPr>
        <w:pStyle w:val="ListParagraph"/>
        <w:numPr>
          <w:ilvl w:val="1"/>
          <w:numId w:val="2"/>
        </w:numPr>
        <w:spacing w:line="360" w:lineRule="auto"/>
        <w:rPr>
          <w:sz w:val="32"/>
          <w:szCs w:val="32"/>
          <w:lang w:val="en-IN"/>
        </w:rPr>
      </w:pPr>
      <w:r w:rsidRPr="00877083">
        <w:rPr>
          <w:color w:val="000000"/>
          <w:sz w:val="32"/>
          <w:szCs w:val="32"/>
        </w:rPr>
        <w:t>Low Rates of Access to Preventive Healthcare Services</w:t>
      </w:r>
    </w:p>
    <w:p w14:paraId="6B35639E" w14:textId="73E4E612" w:rsidR="00877083" w:rsidRPr="00877083" w:rsidRDefault="00877083" w:rsidP="00A26F70">
      <w:pPr>
        <w:pStyle w:val="ListParagraph"/>
        <w:numPr>
          <w:ilvl w:val="1"/>
          <w:numId w:val="2"/>
        </w:numPr>
        <w:spacing w:line="360" w:lineRule="auto"/>
        <w:rPr>
          <w:sz w:val="32"/>
          <w:szCs w:val="32"/>
          <w:lang w:val="en-IN"/>
        </w:rPr>
      </w:pPr>
      <w:r w:rsidRPr="00877083">
        <w:rPr>
          <w:color w:val="000000"/>
          <w:sz w:val="32"/>
          <w:szCs w:val="32"/>
        </w:rPr>
        <w:t>Higher Mortality Rates in</w:t>
      </w:r>
      <w:r w:rsidR="00A0169F">
        <w:rPr>
          <w:color w:val="000000"/>
          <w:sz w:val="32"/>
          <w:szCs w:val="32"/>
        </w:rPr>
        <w:t xml:space="preserve"> </w:t>
      </w:r>
      <w:r w:rsidRPr="00877083">
        <w:rPr>
          <w:color w:val="000000"/>
          <w:sz w:val="32"/>
          <w:szCs w:val="32"/>
        </w:rPr>
        <w:t>Ethnic Minority Population</w:t>
      </w:r>
      <w:r w:rsidR="00A0169F">
        <w:rPr>
          <w:color w:val="000000"/>
          <w:sz w:val="32"/>
          <w:szCs w:val="32"/>
        </w:rPr>
        <w:t>s</w:t>
      </w:r>
    </w:p>
    <w:p w14:paraId="58A6FF82" w14:textId="736E4ADB" w:rsidR="00877083" w:rsidRPr="00877083" w:rsidRDefault="00877083" w:rsidP="00A26F70">
      <w:pPr>
        <w:pStyle w:val="ListParagraph"/>
        <w:numPr>
          <w:ilvl w:val="1"/>
          <w:numId w:val="2"/>
        </w:numPr>
        <w:spacing w:line="360" w:lineRule="auto"/>
        <w:rPr>
          <w:sz w:val="32"/>
          <w:szCs w:val="32"/>
          <w:lang w:val="en-IN"/>
        </w:rPr>
      </w:pPr>
      <w:r w:rsidRPr="00877083">
        <w:rPr>
          <w:color w:val="000000"/>
          <w:sz w:val="32"/>
          <w:szCs w:val="32"/>
        </w:rPr>
        <w:t>Social Exclusion and Discrimination</w:t>
      </w:r>
    </w:p>
    <w:p w14:paraId="70F74D7E" w14:textId="77777777" w:rsidR="00877083" w:rsidRPr="00877083" w:rsidRDefault="00877083" w:rsidP="00877083">
      <w:pPr>
        <w:pStyle w:val="ListParagraph"/>
        <w:numPr>
          <w:ilvl w:val="1"/>
          <w:numId w:val="2"/>
        </w:numPr>
        <w:spacing w:line="360" w:lineRule="auto"/>
        <w:rPr>
          <w:rStyle w:val="apple-converted-space"/>
          <w:sz w:val="32"/>
          <w:szCs w:val="32"/>
          <w:lang w:val="en-IN"/>
        </w:rPr>
      </w:pPr>
      <w:r w:rsidRPr="00877083">
        <w:rPr>
          <w:color w:val="000000"/>
          <w:sz w:val="32"/>
          <w:szCs w:val="32"/>
        </w:rPr>
        <w:t>Poverty and Socioeconomic Disadvantage</w:t>
      </w:r>
      <w:r w:rsidRPr="00877083">
        <w:rPr>
          <w:rStyle w:val="apple-converted-space"/>
          <w:color w:val="000000"/>
          <w:sz w:val="32"/>
          <w:szCs w:val="32"/>
        </w:rPr>
        <w:t> </w:t>
      </w:r>
    </w:p>
    <w:p w14:paraId="31AA6CF6" w14:textId="6DB55D2F" w:rsidR="00877083" w:rsidRPr="00877083" w:rsidRDefault="00877083" w:rsidP="00877083">
      <w:pPr>
        <w:pStyle w:val="ListParagraph"/>
        <w:numPr>
          <w:ilvl w:val="1"/>
          <w:numId w:val="2"/>
        </w:numPr>
        <w:spacing w:line="360" w:lineRule="auto"/>
        <w:rPr>
          <w:sz w:val="32"/>
          <w:szCs w:val="32"/>
          <w:lang w:val="en-IN"/>
        </w:rPr>
      </w:pPr>
      <w:r w:rsidRPr="00877083">
        <w:rPr>
          <w:color w:val="000000"/>
          <w:sz w:val="32"/>
          <w:szCs w:val="32"/>
        </w:rPr>
        <w:t>Poor Housing and Living Condition</w:t>
      </w:r>
      <w:r w:rsidR="00A0169F">
        <w:rPr>
          <w:color w:val="000000"/>
          <w:sz w:val="32"/>
          <w:szCs w:val="32"/>
        </w:rPr>
        <w:t>s</w:t>
      </w:r>
    </w:p>
    <w:p w14:paraId="071367DE" w14:textId="03CEDABE" w:rsidR="00A26F70" w:rsidRPr="00A26F70" w:rsidRDefault="00A26F70" w:rsidP="00A26F70">
      <w:pPr>
        <w:pStyle w:val="ListParagraph"/>
        <w:numPr>
          <w:ilvl w:val="0"/>
          <w:numId w:val="2"/>
        </w:numPr>
        <w:spacing w:line="360" w:lineRule="auto"/>
        <w:rPr>
          <w:rStyle w:val="apple-converted-space"/>
          <w:b/>
          <w:bCs/>
          <w:sz w:val="32"/>
          <w:szCs w:val="32"/>
          <w:lang w:val="en-IN"/>
        </w:rPr>
      </w:pPr>
      <w:r w:rsidRPr="00A26F70">
        <w:rPr>
          <w:b/>
          <w:bCs/>
          <w:color w:val="000000"/>
          <w:sz w:val="32"/>
          <w:szCs w:val="32"/>
        </w:rPr>
        <w:t>National Response to Reduce Health Inequalities</w:t>
      </w:r>
    </w:p>
    <w:p w14:paraId="1E158746" w14:textId="5E5AE3BA" w:rsidR="00A26F70" w:rsidRPr="00A26F70" w:rsidRDefault="00A26F70" w:rsidP="00A26F70">
      <w:pPr>
        <w:pStyle w:val="ListParagraph"/>
        <w:numPr>
          <w:ilvl w:val="0"/>
          <w:numId w:val="2"/>
        </w:numPr>
        <w:spacing w:line="360" w:lineRule="auto"/>
        <w:rPr>
          <w:rStyle w:val="apple-converted-space"/>
          <w:b/>
          <w:bCs/>
          <w:sz w:val="32"/>
          <w:szCs w:val="32"/>
          <w:lang w:val="en-IN"/>
        </w:rPr>
      </w:pPr>
      <w:r w:rsidRPr="00A26F70">
        <w:rPr>
          <w:b/>
          <w:bCs/>
          <w:color w:val="000000"/>
          <w:sz w:val="32"/>
          <w:szCs w:val="32"/>
        </w:rPr>
        <w:t>Organisation Supporting Older Adults (Age UK)</w:t>
      </w:r>
      <w:r w:rsidRPr="00A26F70">
        <w:rPr>
          <w:rStyle w:val="apple-converted-space"/>
          <w:b/>
          <w:bCs/>
          <w:color w:val="000000"/>
          <w:sz w:val="32"/>
          <w:szCs w:val="32"/>
        </w:rPr>
        <w:t> </w:t>
      </w:r>
    </w:p>
    <w:p w14:paraId="5A1D5227" w14:textId="77DEF8B8" w:rsidR="00A26F70" w:rsidRPr="00A26F70" w:rsidRDefault="00A26F70" w:rsidP="00A26F70">
      <w:pPr>
        <w:pStyle w:val="ListParagraph"/>
        <w:numPr>
          <w:ilvl w:val="0"/>
          <w:numId w:val="2"/>
        </w:numPr>
        <w:spacing w:line="360" w:lineRule="auto"/>
        <w:rPr>
          <w:b/>
          <w:bCs/>
          <w:sz w:val="32"/>
          <w:szCs w:val="32"/>
          <w:lang w:val="en-IN"/>
        </w:rPr>
      </w:pPr>
      <w:r w:rsidRPr="00A26F70">
        <w:rPr>
          <w:b/>
          <w:bCs/>
          <w:color w:val="000000"/>
          <w:sz w:val="32"/>
          <w:szCs w:val="32"/>
        </w:rPr>
        <w:t>Conclusion</w:t>
      </w:r>
    </w:p>
    <w:p w14:paraId="4E0E707A" w14:textId="62CA5518" w:rsidR="002416C5" w:rsidRPr="00B75ADD" w:rsidRDefault="002416C5" w:rsidP="007A4453">
      <w:pPr>
        <w:pStyle w:val="ListParagraph"/>
        <w:spacing w:line="360" w:lineRule="auto"/>
        <w:rPr>
          <w:b/>
          <w:bCs/>
          <w:sz w:val="32"/>
          <w:szCs w:val="32"/>
          <w:lang w:val="en-IN"/>
        </w:rPr>
      </w:pPr>
    </w:p>
    <w:p w14:paraId="338512E7" w14:textId="77777777" w:rsidR="00B75ADD" w:rsidRPr="002416C5" w:rsidRDefault="00B75ADD" w:rsidP="00B75ADD">
      <w:pPr>
        <w:pStyle w:val="ListParagraph"/>
        <w:spacing w:line="360" w:lineRule="auto"/>
        <w:rPr>
          <w:b/>
          <w:bCs/>
          <w:sz w:val="32"/>
          <w:szCs w:val="32"/>
          <w:lang w:val="en-IN"/>
        </w:rPr>
      </w:pPr>
    </w:p>
    <w:p w14:paraId="60330342" w14:textId="77777777" w:rsidR="002416C5" w:rsidRPr="002416C5" w:rsidRDefault="002416C5" w:rsidP="002416C5">
      <w:pPr>
        <w:pStyle w:val="ListParagraph"/>
        <w:spacing w:line="360" w:lineRule="auto"/>
        <w:rPr>
          <w:b/>
          <w:bCs/>
          <w:sz w:val="32"/>
          <w:szCs w:val="32"/>
          <w:lang w:val="en-IN"/>
        </w:rPr>
      </w:pPr>
    </w:p>
    <w:p w14:paraId="6E09B8DD" w14:textId="645EC87B" w:rsidR="00B4594A" w:rsidRPr="002416C5" w:rsidRDefault="00B4594A" w:rsidP="002416C5">
      <w:pPr>
        <w:pStyle w:val="ListParagraph"/>
        <w:numPr>
          <w:ilvl w:val="0"/>
          <w:numId w:val="5"/>
        </w:numPr>
        <w:spacing w:before="100" w:beforeAutospacing="1" w:after="100" w:afterAutospacing="1"/>
        <w:outlineLvl w:val="1"/>
        <w:rPr>
          <w:b/>
          <w:bCs/>
          <w:color w:val="000000"/>
          <w:sz w:val="32"/>
          <w:szCs w:val="32"/>
        </w:rPr>
      </w:pPr>
      <w:r w:rsidRPr="002416C5">
        <w:rPr>
          <w:b/>
          <w:bCs/>
          <w:color w:val="000000"/>
          <w:sz w:val="32"/>
          <w:szCs w:val="32"/>
        </w:rPr>
        <w:lastRenderedPageBreak/>
        <w:t>Introduction</w:t>
      </w:r>
    </w:p>
    <w:p w14:paraId="50E3CACC" w14:textId="7112E925" w:rsidR="00B4594A" w:rsidRDefault="001F204F" w:rsidP="005E409D">
      <w:pPr>
        <w:spacing w:before="100" w:beforeAutospacing="1" w:after="100" w:afterAutospacing="1"/>
        <w:jc w:val="both"/>
        <w:outlineLvl w:val="1"/>
        <w:rPr>
          <w:color w:val="000000"/>
        </w:rPr>
      </w:pPr>
      <w:r w:rsidRPr="001F204F">
        <w:rPr>
          <w:color w:val="000000"/>
        </w:rPr>
        <w:t xml:space="preserve">Ethnicity is a term used for a group of individuals who share common ancestry, culture, language, and social origins. Ethnic minority groups in the UK comprise people from the Black, Asian, and mixed categories, who face considerable health inequities relative to White British communities. These inequities are related to low socio-economic status, discrimination, cultural variation, and lack of access to healthcare resources. Such health inequities can affect physical and mental well-being throughout one’s lifespan. There is research evidence indicating that certain ethnic minorities have </w:t>
      </w:r>
      <w:r>
        <w:rPr>
          <w:color w:val="000000"/>
        </w:rPr>
        <w:t xml:space="preserve">a </w:t>
      </w:r>
      <w:r w:rsidRPr="001F204F">
        <w:rPr>
          <w:color w:val="000000"/>
        </w:rPr>
        <w:t>higher prevalence of chronic diseases, inadequate healthcare access, and shorter life expectancy than Whites (ONS, 2023).</w:t>
      </w:r>
      <w:r>
        <w:rPr>
          <w:color w:val="000000"/>
        </w:rPr>
        <w:t xml:space="preserve"> </w:t>
      </w:r>
      <w:r w:rsidR="005E409D" w:rsidRPr="005E409D">
        <w:rPr>
          <w:color w:val="000000"/>
        </w:rPr>
        <w:t>Structural inequalities such as poverty, housing conditions, and unemployment also compound the issues of ill health among ethnic minority populations (Marmot et al., 2020).</w:t>
      </w:r>
    </w:p>
    <w:p w14:paraId="11D5A2C8" w14:textId="0A2B95EA" w:rsidR="005E409D" w:rsidRDefault="005E409D" w:rsidP="005E409D">
      <w:pPr>
        <w:spacing w:before="100" w:beforeAutospacing="1" w:after="100" w:afterAutospacing="1"/>
        <w:jc w:val="both"/>
        <w:outlineLvl w:val="1"/>
        <w:rPr>
          <w:color w:val="000000"/>
        </w:rPr>
      </w:pPr>
      <w:r>
        <w:fldChar w:fldCharType="begin"/>
      </w:r>
      <w:r>
        <w:instrText xml:space="preserve"> INCLUDEPICTURE "/Users/amittiwari/Library/Group Containers/UBF8T346G9.ms/WebArchiveCopyPasteTempFiles/com.microsoft.Word/FXDXWPMX0AEjYKe.jpg.afa35f11a5beb071326dd588b09933e6.jpg" \* MERGEFORMATINET </w:instrText>
      </w:r>
      <w:r>
        <w:fldChar w:fldCharType="separate"/>
      </w:r>
      <w:r>
        <w:rPr>
          <w:noProof/>
        </w:rPr>
        <w:drawing>
          <wp:inline distT="0" distB="0" distL="0" distR="0" wp14:anchorId="4522EF60" wp14:editId="2A03E9FE">
            <wp:extent cx="5756696" cy="5002920"/>
            <wp:effectExtent l="12700" t="12700" r="9525" b="13970"/>
            <wp:docPr id="1146974508" name="Picture 6" descr="Infographic: Ethnic health inequalities in the UK (NHS Race &amp; Health  Observatory, October 2021) - Health inequalities - Patient Safety Learning  - the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nfographic: Ethnic health inequalities in the UK (NHS Race &amp; Health  Observatory, October 2021) - Health inequalities - Patient Safety Learning  - the hub"/>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23544" cy="5147921"/>
                    </a:xfrm>
                    <a:prstGeom prst="rect">
                      <a:avLst/>
                    </a:prstGeom>
                    <a:noFill/>
                    <a:ln>
                      <a:solidFill>
                        <a:schemeClr val="tx1"/>
                      </a:solidFill>
                    </a:ln>
                  </pic:spPr>
                </pic:pic>
              </a:graphicData>
            </a:graphic>
          </wp:inline>
        </w:drawing>
      </w:r>
      <w:r>
        <w:fldChar w:fldCharType="end"/>
      </w:r>
    </w:p>
    <w:p w14:paraId="3F667F9C" w14:textId="79E80918" w:rsidR="00321F68" w:rsidRDefault="00321F68" w:rsidP="00321F68">
      <w:pPr>
        <w:jc w:val="center"/>
        <w:rPr>
          <w:color w:val="000000"/>
        </w:rPr>
      </w:pPr>
      <w:r w:rsidRPr="00321F68">
        <w:rPr>
          <w:color w:val="000000"/>
        </w:rPr>
        <w:t>Figure 1: Ethnic Health Inequalities in the UK (Patient Safety Learning - the hub, 2021)</w:t>
      </w:r>
    </w:p>
    <w:p w14:paraId="315693DA" w14:textId="77777777" w:rsidR="00F85065" w:rsidRDefault="00F85065" w:rsidP="00321F68">
      <w:pPr>
        <w:jc w:val="center"/>
        <w:rPr>
          <w:color w:val="000000"/>
        </w:rPr>
      </w:pPr>
    </w:p>
    <w:p w14:paraId="791B4351" w14:textId="3EA19615" w:rsidR="00321F68" w:rsidRPr="002416C5" w:rsidRDefault="00321F68" w:rsidP="002416C5">
      <w:pPr>
        <w:pStyle w:val="ListParagraph"/>
        <w:numPr>
          <w:ilvl w:val="0"/>
          <w:numId w:val="5"/>
        </w:numPr>
        <w:jc w:val="both"/>
        <w:rPr>
          <w:b/>
          <w:bCs/>
          <w:color w:val="000000"/>
          <w:sz w:val="32"/>
          <w:szCs w:val="32"/>
        </w:rPr>
      </w:pPr>
      <w:r w:rsidRPr="002416C5">
        <w:rPr>
          <w:b/>
          <w:bCs/>
          <w:color w:val="000000"/>
          <w:sz w:val="32"/>
          <w:szCs w:val="32"/>
        </w:rPr>
        <w:t>Contextual Background and Underlying Factors</w:t>
      </w:r>
    </w:p>
    <w:p w14:paraId="26D70F8A" w14:textId="3B468A46" w:rsidR="00611692" w:rsidRDefault="00611692" w:rsidP="00611692">
      <w:pPr>
        <w:jc w:val="both"/>
        <w:rPr>
          <w:color w:val="000000"/>
        </w:rPr>
      </w:pPr>
      <w:r w:rsidRPr="00A76BA1">
        <w:rPr>
          <w:color w:val="000000"/>
        </w:rPr>
        <w:t>Health inequalities among ethnic groups in the UK are well-documented. Research shows that ethnic minority populations are more likely to live in deprived areas, face barriers in accessing healthcare, and experience discrimination within health and social systems</w:t>
      </w:r>
      <w:r w:rsidR="00A76BA1" w:rsidRPr="00A76BA1">
        <w:rPr>
          <w:color w:val="000000"/>
        </w:rPr>
        <w:t>.</w:t>
      </w:r>
      <w:r w:rsidR="00A76BA1">
        <w:rPr>
          <w:color w:val="000000"/>
        </w:rPr>
        <w:t xml:space="preserve"> </w:t>
      </w:r>
      <w:r w:rsidRPr="00A76BA1">
        <w:rPr>
          <w:color w:val="000000"/>
        </w:rPr>
        <w:t xml:space="preserve">These structural </w:t>
      </w:r>
      <w:r w:rsidRPr="00A76BA1">
        <w:rPr>
          <w:color w:val="000000"/>
        </w:rPr>
        <w:lastRenderedPageBreak/>
        <w:t>and social factors contribute to unequal health outcomes and increase the risk of chronic diseases and poor well-being across different ethnic communities</w:t>
      </w:r>
      <w:r w:rsidR="00A76BA1" w:rsidRPr="00A76BA1">
        <w:rPr>
          <w:color w:val="000000"/>
        </w:rPr>
        <w:t xml:space="preserve"> (Raleigh, 2023)</w:t>
      </w:r>
    </w:p>
    <w:p w14:paraId="589EBDCA" w14:textId="77777777" w:rsidR="00EE0787" w:rsidRPr="00A76BA1" w:rsidRDefault="00EE0787" w:rsidP="00611692">
      <w:pPr>
        <w:jc w:val="both"/>
        <w:rPr>
          <w:b/>
          <w:bCs/>
          <w:color w:val="000000"/>
        </w:rPr>
      </w:pPr>
    </w:p>
    <w:p w14:paraId="3A2B2BCE" w14:textId="5EC7821A" w:rsidR="002416C5" w:rsidRDefault="002416C5" w:rsidP="002416C5">
      <w:pPr>
        <w:pStyle w:val="ListParagraph"/>
        <w:numPr>
          <w:ilvl w:val="1"/>
          <w:numId w:val="5"/>
        </w:numPr>
        <w:jc w:val="both"/>
        <w:rPr>
          <w:rStyle w:val="apple-converted-space"/>
          <w:b/>
          <w:bCs/>
          <w:color w:val="000000"/>
          <w:sz w:val="28"/>
          <w:szCs w:val="28"/>
        </w:rPr>
      </w:pPr>
      <w:r w:rsidRPr="002416C5">
        <w:rPr>
          <w:b/>
          <w:bCs/>
          <w:color w:val="000000"/>
          <w:sz w:val="28"/>
          <w:szCs w:val="28"/>
        </w:rPr>
        <w:t xml:space="preserve"> Higher Rates of Type 2 Diabetes Among Ethnic Minorities</w:t>
      </w:r>
      <w:r w:rsidRPr="002416C5">
        <w:rPr>
          <w:rStyle w:val="apple-converted-space"/>
          <w:b/>
          <w:bCs/>
          <w:color w:val="000000"/>
          <w:sz w:val="28"/>
          <w:szCs w:val="28"/>
        </w:rPr>
        <w:t> </w:t>
      </w:r>
    </w:p>
    <w:p w14:paraId="0F98D4E3" w14:textId="77777777" w:rsidR="00F85065" w:rsidRDefault="00F85065" w:rsidP="00F85065">
      <w:pPr>
        <w:pStyle w:val="ListParagraph"/>
        <w:ind w:left="502"/>
        <w:jc w:val="both"/>
        <w:rPr>
          <w:rStyle w:val="apple-converted-space"/>
          <w:b/>
          <w:bCs/>
          <w:color w:val="000000"/>
          <w:sz w:val="28"/>
          <w:szCs w:val="28"/>
        </w:rPr>
      </w:pPr>
    </w:p>
    <w:p w14:paraId="52038982" w14:textId="4F8BC62C" w:rsidR="002416C5" w:rsidRDefault="00611692" w:rsidP="00611692">
      <w:pPr>
        <w:jc w:val="both"/>
        <w:rPr>
          <w:color w:val="000000"/>
        </w:rPr>
      </w:pPr>
      <w:r w:rsidRPr="00611692">
        <w:rPr>
          <w:color w:val="000000"/>
        </w:rPr>
        <w:t>Type 2 diabetes is more prevalent in ethnic minority communities, especially the South Asian and black population</w:t>
      </w:r>
      <w:r>
        <w:rPr>
          <w:color w:val="000000"/>
        </w:rPr>
        <w:t>s</w:t>
      </w:r>
      <w:r w:rsidRPr="00611692">
        <w:rPr>
          <w:color w:val="000000"/>
        </w:rPr>
        <w:t>. Research indicates that the risk of developing type 2 diabetes in the South Asian population is two to four times higher than that of the White British population. It is also noted that type 2 diabetes develops early in life and results in more serious consequences</w:t>
      </w:r>
      <w:r>
        <w:rPr>
          <w:color w:val="000000"/>
        </w:rPr>
        <w:t>,</w:t>
      </w:r>
      <w:r w:rsidRPr="00611692">
        <w:rPr>
          <w:color w:val="000000"/>
        </w:rPr>
        <w:t xml:space="preserve"> such as cardiovascular diseases and renal dysfunction. These inequalities further contribute to health inequalities, lowering the quality of life for individuals within these populations. </w:t>
      </w:r>
      <w:r w:rsidR="002416C5" w:rsidRPr="002416C5">
        <w:rPr>
          <w:color w:val="000000"/>
        </w:rPr>
        <w:t>(Diabetes UK, 202</w:t>
      </w:r>
      <w:r w:rsidR="00EC64E8">
        <w:rPr>
          <w:color w:val="000000"/>
        </w:rPr>
        <w:t>0</w:t>
      </w:r>
      <w:r w:rsidR="002416C5" w:rsidRPr="002416C5">
        <w:rPr>
          <w:color w:val="000000"/>
        </w:rPr>
        <w:t>).</w:t>
      </w:r>
    </w:p>
    <w:p w14:paraId="04204CEB" w14:textId="7F40AD23" w:rsidR="002416C5" w:rsidRDefault="002416C5" w:rsidP="00611692">
      <w:pPr>
        <w:jc w:val="both"/>
        <w:rPr>
          <w:color w:val="000000"/>
        </w:rPr>
      </w:pPr>
      <w:r w:rsidRPr="002416C5">
        <w:rPr>
          <w:color w:val="000000"/>
        </w:rPr>
        <w:t>This is because ethnic minorities have higher tendencies to dwell in disadvantaged neighbo</w:t>
      </w:r>
      <w:r w:rsidR="00611692">
        <w:rPr>
          <w:color w:val="000000"/>
        </w:rPr>
        <w:t>u</w:t>
      </w:r>
      <w:r w:rsidRPr="002416C5">
        <w:rPr>
          <w:color w:val="000000"/>
        </w:rPr>
        <w:t>rhoods with poor access to nutritious foods and exercise facilities. Cultural eating habits and lack of participation in screening programs also play an important role in raising the risks of disease</w:t>
      </w:r>
      <w:r w:rsidR="00E124DC">
        <w:rPr>
          <w:color w:val="000000"/>
        </w:rPr>
        <w:t xml:space="preserve"> (</w:t>
      </w:r>
      <w:r w:rsidR="00E124DC" w:rsidRPr="00EC522E">
        <w:rPr>
          <w:color w:val="000000"/>
        </w:rPr>
        <w:t>Young et al., 2023).</w:t>
      </w:r>
    </w:p>
    <w:p w14:paraId="383746B6" w14:textId="468FEE60" w:rsidR="00611692" w:rsidRDefault="00611692" w:rsidP="00611692">
      <w:pPr>
        <w:jc w:val="both"/>
        <w:rPr>
          <w:b/>
          <w:bCs/>
          <w:color w:val="000000"/>
          <w:sz w:val="28"/>
          <w:szCs w:val="28"/>
        </w:rPr>
      </w:pPr>
      <w:r w:rsidRPr="00611692">
        <w:rPr>
          <w:b/>
          <w:bCs/>
          <w:color w:val="000000"/>
          <w:sz w:val="28"/>
          <w:szCs w:val="28"/>
        </w:rPr>
        <w:t>Solutions</w:t>
      </w:r>
    </w:p>
    <w:p w14:paraId="2BBFEEEF" w14:textId="19E03804" w:rsidR="00611692" w:rsidRDefault="00062B79" w:rsidP="00611692">
      <w:pPr>
        <w:jc w:val="both"/>
        <w:rPr>
          <w:color w:val="000000"/>
        </w:rPr>
      </w:pPr>
      <w:r w:rsidRPr="00062B79">
        <w:rPr>
          <w:color w:val="000000"/>
        </w:rPr>
        <w:t>Include targeted screening programmes, culturally appropriate lifestyle education, and community-based diabetes prevention interventions. The NHS Diabetes Prevention Programme aims to reduce risk among high-risk ethnic populations (NHS England, 202</w:t>
      </w:r>
      <w:r w:rsidR="00A76BA1">
        <w:rPr>
          <w:color w:val="000000"/>
        </w:rPr>
        <w:t>3</w:t>
      </w:r>
      <w:r w:rsidR="00EC522E">
        <w:rPr>
          <w:color w:val="000000"/>
        </w:rPr>
        <w:t>a</w:t>
      </w:r>
      <w:r w:rsidRPr="00062B79">
        <w:rPr>
          <w:color w:val="000000"/>
        </w:rPr>
        <w:t>).</w:t>
      </w:r>
    </w:p>
    <w:p w14:paraId="4430BD61" w14:textId="77777777" w:rsidR="00F85065" w:rsidRPr="00062B79" w:rsidRDefault="00F85065" w:rsidP="00611692">
      <w:pPr>
        <w:jc w:val="both"/>
        <w:rPr>
          <w:b/>
          <w:bCs/>
          <w:color w:val="000000"/>
        </w:rPr>
      </w:pPr>
    </w:p>
    <w:p w14:paraId="29FC9712" w14:textId="398FE54C" w:rsidR="00611692" w:rsidRDefault="00062B79" w:rsidP="00611692">
      <w:pPr>
        <w:jc w:val="both"/>
        <w:rPr>
          <w:b/>
          <w:bCs/>
          <w:color w:val="000000"/>
          <w:sz w:val="28"/>
          <w:szCs w:val="28"/>
        </w:rPr>
      </w:pPr>
      <w:r w:rsidRPr="00062B79">
        <w:rPr>
          <w:b/>
          <w:bCs/>
          <w:color w:val="000000"/>
          <w:sz w:val="28"/>
          <w:szCs w:val="28"/>
        </w:rPr>
        <w:t>2.2</w:t>
      </w:r>
      <w:r w:rsidR="00F851E6">
        <w:rPr>
          <w:b/>
          <w:bCs/>
          <w:color w:val="000000"/>
          <w:sz w:val="28"/>
          <w:szCs w:val="28"/>
        </w:rPr>
        <w:t>.</w:t>
      </w:r>
      <w:r w:rsidRPr="00062B79">
        <w:rPr>
          <w:b/>
          <w:bCs/>
          <w:color w:val="000000"/>
          <w:sz w:val="28"/>
          <w:szCs w:val="28"/>
        </w:rPr>
        <w:t xml:space="preserve"> Low Rates of Access to Preventive Healthcare Services</w:t>
      </w:r>
    </w:p>
    <w:p w14:paraId="0830AED8" w14:textId="7E2B593A" w:rsidR="00062B79" w:rsidRDefault="00062B79" w:rsidP="00062B79">
      <w:pPr>
        <w:pStyle w:val="NormalWeb"/>
        <w:jc w:val="both"/>
        <w:rPr>
          <w:color w:val="000000"/>
        </w:rPr>
      </w:pPr>
      <w:r>
        <w:rPr>
          <w:color w:val="000000"/>
        </w:rPr>
        <w:t>Ethnic minority populations often experience lower uptake of preventive healthcare services such as screening, vaccinations, and health checks. Evidence shows that some ethnic groups are less likely to attend cancer screening programmes or routine health assessments compared with White populations. Lower engagement with preventive services increases the risk of late diagnosis and poorer health outcomes. Barriers to healthcare access include language differences, cultural beliefs, and a lack of awareness of available services (ONS, 2023).</w:t>
      </w:r>
    </w:p>
    <w:p w14:paraId="4EB03AC2" w14:textId="39D46013" w:rsidR="00062B79" w:rsidRDefault="00062B79" w:rsidP="00062B79">
      <w:pPr>
        <w:pStyle w:val="NormalWeb"/>
        <w:jc w:val="both"/>
        <w:rPr>
          <w:color w:val="000000"/>
        </w:rPr>
      </w:pPr>
      <w:r>
        <w:rPr>
          <w:color w:val="000000"/>
        </w:rPr>
        <w:t>These inequalities exist due to communication barriers, lack of culturally competent services, and socioeconomic factors such as unstable employment. Individuals in low-paid jobs may find it difficult to attend appointments due to work commitments. Cultural mistrust and previous negative experiences with healthcare services may also reduce engagement</w:t>
      </w:r>
      <w:r w:rsidR="00EC64E8">
        <w:rPr>
          <w:color w:val="000000"/>
        </w:rPr>
        <w:t xml:space="preserve"> (Williams et al., 2022).</w:t>
      </w:r>
    </w:p>
    <w:p w14:paraId="2888FE2F" w14:textId="77777777" w:rsidR="00062B79" w:rsidRDefault="00062B79" w:rsidP="00062B79">
      <w:pPr>
        <w:jc w:val="both"/>
        <w:rPr>
          <w:b/>
          <w:bCs/>
          <w:color w:val="000000"/>
          <w:sz w:val="28"/>
          <w:szCs w:val="28"/>
        </w:rPr>
      </w:pPr>
      <w:r w:rsidRPr="00611692">
        <w:rPr>
          <w:b/>
          <w:bCs/>
          <w:color w:val="000000"/>
          <w:sz w:val="28"/>
          <w:szCs w:val="28"/>
        </w:rPr>
        <w:t>Solutions</w:t>
      </w:r>
    </w:p>
    <w:p w14:paraId="123ACFA2" w14:textId="116E9B58" w:rsidR="00062B79" w:rsidRDefault="00062B79" w:rsidP="00611692">
      <w:pPr>
        <w:jc w:val="both"/>
        <w:rPr>
          <w:color w:val="000000"/>
        </w:rPr>
      </w:pPr>
      <w:r w:rsidRPr="00EC64E8">
        <w:rPr>
          <w:color w:val="000000"/>
        </w:rPr>
        <w:t>Include interpreter services, culturally tailored health communication, and outreach programmes delivered within community settings. Improving accessibility and awareness can reduce inequalities in preventive healthcare</w:t>
      </w:r>
      <w:r w:rsidR="00EC64E8" w:rsidRPr="00EC64E8">
        <w:rPr>
          <w:color w:val="000000"/>
        </w:rPr>
        <w:t xml:space="preserve"> (Brach and Fraser, 2022).</w:t>
      </w:r>
    </w:p>
    <w:p w14:paraId="3E9BBA01" w14:textId="77777777" w:rsidR="00F85065" w:rsidRDefault="00F85065" w:rsidP="00611692">
      <w:pPr>
        <w:jc w:val="both"/>
        <w:rPr>
          <w:color w:val="000000"/>
        </w:rPr>
      </w:pPr>
    </w:p>
    <w:p w14:paraId="54993A3B" w14:textId="7C446A64" w:rsidR="00F851E6" w:rsidRPr="00F85065" w:rsidRDefault="00F851E6" w:rsidP="00F851E6">
      <w:pPr>
        <w:pStyle w:val="ListParagraph"/>
        <w:numPr>
          <w:ilvl w:val="1"/>
          <w:numId w:val="6"/>
        </w:numPr>
        <w:jc w:val="both"/>
        <w:rPr>
          <w:b/>
          <w:bCs/>
          <w:color w:val="000000"/>
        </w:rPr>
      </w:pPr>
      <w:r>
        <w:rPr>
          <w:rFonts w:ascii="-webkit-standard" w:hAnsi="-webkit-standard"/>
          <w:color w:val="000000"/>
          <w:sz w:val="27"/>
          <w:szCs w:val="27"/>
        </w:rPr>
        <w:t xml:space="preserve">. </w:t>
      </w:r>
      <w:r w:rsidRPr="00F851E6">
        <w:rPr>
          <w:b/>
          <w:bCs/>
          <w:color w:val="000000"/>
          <w:sz w:val="28"/>
          <w:szCs w:val="28"/>
        </w:rPr>
        <w:t>Higher Mortality Rates in</w:t>
      </w:r>
      <w:r w:rsidR="00A0169F">
        <w:rPr>
          <w:b/>
          <w:bCs/>
          <w:color w:val="000000"/>
          <w:sz w:val="28"/>
          <w:szCs w:val="28"/>
        </w:rPr>
        <w:t xml:space="preserve"> </w:t>
      </w:r>
      <w:r w:rsidRPr="00F851E6">
        <w:rPr>
          <w:b/>
          <w:bCs/>
          <w:color w:val="000000"/>
          <w:sz w:val="28"/>
          <w:szCs w:val="28"/>
        </w:rPr>
        <w:t>Ethnic Minority Population</w:t>
      </w:r>
      <w:r w:rsidR="00A0169F">
        <w:rPr>
          <w:b/>
          <w:bCs/>
          <w:color w:val="000000"/>
          <w:sz w:val="28"/>
          <w:szCs w:val="28"/>
        </w:rPr>
        <w:t>s</w:t>
      </w:r>
    </w:p>
    <w:p w14:paraId="481EE77A" w14:textId="77777777" w:rsidR="00F85065" w:rsidRPr="00F851E6" w:rsidRDefault="00F85065" w:rsidP="00F85065">
      <w:pPr>
        <w:pStyle w:val="ListParagraph"/>
        <w:ind w:left="360"/>
        <w:jc w:val="both"/>
        <w:rPr>
          <w:b/>
          <w:bCs/>
          <w:color w:val="000000"/>
        </w:rPr>
      </w:pPr>
    </w:p>
    <w:p w14:paraId="6E3F00D4" w14:textId="020FB99C" w:rsidR="00E124DC" w:rsidRPr="00E124DC" w:rsidRDefault="00F851E6" w:rsidP="00F851E6">
      <w:pPr>
        <w:jc w:val="both"/>
        <w:rPr>
          <w:color w:val="000000"/>
        </w:rPr>
      </w:pPr>
      <w:r w:rsidRPr="00E124DC">
        <w:rPr>
          <w:color w:val="000000"/>
        </w:rPr>
        <w:t xml:space="preserve">There are ethnic groups whose mortality rates are high for certain diseases when compared with the mortality rates among White people. Cardiovascular diseases have higher mortality rates among South Asians, whereas maternal mortality rates are relatively high among Blacks. Higher mortality rates indicate inequality in health outcomes and longevity </w:t>
      </w:r>
      <w:r w:rsidR="00E124DC" w:rsidRPr="00E124DC">
        <w:rPr>
          <w:color w:val="000000"/>
        </w:rPr>
        <w:t xml:space="preserve">(Patel, </w:t>
      </w:r>
      <w:proofErr w:type="spellStart"/>
      <w:r w:rsidR="00E124DC" w:rsidRPr="00E124DC">
        <w:rPr>
          <w:color w:val="000000"/>
        </w:rPr>
        <w:t>Abatcha</w:t>
      </w:r>
      <w:proofErr w:type="spellEnd"/>
      <w:r w:rsidR="00E124DC" w:rsidRPr="00E124DC">
        <w:rPr>
          <w:color w:val="000000"/>
        </w:rPr>
        <w:t xml:space="preserve"> and Uthman, 2022).</w:t>
      </w:r>
    </w:p>
    <w:p w14:paraId="5A9D718C" w14:textId="28799BD2" w:rsidR="00F851E6" w:rsidRPr="00E124DC" w:rsidRDefault="00F851E6" w:rsidP="00F851E6">
      <w:pPr>
        <w:jc w:val="both"/>
        <w:rPr>
          <w:color w:val="000000"/>
        </w:rPr>
      </w:pPr>
      <w:r w:rsidRPr="00E124DC">
        <w:rPr>
          <w:color w:val="000000"/>
        </w:rPr>
        <w:lastRenderedPageBreak/>
        <w:t>The reason for this form of inequality is that there may be delays in the diagnosis of diseases and inadequate access to medical services. There are chronic illnesses such as diabetes and hypertension</w:t>
      </w:r>
      <w:r w:rsidR="001C5FC4" w:rsidRPr="00E124DC">
        <w:rPr>
          <w:color w:val="000000"/>
        </w:rPr>
        <w:t xml:space="preserve"> </w:t>
      </w:r>
      <w:r w:rsidR="00E124DC" w:rsidRPr="00E124DC">
        <w:rPr>
          <w:color w:val="000000"/>
        </w:rPr>
        <w:t>(NHS England, 2025).</w:t>
      </w:r>
    </w:p>
    <w:p w14:paraId="2B4CE9E6" w14:textId="77777777" w:rsidR="00F851E6" w:rsidRPr="00F851E6" w:rsidRDefault="00F851E6" w:rsidP="00F851E6">
      <w:pPr>
        <w:jc w:val="both"/>
        <w:rPr>
          <w:b/>
          <w:bCs/>
          <w:color w:val="000000"/>
        </w:rPr>
      </w:pPr>
      <w:r w:rsidRPr="00F851E6">
        <w:rPr>
          <w:b/>
          <w:bCs/>
          <w:color w:val="000000"/>
        </w:rPr>
        <w:t>Solutions</w:t>
      </w:r>
    </w:p>
    <w:p w14:paraId="78CB5370" w14:textId="218B6E67" w:rsidR="00F851E6" w:rsidRDefault="00F851E6" w:rsidP="00F851E6">
      <w:pPr>
        <w:jc w:val="both"/>
        <w:rPr>
          <w:color w:val="000000"/>
        </w:rPr>
      </w:pPr>
      <w:r w:rsidRPr="00F851E6">
        <w:rPr>
          <w:color w:val="000000"/>
        </w:rPr>
        <w:t>Include targeted screening programmes, improved maternal healthcare services, and culturally sensitive clinical care to reduce mortality disparities.</w:t>
      </w:r>
    </w:p>
    <w:p w14:paraId="67FBA2FA" w14:textId="77777777" w:rsidR="00F85065" w:rsidRPr="00F851E6" w:rsidRDefault="00F85065" w:rsidP="00F851E6">
      <w:pPr>
        <w:jc w:val="both"/>
        <w:rPr>
          <w:color w:val="000000"/>
        </w:rPr>
      </w:pPr>
    </w:p>
    <w:p w14:paraId="2B6C70BA" w14:textId="26FBABCE" w:rsidR="00F851E6" w:rsidRDefault="00F851E6" w:rsidP="00F851E6">
      <w:pPr>
        <w:jc w:val="both"/>
        <w:rPr>
          <w:b/>
          <w:bCs/>
          <w:color w:val="000000"/>
          <w:sz w:val="28"/>
          <w:szCs w:val="28"/>
        </w:rPr>
      </w:pPr>
      <w:r w:rsidRPr="00F851E6">
        <w:rPr>
          <w:b/>
          <w:bCs/>
          <w:color w:val="000000"/>
          <w:sz w:val="28"/>
          <w:szCs w:val="28"/>
        </w:rPr>
        <w:t>2.4. Social Exclusion and Discrimination</w:t>
      </w:r>
    </w:p>
    <w:p w14:paraId="317DBE3C" w14:textId="77777777" w:rsidR="00F85065" w:rsidRPr="00F851E6" w:rsidRDefault="00F85065" w:rsidP="00F851E6">
      <w:pPr>
        <w:jc w:val="both"/>
        <w:rPr>
          <w:b/>
          <w:bCs/>
          <w:color w:val="000000"/>
          <w:sz w:val="28"/>
          <w:szCs w:val="28"/>
        </w:rPr>
      </w:pPr>
    </w:p>
    <w:p w14:paraId="74C39E6E" w14:textId="1DCA537A" w:rsidR="00F851E6" w:rsidRPr="00F851E6" w:rsidRDefault="00F851E6" w:rsidP="00F851E6">
      <w:pPr>
        <w:jc w:val="both"/>
        <w:rPr>
          <w:color w:val="000000"/>
        </w:rPr>
      </w:pPr>
      <w:r w:rsidRPr="00F851E6">
        <w:rPr>
          <w:color w:val="000000"/>
        </w:rPr>
        <w:t>Ethnic minority individuals often face social exclusion and discrimination, which adversely affects their psychological and physiological well-being. Racism and discrimination may cause anxiety, stress, and depression. Social exclusion may hinder their ability to access job opportunities, education, and healthcare services, thus promoting inequality. Research studies indicate that discrimination is linked to poor mental well-being and low life satisfaction among ethnic minorities (WHO, 2022).</w:t>
      </w:r>
    </w:p>
    <w:p w14:paraId="3EC53E4D" w14:textId="68800A41" w:rsidR="00F851E6" w:rsidRPr="00C63DE2" w:rsidRDefault="00F851E6" w:rsidP="00F851E6">
      <w:pPr>
        <w:jc w:val="both"/>
        <w:rPr>
          <w:color w:val="000000"/>
        </w:rPr>
      </w:pPr>
      <w:r w:rsidRPr="00C63DE2">
        <w:rPr>
          <w:color w:val="000000"/>
        </w:rPr>
        <w:t>These inequalities exist due to structural racism and social disadvantage. Individuals experiencing discrimination may avoid healthcare services or delay seeking help. Social exclusion also reduces access to resources that support health and well-being</w:t>
      </w:r>
      <w:r w:rsidR="001C5FC4" w:rsidRPr="00C63DE2">
        <w:rPr>
          <w:color w:val="000000"/>
        </w:rPr>
        <w:t xml:space="preserve"> (Baciu et al., 2019).</w:t>
      </w:r>
    </w:p>
    <w:p w14:paraId="6EABC390" w14:textId="77777777" w:rsidR="00F851E6" w:rsidRPr="00F851E6" w:rsidRDefault="00F851E6" w:rsidP="00F851E6">
      <w:pPr>
        <w:jc w:val="both"/>
        <w:rPr>
          <w:b/>
          <w:bCs/>
          <w:color w:val="000000"/>
        </w:rPr>
      </w:pPr>
      <w:r w:rsidRPr="00F851E6">
        <w:rPr>
          <w:b/>
          <w:bCs/>
          <w:color w:val="000000"/>
        </w:rPr>
        <w:t>Solutions</w:t>
      </w:r>
    </w:p>
    <w:p w14:paraId="25D0B461" w14:textId="50C35AD2" w:rsidR="00F851E6" w:rsidRDefault="00F851E6" w:rsidP="00F851E6">
      <w:pPr>
        <w:jc w:val="both"/>
        <w:rPr>
          <w:color w:val="000000"/>
        </w:rPr>
      </w:pPr>
      <w:r w:rsidRPr="00EC522E">
        <w:rPr>
          <w:color w:val="000000"/>
        </w:rPr>
        <w:t>Include anti-discrimination policies, culturally inclusive healthcare services, and community support programmes aimed at improving social inclusion</w:t>
      </w:r>
      <w:r w:rsidR="00EC522E" w:rsidRPr="00EC522E">
        <w:rPr>
          <w:color w:val="000000"/>
        </w:rPr>
        <w:t xml:space="preserve"> (NHS England, 2023b).</w:t>
      </w:r>
    </w:p>
    <w:p w14:paraId="750AE086" w14:textId="77777777" w:rsidR="00F85065" w:rsidRPr="00EC522E" w:rsidRDefault="00F85065" w:rsidP="00F851E6">
      <w:pPr>
        <w:jc w:val="both"/>
        <w:rPr>
          <w:color w:val="000000"/>
        </w:rPr>
      </w:pPr>
    </w:p>
    <w:p w14:paraId="5A38F3A0" w14:textId="686F05C4" w:rsidR="00F851E6" w:rsidRDefault="00F851E6" w:rsidP="00F851E6">
      <w:pPr>
        <w:jc w:val="both"/>
        <w:rPr>
          <w:rStyle w:val="apple-converted-space"/>
          <w:b/>
          <w:bCs/>
          <w:color w:val="000000"/>
          <w:sz w:val="28"/>
          <w:szCs w:val="28"/>
        </w:rPr>
      </w:pPr>
      <w:r w:rsidRPr="00F851E6">
        <w:rPr>
          <w:b/>
          <w:bCs/>
          <w:color w:val="000000"/>
          <w:sz w:val="28"/>
          <w:szCs w:val="28"/>
        </w:rPr>
        <w:t>2.5. Poverty and Socioeconomic Disadvantage</w:t>
      </w:r>
      <w:r w:rsidRPr="00F851E6">
        <w:rPr>
          <w:rStyle w:val="apple-converted-space"/>
          <w:b/>
          <w:bCs/>
          <w:color w:val="000000"/>
          <w:sz w:val="28"/>
          <w:szCs w:val="28"/>
        </w:rPr>
        <w:t> </w:t>
      </w:r>
    </w:p>
    <w:p w14:paraId="1FC2AD23" w14:textId="77777777" w:rsidR="00F85065" w:rsidRDefault="00F85065" w:rsidP="00F851E6">
      <w:pPr>
        <w:jc w:val="both"/>
        <w:rPr>
          <w:rStyle w:val="apple-converted-space"/>
          <w:b/>
          <w:bCs/>
          <w:color w:val="000000"/>
          <w:sz w:val="28"/>
          <w:szCs w:val="28"/>
        </w:rPr>
      </w:pPr>
    </w:p>
    <w:p w14:paraId="7F53887E" w14:textId="4A2FA572" w:rsidR="00F851E6" w:rsidRPr="00EC522E" w:rsidRDefault="00F851E6" w:rsidP="00F851E6">
      <w:pPr>
        <w:jc w:val="both"/>
        <w:rPr>
          <w:color w:val="000000"/>
        </w:rPr>
      </w:pPr>
      <w:r w:rsidRPr="00EC522E">
        <w:rPr>
          <w:color w:val="000000"/>
        </w:rPr>
        <w:t xml:space="preserve">Ethnic minority groups tend to suffer from poverty and unemployment </w:t>
      </w:r>
      <w:r w:rsidR="00A0169F" w:rsidRPr="00EC522E">
        <w:rPr>
          <w:color w:val="000000"/>
        </w:rPr>
        <w:t xml:space="preserve">more </w:t>
      </w:r>
      <w:r w:rsidRPr="00EC522E">
        <w:rPr>
          <w:color w:val="000000"/>
        </w:rPr>
        <w:t>than the White group. The social determinants of health play a significant role in the availability of proper food, proper living quarters, and health services</w:t>
      </w:r>
      <w:r w:rsidR="00A0169F" w:rsidRPr="00EC522E">
        <w:rPr>
          <w:color w:val="000000"/>
        </w:rPr>
        <w:t>,</w:t>
      </w:r>
      <w:r w:rsidRPr="00EC522E">
        <w:rPr>
          <w:color w:val="000000"/>
        </w:rPr>
        <w:t xml:space="preserve"> among others. Being poor has been linked to high risks of getting sick and shorter life</w:t>
      </w:r>
      <w:r w:rsidR="00A0169F" w:rsidRPr="00EC522E">
        <w:rPr>
          <w:color w:val="000000"/>
        </w:rPr>
        <w:t xml:space="preserve"> expectancie</w:t>
      </w:r>
      <w:r w:rsidRPr="00EC522E">
        <w:rPr>
          <w:color w:val="000000"/>
        </w:rPr>
        <w:t>s. Research has indicated that the ethnic minorities are disadvantaged in their regions of residence</w:t>
      </w:r>
      <w:r w:rsidR="00A0169F" w:rsidRPr="00EC522E">
        <w:rPr>
          <w:color w:val="000000"/>
        </w:rPr>
        <w:t xml:space="preserve"> </w:t>
      </w:r>
      <w:r w:rsidR="00EC522E" w:rsidRPr="00EC522E">
        <w:rPr>
          <w:color w:val="000000"/>
        </w:rPr>
        <w:t>(Young et al., 2023).</w:t>
      </w:r>
    </w:p>
    <w:p w14:paraId="105CDEE8" w14:textId="4CEAFA6B" w:rsidR="00A0169F" w:rsidRPr="00A0169F" w:rsidRDefault="00A0169F" w:rsidP="00F851E6">
      <w:pPr>
        <w:jc w:val="both"/>
        <w:rPr>
          <w:color w:val="000000"/>
        </w:rPr>
      </w:pPr>
      <w:r w:rsidRPr="00A0169F">
        <w:rPr>
          <w:color w:val="000000"/>
        </w:rPr>
        <w:t>These inequalities exist due to structural barriers in employment and education. Low income increases stress and limits access to resources that support healthy lifestyles</w:t>
      </w:r>
      <w:r w:rsidR="001C5FC4">
        <w:rPr>
          <w:color w:val="000000"/>
        </w:rPr>
        <w:t xml:space="preserve"> </w:t>
      </w:r>
      <w:r w:rsidR="001C5FC4" w:rsidRPr="00EC522E">
        <w:rPr>
          <w:color w:val="000000"/>
        </w:rPr>
        <w:t>(Young et al., 2023).</w:t>
      </w:r>
    </w:p>
    <w:p w14:paraId="37FB1437" w14:textId="77777777" w:rsidR="00A0169F" w:rsidRPr="00F851E6" w:rsidRDefault="00A0169F" w:rsidP="00A0169F">
      <w:pPr>
        <w:jc w:val="both"/>
        <w:rPr>
          <w:b/>
          <w:bCs/>
          <w:color w:val="000000"/>
        </w:rPr>
      </w:pPr>
      <w:r w:rsidRPr="00F851E6">
        <w:rPr>
          <w:b/>
          <w:bCs/>
          <w:color w:val="000000"/>
        </w:rPr>
        <w:t>Solutions</w:t>
      </w:r>
    </w:p>
    <w:p w14:paraId="4E300313" w14:textId="28F6052B" w:rsidR="00A0169F" w:rsidRDefault="00A0169F" w:rsidP="00F851E6">
      <w:pPr>
        <w:jc w:val="both"/>
        <w:rPr>
          <w:color w:val="000000"/>
        </w:rPr>
      </w:pPr>
      <w:r w:rsidRPr="002F3C3E">
        <w:rPr>
          <w:color w:val="000000"/>
        </w:rPr>
        <w:t>Include employment support programmes, financial assistance, and public health interventions addressing social determinants of health</w:t>
      </w:r>
      <w:r w:rsidR="002F3C3E" w:rsidRPr="002F3C3E">
        <w:rPr>
          <w:color w:val="000000"/>
        </w:rPr>
        <w:t xml:space="preserve"> (The Health Foundation, 2022).</w:t>
      </w:r>
    </w:p>
    <w:p w14:paraId="241772F2" w14:textId="77777777" w:rsidR="00F85065" w:rsidRPr="002F3C3E" w:rsidRDefault="00F85065" w:rsidP="00F851E6">
      <w:pPr>
        <w:jc w:val="both"/>
        <w:rPr>
          <w:color w:val="000000"/>
        </w:rPr>
      </w:pPr>
    </w:p>
    <w:p w14:paraId="3738FC2B" w14:textId="4D73C765" w:rsidR="00A0169F" w:rsidRDefault="00A0169F" w:rsidP="00F851E6">
      <w:pPr>
        <w:jc w:val="both"/>
        <w:rPr>
          <w:rStyle w:val="apple-converted-space"/>
          <w:b/>
          <w:bCs/>
          <w:color w:val="000000"/>
          <w:sz w:val="28"/>
          <w:szCs w:val="28"/>
        </w:rPr>
      </w:pPr>
      <w:r w:rsidRPr="00A0169F">
        <w:rPr>
          <w:b/>
          <w:bCs/>
          <w:color w:val="000000"/>
          <w:sz w:val="28"/>
          <w:szCs w:val="28"/>
        </w:rPr>
        <w:t>2.6. Poor Housing and</w:t>
      </w:r>
      <w:r w:rsidRPr="00A0169F">
        <w:rPr>
          <w:rStyle w:val="apple-converted-space"/>
          <w:b/>
          <w:bCs/>
          <w:color w:val="000000"/>
          <w:sz w:val="28"/>
          <w:szCs w:val="28"/>
        </w:rPr>
        <w:t> Living Condition</w:t>
      </w:r>
      <w:r>
        <w:rPr>
          <w:rStyle w:val="apple-converted-space"/>
          <w:b/>
          <w:bCs/>
          <w:color w:val="000000"/>
          <w:sz w:val="28"/>
          <w:szCs w:val="28"/>
        </w:rPr>
        <w:t>s</w:t>
      </w:r>
    </w:p>
    <w:p w14:paraId="56AAAD63" w14:textId="77777777" w:rsidR="00F85065" w:rsidRPr="00A0169F" w:rsidRDefault="00F85065" w:rsidP="00F851E6">
      <w:pPr>
        <w:jc w:val="both"/>
        <w:rPr>
          <w:b/>
          <w:bCs/>
          <w:color w:val="000000"/>
          <w:sz w:val="28"/>
          <w:szCs w:val="28"/>
        </w:rPr>
      </w:pPr>
    </w:p>
    <w:p w14:paraId="659DF6DC" w14:textId="58303DB4" w:rsidR="00321F68" w:rsidRDefault="00A0169F" w:rsidP="00A0169F">
      <w:pPr>
        <w:rPr>
          <w:color w:val="000000"/>
        </w:rPr>
      </w:pPr>
      <w:r w:rsidRPr="00A0169F">
        <w:rPr>
          <w:color w:val="000000"/>
        </w:rPr>
        <w:t>Overcrowding is more prevalent among ethnic minorities than among other people. There is a greater likelihood of disease transmission in such situations, as well as negative implications for mental health. Dampness and poor ventilation within homes may lead to respiratory diseases. Research suggests that there is a greater prevalence of overcrowding among ethnic minorities than among White individuals (ONS, 2023).</w:t>
      </w:r>
    </w:p>
    <w:p w14:paraId="4F78741C" w14:textId="4B4AF770" w:rsidR="00A0169F" w:rsidRPr="001C5FC4" w:rsidRDefault="00A0169F" w:rsidP="00A0169F">
      <w:pPr>
        <w:pStyle w:val="NormalWeb"/>
        <w:rPr>
          <w:b/>
          <w:bCs/>
          <w:color w:val="000000"/>
        </w:rPr>
      </w:pPr>
      <w:r>
        <w:rPr>
          <w:color w:val="000000"/>
        </w:rPr>
        <w:t>These inequalities exist due to financial constraints and limited access to suitable housing. Overcrowding also reduces privacy and increases stress, affecting mental well-being</w:t>
      </w:r>
      <w:r w:rsidR="001C5FC4">
        <w:rPr>
          <w:color w:val="000000"/>
        </w:rPr>
        <w:t xml:space="preserve"> </w:t>
      </w:r>
      <w:r w:rsidR="001C5FC4" w:rsidRPr="002F3C3E">
        <w:rPr>
          <w:color w:val="000000"/>
        </w:rPr>
        <w:t>(Government UK, 2026).</w:t>
      </w:r>
    </w:p>
    <w:p w14:paraId="75B770CA" w14:textId="77777777" w:rsidR="00A0169F" w:rsidRPr="00F851E6" w:rsidRDefault="00A0169F" w:rsidP="00A0169F">
      <w:pPr>
        <w:jc w:val="both"/>
        <w:rPr>
          <w:b/>
          <w:bCs/>
          <w:color w:val="000000"/>
        </w:rPr>
      </w:pPr>
      <w:r w:rsidRPr="00F851E6">
        <w:rPr>
          <w:b/>
          <w:bCs/>
          <w:color w:val="000000"/>
        </w:rPr>
        <w:lastRenderedPageBreak/>
        <w:t>Solutions</w:t>
      </w:r>
    </w:p>
    <w:p w14:paraId="4EEF8F57" w14:textId="30976894" w:rsidR="00321F68" w:rsidRPr="002F3C3E" w:rsidRDefault="00A0169F" w:rsidP="00321F68">
      <w:pPr>
        <w:jc w:val="both"/>
        <w:rPr>
          <w:color w:val="000000"/>
        </w:rPr>
      </w:pPr>
      <w:r w:rsidRPr="002F3C3E">
        <w:rPr>
          <w:color w:val="000000"/>
        </w:rPr>
        <w:t>Include housing improvement policies, local authority support, and targeted interventions to improve living conditions</w:t>
      </w:r>
      <w:r w:rsidR="002F3C3E" w:rsidRPr="002F3C3E">
        <w:rPr>
          <w:color w:val="000000"/>
        </w:rPr>
        <w:t xml:space="preserve"> (Government UK, 2026).</w:t>
      </w:r>
    </w:p>
    <w:p w14:paraId="3A36D309" w14:textId="77777777" w:rsidR="00F85065" w:rsidRPr="00F85065" w:rsidRDefault="00F85065" w:rsidP="00F85065">
      <w:pPr>
        <w:pStyle w:val="ListParagraph"/>
        <w:spacing w:line="360" w:lineRule="auto"/>
        <w:rPr>
          <w:b/>
          <w:bCs/>
          <w:sz w:val="32"/>
          <w:szCs w:val="32"/>
          <w:lang w:val="en-IN"/>
        </w:rPr>
      </w:pPr>
    </w:p>
    <w:p w14:paraId="7E20C69E" w14:textId="5B3C7A90" w:rsidR="00A0169F" w:rsidRPr="00A0169F" w:rsidRDefault="00A0169F" w:rsidP="00A0169F">
      <w:pPr>
        <w:pStyle w:val="ListParagraph"/>
        <w:numPr>
          <w:ilvl w:val="0"/>
          <w:numId w:val="5"/>
        </w:numPr>
        <w:spacing w:line="360" w:lineRule="auto"/>
        <w:rPr>
          <w:b/>
          <w:bCs/>
          <w:sz w:val="32"/>
          <w:szCs w:val="32"/>
          <w:lang w:val="en-IN"/>
        </w:rPr>
      </w:pPr>
      <w:r w:rsidRPr="00A0169F">
        <w:rPr>
          <w:b/>
          <w:bCs/>
          <w:color w:val="000000"/>
          <w:sz w:val="32"/>
          <w:szCs w:val="32"/>
        </w:rPr>
        <w:t>National Response to Reduce Health Inequalities</w:t>
      </w:r>
    </w:p>
    <w:p w14:paraId="36A2030A" w14:textId="077F77E2" w:rsidR="00A0169F" w:rsidRPr="00566D33" w:rsidRDefault="00A0169F" w:rsidP="00A0169F">
      <w:pPr>
        <w:spacing w:line="360" w:lineRule="auto"/>
        <w:rPr>
          <w:lang w:val="en-IN"/>
        </w:rPr>
      </w:pPr>
      <w:r w:rsidRPr="00566D33">
        <w:rPr>
          <w:lang w:val="en-IN"/>
        </w:rPr>
        <w:t xml:space="preserve">Commitments are made within the NHS Long Term Plan to tackle health disparities in ethnic minorities, which involve specific screening programs, community engagement, and culturally sensitive healthcare provision </w:t>
      </w:r>
      <w:r w:rsidR="00566D33" w:rsidRPr="00566D33">
        <w:rPr>
          <w:color w:val="000000"/>
        </w:rPr>
        <w:t>(Department of Health and Social Care, 2019).</w:t>
      </w:r>
    </w:p>
    <w:p w14:paraId="0A8FF299" w14:textId="25060D75" w:rsidR="00A0169F" w:rsidRDefault="001F204F" w:rsidP="00A0169F">
      <w:pPr>
        <w:spacing w:line="360" w:lineRule="auto"/>
        <w:rPr>
          <w:lang w:val="en-IN"/>
        </w:rPr>
      </w:pPr>
      <w:r w:rsidRPr="001F204F">
        <w:rPr>
          <w:lang w:val="en-IN"/>
        </w:rPr>
        <w:t>Moreover, NICE also advises how to minimize health inequities by increasing access to health facilities and delivering culturally sensitive medical services. This will ensure that there is no disparity in diagnoses and treatments (NICE, 2022).</w:t>
      </w:r>
    </w:p>
    <w:p w14:paraId="7120CAC3" w14:textId="6C26AE71" w:rsidR="001F204F" w:rsidRPr="001F204F" w:rsidRDefault="001F204F" w:rsidP="001F204F">
      <w:pPr>
        <w:pStyle w:val="ListParagraph"/>
        <w:numPr>
          <w:ilvl w:val="0"/>
          <w:numId w:val="5"/>
        </w:numPr>
        <w:spacing w:line="360" w:lineRule="auto"/>
        <w:rPr>
          <w:rStyle w:val="apple-converted-space"/>
          <w:b/>
          <w:bCs/>
          <w:sz w:val="32"/>
          <w:szCs w:val="32"/>
          <w:lang w:val="en-IN"/>
        </w:rPr>
      </w:pPr>
      <w:r w:rsidRPr="001F204F">
        <w:rPr>
          <w:b/>
          <w:bCs/>
          <w:color w:val="000000"/>
          <w:sz w:val="32"/>
          <w:szCs w:val="32"/>
        </w:rPr>
        <w:t>Organisation Supporting Ethnic Minority Health</w:t>
      </w:r>
    </w:p>
    <w:p w14:paraId="38DA6718" w14:textId="5BBF363D" w:rsidR="001F204F" w:rsidRPr="00990BBD" w:rsidRDefault="001F204F" w:rsidP="00A0169F">
      <w:pPr>
        <w:spacing w:line="360" w:lineRule="auto"/>
        <w:rPr>
          <w:lang w:val="en-IN"/>
        </w:rPr>
      </w:pPr>
      <w:r w:rsidRPr="00990BBD">
        <w:rPr>
          <w:lang w:val="en-IN"/>
        </w:rPr>
        <w:t>The Race Equality Foundation is a British charitable organization dedicated to tackling health disparities amongst ethnic communities. Its work entails conducting research and offering training, as well as collaborating with healthcare institutions to offer more culturally sensitive care. This organization seeks to ensure that there is no discrimination in health matters and that ethnic minorities have better access to healthcare facilities</w:t>
      </w:r>
      <w:r w:rsidR="00990BBD" w:rsidRPr="00990BBD">
        <w:rPr>
          <w:lang w:val="en-IN"/>
        </w:rPr>
        <w:t xml:space="preserve"> </w:t>
      </w:r>
      <w:r w:rsidR="00990BBD" w:rsidRPr="00990BBD">
        <w:rPr>
          <w:color w:val="000000"/>
        </w:rPr>
        <w:t>(Butt and Stubbs, 2025).</w:t>
      </w:r>
    </w:p>
    <w:p w14:paraId="4BA6D186" w14:textId="2957FCD2" w:rsidR="001F204F" w:rsidRPr="001F204F" w:rsidRDefault="001F204F" w:rsidP="001F204F">
      <w:pPr>
        <w:pStyle w:val="ListParagraph"/>
        <w:numPr>
          <w:ilvl w:val="0"/>
          <w:numId w:val="5"/>
        </w:numPr>
        <w:spacing w:line="360" w:lineRule="auto"/>
        <w:rPr>
          <w:b/>
          <w:bCs/>
          <w:sz w:val="32"/>
          <w:szCs w:val="32"/>
          <w:lang w:val="en-IN"/>
        </w:rPr>
      </w:pPr>
      <w:r>
        <w:rPr>
          <w:b/>
          <w:bCs/>
          <w:sz w:val="32"/>
          <w:szCs w:val="32"/>
          <w:lang w:val="en-IN"/>
        </w:rPr>
        <w:t>Conclusion</w:t>
      </w:r>
    </w:p>
    <w:p w14:paraId="7B450301" w14:textId="17639DAA" w:rsidR="001F204F" w:rsidRDefault="001F204F" w:rsidP="001F204F">
      <w:pPr>
        <w:spacing w:line="360" w:lineRule="auto"/>
        <w:rPr>
          <w:lang w:val="en-IN"/>
        </w:rPr>
      </w:pPr>
      <w:r w:rsidRPr="001F204F">
        <w:rPr>
          <w:lang w:val="en-IN"/>
        </w:rPr>
        <w:t xml:space="preserve">Health disparities among ethnic minorities within the United Kingdom include </w:t>
      </w:r>
      <w:r w:rsidR="00475A9B">
        <w:rPr>
          <w:lang w:val="en-IN"/>
        </w:rPr>
        <w:t xml:space="preserve">a </w:t>
      </w:r>
      <w:r w:rsidRPr="001F204F">
        <w:rPr>
          <w:lang w:val="en-IN"/>
        </w:rPr>
        <w:t>high incidence of diabetes, limited access to medical services, and elevated death rates. Social factors such as discrimination, poverty, and substandard housing also contribute to such health disparities. According to existing research, there is proof of structural inequality causing worse health outcomes for ethnic minorities (Marmot et al., 2020). National policies and agencies work towards minimizing such health disparities. It is crucial to address these concerns for the overall improvement of the health status of the population.</w:t>
      </w:r>
    </w:p>
    <w:p w14:paraId="1511B5B4" w14:textId="77777777" w:rsidR="00C8069A" w:rsidRDefault="00C8069A" w:rsidP="001F204F">
      <w:pPr>
        <w:spacing w:line="360" w:lineRule="auto"/>
        <w:rPr>
          <w:lang w:val="en-IN"/>
        </w:rPr>
      </w:pPr>
    </w:p>
    <w:p w14:paraId="04C18E29" w14:textId="77777777" w:rsidR="00C8069A" w:rsidRDefault="00C8069A" w:rsidP="001F204F">
      <w:pPr>
        <w:spacing w:line="360" w:lineRule="auto"/>
        <w:rPr>
          <w:lang w:val="en-IN"/>
        </w:rPr>
      </w:pPr>
    </w:p>
    <w:p w14:paraId="50F1A2C3" w14:textId="77777777" w:rsidR="00C8069A" w:rsidRDefault="00C8069A" w:rsidP="001F204F">
      <w:pPr>
        <w:spacing w:line="360" w:lineRule="auto"/>
        <w:rPr>
          <w:lang w:val="en-IN"/>
        </w:rPr>
      </w:pPr>
    </w:p>
    <w:p w14:paraId="07510DB1" w14:textId="77777777" w:rsidR="00C8069A" w:rsidRDefault="00C8069A" w:rsidP="001F204F">
      <w:pPr>
        <w:spacing w:line="360" w:lineRule="auto"/>
        <w:rPr>
          <w:lang w:val="en-IN"/>
        </w:rPr>
      </w:pPr>
    </w:p>
    <w:p w14:paraId="10F1C6EE" w14:textId="77777777" w:rsidR="00C8069A" w:rsidRDefault="00C8069A" w:rsidP="001F204F">
      <w:pPr>
        <w:spacing w:line="360" w:lineRule="auto"/>
        <w:rPr>
          <w:lang w:val="en-IN"/>
        </w:rPr>
      </w:pPr>
    </w:p>
    <w:p w14:paraId="2EF7FA5B" w14:textId="77777777" w:rsidR="00C8069A" w:rsidRDefault="00C8069A" w:rsidP="001F204F">
      <w:pPr>
        <w:spacing w:line="360" w:lineRule="auto"/>
        <w:rPr>
          <w:lang w:val="en-IN"/>
        </w:rPr>
      </w:pPr>
    </w:p>
    <w:p w14:paraId="58BE6A4A" w14:textId="77777777" w:rsidR="00C8069A" w:rsidRDefault="00C8069A" w:rsidP="001F204F">
      <w:pPr>
        <w:spacing w:line="360" w:lineRule="auto"/>
        <w:rPr>
          <w:lang w:val="en-IN"/>
        </w:rPr>
      </w:pPr>
    </w:p>
    <w:p w14:paraId="5C9F0271" w14:textId="77777777" w:rsidR="00C8069A" w:rsidRDefault="00C8069A" w:rsidP="001F204F">
      <w:pPr>
        <w:spacing w:line="360" w:lineRule="auto"/>
        <w:rPr>
          <w:lang w:val="en-IN"/>
        </w:rPr>
      </w:pPr>
    </w:p>
    <w:p w14:paraId="24114118" w14:textId="77777777" w:rsidR="00B75ADD" w:rsidRDefault="00B75ADD" w:rsidP="001F204F">
      <w:pPr>
        <w:spacing w:line="360" w:lineRule="auto"/>
        <w:rPr>
          <w:lang w:val="en-IN"/>
        </w:rPr>
      </w:pPr>
    </w:p>
    <w:p w14:paraId="52B1F553" w14:textId="77777777" w:rsidR="00C8069A" w:rsidRDefault="00C8069A" w:rsidP="001F204F">
      <w:pPr>
        <w:spacing w:line="360" w:lineRule="auto"/>
        <w:rPr>
          <w:lang w:val="en-IN"/>
        </w:rPr>
      </w:pPr>
    </w:p>
    <w:p w14:paraId="17D8B8DD" w14:textId="0B86962F" w:rsidR="00C8069A" w:rsidRDefault="00C8069A" w:rsidP="00C8069A">
      <w:pPr>
        <w:jc w:val="center"/>
        <w:rPr>
          <w:rStyle w:val="s6"/>
          <w:b/>
          <w:bCs/>
          <w:color w:val="000000"/>
          <w:sz w:val="32"/>
          <w:szCs w:val="32"/>
        </w:rPr>
      </w:pPr>
      <w:r w:rsidRPr="001442B5">
        <w:rPr>
          <w:rStyle w:val="s6"/>
          <w:color w:val="000000"/>
          <w:sz w:val="36"/>
          <w:szCs w:val="36"/>
        </w:rPr>
        <w:t>Task</w:t>
      </w:r>
      <w:r w:rsidRPr="00877083">
        <w:rPr>
          <w:rStyle w:val="s6"/>
          <w:b/>
          <w:bCs/>
          <w:color w:val="000000"/>
          <w:sz w:val="32"/>
          <w:szCs w:val="32"/>
        </w:rPr>
        <w:t>-</w:t>
      </w:r>
      <w:r w:rsidRPr="001442B5">
        <w:rPr>
          <w:rStyle w:val="s6"/>
          <w:b/>
          <w:bCs/>
          <w:color w:val="000000"/>
          <w:sz w:val="36"/>
          <w:szCs w:val="36"/>
        </w:rPr>
        <w:t xml:space="preserve">2 </w:t>
      </w:r>
    </w:p>
    <w:p w14:paraId="0991D5DC" w14:textId="079BAAE0" w:rsidR="00C8069A" w:rsidRDefault="00C8069A" w:rsidP="00C8069A">
      <w:pPr>
        <w:pStyle w:val="p1"/>
        <w:jc w:val="center"/>
        <w:rPr>
          <w:rFonts w:ascii="Times New Roman" w:hAnsi="Times New Roman" w:cs="Times New Roman"/>
          <w:b/>
          <w:bCs/>
          <w:sz w:val="32"/>
          <w:szCs w:val="32"/>
        </w:rPr>
      </w:pPr>
      <w:r w:rsidRPr="00877083">
        <w:rPr>
          <w:rStyle w:val="s6"/>
          <w:rFonts w:ascii="Times New Roman" w:hAnsi="Times New Roman" w:cs="Times New Roman"/>
          <w:sz w:val="36"/>
          <w:szCs w:val="36"/>
        </w:rPr>
        <w:t xml:space="preserve">Topic- </w:t>
      </w:r>
      <w:r w:rsidRPr="00C8069A">
        <w:rPr>
          <w:rFonts w:ascii="Times New Roman" w:hAnsi="Times New Roman" w:cs="Times New Roman"/>
          <w:b/>
          <w:bCs/>
          <w:sz w:val="32"/>
          <w:szCs w:val="32"/>
        </w:rPr>
        <w:t>COVID-19 in the London Borough of Lambeth: Epidemiological Assessment and Public Health Management</w:t>
      </w:r>
    </w:p>
    <w:p w14:paraId="52A943BE" w14:textId="77777777" w:rsidR="001442B5" w:rsidRDefault="001442B5" w:rsidP="00C8069A">
      <w:pPr>
        <w:pStyle w:val="p1"/>
        <w:jc w:val="center"/>
        <w:rPr>
          <w:rFonts w:ascii="Times New Roman" w:hAnsi="Times New Roman" w:cs="Times New Roman"/>
          <w:b/>
          <w:bCs/>
          <w:sz w:val="32"/>
          <w:szCs w:val="32"/>
        </w:rPr>
      </w:pPr>
    </w:p>
    <w:p w14:paraId="37708275" w14:textId="77777777" w:rsidR="001442B5" w:rsidRPr="00C8069A" w:rsidRDefault="001442B5" w:rsidP="001442B5">
      <w:pPr>
        <w:pStyle w:val="p1"/>
        <w:jc w:val="both"/>
        <w:rPr>
          <w:rStyle w:val="s6"/>
          <w:rFonts w:ascii="Times New Roman" w:hAnsi="Times New Roman" w:cs="Times New Roman"/>
          <w:b/>
          <w:bCs/>
          <w:sz w:val="28"/>
          <w:szCs w:val="28"/>
        </w:rPr>
      </w:pPr>
    </w:p>
    <w:p w14:paraId="4EAA85C1" w14:textId="22F43A54" w:rsidR="00C8069A" w:rsidRPr="001442B5" w:rsidRDefault="001442B5" w:rsidP="007316E4">
      <w:pPr>
        <w:spacing w:line="360" w:lineRule="auto"/>
        <w:jc w:val="both"/>
        <w:rPr>
          <w:b/>
          <w:bCs/>
          <w:sz w:val="36"/>
          <w:szCs w:val="36"/>
          <w:lang w:val="en-IN"/>
        </w:rPr>
      </w:pPr>
      <w:r w:rsidRPr="00B4594A">
        <w:rPr>
          <w:b/>
          <w:bCs/>
          <w:sz w:val="36"/>
          <w:szCs w:val="36"/>
          <w:lang w:val="en-IN"/>
        </w:rPr>
        <w:t xml:space="preserve">TABLE OF CONTENTS     </w:t>
      </w:r>
    </w:p>
    <w:p w14:paraId="516932BC" w14:textId="77777777" w:rsidR="001442B5" w:rsidRPr="00E050CA" w:rsidRDefault="001442B5" w:rsidP="007316E4">
      <w:pPr>
        <w:pStyle w:val="ListParagraph"/>
        <w:numPr>
          <w:ilvl w:val="0"/>
          <w:numId w:val="13"/>
        </w:numPr>
        <w:spacing w:line="360" w:lineRule="auto"/>
        <w:rPr>
          <w:rStyle w:val="s6"/>
          <w:b/>
          <w:bCs/>
          <w:sz w:val="32"/>
          <w:szCs w:val="32"/>
          <w:lang w:val="en-IN"/>
        </w:rPr>
      </w:pPr>
      <w:r w:rsidRPr="00E050CA">
        <w:rPr>
          <w:rStyle w:val="s6"/>
          <w:b/>
          <w:bCs/>
          <w:sz w:val="32"/>
          <w:szCs w:val="32"/>
          <w:lang w:val="en-IN"/>
        </w:rPr>
        <w:t>Introduction</w:t>
      </w:r>
    </w:p>
    <w:p w14:paraId="4BC6ED85" w14:textId="6BFBAF51" w:rsidR="001442B5" w:rsidRPr="00E050CA" w:rsidRDefault="001442B5" w:rsidP="00E050CA">
      <w:pPr>
        <w:pStyle w:val="ListParagraph"/>
        <w:numPr>
          <w:ilvl w:val="0"/>
          <w:numId w:val="13"/>
        </w:numPr>
        <w:spacing w:line="360" w:lineRule="auto"/>
        <w:rPr>
          <w:b/>
          <w:bCs/>
          <w:sz w:val="32"/>
          <w:szCs w:val="32"/>
          <w:lang w:val="en-IN"/>
        </w:rPr>
      </w:pPr>
      <w:r w:rsidRPr="00E050CA">
        <w:rPr>
          <w:b/>
          <w:bCs/>
          <w:color w:val="000000"/>
          <w:sz w:val="32"/>
          <w:szCs w:val="32"/>
        </w:rPr>
        <w:t>Incidence and Prevalence of COVID-19</w:t>
      </w:r>
    </w:p>
    <w:p w14:paraId="5BBEE7EA" w14:textId="5F37B36E" w:rsidR="001442B5" w:rsidRPr="00E050CA" w:rsidRDefault="001442B5" w:rsidP="00E050CA">
      <w:pPr>
        <w:pStyle w:val="ListParagraph"/>
        <w:numPr>
          <w:ilvl w:val="0"/>
          <w:numId w:val="13"/>
        </w:numPr>
        <w:spacing w:line="360" w:lineRule="auto"/>
        <w:rPr>
          <w:b/>
          <w:bCs/>
          <w:sz w:val="32"/>
          <w:szCs w:val="32"/>
          <w:lang w:val="en-IN"/>
        </w:rPr>
      </w:pPr>
      <w:r w:rsidRPr="00E050CA">
        <w:rPr>
          <w:b/>
          <w:bCs/>
          <w:color w:val="000000"/>
          <w:sz w:val="32"/>
          <w:szCs w:val="32"/>
        </w:rPr>
        <w:t>Key Determinants and Risk Factors</w:t>
      </w:r>
    </w:p>
    <w:p w14:paraId="31D071B5" w14:textId="668ADE6B" w:rsidR="001442B5" w:rsidRPr="00E050CA" w:rsidRDefault="001442B5" w:rsidP="00E050CA">
      <w:pPr>
        <w:pStyle w:val="ListParagraph"/>
        <w:numPr>
          <w:ilvl w:val="0"/>
          <w:numId w:val="13"/>
        </w:numPr>
        <w:spacing w:line="360" w:lineRule="auto"/>
        <w:rPr>
          <w:b/>
          <w:bCs/>
          <w:sz w:val="32"/>
          <w:szCs w:val="32"/>
          <w:lang w:val="en-IN"/>
        </w:rPr>
      </w:pPr>
      <w:r w:rsidRPr="00E050CA">
        <w:rPr>
          <w:b/>
          <w:bCs/>
          <w:color w:val="000000"/>
          <w:sz w:val="32"/>
          <w:szCs w:val="32"/>
        </w:rPr>
        <w:t>Public Health Measures Using the 3Ps</w:t>
      </w:r>
    </w:p>
    <w:p w14:paraId="3CFBD40C" w14:textId="35E712EF" w:rsidR="001442B5" w:rsidRPr="00E050CA" w:rsidRDefault="001442B5" w:rsidP="00E050CA">
      <w:pPr>
        <w:pStyle w:val="ListParagraph"/>
        <w:numPr>
          <w:ilvl w:val="0"/>
          <w:numId w:val="13"/>
        </w:numPr>
        <w:spacing w:line="360" w:lineRule="auto"/>
        <w:rPr>
          <w:rStyle w:val="apple-converted-space"/>
          <w:b/>
          <w:bCs/>
          <w:sz w:val="32"/>
          <w:szCs w:val="32"/>
          <w:lang w:val="en-IN"/>
        </w:rPr>
      </w:pPr>
      <w:r w:rsidRPr="00E050CA">
        <w:rPr>
          <w:b/>
          <w:bCs/>
          <w:color w:val="000000"/>
          <w:sz w:val="32"/>
          <w:szCs w:val="32"/>
        </w:rPr>
        <w:t>Epidemiological Surveillance and Monitoring</w:t>
      </w:r>
      <w:r w:rsidRPr="00E050CA">
        <w:rPr>
          <w:rStyle w:val="apple-converted-space"/>
          <w:rFonts w:eastAsiaTheme="majorEastAsia"/>
          <w:b/>
          <w:bCs/>
          <w:color w:val="000000"/>
          <w:sz w:val="32"/>
          <w:szCs w:val="32"/>
        </w:rPr>
        <w:t> </w:t>
      </w:r>
    </w:p>
    <w:p w14:paraId="0837CA18" w14:textId="14C2ED18" w:rsidR="001442B5" w:rsidRPr="00E050CA" w:rsidRDefault="001442B5" w:rsidP="00E050CA">
      <w:pPr>
        <w:pStyle w:val="ListParagraph"/>
        <w:numPr>
          <w:ilvl w:val="0"/>
          <w:numId w:val="13"/>
        </w:numPr>
        <w:spacing w:line="360" w:lineRule="auto"/>
        <w:rPr>
          <w:b/>
          <w:bCs/>
          <w:sz w:val="32"/>
          <w:szCs w:val="32"/>
          <w:lang w:val="en-IN"/>
        </w:rPr>
      </w:pPr>
      <w:r w:rsidRPr="00E050CA">
        <w:rPr>
          <w:b/>
          <w:bCs/>
          <w:color w:val="000000"/>
          <w:sz w:val="32"/>
          <w:szCs w:val="32"/>
        </w:rPr>
        <w:t>Health Needs Assessment in Lambeth</w:t>
      </w:r>
    </w:p>
    <w:p w14:paraId="57729DD1" w14:textId="40EC2E78" w:rsidR="001442B5" w:rsidRPr="00E050CA" w:rsidRDefault="001442B5" w:rsidP="00E050CA">
      <w:pPr>
        <w:pStyle w:val="ListParagraph"/>
        <w:numPr>
          <w:ilvl w:val="0"/>
          <w:numId w:val="13"/>
        </w:numPr>
        <w:spacing w:line="360" w:lineRule="auto"/>
        <w:rPr>
          <w:b/>
          <w:bCs/>
          <w:sz w:val="32"/>
          <w:szCs w:val="32"/>
          <w:lang w:val="en-IN"/>
        </w:rPr>
      </w:pPr>
      <w:r w:rsidRPr="00E050CA">
        <w:rPr>
          <w:b/>
          <w:bCs/>
          <w:color w:val="000000"/>
          <w:sz w:val="32"/>
          <w:szCs w:val="32"/>
        </w:rPr>
        <w:t>Public Health Intervention Programme</w:t>
      </w:r>
    </w:p>
    <w:p w14:paraId="511FC4CB" w14:textId="162357FA" w:rsidR="001442B5" w:rsidRPr="00E050CA" w:rsidRDefault="001442B5" w:rsidP="00E050CA">
      <w:pPr>
        <w:pStyle w:val="ListParagraph"/>
        <w:numPr>
          <w:ilvl w:val="0"/>
          <w:numId w:val="13"/>
        </w:numPr>
        <w:spacing w:line="360" w:lineRule="auto"/>
        <w:rPr>
          <w:rStyle w:val="apple-converted-space"/>
          <w:b/>
          <w:bCs/>
          <w:sz w:val="32"/>
          <w:szCs w:val="32"/>
          <w:lang w:val="en-IN"/>
        </w:rPr>
      </w:pPr>
      <w:r w:rsidRPr="00E050CA">
        <w:rPr>
          <w:b/>
          <w:bCs/>
          <w:color w:val="000000"/>
          <w:sz w:val="32"/>
          <w:szCs w:val="32"/>
        </w:rPr>
        <w:t>Evaluation of Intervention Effectiveness</w:t>
      </w:r>
      <w:r w:rsidRPr="00E050CA">
        <w:rPr>
          <w:rStyle w:val="apple-converted-space"/>
          <w:rFonts w:eastAsiaTheme="majorEastAsia"/>
          <w:b/>
          <w:bCs/>
          <w:color w:val="000000"/>
          <w:sz w:val="32"/>
          <w:szCs w:val="32"/>
        </w:rPr>
        <w:t> </w:t>
      </w:r>
    </w:p>
    <w:p w14:paraId="17F478C1" w14:textId="70A6AC68" w:rsidR="001442B5" w:rsidRPr="00E050CA" w:rsidRDefault="001442B5" w:rsidP="00E050CA">
      <w:pPr>
        <w:pStyle w:val="ListParagraph"/>
        <w:numPr>
          <w:ilvl w:val="0"/>
          <w:numId w:val="13"/>
        </w:numPr>
        <w:spacing w:line="360" w:lineRule="auto"/>
        <w:rPr>
          <w:b/>
          <w:bCs/>
          <w:sz w:val="32"/>
          <w:szCs w:val="32"/>
          <w:lang w:val="en-IN"/>
        </w:rPr>
      </w:pPr>
      <w:r w:rsidRPr="00E050CA">
        <w:rPr>
          <w:b/>
          <w:bCs/>
          <w:color w:val="000000"/>
          <w:sz w:val="32"/>
          <w:szCs w:val="32"/>
        </w:rPr>
        <w:t>Public Health Impact and Consequences</w:t>
      </w:r>
    </w:p>
    <w:p w14:paraId="74603166" w14:textId="0DBD133A" w:rsidR="00E050CA" w:rsidRPr="00E050CA" w:rsidRDefault="00E050CA" w:rsidP="00E050CA">
      <w:pPr>
        <w:pStyle w:val="ListParagraph"/>
        <w:numPr>
          <w:ilvl w:val="0"/>
          <w:numId w:val="13"/>
        </w:numPr>
        <w:spacing w:line="360" w:lineRule="auto"/>
        <w:rPr>
          <w:b/>
          <w:bCs/>
          <w:sz w:val="32"/>
          <w:szCs w:val="32"/>
          <w:lang w:val="en-IN"/>
        </w:rPr>
      </w:pPr>
      <w:r w:rsidRPr="00E050CA">
        <w:rPr>
          <w:b/>
          <w:bCs/>
          <w:color w:val="000000"/>
          <w:sz w:val="32"/>
          <w:szCs w:val="32"/>
        </w:rPr>
        <w:t xml:space="preserve">Strengths and Weaknesses of </w:t>
      </w:r>
      <w:r>
        <w:rPr>
          <w:b/>
          <w:bCs/>
          <w:color w:val="000000"/>
          <w:sz w:val="32"/>
          <w:szCs w:val="32"/>
        </w:rPr>
        <w:t xml:space="preserve">the </w:t>
      </w:r>
      <w:r w:rsidRPr="00E050CA">
        <w:rPr>
          <w:b/>
          <w:bCs/>
          <w:color w:val="000000"/>
          <w:sz w:val="32"/>
          <w:szCs w:val="32"/>
        </w:rPr>
        <w:t>Epidemiological Approach</w:t>
      </w:r>
    </w:p>
    <w:p w14:paraId="0D89A768" w14:textId="784D1F6B" w:rsidR="00E050CA" w:rsidRPr="00E050CA" w:rsidRDefault="00E050CA" w:rsidP="00E050CA">
      <w:pPr>
        <w:pStyle w:val="ListParagraph"/>
        <w:numPr>
          <w:ilvl w:val="0"/>
          <w:numId w:val="13"/>
        </w:numPr>
        <w:spacing w:line="360" w:lineRule="auto"/>
        <w:rPr>
          <w:b/>
          <w:bCs/>
          <w:sz w:val="32"/>
          <w:szCs w:val="32"/>
          <w:lang w:val="en-IN"/>
        </w:rPr>
      </w:pPr>
      <w:r w:rsidRPr="00E050CA">
        <w:rPr>
          <w:b/>
          <w:bCs/>
          <w:color w:val="000000"/>
          <w:sz w:val="32"/>
          <w:szCs w:val="32"/>
        </w:rPr>
        <w:t>Conclusion</w:t>
      </w:r>
    </w:p>
    <w:p w14:paraId="7A4F32C8" w14:textId="77777777" w:rsidR="007C5AD2" w:rsidRDefault="007C5AD2" w:rsidP="007C5AD2">
      <w:pPr>
        <w:spacing w:line="360" w:lineRule="auto"/>
        <w:rPr>
          <w:lang w:val="en-IN"/>
        </w:rPr>
      </w:pPr>
    </w:p>
    <w:p w14:paraId="5C3C48A1" w14:textId="77777777" w:rsidR="002A68F3" w:rsidRDefault="007C5AD2" w:rsidP="007C5AD2">
      <w:pPr>
        <w:spacing w:line="360" w:lineRule="auto"/>
        <w:rPr>
          <w:lang w:val="en-IN"/>
        </w:rPr>
      </w:pPr>
      <w:r>
        <w:rPr>
          <w:lang w:val="en-IN"/>
        </w:rPr>
        <w:t xml:space="preserve">         </w:t>
      </w:r>
    </w:p>
    <w:p w14:paraId="1A34B5C6" w14:textId="77777777" w:rsidR="002A68F3" w:rsidRDefault="002A68F3" w:rsidP="007C5AD2">
      <w:pPr>
        <w:spacing w:line="360" w:lineRule="auto"/>
        <w:rPr>
          <w:lang w:val="en-IN"/>
        </w:rPr>
      </w:pPr>
    </w:p>
    <w:p w14:paraId="4F809AB5" w14:textId="77777777" w:rsidR="002A68F3" w:rsidRDefault="002A68F3" w:rsidP="007C5AD2">
      <w:pPr>
        <w:spacing w:line="360" w:lineRule="auto"/>
        <w:rPr>
          <w:lang w:val="en-IN"/>
        </w:rPr>
      </w:pPr>
    </w:p>
    <w:p w14:paraId="2A4183CA" w14:textId="77777777" w:rsidR="002A68F3" w:rsidRDefault="002A68F3" w:rsidP="007C5AD2">
      <w:pPr>
        <w:spacing w:line="360" w:lineRule="auto"/>
        <w:rPr>
          <w:lang w:val="en-IN"/>
        </w:rPr>
      </w:pPr>
    </w:p>
    <w:p w14:paraId="27C2C2EB" w14:textId="77777777" w:rsidR="002A68F3" w:rsidRDefault="002A68F3" w:rsidP="007C5AD2">
      <w:pPr>
        <w:spacing w:line="360" w:lineRule="auto"/>
        <w:rPr>
          <w:lang w:val="en-IN"/>
        </w:rPr>
      </w:pPr>
    </w:p>
    <w:p w14:paraId="57E8A554" w14:textId="77777777" w:rsidR="002A68F3" w:rsidRDefault="002A68F3" w:rsidP="007C5AD2">
      <w:pPr>
        <w:spacing w:line="360" w:lineRule="auto"/>
        <w:rPr>
          <w:lang w:val="en-IN"/>
        </w:rPr>
      </w:pPr>
    </w:p>
    <w:p w14:paraId="206C43F4" w14:textId="77777777" w:rsidR="002A68F3" w:rsidRDefault="002A68F3" w:rsidP="007C5AD2">
      <w:pPr>
        <w:spacing w:line="360" w:lineRule="auto"/>
        <w:rPr>
          <w:lang w:val="en-IN"/>
        </w:rPr>
      </w:pPr>
    </w:p>
    <w:p w14:paraId="2B4D2229" w14:textId="77777777" w:rsidR="002A68F3" w:rsidRDefault="002A68F3" w:rsidP="007C5AD2">
      <w:pPr>
        <w:spacing w:line="360" w:lineRule="auto"/>
        <w:rPr>
          <w:lang w:val="en-IN"/>
        </w:rPr>
      </w:pPr>
    </w:p>
    <w:p w14:paraId="6A675DA6" w14:textId="77777777" w:rsidR="002A68F3" w:rsidRDefault="002A68F3" w:rsidP="007C5AD2">
      <w:pPr>
        <w:spacing w:line="360" w:lineRule="auto"/>
        <w:rPr>
          <w:lang w:val="en-IN"/>
        </w:rPr>
      </w:pPr>
    </w:p>
    <w:p w14:paraId="169D7C32" w14:textId="7BD43DB4" w:rsidR="001F2326" w:rsidRPr="002A68F3" w:rsidRDefault="001F2326" w:rsidP="002A68F3">
      <w:pPr>
        <w:pStyle w:val="ListParagraph"/>
        <w:spacing w:line="360" w:lineRule="auto"/>
        <w:ind w:left="777"/>
        <w:rPr>
          <w:rStyle w:val="s6"/>
          <w:b/>
          <w:bCs/>
          <w:sz w:val="32"/>
          <w:szCs w:val="32"/>
          <w:lang w:val="en-IN"/>
        </w:rPr>
      </w:pPr>
      <w:r w:rsidRPr="002A68F3">
        <w:rPr>
          <w:rStyle w:val="s6"/>
          <w:b/>
          <w:bCs/>
          <w:sz w:val="32"/>
          <w:szCs w:val="32"/>
          <w:lang w:val="en-IN"/>
        </w:rPr>
        <w:lastRenderedPageBreak/>
        <w:t>Introduction</w:t>
      </w:r>
    </w:p>
    <w:p w14:paraId="7D1B756A" w14:textId="0EA0EC07" w:rsidR="001F2326" w:rsidRDefault="001F2326" w:rsidP="001F2326">
      <w:pPr>
        <w:spacing w:line="360" w:lineRule="auto"/>
        <w:jc w:val="both"/>
        <w:rPr>
          <w:rStyle w:val="s6"/>
          <w:lang w:val="en-IN"/>
        </w:rPr>
      </w:pPr>
      <w:r w:rsidRPr="001F2326">
        <w:rPr>
          <w:rStyle w:val="s6"/>
          <w:lang w:val="en-IN"/>
        </w:rPr>
        <w:t xml:space="preserve">COVID-19 continues to be an infectious disease of the respiratory tract that is caused by the SARS-CoV-2 virus and spread via droplet or aerosol inhalation. COVID-19 can cause various disease states from very mild to severe pneumonia, respiratory failure, and death. COVID-19 has created enormous social and cultural </w:t>
      </w:r>
      <w:r w:rsidR="00491FA7">
        <w:rPr>
          <w:rStyle w:val="s6"/>
          <w:lang w:val="en-IN"/>
        </w:rPr>
        <w:t>consequence</w:t>
      </w:r>
      <w:r w:rsidRPr="001F2326">
        <w:rPr>
          <w:rStyle w:val="s6"/>
          <w:lang w:val="en-IN"/>
        </w:rPr>
        <w:t>s beyond its impact on physical health</w:t>
      </w:r>
      <w:r w:rsidR="00491FA7">
        <w:rPr>
          <w:rStyle w:val="s6"/>
          <w:lang w:val="en-IN"/>
        </w:rPr>
        <w:t>,</w:t>
      </w:r>
      <w:r w:rsidRPr="001F2326">
        <w:rPr>
          <w:rStyle w:val="s6"/>
          <w:lang w:val="en-IN"/>
        </w:rPr>
        <w:t xml:space="preserve"> including social isolation, unemployment, interrupted healthcare services, and increasing health inequalities. The most vulnerable populations</w:t>
      </w:r>
      <w:r w:rsidR="00491FA7">
        <w:rPr>
          <w:rStyle w:val="s6"/>
          <w:lang w:val="en-IN"/>
        </w:rPr>
        <w:t>,</w:t>
      </w:r>
      <w:r w:rsidRPr="001F2326">
        <w:rPr>
          <w:rStyle w:val="s6"/>
          <w:lang w:val="en-IN"/>
        </w:rPr>
        <w:t xml:space="preserve"> such as the elderly, ethnic/racial minorities, and people with long-term health conditions</w:t>
      </w:r>
      <w:r w:rsidR="00491FA7">
        <w:rPr>
          <w:rStyle w:val="s6"/>
          <w:lang w:val="en-IN"/>
        </w:rPr>
        <w:t>,</w:t>
      </w:r>
      <w:r w:rsidRPr="001F2326">
        <w:rPr>
          <w:rStyle w:val="s6"/>
          <w:lang w:val="en-IN"/>
        </w:rPr>
        <w:t xml:space="preserve"> have disproportionately felt the effects of this pandemic. The World Health Organization (WHO) declared COVID-19 a global pandemic on 11 March 2020 due to the virus's rapid global spread and increasing mortality </w:t>
      </w:r>
      <w:r w:rsidR="00491FA7">
        <w:rPr>
          <w:color w:val="000000"/>
        </w:rPr>
        <w:t>(World Health Organization, 2025).</w:t>
      </w:r>
    </w:p>
    <w:p w14:paraId="67E12DBC" w14:textId="77777777" w:rsidR="00B75ADD" w:rsidRDefault="00B75ADD" w:rsidP="001F2326">
      <w:pPr>
        <w:spacing w:line="360" w:lineRule="auto"/>
        <w:jc w:val="both"/>
        <w:rPr>
          <w:rStyle w:val="s6"/>
          <w:lang w:val="en-IN"/>
        </w:rPr>
      </w:pPr>
    </w:p>
    <w:p w14:paraId="26834F73" w14:textId="78B430AD" w:rsidR="00F43AF4" w:rsidRDefault="00F43AF4" w:rsidP="001F2326">
      <w:pPr>
        <w:spacing w:line="360" w:lineRule="auto"/>
        <w:jc w:val="both"/>
        <w:rPr>
          <w:color w:val="000000"/>
        </w:rPr>
      </w:pPr>
      <w:r w:rsidRPr="00F43AF4">
        <w:rPr>
          <w:rStyle w:val="s6"/>
          <w:lang w:val="en-IN"/>
        </w:rPr>
        <w:t xml:space="preserve">COVID-19 is a public health emergency facing the world with hundreds of millions of case reports all over the globe. There have been more than 200,000 deaths in the UK attributed to COVID-19, of which London has had some of the highest incidences during the first few waves of infections. Some of the most densely populated and deprived urban areas bear the biggest burden of disease. Lambeth is one of those diverse, densely populated London boroughs that experienced prevalence of COVID-19 due to overcrowded living conditions, socioeconomic disparity, and a dependence on public transport. COVID-19 mortality rates have been shown to be much higher among deprived boroughs in London than among relatively affluent boroughs, reflecting the magnitude of an urgent public health need and the necessity for epidemiological evaluation </w:t>
      </w:r>
      <w:r w:rsidR="00491FA7">
        <w:rPr>
          <w:color w:val="000000"/>
        </w:rPr>
        <w:t>(ONS, 2020)</w:t>
      </w:r>
    </w:p>
    <w:p w14:paraId="3DC68940" w14:textId="77777777" w:rsidR="00EE0787" w:rsidRPr="001F2326" w:rsidRDefault="00EE0787" w:rsidP="001F2326">
      <w:pPr>
        <w:spacing w:line="360" w:lineRule="auto"/>
        <w:jc w:val="both"/>
        <w:rPr>
          <w:rStyle w:val="s6"/>
          <w:lang w:val="en-IN"/>
        </w:rPr>
      </w:pPr>
    </w:p>
    <w:p w14:paraId="0BE1815B" w14:textId="77777777" w:rsidR="00B8366B" w:rsidRDefault="00B8366B" w:rsidP="00B8366B">
      <w:pPr>
        <w:pStyle w:val="ListParagraph"/>
        <w:spacing w:line="360" w:lineRule="auto"/>
        <w:rPr>
          <w:b/>
          <w:bCs/>
          <w:color w:val="000000"/>
          <w:sz w:val="32"/>
          <w:szCs w:val="32"/>
        </w:rPr>
      </w:pPr>
      <w:r w:rsidRPr="00E050CA">
        <w:rPr>
          <w:b/>
          <w:bCs/>
          <w:color w:val="000000"/>
          <w:sz w:val="32"/>
          <w:szCs w:val="32"/>
        </w:rPr>
        <w:t>Incidence and Prevalence of COVID-19</w:t>
      </w:r>
    </w:p>
    <w:p w14:paraId="7E3C1C56" w14:textId="60D4CFD6" w:rsidR="00B8366B" w:rsidRDefault="00B8366B" w:rsidP="00B8366B">
      <w:pPr>
        <w:spacing w:line="360" w:lineRule="auto"/>
        <w:rPr>
          <w:lang w:val="en-IN"/>
        </w:rPr>
      </w:pPr>
      <w:r w:rsidRPr="00B8366B">
        <w:rPr>
          <w:lang w:val="en-IN"/>
        </w:rPr>
        <w:t>The Incidence of COVID-19 in different parts of the World differs and changes throughout various time frames. At a global level, COVID-19 infection rates are growing substantially, as a means of global travel and spread in communities. In the UK, COVID-19 infection rates are at their highest levels during the winter period and with the emergence of various types. London has consistently</w:t>
      </w:r>
      <w:r>
        <w:rPr>
          <w:lang w:val="en-IN"/>
        </w:rPr>
        <w:t xml:space="preserve"> provided</w:t>
      </w:r>
      <w:r w:rsidRPr="00B8366B">
        <w:rPr>
          <w:lang w:val="en-IN"/>
        </w:rPr>
        <w:t xml:space="preserve"> higher case rates due to its high population and resident mobility. Lambeth's significant rates of COVID-19 during the earlier waves of infection demonstrate that Social Determinants of Health applied to this population (i.e., higher levels of overcrowding and occupational exposure). This highlights an unequal distribution of the COVID-19 disease burden across various populations</w:t>
      </w:r>
      <w:r w:rsidR="00491FA7">
        <w:rPr>
          <w:lang w:val="en-IN"/>
        </w:rPr>
        <w:t xml:space="preserve"> </w:t>
      </w:r>
      <w:r w:rsidR="00491FA7">
        <w:rPr>
          <w:color w:val="000000"/>
        </w:rPr>
        <w:t xml:space="preserve">(Du </w:t>
      </w:r>
      <w:r w:rsidR="00491FA7" w:rsidRPr="00491FA7">
        <w:rPr>
          <w:i/>
          <w:iCs/>
          <w:color w:val="000000"/>
        </w:rPr>
        <w:t>et al</w:t>
      </w:r>
      <w:r w:rsidR="00491FA7">
        <w:rPr>
          <w:color w:val="000000"/>
        </w:rPr>
        <w:t>., 2024).</w:t>
      </w:r>
    </w:p>
    <w:p w14:paraId="5454AD49" w14:textId="77777777" w:rsidR="00B75ADD" w:rsidRPr="00B8366B" w:rsidRDefault="00B75ADD" w:rsidP="00B8366B">
      <w:pPr>
        <w:spacing w:line="360" w:lineRule="auto"/>
        <w:rPr>
          <w:lang w:val="en-IN"/>
        </w:rPr>
      </w:pPr>
    </w:p>
    <w:p w14:paraId="79241219" w14:textId="77777777" w:rsidR="00C8069A" w:rsidRDefault="00C8069A" w:rsidP="001F204F">
      <w:pPr>
        <w:spacing w:line="360" w:lineRule="auto"/>
        <w:rPr>
          <w:lang w:val="en-IN"/>
        </w:rPr>
      </w:pPr>
    </w:p>
    <w:tbl>
      <w:tblPr>
        <w:tblStyle w:val="TableGrid"/>
        <w:tblW w:w="9218" w:type="dxa"/>
        <w:tblLook w:val="04A0" w:firstRow="1" w:lastRow="0" w:firstColumn="1" w:lastColumn="0" w:noHBand="0" w:noVBand="1"/>
      </w:tblPr>
      <w:tblGrid>
        <w:gridCol w:w="1914"/>
        <w:gridCol w:w="4553"/>
        <w:gridCol w:w="2751"/>
      </w:tblGrid>
      <w:tr w:rsidR="007316E4" w14:paraId="1C81456D" w14:textId="77777777" w:rsidTr="007316E4">
        <w:trPr>
          <w:trHeight w:val="511"/>
        </w:trPr>
        <w:tc>
          <w:tcPr>
            <w:tcW w:w="0" w:type="auto"/>
            <w:hideMark/>
          </w:tcPr>
          <w:p w14:paraId="4BC95E4E" w14:textId="77777777" w:rsidR="007316E4" w:rsidRDefault="007316E4">
            <w:pPr>
              <w:jc w:val="center"/>
              <w:rPr>
                <w:b/>
                <w:bCs/>
                <w:color w:val="000000"/>
              </w:rPr>
            </w:pPr>
            <w:r>
              <w:rPr>
                <w:b/>
                <w:bCs/>
                <w:color w:val="000000"/>
              </w:rPr>
              <w:t>Location</w:t>
            </w:r>
          </w:p>
        </w:tc>
        <w:tc>
          <w:tcPr>
            <w:tcW w:w="0" w:type="auto"/>
            <w:hideMark/>
          </w:tcPr>
          <w:p w14:paraId="0733B007" w14:textId="77777777" w:rsidR="007316E4" w:rsidRDefault="007316E4">
            <w:pPr>
              <w:jc w:val="center"/>
              <w:rPr>
                <w:b/>
                <w:bCs/>
                <w:color w:val="000000"/>
              </w:rPr>
            </w:pPr>
            <w:r>
              <w:rPr>
                <w:b/>
                <w:bCs/>
                <w:color w:val="000000"/>
              </w:rPr>
              <w:t>Incidence/Prevalence</w:t>
            </w:r>
          </w:p>
        </w:tc>
        <w:tc>
          <w:tcPr>
            <w:tcW w:w="0" w:type="auto"/>
            <w:hideMark/>
          </w:tcPr>
          <w:p w14:paraId="64F4C047" w14:textId="77777777" w:rsidR="007316E4" w:rsidRDefault="007316E4">
            <w:pPr>
              <w:jc w:val="center"/>
              <w:rPr>
                <w:b/>
                <w:bCs/>
                <w:color w:val="000000"/>
              </w:rPr>
            </w:pPr>
            <w:r>
              <w:rPr>
                <w:b/>
                <w:bCs/>
                <w:color w:val="000000"/>
              </w:rPr>
              <w:t>Interpretation</w:t>
            </w:r>
          </w:p>
        </w:tc>
      </w:tr>
      <w:tr w:rsidR="007316E4" w14:paraId="4C3B4C55" w14:textId="77777777" w:rsidTr="007316E4">
        <w:trPr>
          <w:trHeight w:val="511"/>
        </w:trPr>
        <w:tc>
          <w:tcPr>
            <w:tcW w:w="0" w:type="auto"/>
            <w:hideMark/>
          </w:tcPr>
          <w:p w14:paraId="26513413" w14:textId="77777777" w:rsidR="007316E4" w:rsidRDefault="007316E4">
            <w:pPr>
              <w:rPr>
                <w:color w:val="000000"/>
              </w:rPr>
            </w:pPr>
            <w:r>
              <w:rPr>
                <w:color w:val="000000"/>
              </w:rPr>
              <w:t>Worldwide</w:t>
            </w:r>
          </w:p>
        </w:tc>
        <w:tc>
          <w:tcPr>
            <w:tcW w:w="0" w:type="auto"/>
            <w:hideMark/>
          </w:tcPr>
          <w:p w14:paraId="14478FB3" w14:textId="77777777" w:rsidR="007316E4" w:rsidRDefault="007316E4">
            <w:pPr>
              <w:rPr>
                <w:color w:val="000000"/>
              </w:rPr>
            </w:pPr>
            <w:r>
              <w:rPr>
                <w:color w:val="000000"/>
              </w:rPr>
              <w:t>Hundreds of millions of cases</w:t>
            </w:r>
          </w:p>
        </w:tc>
        <w:tc>
          <w:tcPr>
            <w:tcW w:w="0" w:type="auto"/>
            <w:hideMark/>
          </w:tcPr>
          <w:p w14:paraId="186094DB" w14:textId="77777777" w:rsidR="007316E4" w:rsidRDefault="007316E4">
            <w:pPr>
              <w:rPr>
                <w:color w:val="000000"/>
              </w:rPr>
            </w:pPr>
            <w:r>
              <w:rPr>
                <w:color w:val="000000"/>
              </w:rPr>
              <w:t>Global pandemic</w:t>
            </w:r>
          </w:p>
        </w:tc>
      </w:tr>
      <w:tr w:rsidR="007316E4" w14:paraId="58629248" w14:textId="77777777" w:rsidTr="007316E4">
        <w:trPr>
          <w:trHeight w:val="511"/>
        </w:trPr>
        <w:tc>
          <w:tcPr>
            <w:tcW w:w="0" w:type="auto"/>
            <w:hideMark/>
          </w:tcPr>
          <w:p w14:paraId="19EC2A41" w14:textId="77777777" w:rsidR="007316E4" w:rsidRDefault="007316E4">
            <w:pPr>
              <w:rPr>
                <w:color w:val="000000"/>
              </w:rPr>
            </w:pPr>
            <w:r>
              <w:rPr>
                <w:color w:val="000000"/>
              </w:rPr>
              <w:t>UK</w:t>
            </w:r>
          </w:p>
        </w:tc>
        <w:tc>
          <w:tcPr>
            <w:tcW w:w="0" w:type="auto"/>
            <w:hideMark/>
          </w:tcPr>
          <w:p w14:paraId="141DBD22" w14:textId="77777777" w:rsidR="007316E4" w:rsidRDefault="007316E4">
            <w:pPr>
              <w:rPr>
                <w:color w:val="000000"/>
              </w:rPr>
            </w:pPr>
            <w:r>
              <w:rPr>
                <w:color w:val="000000"/>
              </w:rPr>
              <w:t>Multiple infection waves</w:t>
            </w:r>
          </w:p>
        </w:tc>
        <w:tc>
          <w:tcPr>
            <w:tcW w:w="0" w:type="auto"/>
            <w:hideMark/>
          </w:tcPr>
          <w:p w14:paraId="53ED79B2" w14:textId="77777777" w:rsidR="007316E4" w:rsidRDefault="007316E4">
            <w:pPr>
              <w:rPr>
                <w:color w:val="000000"/>
              </w:rPr>
            </w:pPr>
            <w:r>
              <w:rPr>
                <w:color w:val="000000"/>
              </w:rPr>
              <w:t>National burden</w:t>
            </w:r>
          </w:p>
        </w:tc>
      </w:tr>
      <w:tr w:rsidR="007316E4" w14:paraId="100BCA31" w14:textId="77777777" w:rsidTr="007316E4">
        <w:trPr>
          <w:trHeight w:val="511"/>
        </w:trPr>
        <w:tc>
          <w:tcPr>
            <w:tcW w:w="0" w:type="auto"/>
            <w:hideMark/>
          </w:tcPr>
          <w:p w14:paraId="5892AE38" w14:textId="77777777" w:rsidR="007316E4" w:rsidRDefault="007316E4">
            <w:pPr>
              <w:rPr>
                <w:color w:val="000000"/>
              </w:rPr>
            </w:pPr>
            <w:r>
              <w:rPr>
                <w:color w:val="000000"/>
              </w:rPr>
              <w:t>London</w:t>
            </w:r>
          </w:p>
        </w:tc>
        <w:tc>
          <w:tcPr>
            <w:tcW w:w="0" w:type="auto"/>
            <w:hideMark/>
          </w:tcPr>
          <w:p w14:paraId="0E3280ED" w14:textId="77777777" w:rsidR="007316E4" w:rsidRDefault="007316E4">
            <w:pPr>
              <w:rPr>
                <w:color w:val="000000"/>
              </w:rPr>
            </w:pPr>
            <w:r>
              <w:rPr>
                <w:color w:val="000000"/>
              </w:rPr>
              <w:t>Higher than national average</w:t>
            </w:r>
          </w:p>
        </w:tc>
        <w:tc>
          <w:tcPr>
            <w:tcW w:w="0" w:type="auto"/>
            <w:hideMark/>
          </w:tcPr>
          <w:p w14:paraId="4288AAC3" w14:textId="77777777" w:rsidR="007316E4" w:rsidRDefault="007316E4">
            <w:pPr>
              <w:rPr>
                <w:color w:val="000000"/>
              </w:rPr>
            </w:pPr>
            <w:r>
              <w:rPr>
                <w:color w:val="000000"/>
              </w:rPr>
              <w:t>Urban density</w:t>
            </w:r>
          </w:p>
        </w:tc>
      </w:tr>
      <w:tr w:rsidR="007316E4" w14:paraId="19592B19" w14:textId="77777777" w:rsidTr="007316E4">
        <w:trPr>
          <w:trHeight w:val="511"/>
        </w:trPr>
        <w:tc>
          <w:tcPr>
            <w:tcW w:w="0" w:type="auto"/>
            <w:hideMark/>
          </w:tcPr>
          <w:p w14:paraId="2F587AFD" w14:textId="77777777" w:rsidR="007316E4" w:rsidRDefault="007316E4">
            <w:pPr>
              <w:rPr>
                <w:color w:val="000000"/>
              </w:rPr>
            </w:pPr>
            <w:r>
              <w:rPr>
                <w:color w:val="000000"/>
              </w:rPr>
              <w:t>Lambeth</w:t>
            </w:r>
          </w:p>
        </w:tc>
        <w:tc>
          <w:tcPr>
            <w:tcW w:w="0" w:type="auto"/>
            <w:hideMark/>
          </w:tcPr>
          <w:p w14:paraId="707316CC" w14:textId="77777777" w:rsidR="007316E4" w:rsidRDefault="007316E4">
            <w:pPr>
              <w:rPr>
                <w:color w:val="000000"/>
              </w:rPr>
            </w:pPr>
            <w:r>
              <w:rPr>
                <w:color w:val="000000"/>
              </w:rPr>
              <w:t>High infection rate</w:t>
            </w:r>
          </w:p>
        </w:tc>
        <w:tc>
          <w:tcPr>
            <w:tcW w:w="0" w:type="auto"/>
            <w:hideMark/>
          </w:tcPr>
          <w:p w14:paraId="0A3E769D" w14:textId="77777777" w:rsidR="007316E4" w:rsidRDefault="007316E4">
            <w:pPr>
              <w:rPr>
                <w:color w:val="000000"/>
              </w:rPr>
            </w:pPr>
            <w:r>
              <w:rPr>
                <w:color w:val="000000"/>
              </w:rPr>
              <w:t>Local inequality</w:t>
            </w:r>
          </w:p>
        </w:tc>
      </w:tr>
    </w:tbl>
    <w:p w14:paraId="15DBED08" w14:textId="40ED7971" w:rsidR="00C8069A" w:rsidRDefault="007316E4" w:rsidP="007316E4">
      <w:pPr>
        <w:spacing w:line="360" w:lineRule="auto"/>
        <w:jc w:val="center"/>
        <w:rPr>
          <w:color w:val="000000"/>
        </w:rPr>
      </w:pPr>
      <w:r w:rsidRPr="007316E4">
        <w:rPr>
          <w:color w:val="000000"/>
        </w:rPr>
        <w:t>Table 1: COVID-19 Incidence and Prevalence (WHO 2023</w:t>
      </w:r>
      <w:r w:rsidR="005331D6">
        <w:rPr>
          <w:color w:val="000000"/>
        </w:rPr>
        <w:t xml:space="preserve">; </w:t>
      </w:r>
      <w:r w:rsidR="00491FA7">
        <w:rPr>
          <w:color w:val="000000"/>
        </w:rPr>
        <w:t>ONS, 2020)</w:t>
      </w:r>
    </w:p>
    <w:p w14:paraId="7A988405" w14:textId="77777777" w:rsidR="007316E4" w:rsidRPr="007316E4" w:rsidRDefault="007316E4" w:rsidP="007316E4">
      <w:pPr>
        <w:spacing w:line="360" w:lineRule="auto"/>
        <w:rPr>
          <w:lang w:val="en-IN"/>
        </w:rPr>
      </w:pPr>
    </w:p>
    <w:p w14:paraId="75E26F72" w14:textId="4FD4F825" w:rsidR="007316E4" w:rsidRDefault="007316E4" w:rsidP="007316E4">
      <w:pPr>
        <w:pStyle w:val="ListParagraph"/>
        <w:spacing w:line="360" w:lineRule="auto"/>
        <w:rPr>
          <w:b/>
          <w:bCs/>
          <w:color w:val="000000"/>
          <w:sz w:val="32"/>
          <w:szCs w:val="32"/>
        </w:rPr>
      </w:pPr>
      <w:r w:rsidRPr="00E050CA">
        <w:rPr>
          <w:b/>
          <w:bCs/>
          <w:color w:val="000000"/>
          <w:sz w:val="32"/>
          <w:szCs w:val="32"/>
        </w:rPr>
        <w:t>Key Determinants and Risk Factors</w:t>
      </w:r>
    </w:p>
    <w:p w14:paraId="1BC85911" w14:textId="6F896E2D" w:rsidR="0095382E" w:rsidRDefault="00267CFC" w:rsidP="0095382E">
      <w:pPr>
        <w:spacing w:line="360" w:lineRule="auto"/>
        <w:jc w:val="both"/>
        <w:rPr>
          <w:color w:val="000000"/>
        </w:rPr>
      </w:pPr>
      <w:r w:rsidRPr="00267CFC">
        <w:rPr>
          <w:color w:val="000000"/>
        </w:rPr>
        <w:t xml:space="preserve">Social and biological factors contributed to the rate of COVID-19 infection in Lambeth. Overcrowding of houses increases the likelihood of spreading the virus due to being </w:t>
      </w:r>
      <w:proofErr w:type="gramStart"/>
      <w:r w:rsidRPr="00267CFC">
        <w:rPr>
          <w:color w:val="000000"/>
        </w:rPr>
        <w:t>in close proximity to</w:t>
      </w:r>
      <w:proofErr w:type="gramEnd"/>
      <w:r w:rsidRPr="00267CFC">
        <w:rPr>
          <w:color w:val="000000"/>
        </w:rPr>
        <w:t xml:space="preserve"> other individuals. Those from ethnic minorities had higher death rates from COVID-19 due to pre-existing structural challenges. People living with chronic conditions such as diabetes and heart disease had a higher risk of serious complications if they got infected. Lower-paid jobs often put people in harm’s way because many Lambeth residents were employed in essential jobs where they could not work from home. These social and biological factors confirm that there </w:t>
      </w:r>
      <w:proofErr w:type="gramStart"/>
      <w:r w:rsidRPr="00267CFC">
        <w:rPr>
          <w:color w:val="000000"/>
        </w:rPr>
        <w:t>is</w:t>
      </w:r>
      <w:proofErr w:type="gramEnd"/>
      <w:r w:rsidRPr="00267CFC">
        <w:rPr>
          <w:color w:val="000000"/>
        </w:rPr>
        <w:t xml:space="preserve"> racial inequity and injustice in how COVID-19 was placed in various locations</w:t>
      </w:r>
      <w:r w:rsidR="00491FA7" w:rsidRPr="00491FA7">
        <w:rPr>
          <w:color w:val="000000"/>
        </w:rPr>
        <w:t xml:space="preserve"> </w:t>
      </w:r>
      <w:r w:rsidR="005331D6">
        <w:rPr>
          <w:color w:val="000000"/>
        </w:rPr>
        <w:t xml:space="preserve">(NICE, 2025; </w:t>
      </w:r>
      <w:r w:rsidR="005331D6" w:rsidRPr="008426D0">
        <w:rPr>
          <w:color w:val="000000"/>
        </w:rPr>
        <w:t>Marmot et al., 2020</w:t>
      </w:r>
      <w:r w:rsidR="005331D6">
        <w:rPr>
          <w:color w:val="000000"/>
        </w:rPr>
        <w:t>).</w:t>
      </w:r>
    </w:p>
    <w:p w14:paraId="2946F40C" w14:textId="3A3ACA46" w:rsidR="0095382E" w:rsidRDefault="0095382E" w:rsidP="0095382E">
      <w:pPr>
        <w:spacing w:line="360" w:lineRule="auto"/>
        <w:jc w:val="both"/>
        <w:rPr>
          <w:lang w:val="en-IN"/>
        </w:rPr>
      </w:pPr>
    </w:p>
    <w:tbl>
      <w:tblPr>
        <w:tblStyle w:val="TableGrid"/>
        <w:tblW w:w="9151" w:type="dxa"/>
        <w:tblLook w:val="04A0" w:firstRow="1" w:lastRow="0" w:firstColumn="1" w:lastColumn="0" w:noHBand="0" w:noVBand="1"/>
      </w:tblPr>
      <w:tblGrid>
        <w:gridCol w:w="3324"/>
        <w:gridCol w:w="3176"/>
        <w:gridCol w:w="2651"/>
      </w:tblGrid>
      <w:tr w:rsidR="0095382E" w14:paraId="1F743A78" w14:textId="77777777" w:rsidTr="0095382E">
        <w:trPr>
          <w:trHeight w:val="425"/>
        </w:trPr>
        <w:tc>
          <w:tcPr>
            <w:tcW w:w="0" w:type="auto"/>
            <w:hideMark/>
          </w:tcPr>
          <w:p w14:paraId="220D39DE" w14:textId="77777777" w:rsidR="0095382E" w:rsidRDefault="0095382E">
            <w:pPr>
              <w:jc w:val="center"/>
              <w:rPr>
                <w:b/>
                <w:bCs/>
              </w:rPr>
            </w:pPr>
            <w:r>
              <w:rPr>
                <w:b/>
                <w:bCs/>
              </w:rPr>
              <w:t>Risk Factor</w:t>
            </w:r>
          </w:p>
        </w:tc>
        <w:tc>
          <w:tcPr>
            <w:tcW w:w="0" w:type="auto"/>
            <w:hideMark/>
          </w:tcPr>
          <w:p w14:paraId="7071B464" w14:textId="77777777" w:rsidR="0095382E" w:rsidRDefault="0095382E">
            <w:pPr>
              <w:jc w:val="center"/>
              <w:rPr>
                <w:b/>
                <w:bCs/>
              </w:rPr>
            </w:pPr>
            <w:r>
              <w:rPr>
                <w:b/>
                <w:bCs/>
              </w:rPr>
              <w:t>Explanation</w:t>
            </w:r>
          </w:p>
        </w:tc>
        <w:tc>
          <w:tcPr>
            <w:tcW w:w="0" w:type="auto"/>
            <w:hideMark/>
          </w:tcPr>
          <w:p w14:paraId="552249C0" w14:textId="77777777" w:rsidR="0095382E" w:rsidRDefault="0095382E">
            <w:pPr>
              <w:jc w:val="center"/>
              <w:rPr>
                <w:b/>
                <w:bCs/>
              </w:rPr>
            </w:pPr>
            <w:r>
              <w:rPr>
                <w:b/>
                <w:bCs/>
              </w:rPr>
              <w:t>Impact</w:t>
            </w:r>
          </w:p>
        </w:tc>
      </w:tr>
      <w:tr w:rsidR="0095382E" w14:paraId="1EB496B9" w14:textId="77777777" w:rsidTr="0095382E">
        <w:trPr>
          <w:trHeight w:val="425"/>
        </w:trPr>
        <w:tc>
          <w:tcPr>
            <w:tcW w:w="0" w:type="auto"/>
            <w:hideMark/>
          </w:tcPr>
          <w:p w14:paraId="48F3E0C4" w14:textId="77777777" w:rsidR="0095382E" w:rsidRDefault="0095382E">
            <w:r>
              <w:t>Overcrowded housing</w:t>
            </w:r>
          </w:p>
        </w:tc>
        <w:tc>
          <w:tcPr>
            <w:tcW w:w="0" w:type="auto"/>
            <w:hideMark/>
          </w:tcPr>
          <w:p w14:paraId="4F028A81" w14:textId="77777777" w:rsidR="0095382E" w:rsidRDefault="0095382E">
            <w:r>
              <w:t>Increased close contact</w:t>
            </w:r>
          </w:p>
        </w:tc>
        <w:tc>
          <w:tcPr>
            <w:tcW w:w="0" w:type="auto"/>
            <w:hideMark/>
          </w:tcPr>
          <w:p w14:paraId="2F8865C2" w14:textId="77777777" w:rsidR="0095382E" w:rsidRDefault="0095382E">
            <w:r>
              <w:t>Higher transmission</w:t>
            </w:r>
          </w:p>
        </w:tc>
      </w:tr>
      <w:tr w:rsidR="0095382E" w14:paraId="006A4C5C" w14:textId="77777777" w:rsidTr="0095382E">
        <w:trPr>
          <w:trHeight w:val="425"/>
        </w:trPr>
        <w:tc>
          <w:tcPr>
            <w:tcW w:w="0" w:type="auto"/>
            <w:hideMark/>
          </w:tcPr>
          <w:p w14:paraId="1107097B" w14:textId="77777777" w:rsidR="0095382E" w:rsidRDefault="0095382E">
            <w:r>
              <w:t>Ethnic inequality</w:t>
            </w:r>
          </w:p>
        </w:tc>
        <w:tc>
          <w:tcPr>
            <w:tcW w:w="0" w:type="auto"/>
            <w:hideMark/>
          </w:tcPr>
          <w:p w14:paraId="56037818" w14:textId="77777777" w:rsidR="0095382E" w:rsidRDefault="0095382E">
            <w:r>
              <w:t>Structural disadvantage</w:t>
            </w:r>
          </w:p>
        </w:tc>
        <w:tc>
          <w:tcPr>
            <w:tcW w:w="0" w:type="auto"/>
            <w:hideMark/>
          </w:tcPr>
          <w:p w14:paraId="5E230456" w14:textId="77777777" w:rsidR="0095382E" w:rsidRDefault="0095382E">
            <w:r>
              <w:t>Increased mortality</w:t>
            </w:r>
          </w:p>
        </w:tc>
      </w:tr>
      <w:tr w:rsidR="0095382E" w14:paraId="44514A58" w14:textId="77777777" w:rsidTr="0095382E">
        <w:trPr>
          <w:trHeight w:val="425"/>
        </w:trPr>
        <w:tc>
          <w:tcPr>
            <w:tcW w:w="0" w:type="auto"/>
            <w:hideMark/>
          </w:tcPr>
          <w:p w14:paraId="0900153B" w14:textId="77777777" w:rsidR="0095382E" w:rsidRDefault="0095382E">
            <w:r>
              <w:t>Chronic disease</w:t>
            </w:r>
          </w:p>
        </w:tc>
        <w:tc>
          <w:tcPr>
            <w:tcW w:w="0" w:type="auto"/>
            <w:hideMark/>
          </w:tcPr>
          <w:p w14:paraId="633B2790" w14:textId="77777777" w:rsidR="0095382E" w:rsidRDefault="0095382E">
            <w:r>
              <w:t>Diabetes, obesity</w:t>
            </w:r>
          </w:p>
        </w:tc>
        <w:tc>
          <w:tcPr>
            <w:tcW w:w="0" w:type="auto"/>
            <w:hideMark/>
          </w:tcPr>
          <w:p w14:paraId="6F69AE51" w14:textId="77777777" w:rsidR="0095382E" w:rsidRDefault="0095382E">
            <w:r>
              <w:t>Severe outcomes</w:t>
            </w:r>
          </w:p>
        </w:tc>
      </w:tr>
      <w:tr w:rsidR="0095382E" w14:paraId="798EF310" w14:textId="77777777" w:rsidTr="0095382E">
        <w:trPr>
          <w:trHeight w:val="425"/>
        </w:trPr>
        <w:tc>
          <w:tcPr>
            <w:tcW w:w="0" w:type="auto"/>
            <w:hideMark/>
          </w:tcPr>
          <w:p w14:paraId="7D9DE19D" w14:textId="77777777" w:rsidR="0095382E" w:rsidRDefault="0095382E">
            <w:r>
              <w:t>Low-income employment</w:t>
            </w:r>
          </w:p>
        </w:tc>
        <w:tc>
          <w:tcPr>
            <w:tcW w:w="0" w:type="auto"/>
            <w:hideMark/>
          </w:tcPr>
          <w:p w14:paraId="2CE54776" w14:textId="77777777" w:rsidR="0095382E" w:rsidRDefault="0095382E">
            <w:r>
              <w:t>Cannot work from home</w:t>
            </w:r>
          </w:p>
        </w:tc>
        <w:tc>
          <w:tcPr>
            <w:tcW w:w="0" w:type="auto"/>
            <w:hideMark/>
          </w:tcPr>
          <w:p w14:paraId="72F34445" w14:textId="77777777" w:rsidR="0095382E" w:rsidRDefault="0095382E">
            <w:r>
              <w:t>Exposure risk</w:t>
            </w:r>
          </w:p>
        </w:tc>
      </w:tr>
    </w:tbl>
    <w:p w14:paraId="5D0B8094" w14:textId="753B3F0D" w:rsidR="00C8069A" w:rsidRDefault="0095382E" w:rsidP="0095382E">
      <w:pPr>
        <w:spacing w:line="360" w:lineRule="auto"/>
        <w:jc w:val="center"/>
        <w:rPr>
          <w:color w:val="000000"/>
        </w:rPr>
      </w:pPr>
      <w:r w:rsidRPr="0095382E">
        <w:rPr>
          <w:color w:val="000000"/>
        </w:rPr>
        <w:t>Table 2: Determinants of COVID-19 in Lambeth (</w:t>
      </w:r>
      <w:r w:rsidR="005331D6">
        <w:rPr>
          <w:color w:val="000000"/>
        </w:rPr>
        <w:t>NICE 2025</w:t>
      </w:r>
      <w:r w:rsidRPr="0095382E">
        <w:rPr>
          <w:color w:val="000000"/>
        </w:rPr>
        <w:t>)</w:t>
      </w:r>
      <w:r w:rsidR="005331D6">
        <w:rPr>
          <w:color w:val="000000"/>
        </w:rPr>
        <w:t>.</w:t>
      </w:r>
    </w:p>
    <w:p w14:paraId="4BF7C3AA" w14:textId="77777777" w:rsidR="00B75ADD" w:rsidRPr="0095382E" w:rsidRDefault="00B75ADD" w:rsidP="00B75ADD">
      <w:pPr>
        <w:spacing w:line="360" w:lineRule="auto"/>
        <w:rPr>
          <w:lang w:val="en-IN"/>
        </w:rPr>
      </w:pPr>
    </w:p>
    <w:p w14:paraId="15B21641" w14:textId="77777777" w:rsidR="00B75ADD" w:rsidRDefault="00B75ADD" w:rsidP="00B75ADD">
      <w:pPr>
        <w:pStyle w:val="ListParagraph"/>
        <w:spacing w:line="360" w:lineRule="auto"/>
        <w:rPr>
          <w:b/>
          <w:bCs/>
          <w:color w:val="000000"/>
          <w:sz w:val="32"/>
          <w:szCs w:val="32"/>
        </w:rPr>
      </w:pPr>
      <w:r w:rsidRPr="00E050CA">
        <w:rPr>
          <w:b/>
          <w:bCs/>
          <w:color w:val="000000"/>
          <w:sz w:val="32"/>
          <w:szCs w:val="32"/>
        </w:rPr>
        <w:t>Public Health Measures Using the 3Ps</w:t>
      </w:r>
    </w:p>
    <w:p w14:paraId="3879DFE5" w14:textId="394BFDEB" w:rsidR="00B75ADD" w:rsidRDefault="00B75ADD" w:rsidP="00F23345">
      <w:pPr>
        <w:spacing w:line="360" w:lineRule="auto"/>
        <w:jc w:val="both"/>
        <w:rPr>
          <w:lang w:val="en-IN"/>
        </w:rPr>
      </w:pPr>
      <w:r w:rsidRPr="00B75ADD">
        <w:rPr>
          <w:lang w:val="en-IN"/>
        </w:rPr>
        <w:t xml:space="preserve">The public health interventions in Lambeth were based on the 3Ps approach. The prevention interventions involved lockdowns, social distancing, and testing programs. They played a role </w:t>
      </w:r>
      <w:r w:rsidRPr="00B75ADD">
        <w:rPr>
          <w:lang w:val="en-IN"/>
        </w:rPr>
        <w:lastRenderedPageBreak/>
        <w:t xml:space="preserve">in reducing the transmission of the virus </w:t>
      </w:r>
      <w:r w:rsidR="00B24A6F">
        <w:rPr>
          <w:lang w:val="en-IN"/>
        </w:rPr>
        <w:t>by</w:t>
      </w:r>
      <w:r w:rsidRPr="00B75ADD">
        <w:rPr>
          <w:lang w:val="en-IN"/>
        </w:rPr>
        <w:t xml:space="preserve"> reducing contacts. The protection interventions involved the administration of vaccines to vulnerable groups. Vaccines played a</w:t>
      </w:r>
    </w:p>
    <w:p w14:paraId="55812189" w14:textId="64E8AFA8" w:rsidR="0076540C" w:rsidRDefault="00B75ADD" w:rsidP="0076540C">
      <w:pPr>
        <w:spacing w:line="360" w:lineRule="auto"/>
        <w:jc w:val="both"/>
        <w:rPr>
          <w:color w:val="000000"/>
        </w:rPr>
      </w:pPr>
      <w:r w:rsidRPr="00B75ADD">
        <w:rPr>
          <w:lang w:val="en-IN"/>
        </w:rPr>
        <w:t>significant role in reducing hospitalization and death from the infection. The promotion interventions involved public health campaigns to encourage wearing masks</w:t>
      </w:r>
      <w:r w:rsidR="0076540C">
        <w:rPr>
          <w:b/>
          <w:bCs/>
          <w:sz w:val="32"/>
          <w:szCs w:val="32"/>
          <w:lang w:val="en-IN"/>
        </w:rPr>
        <w:t xml:space="preserve"> </w:t>
      </w:r>
      <w:r w:rsidR="00C95535">
        <w:rPr>
          <w:color w:val="000000"/>
        </w:rPr>
        <w:t>(NHS England, 2023d)</w:t>
      </w:r>
    </w:p>
    <w:p w14:paraId="0D5CBFE7" w14:textId="77777777" w:rsidR="00EE0787" w:rsidRPr="0076540C" w:rsidRDefault="00EE0787" w:rsidP="0076540C">
      <w:pPr>
        <w:spacing w:line="360" w:lineRule="auto"/>
        <w:jc w:val="both"/>
        <w:rPr>
          <w:lang w:val="en-IN"/>
        </w:rPr>
      </w:pPr>
    </w:p>
    <w:tbl>
      <w:tblPr>
        <w:tblStyle w:val="TableGrid"/>
        <w:tblW w:w="8438" w:type="dxa"/>
        <w:tblLook w:val="04A0" w:firstRow="1" w:lastRow="0" w:firstColumn="1" w:lastColumn="0" w:noHBand="0" w:noVBand="1"/>
      </w:tblPr>
      <w:tblGrid>
        <w:gridCol w:w="1760"/>
        <w:gridCol w:w="3152"/>
        <w:gridCol w:w="3526"/>
      </w:tblGrid>
      <w:tr w:rsidR="00B75ADD" w14:paraId="719F98D5" w14:textId="77777777" w:rsidTr="00B75ADD">
        <w:trPr>
          <w:trHeight w:val="480"/>
        </w:trPr>
        <w:tc>
          <w:tcPr>
            <w:tcW w:w="0" w:type="auto"/>
            <w:hideMark/>
          </w:tcPr>
          <w:p w14:paraId="1B7D0610" w14:textId="77777777" w:rsidR="00B75ADD" w:rsidRDefault="00B75ADD">
            <w:pPr>
              <w:jc w:val="center"/>
              <w:rPr>
                <w:b/>
                <w:bCs/>
                <w:color w:val="000000"/>
              </w:rPr>
            </w:pPr>
            <w:r>
              <w:rPr>
                <w:b/>
                <w:bCs/>
                <w:color w:val="000000"/>
              </w:rPr>
              <w:t>Approach</w:t>
            </w:r>
          </w:p>
        </w:tc>
        <w:tc>
          <w:tcPr>
            <w:tcW w:w="0" w:type="auto"/>
            <w:hideMark/>
          </w:tcPr>
          <w:p w14:paraId="265E4AD0" w14:textId="77777777" w:rsidR="00B75ADD" w:rsidRDefault="00B75ADD">
            <w:pPr>
              <w:jc w:val="center"/>
              <w:rPr>
                <w:b/>
                <w:bCs/>
                <w:color w:val="000000"/>
              </w:rPr>
            </w:pPr>
            <w:r>
              <w:rPr>
                <w:b/>
                <w:bCs/>
                <w:color w:val="000000"/>
              </w:rPr>
              <w:t>Intervention</w:t>
            </w:r>
          </w:p>
        </w:tc>
        <w:tc>
          <w:tcPr>
            <w:tcW w:w="0" w:type="auto"/>
            <w:hideMark/>
          </w:tcPr>
          <w:p w14:paraId="0A68CD7B" w14:textId="77777777" w:rsidR="00B75ADD" w:rsidRDefault="00B75ADD">
            <w:pPr>
              <w:jc w:val="center"/>
              <w:rPr>
                <w:b/>
                <w:bCs/>
                <w:color w:val="000000"/>
              </w:rPr>
            </w:pPr>
            <w:r>
              <w:rPr>
                <w:b/>
                <w:bCs/>
                <w:color w:val="000000"/>
              </w:rPr>
              <w:t>Outcome</w:t>
            </w:r>
          </w:p>
        </w:tc>
      </w:tr>
      <w:tr w:rsidR="00B75ADD" w14:paraId="0D7BCFA0" w14:textId="77777777" w:rsidTr="00B75ADD">
        <w:trPr>
          <w:trHeight w:val="480"/>
        </w:trPr>
        <w:tc>
          <w:tcPr>
            <w:tcW w:w="0" w:type="auto"/>
            <w:hideMark/>
          </w:tcPr>
          <w:p w14:paraId="12B72994" w14:textId="77777777" w:rsidR="00B75ADD" w:rsidRDefault="00B75ADD">
            <w:pPr>
              <w:rPr>
                <w:color w:val="000000"/>
              </w:rPr>
            </w:pPr>
            <w:r>
              <w:rPr>
                <w:color w:val="000000"/>
              </w:rPr>
              <w:t>Prevention</w:t>
            </w:r>
          </w:p>
        </w:tc>
        <w:tc>
          <w:tcPr>
            <w:tcW w:w="0" w:type="auto"/>
            <w:hideMark/>
          </w:tcPr>
          <w:p w14:paraId="17C2D288" w14:textId="77777777" w:rsidR="00B75ADD" w:rsidRDefault="00B75ADD">
            <w:pPr>
              <w:rPr>
                <w:color w:val="000000"/>
              </w:rPr>
            </w:pPr>
            <w:r>
              <w:rPr>
                <w:color w:val="000000"/>
              </w:rPr>
              <w:t>Lockdown, mask use</w:t>
            </w:r>
          </w:p>
        </w:tc>
        <w:tc>
          <w:tcPr>
            <w:tcW w:w="0" w:type="auto"/>
            <w:hideMark/>
          </w:tcPr>
          <w:p w14:paraId="281374FD" w14:textId="77777777" w:rsidR="00B75ADD" w:rsidRDefault="00B75ADD">
            <w:pPr>
              <w:rPr>
                <w:color w:val="000000"/>
              </w:rPr>
            </w:pPr>
            <w:r>
              <w:rPr>
                <w:color w:val="000000"/>
              </w:rPr>
              <w:t>Reduced transmission</w:t>
            </w:r>
          </w:p>
        </w:tc>
      </w:tr>
      <w:tr w:rsidR="00B75ADD" w14:paraId="7E6BDDA1" w14:textId="77777777" w:rsidTr="00B75ADD">
        <w:trPr>
          <w:trHeight w:val="480"/>
        </w:trPr>
        <w:tc>
          <w:tcPr>
            <w:tcW w:w="0" w:type="auto"/>
            <w:hideMark/>
          </w:tcPr>
          <w:p w14:paraId="61D8EC10" w14:textId="77777777" w:rsidR="00B75ADD" w:rsidRDefault="00B75ADD">
            <w:pPr>
              <w:rPr>
                <w:color w:val="000000"/>
              </w:rPr>
            </w:pPr>
            <w:r>
              <w:rPr>
                <w:color w:val="000000"/>
              </w:rPr>
              <w:t>Protection</w:t>
            </w:r>
          </w:p>
        </w:tc>
        <w:tc>
          <w:tcPr>
            <w:tcW w:w="0" w:type="auto"/>
            <w:hideMark/>
          </w:tcPr>
          <w:p w14:paraId="59E511D4" w14:textId="77777777" w:rsidR="00B75ADD" w:rsidRDefault="00B75ADD">
            <w:pPr>
              <w:rPr>
                <w:color w:val="000000"/>
              </w:rPr>
            </w:pPr>
            <w:r>
              <w:rPr>
                <w:color w:val="000000"/>
              </w:rPr>
              <w:t>Vaccination</w:t>
            </w:r>
          </w:p>
        </w:tc>
        <w:tc>
          <w:tcPr>
            <w:tcW w:w="0" w:type="auto"/>
            <w:hideMark/>
          </w:tcPr>
          <w:p w14:paraId="43E9E10F" w14:textId="77777777" w:rsidR="00B75ADD" w:rsidRDefault="00B75ADD">
            <w:pPr>
              <w:rPr>
                <w:color w:val="000000"/>
              </w:rPr>
            </w:pPr>
            <w:r>
              <w:rPr>
                <w:color w:val="000000"/>
              </w:rPr>
              <w:t>Reduced hospitalisation</w:t>
            </w:r>
          </w:p>
        </w:tc>
      </w:tr>
      <w:tr w:rsidR="00B75ADD" w14:paraId="21687947" w14:textId="77777777" w:rsidTr="00B75ADD">
        <w:trPr>
          <w:trHeight w:val="480"/>
        </w:trPr>
        <w:tc>
          <w:tcPr>
            <w:tcW w:w="0" w:type="auto"/>
            <w:hideMark/>
          </w:tcPr>
          <w:p w14:paraId="0B2259E2" w14:textId="77777777" w:rsidR="00B75ADD" w:rsidRDefault="00B75ADD">
            <w:pPr>
              <w:rPr>
                <w:color w:val="000000"/>
              </w:rPr>
            </w:pPr>
            <w:r>
              <w:rPr>
                <w:color w:val="000000"/>
              </w:rPr>
              <w:t>Promotion</w:t>
            </w:r>
          </w:p>
        </w:tc>
        <w:tc>
          <w:tcPr>
            <w:tcW w:w="0" w:type="auto"/>
            <w:hideMark/>
          </w:tcPr>
          <w:p w14:paraId="3FDEF843" w14:textId="77777777" w:rsidR="00B75ADD" w:rsidRDefault="00B75ADD">
            <w:pPr>
              <w:rPr>
                <w:color w:val="000000"/>
              </w:rPr>
            </w:pPr>
            <w:r>
              <w:rPr>
                <w:color w:val="000000"/>
              </w:rPr>
              <w:t>Public campaigns</w:t>
            </w:r>
          </w:p>
        </w:tc>
        <w:tc>
          <w:tcPr>
            <w:tcW w:w="0" w:type="auto"/>
            <w:hideMark/>
          </w:tcPr>
          <w:p w14:paraId="67E6EEEA" w14:textId="77777777" w:rsidR="00B75ADD" w:rsidRDefault="00B75ADD">
            <w:pPr>
              <w:rPr>
                <w:color w:val="000000"/>
              </w:rPr>
            </w:pPr>
            <w:r>
              <w:rPr>
                <w:color w:val="000000"/>
              </w:rPr>
              <w:t>Behaviour change</w:t>
            </w:r>
          </w:p>
        </w:tc>
      </w:tr>
    </w:tbl>
    <w:p w14:paraId="2D16C3E4" w14:textId="0EF7DE2E" w:rsidR="00B75ADD" w:rsidRDefault="0076540C" w:rsidP="0076540C">
      <w:pPr>
        <w:spacing w:line="360" w:lineRule="auto"/>
        <w:jc w:val="center"/>
        <w:rPr>
          <w:color w:val="000000"/>
        </w:rPr>
      </w:pPr>
      <w:r w:rsidRPr="0076540C">
        <w:rPr>
          <w:color w:val="000000"/>
        </w:rPr>
        <w:t xml:space="preserve">Table 3: Public Health Measures (3Ps) </w:t>
      </w:r>
      <w:r w:rsidR="00C95535">
        <w:rPr>
          <w:color w:val="000000"/>
        </w:rPr>
        <w:t>(NHS England, 2023d)</w:t>
      </w:r>
    </w:p>
    <w:p w14:paraId="0454D178" w14:textId="61312267" w:rsidR="00B219EF" w:rsidRDefault="00F23345" w:rsidP="00F23345">
      <w:pPr>
        <w:spacing w:before="100" w:beforeAutospacing="1" w:after="100" w:afterAutospacing="1"/>
        <w:outlineLvl w:val="2"/>
        <w:rPr>
          <w:b/>
          <w:bCs/>
          <w:color w:val="000000"/>
          <w:sz w:val="27"/>
          <w:szCs w:val="27"/>
        </w:rPr>
      </w:pPr>
      <w:r w:rsidRPr="008426D0">
        <w:rPr>
          <w:b/>
          <w:bCs/>
          <w:color w:val="000000"/>
          <w:sz w:val="27"/>
          <w:szCs w:val="27"/>
        </w:rPr>
        <w:t>Protection</w:t>
      </w:r>
    </w:p>
    <w:p w14:paraId="1C7EDA07" w14:textId="1A9EB7D5" w:rsidR="00F23345" w:rsidRPr="00F23345" w:rsidRDefault="00F23345" w:rsidP="00F23345">
      <w:pPr>
        <w:spacing w:before="100" w:beforeAutospacing="1" w:after="100" w:afterAutospacing="1"/>
        <w:jc w:val="both"/>
        <w:outlineLvl w:val="2"/>
        <w:rPr>
          <w:color w:val="000000"/>
        </w:rPr>
      </w:pPr>
      <w:r w:rsidRPr="00F23345">
        <w:rPr>
          <w:color w:val="000000"/>
        </w:rPr>
        <w:t>The biggest protective measure implemented was that of the national vaccine campaign. The vaccination campaign conducted by the NHS prioritized vulnerable categories of people</w:t>
      </w:r>
      <w:r>
        <w:rPr>
          <w:color w:val="000000"/>
        </w:rPr>
        <w:t>,</w:t>
      </w:r>
      <w:r w:rsidRPr="00F23345">
        <w:rPr>
          <w:color w:val="000000"/>
        </w:rPr>
        <w:t xml:space="preserve"> like the elderly, healthcare workers, and patients with co-morbid conditions</w:t>
      </w:r>
      <w:r w:rsidR="00C95535">
        <w:rPr>
          <w:color w:val="000000"/>
        </w:rPr>
        <w:t xml:space="preserve"> (NHS England, 2023d)</w:t>
      </w:r>
    </w:p>
    <w:p w14:paraId="4766A987" w14:textId="77777777" w:rsidR="00F23345" w:rsidRPr="008426D0" w:rsidRDefault="00F23345" w:rsidP="00F23345">
      <w:pPr>
        <w:spacing w:before="100" w:beforeAutospacing="1" w:after="100" w:afterAutospacing="1"/>
        <w:outlineLvl w:val="2"/>
        <w:rPr>
          <w:b/>
          <w:bCs/>
          <w:color w:val="000000"/>
          <w:sz w:val="27"/>
          <w:szCs w:val="27"/>
        </w:rPr>
      </w:pPr>
      <w:r w:rsidRPr="008426D0">
        <w:rPr>
          <w:b/>
          <w:bCs/>
          <w:color w:val="000000"/>
          <w:sz w:val="27"/>
          <w:szCs w:val="27"/>
        </w:rPr>
        <w:t>Prevention</w:t>
      </w:r>
    </w:p>
    <w:p w14:paraId="6126F49B" w14:textId="56B60A8F" w:rsidR="00F23345" w:rsidRPr="00F23345" w:rsidRDefault="00F23345" w:rsidP="00F23345">
      <w:pPr>
        <w:spacing w:before="100" w:beforeAutospacing="1" w:after="100" w:afterAutospacing="1"/>
        <w:jc w:val="both"/>
        <w:outlineLvl w:val="2"/>
        <w:rPr>
          <w:color w:val="000000"/>
        </w:rPr>
      </w:pPr>
      <w:r w:rsidRPr="00F23345">
        <w:rPr>
          <w:color w:val="000000"/>
        </w:rPr>
        <w:t xml:space="preserve">Preventative measures comprised lockdowns, social distancing policies, mask-wearing, and quarantine recommendations. Mass testing through PCR and lateral flow tests aided early identification, while rapid isolation of positive cases limited the spread of transmission chains </w:t>
      </w:r>
      <w:r w:rsidR="004D3B93">
        <w:rPr>
          <w:color w:val="000000"/>
        </w:rPr>
        <w:t>(UKHSA, 2022)</w:t>
      </w:r>
    </w:p>
    <w:p w14:paraId="4D93A84F" w14:textId="77777777" w:rsidR="00F23345" w:rsidRPr="008426D0" w:rsidRDefault="00F23345" w:rsidP="00F23345">
      <w:pPr>
        <w:spacing w:before="100" w:beforeAutospacing="1" w:after="100" w:afterAutospacing="1"/>
        <w:outlineLvl w:val="2"/>
        <w:rPr>
          <w:b/>
          <w:bCs/>
          <w:color w:val="000000"/>
          <w:sz w:val="27"/>
          <w:szCs w:val="27"/>
        </w:rPr>
      </w:pPr>
      <w:r w:rsidRPr="008426D0">
        <w:rPr>
          <w:b/>
          <w:bCs/>
          <w:color w:val="000000"/>
          <w:sz w:val="27"/>
          <w:szCs w:val="27"/>
        </w:rPr>
        <w:t>Promotion</w:t>
      </w:r>
    </w:p>
    <w:p w14:paraId="77C68CBE" w14:textId="56130EA0" w:rsidR="00F23345" w:rsidRPr="00F23345" w:rsidRDefault="00F23345" w:rsidP="00F23345">
      <w:pPr>
        <w:spacing w:before="100" w:beforeAutospacing="1" w:after="100" w:afterAutospacing="1"/>
        <w:jc w:val="both"/>
        <w:outlineLvl w:val="2"/>
        <w:rPr>
          <w:color w:val="000000"/>
        </w:rPr>
      </w:pPr>
      <w:r w:rsidRPr="00F23345">
        <w:rPr>
          <w:color w:val="000000"/>
        </w:rPr>
        <w:t>Public Health education campaigns like "Stay at Home, Protect the NHS and Save Lives" were meant to alter behavio</w:t>
      </w:r>
      <w:r>
        <w:rPr>
          <w:color w:val="000000"/>
        </w:rPr>
        <w:t>u</w:t>
      </w:r>
      <w:r w:rsidRPr="00F23345">
        <w:rPr>
          <w:color w:val="000000"/>
        </w:rPr>
        <w:t>r and enhance adherence to public health recommendations. Hygiene, immunization, and risk education were also included in health education efforts, which helped boost the effectiveness of the public response (WHO, 2023).</w:t>
      </w:r>
    </w:p>
    <w:p w14:paraId="3763407B" w14:textId="77777777" w:rsidR="00C8069A" w:rsidRDefault="00C8069A" w:rsidP="001F204F">
      <w:pPr>
        <w:spacing w:line="360" w:lineRule="auto"/>
        <w:rPr>
          <w:lang w:val="en-IN"/>
        </w:rPr>
      </w:pPr>
    </w:p>
    <w:p w14:paraId="79E7759E" w14:textId="77777777" w:rsidR="0076540C" w:rsidRDefault="0076540C" w:rsidP="0076540C">
      <w:pPr>
        <w:pStyle w:val="ListParagraph"/>
        <w:spacing w:line="360" w:lineRule="auto"/>
        <w:rPr>
          <w:rStyle w:val="apple-converted-space"/>
          <w:rFonts w:eastAsiaTheme="majorEastAsia"/>
          <w:b/>
          <w:bCs/>
          <w:color w:val="000000"/>
          <w:sz w:val="32"/>
          <w:szCs w:val="32"/>
        </w:rPr>
      </w:pPr>
      <w:r w:rsidRPr="00E050CA">
        <w:rPr>
          <w:b/>
          <w:bCs/>
          <w:color w:val="000000"/>
          <w:sz w:val="32"/>
          <w:szCs w:val="32"/>
        </w:rPr>
        <w:t>Epidemiological Surveillance and Monitoring</w:t>
      </w:r>
      <w:r w:rsidRPr="00E050CA">
        <w:rPr>
          <w:rStyle w:val="apple-converted-space"/>
          <w:rFonts w:eastAsiaTheme="majorEastAsia"/>
          <w:b/>
          <w:bCs/>
          <w:color w:val="000000"/>
          <w:sz w:val="32"/>
          <w:szCs w:val="32"/>
        </w:rPr>
        <w:t> </w:t>
      </w:r>
    </w:p>
    <w:p w14:paraId="604CC37E" w14:textId="77777777" w:rsidR="00B219EF" w:rsidRPr="008426D0" w:rsidRDefault="00B219EF" w:rsidP="00F23345">
      <w:pPr>
        <w:spacing w:before="100" w:beforeAutospacing="1" w:after="100" w:afterAutospacing="1"/>
        <w:jc w:val="both"/>
        <w:rPr>
          <w:color w:val="000000"/>
        </w:rPr>
      </w:pPr>
      <w:r w:rsidRPr="008426D0">
        <w:rPr>
          <w:color w:val="000000"/>
        </w:rPr>
        <w:t>COVID-19 surveillance in the UK relied on multiple integrated systems. The UK Health Security Agency (UKHSA) provided real-time monitoring of infections, hospital admissions, and variant tracking. This allowed rapid identification of outbreaks and informed local public health responses (UKHSA, 2023).</w:t>
      </w:r>
    </w:p>
    <w:p w14:paraId="7BF495E8" w14:textId="5D58CAFE" w:rsidR="00B219EF" w:rsidRPr="008426D0" w:rsidRDefault="00B219EF" w:rsidP="00F23345">
      <w:pPr>
        <w:spacing w:before="100" w:beforeAutospacing="1" w:after="100" w:afterAutospacing="1"/>
        <w:jc w:val="both"/>
        <w:rPr>
          <w:color w:val="000000"/>
        </w:rPr>
      </w:pPr>
      <w:r w:rsidRPr="008426D0">
        <w:rPr>
          <w:color w:val="000000"/>
        </w:rPr>
        <w:lastRenderedPageBreak/>
        <w:t>The Office for National Statistics (ONS) provided mortality surveillance and excess death analysis, which was essential for understanding the true impact of COVID-19 beyond confirmed cases. NHS testing systems and GP reporting also contributed to case detection and healthcare monitoring</w:t>
      </w:r>
      <w:r w:rsidR="00C95535">
        <w:rPr>
          <w:color w:val="000000"/>
        </w:rPr>
        <w:t xml:space="preserve"> (ONS, 2020).</w:t>
      </w:r>
    </w:p>
    <w:p w14:paraId="0096DFF5" w14:textId="7DB9BFC1" w:rsidR="0076540C" w:rsidRPr="00F23345" w:rsidRDefault="00B219EF" w:rsidP="00F23345">
      <w:pPr>
        <w:spacing w:before="100" w:beforeAutospacing="1" w:after="100" w:afterAutospacing="1"/>
        <w:jc w:val="both"/>
        <w:rPr>
          <w:rStyle w:val="apple-converted-space"/>
          <w:color w:val="000000"/>
        </w:rPr>
      </w:pPr>
      <w:r w:rsidRPr="008426D0">
        <w:rPr>
          <w:color w:val="000000"/>
        </w:rPr>
        <w:t>Additionally, wastewater surveillance became an innovative epidemiological tool that detected viral presence in communities before clinical cases increased. This early warning system improved preparedness and response capacity in high-risk areas such as London boroughs</w:t>
      </w:r>
      <w:r w:rsidR="00C95535">
        <w:rPr>
          <w:color w:val="000000"/>
        </w:rPr>
        <w:t xml:space="preserve"> (Chen et al., 2024).</w:t>
      </w:r>
    </w:p>
    <w:p w14:paraId="683EB187" w14:textId="77777777" w:rsidR="0076540C" w:rsidRPr="00E050CA" w:rsidRDefault="0076540C" w:rsidP="0076540C">
      <w:pPr>
        <w:pStyle w:val="ListParagraph"/>
        <w:spacing w:line="360" w:lineRule="auto"/>
        <w:rPr>
          <w:b/>
          <w:bCs/>
          <w:sz w:val="32"/>
          <w:szCs w:val="32"/>
          <w:lang w:val="en-IN"/>
        </w:rPr>
      </w:pPr>
      <w:r w:rsidRPr="00E050CA">
        <w:rPr>
          <w:b/>
          <w:bCs/>
          <w:color w:val="000000"/>
          <w:sz w:val="32"/>
          <w:szCs w:val="32"/>
        </w:rPr>
        <w:t>Health Needs Assessment in Lambeth</w:t>
      </w:r>
    </w:p>
    <w:p w14:paraId="445E3080" w14:textId="318E8B42" w:rsidR="0076540C" w:rsidRDefault="0076540C" w:rsidP="00F23345">
      <w:pPr>
        <w:spacing w:line="360" w:lineRule="auto"/>
        <w:jc w:val="both"/>
        <w:rPr>
          <w:rStyle w:val="apple-converted-space"/>
          <w:lang w:val="en-IN"/>
        </w:rPr>
      </w:pPr>
      <w:r w:rsidRPr="0076540C">
        <w:rPr>
          <w:rStyle w:val="apple-converted-space"/>
          <w:lang w:val="en-IN"/>
        </w:rPr>
        <w:t>The Health Needs Assessment highlighted the most vulnerable people</w:t>
      </w:r>
      <w:r>
        <w:rPr>
          <w:rStyle w:val="apple-converted-space"/>
          <w:lang w:val="en-IN"/>
        </w:rPr>
        <w:t>,</w:t>
      </w:r>
      <w:r w:rsidRPr="0076540C">
        <w:rPr>
          <w:rStyle w:val="apple-converted-space"/>
          <w:lang w:val="en-IN"/>
        </w:rPr>
        <w:t xml:space="preserve"> who included the elderly, ethnic minorities, and those with chronic diseases. They had high incidences of infections and fatalities. The Lambeth population in disadvantaged neighbo</w:t>
      </w:r>
      <w:r>
        <w:rPr>
          <w:rStyle w:val="apple-converted-space"/>
          <w:lang w:val="en-IN"/>
        </w:rPr>
        <w:t>u</w:t>
      </w:r>
      <w:r w:rsidRPr="0076540C">
        <w:rPr>
          <w:rStyle w:val="apple-converted-space"/>
          <w:lang w:val="en-IN"/>
        </w:rPr>
        <w:t>rhoods was at a greater risk because of overcrowding and occupation</w:t>
      </w:r>
      <w:r>
        <w:rPr>
          <w:rStyle w:val="apple-converted-space"/>
          <w:lang w:val="en-IN"/>
        </w:rPr>
        <w:t>al</w:t>
      </w:r>
      <w:r w:rsidRPr="0076540C">
        <w:rPr>
          <w:rStyle w:val="apple-converted-space"/>
          <w:lang w:val="en-IN"/>
        </w:rPr>
        <w:t xml:space="preserve"> risks. Epidemiology research revealed that people with conditions such as diabetes, obesity, and heart disease suffered the worst effects of the virus. Mental health issues were prevalent due to the lockdown and financial concerns</w:t>
      </w:r>
      <w:r w:rsidR="007C5AD2">
        <w:rPr>
          <w:rStyle w:val="apple-converted-space"/>
          <w:lang w:val="en-IN"/>
        </w:rPr>
        <w:t xml:space="preserve"> </w:t>
      </w:r>
      <w:r w:rsidR="007C5AD2">
        <w:rPr>
          <w:color w:val="000000"/>
        </w:rPr>
        <w:t>(Public Health England, 2020).</w:t>
      </w:r>
    </w:p>
    <w:p w14:paraId="09ECF01F" w14:textId="77777777" w:rsidR="0076540C" w:rsidRDefault="0076540C" w:rsidP="0076540C">
      <w:pPr>
        <w:spacing w:line="360" w:lineRule="auto"/>
        <w:rPr>
          <w:rStyle w:val="apple-converted-space"/>
          <w:lang w:val="en-IN"/>
        </w:rPr>
      </w:pPr>
    </w:p>
    <w:p w14:paraId="431F4588" w14:textId="77777777" w:rsidR="0076540C" w:rsidRPr="00E050CA" w:rsidRDefault="0076540C" w:rsidP="0076540C">
      <w:pPr>
        <w:pStyle w:val="ListParagraph"/>
        <w:spacing w:line="360" w:lineRule="auto"/>
        <w:rPr>
          <w:b/>
          <w:bCs/>
          <w:sz w:val="32"/>
          <w:szCs w:val="32"/>
          <w:lang w:val="en-IN"/>
        </w:rPr>
      </w:pPr>
      <w:r w:rsidRPr="00E050CA">
        <w:rPr>
          <w:b/>
          <w:bCs/>
          <w:color w:val="000000"/>
          <w:sz w:val="32"/>
          <w:szCs w:val="32"/>
        </w:rPr>
        <w:t>Public Health Intervention Programme</w:t>
      </w:r>
    </w:p>
    <w:p w14:paraId="6C8804F3" w14:textId="77777777" w:rsidR="00B219EF" w:rsidRPr="00B219EF" w:rsidRDefault="00B219EF" w:rsidP="00B219EF">
      <w:pPr>
        <w:spacing w:line="360" w:lineRule="auto"/>
        <w:jc w:val="both"/>
        <w:rPr>
          <w:rStyle w:val="apple-converted-space"/>
          <w:lang w:val="en-IN"/>
        </w:rPr>
      </w:pPr>
      <w:r w:rsidRPr="00B219EF">
        <w:rPr>
          <w:rStyle w:val="apple-converted-space"/>
          <w:lang w:val="en-IN"/>
        </w:rPr>
        <w:t>The suggested framework for working in the Borough of Lambeth includes:</w:t>
      </w:r>
    </w:p>
    <w:p w14:paraId="3932C288" w14:textId="77777777" w:rsidR="00B219EF" w:rsidRPr="00B219EF" w:rsidRDefault="00B219EF" w:rsidP="00B219EF">
      <w:pPr>
        <w:spacing w:line="360" w:lineRule="auto"/>
        <w:jc w:val="both"/>
        <w:rPr>
          <w:rStyle w:val="apple-converted-space"/>
          <w:lang w:val="en-IN"/>
        </w:rPr>
      </w:pPr>
      <w:r w:rsidRPr="00B219EF">
        <w:rPr>
          <w:rStyle w:val="apple-converted-space"/>
          <w:lang w:val="en-IN"/>
        </w:rPr>
        <w:t>- Providing community vaccination facilities</w:t>
      </w:r>
    </w:p>
    <w:p w14:paraId="6B5DB697" w14:textId="77777777" w:rsidR="00B219EF" w:rsidRPr="00B219EF" w:rsidRDefault="00B219EF" w:rsidP="00B219EF">
      <w:pPr>
        <w:spacing w:line="360" w:lineRule="auto"/>
        <w:jc w:val="both"/>
        <w:rPr>
          <w:rStyle w:val="apple-converted-space"/>
          <w:lang w:val="en-IN"/>
        </w:rPr>
      </w:pPr>
      <w:r w:rsidRPr="00B219EF">
        <w:rPr>
          <w:rStyle w:val="apple-converted-space"/>
          <w:lang w:val="en-IN"/>
        </w:rPr>
        <w:t>- Directly providing mobile vaccine testing facilities</w:t>
      </w:r>
    </w:p>
    <w:p w14:paraId="0532C13C" w14:textId="77777777" w:rsidR="00B219EF" w:rsidRPr="00B219EF" w:rsidRDefault="00B219EF" w:rsidP="00B219EF">
      <w:pPr>
        <w:spacing w:line="360" w:lineRule="auto"/>
        <w:jc w:val="both"/>
        <w:rPr>
          <w:rStyle w:val="apple-converted-space"/>
          <w:lang w:val="en-IN"/>
        </w:rPr>
      </w:pPr>
      <w:r w:rsidRPr="00B219EF">
        <w:rPr>
          <w:rStyle w:val="apple-converted-space"/>
          <w:lang w:val="en-IN"/>
        </w:rPr>
        <w:t>- Developing a multilingual public health campaign</w:t>
      </w:r>
    </w:p>
    <w:p w14:paraId="072BD060" w14:textId="77777777" w:rsidR="00B219EF" w:rsidRPr="00B219EF" w:rsidRDefault="00B219EF" w:rsidP="00B219EF">
      <w:pPr>
        <w:spacing w:line="360" w:lineRule="auto"/>
        <w:jc w:val="both"/>
        <w:rPr>
          <w:rStyle w:val="apple-converted-space"/>
          <w:lang w:val="en-IN"/>
        </w:rPr>
      </w:pPr>
      <w:r w:rsidRPr="00B219EF">
        <w:rPr>
          <w:rStyle w:val="apple-converted-space"/>
          <w:lang w:val="en-IN"/>
        </w:rPr>
        <w:t>- Offering assistance with self-isolation, etc.</w:t>
      </w:r>
    </w:p>
    <w:p w14:paraId="65D28710" w14:textId="5906246B" w:rsidR="0076540C" w:rsidRDefault="00B219EF" w:rsidP="00B219EF">
      <w:pPr>
        <w:spacing w:line="360" w:lineRule="auto"/>
        <w:jc w:val="both"/>
        <w:rPr>
          <w:rStyle w:val="apple-converted-space"/>
          <w:lang w:val="en-IN"/>
        </w:rPr>
      </w:pPr>
      <w:r w:rsidRPr="00B219EF">
        <w:rPr>
          <w:rStyle w:val="apple-converted-space"/>
          <w:lang w:val="en-IN"/>
        </w:rPr>
        <w:t>A comprehensive health awareness campaign aimed at people with socio-economic disadvantages to increase vaccination coverage should be developed. Another approach to assist in reducing the incidence of COVID-19 in community settings would be to increase the circulation of air (i.e. ventilation) in homes and workplaces. Individuals who are required to self-isolate should also have access to financial assistance</w:t>
      </w:r>
      <w:r w:rsidR="0002669D">
        <w:rPr>
          <w:rStyle w:val="apple-converted-space"/>
          <w:lang w:val="en-IN"/>
        </w:rPr>
        <w:t xml:space="preserve"> </w:t>
      </w:r>
      <w:r w:rsidR="0048189E">
        <w:rPr>
          <w:color w:val="000000"/>
        </w:rPr>
        <w:t>(Finch and Tinson, 2022)</w:t>
      </w:r>
    </w:p>
    <w:p w14:paraId="5B39B8A5" w14:textId="77777777" w:rsidR="00B219EF" w:rsidRDefault="00B219EF" w:rsidP="00B219EF">
      <w:pPr>
        <w:spacing w:line="360" w:lineRule="auto"/>
        <w:jc w:val="both"/>
        <w:rPr>
          <w:rStyle w:val="apple-converted-space"/>
          <w:lang w:val="en-IN"/>
        </w:rPr>
      </w:pPr>
    </w:p>
    <w:p w14:paraId="30065615" w14:textId="77777777" w:rsidR="005801E9" w:rsidRPr="00E050CA" w:rsidRDefault="005801E9" w:rsidP="005801E9">
      <w:pPr>
        <w:pStyle w:val="ListParagraph"/>
        <w:spacing w:line="360" w:lineRule="auto"/>
        <w:rPr>
          <w:rStyle w:val="apple-converted-space"/>
          <w:b/>
          <w:bCs/>
          <w:sz w:val="32"/>
          <w:szCs w:val="32"/>
          <w:lang w:val="en-IN"/>
        </w:rPr>
      </w:pPr>
      <w:r w:rsidRPr="00E050CA">
        <w:rPr>
          <w:b/>
          <w:bCs/>
          <w:color w:val="000000"/>
          <w:sz w:val="32"/>
          <w:szCs w:val="32"/>
        </w:rPr>
        <w:t>Evaluation of Intervention Effectiveness</w:t>
      </w:r>
      <w:r w:rsidRPr="00E050CA">
        <w:rPr>
          <w:rStyle w:val="apple-converted-space"/>
          <w:rFonts w:eastAsiaTheme="majorEastAsia"/>
          <w:b/>
          <w:bCs/>
          <w:color w:val="000000"/>
          <w:sz w:val="32"/>
          <w:szCs w:val="32"/>
        </w:rPr>
        <w:t> </w:t>
      </w:r>
    </w:p>
    <w:p w14:paraId="50BAE3E5" w14:textId="09D8B9D4" w:rsidR="0076540C" w:rsidRPr="0076540C" w:rsidRDefault="005801E9" w:rsidP="00A7248A">
      <w:pPr>
        <w:spacing w:line="360" w:lineRule="auto"/>
        <w:jc w:val="both"/>
        <w:rPr>
          <w:rStyle w:val="apple-converted-space"/>
          <w:lang w:val="en-IN"/>
        </w:rPr>
      </w:pPr>
      <w:r w:rsidRPr="005801E9">
        <w:rPr>
          <w:rStyle w:val="apple-converted-space"/>
          <w:lang w:val="en-IN"/>
        </w:rPr>
        <w:t xml:space="preserve">Evaluating infection rate, hospital admission, and mortality rate data can help determine the effectiveness of interventions. The rollout of vaccines has reduced the number of people with severe illness and reduced the strain that has been placed upon our healthcare system. The availability of testing programs has also allowed for an increase in the identification of cases. </w:t>
      </w:r>
      <w:r w:rsidRPr="005801E9">
        <w:rPr>
          <w:rStyle w:val="apple-converted-space"/>
          <w:lang w:val="en-IN"/>
        </w:rPr>
        <w:lastRenderedPageBreak/>
        <w:t>However, vaccine uptake has been unequally distributed among various ethnic minority groups. In addition, some of the barriers to vaccine efficacy include vaccine hesitancy and other behavioural factors. The above-mentioned barriers indicate some of the limitations faced when implementing public health interventions</w:t>
      </w:r>
      <w:r w:rsidR="00A7248A">
        <w:rPr>
          <w:rStyle w:val="apple-converted-space"/>
          <w:lang w:val="en-IN"/>
        </w:rPr>
        <w:t xml:space="preserve"> </w:t>
      </w:r>
      <w:r w:rsidR="00A7248A">
        <w:rPr>
          <w:color w:val="000000"/>
        </w:rPr>
        <w:t>(NHS England, 2023c).</w:t>
      </w:r>
    </w:p>
    <w:p w14:paraId="408BAABE" w14:textId="77777777" w:rsidR="00C8069A" w:rsidRDefault="00C8069A" w:rsidP="001F204F">
      <w:pPr>
        <w:spacing w:line="360" w:lineRule="auto"/>
        <w:rPr>
          <w:lang w:val="en-IN"/>
        </w:rPr>
      </w:pPr>
    </w:p>
    <w:p w14:paraId="731F6473" w14:textId="77777777" w:rsidR="005801E9" w:rsidRPr="00E050CA" w:rsidRDefault="005801E9" w:rsidP="005801E9">
      <w:pPr>
        <w:pStyle w:val="ListParagraph"/>
        <w:spacing w:line="360" w:lineRule="auto"/>
        <w:rPr>
          <w:b/>
          <w:bCs/>
          <w:sz w:val="32"/>
          <w:szCs w:val="32"/>
          <w:lang w:val="en-IN"/>
        </w:rPr>
      </w:pPr>
      <w:r w:rsidRPr="00E050CA">
        <w:rPr>
          <w:b/>
          <w:bCs/>
          <w:color w:val="000000"/>
          <w:sz w:val="32"/>
          <w:szCs w:val="32"/>
        </w:rPr>
        <w:t>Public Health Impact and Consequences</w:t>
      </w:r>
    </w:p>
    <w:p w14:paraId="581402F5" w14:textId="7C210E97" w:rsidR="00C8069A" w:rsidRDefault="005801E9" w:rsidP="00257AD2">
      <w:pPr>
        <w:spacing w:line="360" w:lineRule="auto"/>
        <w:jc w:val="both"/>
        <w:rPr>
          <w:lang w:val="en-IN"/>
        </w:rPr>
      </w:pPr>
      <w:r w:rsidRPr="005801E9">
        <w:rPr>
          <w:lang w:val="en-IN"/>
        </w:rPr>
        <w:t xml:space="preserve">The short-term impact of COVID-19 has led to increased demand </w:t>
      </w:r>
      <w:r w:rsidR="00706017">
        <w:rPr>
          <w:lang w:val="en-IN"/>
        </w:rPr>
        <w:t>for</w:t>
      </w:r>
      <w:r w:rsidRPr="005801E9">
        <w:rPr>
          <w:lang w:val="en-IN"/>
        </w:rPr>
        <w:t xml:space="preserve"> healthcare services, as well as higher mortality rates. In the long-term, the continued effects of COVID-19 will include</w:t>
      </w:r>
      <w:r w:rsidR="00706017">
        <w:rPr>
          <w:lang w:val="en-IN"/>
        </w:rPr>
        <w:t>:</w:t>
      </w:r>
      <w:r w:rsidRPr="005801E9">
        <w:rPr>
          <w:lang w:val="en-IN"/>
        </w:rPr>
        <w:t xml:space="preserve"> long COVID, increased wait times for treatment of non-COVID conditions, mental health issues and economic consequences like unemployment and poverty. Throughout this time, vulnerable populations in Lambeth will experience far worse than the general population</w:t>
      </w:r>
      <w:r w:rsidR="00125AD2">
        <w:rPr>
          <w:lang w:val="en-IN"/>
        </w:rPr>
        <w:t xml:space="preserve"> </w:t>
      </w:r>
      <w:r w:rsidR="00125AD2">
        <w:rPr>
          <w:color w:val="000000"/>
        </w:rPr>
        <w:t>(The King’s Fund, 2021)</w:t>
      </w:r>
      <w:r w:rsidR="00A7248A">
        <w:rPr>
          <w:color w:val="000000"/>
        </w:rPr>
        <w:t>.</w:t>
      </w:r>
    </w:p>
    <w:p w14:paraId="43C0C680" w14:textId="77777777" w:rsidR="00C8069A" w:rsidRDefault="00C8069A" w:rsidP="001F204F">
      <w:pPr>
        <w:spacing w:line="360" w:lineRule="auto"/>
        <w:rPr>
          <w:lang w:val="en-IN"/>
        </w:rPr>
      </w:pPr>
    </w:p>
    <w:p w14:paraId="3B942BEC" w14:textId="3E65C078" w:rsidR="005801E9" w:rsidRPr="00E050CA" w:rsidRDefault="005801E9" w:rsidP="005801E9">
      <w:pPr>
        <w:pStyle w:val="ListParagraph"/>
        <w:spacing w:line="360" w:lineRule="auto"/>
        <w:rPr>
          <w:b/>
          <w:bCs/>
          <w:sz w:val="32"/>
          <w:szCs w:val="32"/>
          <w:lang w:val="en-IN"/>
        </w:rPr>
      </w:pPr>
      <w:r w:rsidRPr="00E050CA">
        <w:rPr>
          <w:b/>
          <w:bCs/>
          <w:color w:val="000000"/>
          <w:sz w:val="32"/>
          <w:szCs w:val="32"/>
        </w:rPr>
        <w:t xml:space="preserve">Strengths and Weaknesses of </w:t>
      </w:r>
      <w:r>
        <w:rPr>
          <w:b/>
          <w:bCs/>
          <w:color w:val="000000"/>
          <w:sz w:val="32"/>
          <w:szCs w:val="32"/>
        </w:rPr>
        <w:t xml:space="preserve">the </w:t>
      </w:r>
      <w:r w:rsidRPr="00E050CA">
        <w:rPr>
          <w:b/>
          <w:bCs/>
          <w:color w:val="000000"/>
          <w:sz w:val="32"/>
          <w:szCs w:val="32"/>
        </w:rPr>
        <w:t>Epidemiological Approach</w:t>
      </w:r>
    </w:p>
    <w:p w14:paraId="2EC50DF7" w14:textId="6D2F46DC" w:rsidR="00C8069A" w:rsidRDefault="00C447AB" w:rsidP="00257AD2">
      <w:pPr>
        <w:spacing w:line="360" w:lineRule="auto"/>
        <w:jc w:val="both"/>
        <w:rPr>
          <w:lang w:val="en-IN"/>
        </w:rPr>
      </w:pPr>
      <w:r w:rsidRPr="00C447AB">
        <w:rPr>
          <w:lang w:val="en-IN"/>
        </w:rPr>
        <w:t>The epidemiological accentuates in surveillance systems that keep track of trends and respond quickly to disease. Despite some limitations</w:t>
      </w:r>
      <w:r w:rsidR="00706017">
        <w:rPr>
          <w:lang w:val="en-IN"/>
        </w:rPr>
        <w:t>,</w:t>
      </w:r>
      <w:r w:rsidRPr="00C447AB">
        <w:rPr>
          <w:lang w:val="en-IN"/>
        </w:rPr>
        <w:t xml:space="preserve"> among them case underreporting and limited access to testing, the epidemiological methods provide public health planners with a critical means of providing support for their processes. In addition, some social determinants may be difficult to accurately measure. Nevertheless, epidemiology is critical to use as a guide for public health planning</w:t>
      </w:r>
      <w:r w:rsidR="00257AD2">
        <w:rPr>
          <w:lang w:val="en-IN"/>
        </w:rPr>
        <w:t xml:space="preserve"> </w:t>
      </w:r>
      <w:r w:rsidR="00257AD2">
        <w:rPr>
          <w:color w:val="000000"/>
        </w:rPr>
        <w:t>(Public Health England, 2017).</w:t>
      </w:r>
    </w:p>
    <w:p w14:paraId="49B467C4" w14:textId="2D3EBAEF" w:rsidR="00C447AB" w:rsidRDefault="00C447AB" w:rsidP="00C447AB">
      <w:pPr>
        <w:pStyle w:val="ListParagraph"/>
        <w:spacing w:line="360" w:lineRule="auto"/>
        <w:rPr>
          <w:b/>
          <w:bCs/>
          <w:color w:val="000000"/>
          <w:sz w:val="32"/>
          <w:szCs w:val="32"/>
        </w:rPr>
      </w:pPr>
    </w:p>
    <w:p w14:paraId="5A9634CB" w14:textId="77777777" w:rsidR="00C447AB" w:rsidRDefault="00C447AB" w:rsidP="00C447AB">
      <w:pPr>
        <w:pStyle w:val="ListParagraph"/>
        <w:spacing w:line="360" w:lineRule="auto"/>
        <w:rPr>
          <w:b/>
          <w:bCs/>
          <w:color w:val="000000"/>
          <w:sz w:val="32"/>
          <w:szCs w:val="32"/>
        </w:rPr>
      </w:pPr>
      <w:r w:rsidRPr="00E050CA">
        <w:rPr>
          <w:b/>
          <w:bCs/>
          <w:color w:val="000000"/>
          <w:sz w:val="32"/>
          <w:szCs w:val="32"/>
        </w:rPr>
        <w:t>Conclusion</w:t>
      </w:r>
    </w:p>
    <w:p w14:paraId="2723394E" w14:textId="1461B18E" w:rsidR="00C447AB" w:rsidRPr="00C447AB" w:rsidRDefault="007C5AD2" w:rsidP="007C5AD2">
      <w:pPr>
        <w:spacing w:line="360" w:lineRule="auto"/>
        <w:jc w:val="both"/>
        <w:rPr>
          <w:b/>
          <w:bCs/>
          <w:sz w:val="32"/>
          <w:szCs w:val="32"/>
          <w:lang w:val="en-IN"/>
        </w:rPr>
      </w:pPr>
      <w:r w:rsidRPr="007C5AD2">
        <w:rPr>
          <w:color w:val="000000"/>
        </w:rPr>
        <w:t>In Lambeth, COVID-19 demonstrated clear epidemiological inequality, with incidence and mortality rates significantly higher in the most deprived communities due to underlying social inequalities. Evidence shows that deprivation, housing conditions, and occupational exposure contributed to higher risk and worse outcomes in disadvantaged populations (</w:t>
      </w:r>
      <w:r w:rsidRPr="007C5AD2">
        <w:rPr>
          <w:rStyle w:val="whitespace-normal"/>
          <w:rFonts w:eastAsiaTheme="majorEastAsia"/>
          <w:color w:val="000000"/>
        </w:rPr>
        <w:t>Office for National Statistics</w:t>
      </w:r>
      <w:r w:rsidRPr="007C5AD2">
        <w:rPr>
          <w:color w:val="000000"/>
        </w:rPr>
        <w:t xml:space="preserve">, 2021). Public health interventions such as vaccination, testing, and health promotion were implemented to reduce disease burden, alongside surveillance systems that supported monitoring and planning of responses. However, persistent inequalities highlighted the need for targeted public health strategies addressing wider social determinants of health, as these factors continue to shape disease distribution and outcomes </w:t>
      </w:r>
      <w:r>
        <w:rPr>
          <w:color w:val="000000"/>
        </w:rPr>
        <w:t>(Marmot et al., 2021).</w:t>
      </w:r>
    </w:p>
    <w:p w14:paraId="74447B9F" w14:textId="77777777" w:rsidR="007A4453" w:rsidRPr="002A68F3" w:rsidRDefault="007A4453" w:rsidP="002A68F3">
      <w:pPr>
        <w:spacing w:line="360" w:lineRule="auto"/>
        <w:rPr>
          <w:b/>
          <w:bCs/>
          <w:color w:val="000000"/>
          <w:sz w:val="32"/>
          <w:szCs w:val="32"/>
        </w:rPr>
      </w:pPr>
    </w:p>
    <w:p w14:paraId="27692716" w14:textId="5D6E872C" w:rsidR="00A0169F" w:rsidRPr="00475A9B" w:rsidRDefault="00475A9B" w:rsidP="00C8069A">
      <w:pPr>
        <w:pStyle w:val="ListParagraph"/>
        <w:spacing w:line="360" w:lineRule="auto"/>
        <w:rPr>
          <w:b/>
          <w:bCs/>
          <w:sz w:val="32"/>
          <w:szCs w:val="32"/>
          <w:lang w:val="en-IN"/>
        </w:rPr>
      </w:pPr>
      <w:r w:rsidRPr="00475A9B">
        <w:rPr>
          <w:b/>
          <w:bCs/>
          <w:color w:val="000000"/>
          <w:sz w:val="32"/>
          <w:szCs w:val="32"/>
        </w:rPr>
        <w:lastRenderedPageBreak/>
        <w:t>References</w:t>
      </w:r>
    </w:p>
    <w:p w14:paraId="3F24EE2E" w14:textId="77777777" w:rsidR="00EE0787" w:rsidRPr="00096351" w:rsidRDefault="00EE0787" w:rsidP="00EE0787">
      <w:pPr>
        <w:spacing w:after="240" w:line="360" w:lineRule="atLeast"/>
        <w:jc w:val="both"/>
        <w:rPr>
          <w:color w:val="000000"/>
        </w:rPr>
      </w:pPr>
      <w:r w:rsidRPr="00096351">
        <w:rPr>
          <w:color w:val="000000"/>
        </w:rPr>
        <w:t>Baciu, A., Negussie, Y., Geller, A. and Weinstein, J.N. (2019). </w:t>
      </w:r>
      <w:r w:rsidRPr="00096351">
        <w:rPr>
          <w:i/>
          <w:iCs/>
          <w:color w:val="000000"/>
        </w:rPr>
        <w:t>The Root Causes of Health Inequity</w:t>
      </w:r>
      <w:r w:rsidRPr="00096351">
        <w:rPr>
          <w:color w:val="000000"/>
        </w:rPr>
        <w:t>. [online] National Library of Medicine. Available at: https://www.ncbi.nlm.nih.gov/books/NBK425845/.</w:t>
      </w:r>
    </w:p>
    <w:p w14:paraId="06D23DEB" w14:textId="77777777" w:rsidR="00EE0787" w:rsidRPr="00096351" w:rsidRDefault="00EE0787" w:rsidP="00EE0787">
      <w:pPr>
        <w:spacing w:after="240" w:line="360" w:lineRule="atLeast"/>
        <w:jc w:val="both"/>
        <w:rPr>
          <w:color w:val="000000"/>
        </w:rPr>
      </w:pPr>
      <w:r w:rsidRPr="00096351">
        <w:rPr>
          <w:color w:val="000000"/>
        </w:rPr>
        <w:t>Brach, C. and Fraser, I. (2022). Reducing disparities through culturally competent health care. </w:t>
      </w:r>
      <w:r w:rsidRPr="00096351">
        <w:rPr>
          <w:i/>
          <w:iCs/>
          <w:color w:val="000000"/>
        </w:rPr>
        <w:t>Quality Management in Health Care</w:t>
      </w:r>
      <w:r w:rsidRPr="00096351">
        <w:rPr>
          <w:color w:val="000000"/>
        </w:rPr>
        <w:t xml:space="preserve">, [online] 10(4), pp.15–28. </w:t>
      </w:r>
      <w:proofErr w:type="spellStart"/>
      <w:proofErr w:type="gramStart"/>
      <w:r w:rsidRPr="00096351">
        <w:rPr>
          <w:color w:val="000000"/>
        </w:rPr>
        <w:t>doi:https</w:t>
      </w:r>
      <w:proofErr w:type="spellEnd"/>
      <w:r w:rsidRPr="00096351">
        <w:rPr>
          <w:color w:val="000000"/>
        </w:rPr>
        <w:t>://doi.org/10.1097/00019514-200210040-00005</w:t>
      </w:r>
      <w:proofErr w:type="gramEnd"/>
      <w:r w:rsidRPr="00096351">
        <w:rPr>
          <w:color w:val="000000"/>
        </w:rPr>
        <w:t>.</w:t>
      </w:r>
    </w:p>
    <w:p w14:paraId="4A9E26BA" w14:textId="77777777" w:rsidR="00EE0787" w:rsidRPr="00096351" w:rsidRDefault="00EE0787" w:rsidP="00EE0787">
      <w:pPr>
        <w:spacing w:after="240" w:line="360" w:lineRule="atLeast"/>
        <w:jc w:val="both"/>
        <w:rPr>
          <w:color w:val="000000"/>
        </w:rPr>
      </w:pPr>
      <w:r w:rsidRPr="00096351">
        <w:rPr>
          <w:color w:val="000000"/>
        </w:rPr>
        <w:t>Butt, J. and Stubbs, H. (2025). </w:t>
      </w:r>
      <w:r w:rsidRPr="00096351">
        <w:rPr>
          <w:i/>
          <w:iCs/>
          <w:color w:val="000000"/>
        </w:rPr>
        <w:t>Annual report and Financial Statements Exploring Ethnicity Data Use and Gaps in Health Care</w:t>
      </w:r>
      <w:r w:rsidRPr="00096351">
        <w:rPr>
          <w:color w:val="000000"/>
        </w:rPr>
        <w:t>. [online] Available at: https://raceequalityfoundation.org.uk/wp-content/uploads/2025/11/Exploring-Ethnicity-Data-Use-and-Gaps-in-Health-Care-2025.pdf.</w:t>
      </w:r>
    </w:p>
    <w:p w14:paraId="30409CEA" w14:textId="77777777" w:rsidR="00EE0787" w:rsidRPr="00096351" w:rsidRDefault="00EE0787" w:rsidP="00EE0787">
      <w:pPr>
        <w:spacing w:after="240" w:line="360" w:lineRule="atLeast"/>
        <w:jc w:val="both"/>
        <w:rPr>
          <w:color w:val="000000"/>
        </w:rPr>
      </w:pPr>
      <w:r w:rsidRPr="00096351">
        <w:rPr>
          <w:color w:val="000000"/>
        </w:rPr>
        <w:t xml:space="preserve">Chen, C., Wang, Y., Kaur, G., Aniruddha Adiga, Espinoza, B., Srinivasan </w:t>
      </w:r>
      <w:proofErr w:type="spellStart"/>
      <w:r w:rsidRPr="00096351">
        <w:rPr>
          <w:color w:val="000000"/>
        </w:rPr>
        <w:t>Venkatramanan</w:t>
      </w:r>
      <w:proofErr w:type="spellEnd"/>
      <w:r w:rsidRPr="00096351">
        <w:rPr>
          <w:color w:val="000000"/>
        </w:rPr>
        <w:t>, Warren, A., Lewis, B., Crow, J., Singh, R., Lorentz, A., Toney, D. and Marathe, M. (2024). Wastewater-based Epidemiology for COVID-19 Surveillance and Beyond: A Survey. </w:t>
      </w:r>
      <w:proofErr w:type="spellStart"/>
      <w:r w:rsidRPr="00096351">
        <w:rPr>
          <w:i/>
          <w:iCs/>
          <w:color w:val="000000"/>
        </w:rPr>
        <w:t>ArXiv</w:t>
      </w:r>
      <w:proofErr w:type="spellEnd"/>
      <w:r w:rsidRPr="00096351">
        <w:rPr>
          <w:color w:val="000000"/>
        </w:rPr>
        <w:t xml:space="preserve">, [online] </w:t>
      </w:r>
      <w:proofErr w:type="gramStart"/>
      <w:r w:rsidRPr="00096351">
        <w:rPr>
          <w:color w:val="000000"/>
        </w:rPr>
        <w:t>p.arXiv</w:t>
      </w:r>
      <w:proofErr w:type="gramEnd"/>
      <w:r w:rsidRPr="00096351">
        <w:rPr>
          <w:color w:val="000000"/>
        </w:rPr>
        <w:t>:2403.15291v2. Available at: https://pmc.ncbi.nlm.nih.gov/articles/PMC10984000/.</w:t>
      </w:r>
    </w:p>
    <w:p w14:paraId="39D093B3" w14:textId="77777777" w:rsidR="00EE0787" w:rsidRPr="00096351" w:rsidRDefault="00EE0787" w:rsidP="00EE0787">
      <w:pPr>
        <w:spacing w:after="240" w:line="360" w:lineRule="atLeast"/>
        <w:jc w:val="both"/>
        <w:rPr>
          <w:color w:val="000000"/>
        </w:rPr>
      </w:pPr>
      <w:r w:rsidRPr="00096351">
        <w:rPr>
          <w:color w:val="000000"/>
        </w:rPr>
        <w:t xml:space="preserve">COVID-19 and Health Inequality </w:t>
      </w:r>
      <w:proofErr w:type="gramStart"/>
      <w:r w:rsidRPr="00096351">
        <w:rPr>
          <w:color w:val="000000"/>
        </w:rPr>
        <w:t>The</w:t>
      </w:r>
      <w:proofErr w:type="gramEnd"/>
      <w:r w:rsidRPr="00096351">
        <w:rPr>
          <w:color w:val="000000"/>
        </w:rPr>
        <w:t xml:space="preserve"> Independent SAGE Report 21. (2020). Available at: https://www.independentsage.org/wp-content/uploads/2020/11/Inequalities-_i_SAGE_FINAL-draft_corrected.pdf.</w:t>
      </w:r>
    </w:p>
    <w:p w14:paraId="11BF19F0" w14:textId="77777777" w:rsidR="00EE0787" w:rsidRPr="00096351" w:rsidRDefault="00EE0787" w:rsidP="00EE0787">
      <w:pPr>
        <w:spacing w:after="240" w:line="360" w:lineRule="atLeast"/>
        <w:jc w:val="both"/>
        <w:rPr>
          <w:color w:val="000000"/>
        </w:rPr>
      </w:pPr>
      <w:r w:rsidRPr="00096351">
        <w:rPr>
          <w:color w:val="000000"/>
        </w:rPr>
        <w:t>Department of Health and Social Care (2019). </w:t>
      </w:r>
      <w:r w:rsidRPr="00096351">
        <w:rPr>
          <w:i/>
          <w:iCs/>
          <w:color w:val="000000"/>
        </w:rPr>
        <w:t>NHS Long Term Plan Launched</w:t>
      </w:r>
      <w:r w:rsidRPr="00096351">
        <w:rPr>
          <w:color w:val="000000"/>
        </w:rPr>
        <w:t>. [online] GOV.UK. Available at: https://www.gov.uk/government/news/nhs-long-term-plan-launched.</w:t>
      </w:r>
    </w:p>
    <w:p w14:paraId="6B52D2D8" w14:textId="77777777" w:rsidR="00EE0787" w:rsidRPr="00096351" w:rsidRDefault="00EE0787" w:rsidP="00EE0787">
      <w:pPr>
        <w:spacing w:after="240" w:line="360" w:lineRule="atLeast"/>
        <w:jc w:val="both"/>
        <w:rPr>
          <w:color w:val="000000"/>
        </w:rPr>
      </w:pPr>
      <w:r w:rsidRPr="00096351">
        <w:rPr>
          <w:color w:val="000000"/>
        </w:rPr>
        <w:t>Diabetes UK (2020). </w:t>
      </w:r>
      <w:r w:rsidRPr="00096351">
        <w:rPr>
          <w:i/>
          <w:iCs/>
          <w:color w:val="000000"/>
        </w:rPr>
        <w:t>Ethnicity and type 2 diabetes</w:t>
      </w:r>
      <w:r w:rsidRPr="00096351">
        <w:rPr>
          <w:color w:val="000000"/>
        </w:rPr>
        <w:t>. [online] Diabetes UK. Available at: https://www.diabetes.org.uk/about-diabetes/type-2-diabetes/diabetes-ethnicity [Accessed 30 Apr. 2026].</w:t>
      </w:r>
    </w:p>
    <w:p w14:paraId="636F8D52" w14:textId="77777777" w:rsidR="00EE0787" w:rsidRPr="00096351" w:rsidRDefault="00EE0787" w:rsidP="00EE0787">
      <w:pPr>
        <w:spacing w:after="240" w:line="360" w:lineRule="atLeast"/>
        <w:jc w:val="both"/>
        <w:rPr>
          <w:color w:val="000000"/>
        </w:rPr>
      </w:pPr>
      <w:r w:rsidRPr="00096351">
        <w:rPr>
          <w:color w:val="000000"/>
        </w:rPr>
        <w:t>Du, J., Lang, H., Ma, Y., Chen, A., Qin, Y., Zhang, X. and Huang, C. (2024). Global trends in COVID-19 incidence and case fatality rates (2019–2023): a retrospective analysis. </w:t>
      </w:r>
      <w:r w:rsidRPr="00096351">
        <w:rPr>
          <w:i/>
          <w:iCs/>
          <w:color w:val="000000"/>
        </w:rPr>
        <w:t>Frontiers in Public Health</w:t>
      </w:r>
      <w:r w:rsidRPr="00096351">
        <w:rPr>
          <w:color w:val="000000"/>
        </w:rPr>
        <w:t xml:space="preserve">, [online] 12. </w:t>
      </w:r>
      <w:proofErr w:type="spellStart"/>
      <w:proofErr w:type="gramStart"/>
      <w:r w:rsidRPr="00096351">
        <w:rPr>
          <w:color w:val="000000"/>
        </w:rPr>
        <w:t>doi:https</w:t>
      </w:r>
      <w:proofErr w:type="spellEnd"/>
      <w:r w:rsidRPr="00096351">
        <w:rPr>
          <w:color w:val="000000"/>
        </w:rPr>
        <w:t>://doi.org/10.3389/fpubh.2024.1355097</w:t>
      </w:r>
      <w:proofErr w:type="gramEnd"/>
      <w:r w:rsidRPr="00096351">
        <w:rPr>
          <w:color w:val="000000"/>
        </w:rPr>
        <w:t>.</w:t>
      </w:r>
    </w:p>
    <w:p w14:paraId="498D6F5C" w14:textId="77777777" w:rsidR="00EE0787" w:rsidRPr="00096351" w:rsidRDefault="00EE0787" w:rsidP="00EE0787">
      <w:pPr>
        <w:spacing w:after="240" w:line="360" w:lineRule="atLeast"/>
        <w:jc w:val="both"/>
        <w:rPr>
          <w:color w:val="000000"/>
        </w:rPr>
      </w:pPr>
      <w:r w:rsidRPr="00096351">
        <w:rPr>
          <w:color w:val="000000"/>
        </w:rPr>
        <w:t>England, N. (2025). </w:t>
      </w:r>
      <w:r w:rsidRPr="00096351">
        <w:rPr>
          <w:i/>
          <w:iCs/>
          <w:color w:val="000000"/>
        </w:rPr>
        <w:t>NHS England» Health inequalities and equality legal duties: A reference document for NHS commissioners and providers</w:t>
      </w:r>
      <w:r w:rsidRPr="00096351">
        <w:rPr>
          <w:color w:val="000000"/>
        </w:rPr>
        <w:t>. [online] England.nhs.uk. Available at: https://www.england.nhs.uk/health-inequalities/ [Accessed 26 Apr. 2026].</w:t>
      </w:r>
    </w:p>
    <w:p w14:paraId="51F5FDD4" w14:textId="77777777" w:rsidR="00EE0787" w:rsidRPr="00096351" w:rsidRDefault="00EE0787" w:rsidP="00EE0787">
      <w:pPr>
        <w:spacing w:after="240" w:line="360" w:lineRule="atLeast"/>
        <w:jc w:val="both"/>
        <w:rPr>
          <w:color w:val="000000"/>
        </w:rPr>
      </w:pPr>
      <w:r w:rsidRPr="00096351">
        <w:rPr>
          <w:color w:val="000000"/>
        </w:rPr>
        <w:lastRenderedPageBreak/>
        <w:t>Finch, D. and Tinson, A. (2022). </w:t>
      </w:r>
      <w:r w:rsidRPr="00096351">
        <w:rPr>
          <w:i/>
          <w:iCs/>
          <w:color w:val="000000"/>
        </w:rPr>
        <w:t>The continuing impact of COVID-19 on health and inequalities</w:t>
      </w:r>
      <w:r w:rsidRPr="00096351">
        <w:rPr>
          <w:color w:val="000000"/>
        </w:rPr>
        <w:t>. [online] The Health Foundation. Available at: https://www.health.org.uk/reports-and-analysis/briefings/the-continuing-impact-of-covid-19-on-health-and-inequalities.</w:t>
      </w:r>
    </w:p>
    <w:p w14:paraId="65178CF3" w14:textId="77777777" w:rsidR="00EE0787" w:rsidRPr="00096351" w:rsidRDefault="00EE0787" w:rsidP="00EE0787">
      <w:pPr>
        <w:spacing w:after="240" w:line="360" w:lineRule="atLeast"/>
        <w:jc w:val="both"/>
        <w:rPr>
          <w:color w:val="000000"/>
        </w:rPr>
      </w:pPr>
      <w:r w:rsidRPr="00096351">
        <w:rPr>
          <w:color w:val="000000"/>
        </w:rPr>
        <w:t>Government (2026). </w:t>
      </w:r>
      <w:r w:rsidRPr="00096351">
        <w:rPr>
          <w:i/>
          <w:iCs/>
          <w:color w:val="000000"/>
        </w:rPr>
        <w:t>Local Supported Housing Strategies</w:t>
      </w:r>
      <w:r w:rsidRPr="00096351">
        <w:rPr>
          <w:color w:val="000000"/>
        </w:rPr>
        <w:t>. [online] GOV.UK. Available at: https://www.gov.uk/government/publications/local-supported-housing-strategies/local-supported-housing-strategies [Accessed 26 Apr. 2026].</w:t>
      </w:r>
    </w:p>
    <w:p w14:paraId="5387256F" w14:textId="77777777" w:rsidR="00EE0787" w:rsidRPr="00096351" w:rsidRDefault="00EE0787" w:rsidP="00EE0787">
      <w:pPr>
        <w:spacing w:after="240" w:line="360" w:lineRule="atLeast"/>
        <w:jc w:val="both"/>
        <w:rPr>
          <w:color w:val="000000"/>
        </w:rPr>
      </w:pPr>
      <w:r w:rsidRPr="00096351">
        <w:rPr>
          <w:color w:val="000000"/>
        </w:rPr>
        <w:t>Marmot, M., Allen, J., Boyce, T., Goldblatt, P. and Morrison, J. (2020). </w:t>
      </w:r>
      <w:r w:rsidRPr="00096351">
        <w:rPr>
          <w:i/>
          <w:iCs/>
          <w:color w:val="000000"/>
        </w:rPr>
        <w:t xml:space="preserve">Health Equity in England: </w:t>
      </w:r>
      <w:proofErr w:type="gramStart"/>
      <w:r w:rsidRPr="00096351">
        <w:rPr>
          <w:i/>
          <w:iCs/>
          <w:color w:val="000000"/>
        </w:rPr>
        <w:t>the</w:t>
      </w:r>
      <w:proofErr w:type="gramEnd"/>
      <w:r w:rsidRPr="00096351">
        <w:rPr>
          <w:i/>
          <w:iCs/>
          <w:color w:val="000000"/>
        </w:rPr>
        <w:t xml:space="preserve"> Marmot Review 10 Years on</w:t>
      </w:r>
      <w:r w:rsidRPr="00096351">
        <w:rPr>
          <w:color w:val="000000"/>
        </w:rPr>
        <w:t>. [online] The Health Foundation. Available at: https://www.health.org.uk/reports-and-analysis/reports/health-equity-in-england-the-marmot-review-10-years-on-0.</w:t>
      </w:r>
    </w:p>
    <w:p w14:paraId="02B40764" w14:textId="77777777" w:rsidR="00EE0787" w:rsidRPr="00096351" w:rsidRDefault="00EE0787" w:rsidP="00EE0787">
      <w:pPr>
        <w:spacing w:after="240" w:line="360" w:lineRule="atLeast"/>
        <w:jc w:val="both"/>
        <w:rPr>
          <w:color w:val="000000"/>
        </w:rPr>
      </w:pPr>
      <w:r w:rsidRPr="00096351">
        <w:rPr>
          <w:color w:val="000000"/>
        </w:rPr>
        <w:t>Marmot, M., Allen, J., Goldblatt, P., Herd, E. and Morrison, J. (2021). </w:t>
      </w:r>
      <w:r w:rsidRPr="00096351">
        <w:rPr>
          <w:i/>
          <w:iCs/>
          <w:color w:val="000000"/>
        </w:rPr>
        <w:t>Build Back Fairer: The COVID-19 Marmot Review - Institute of Health Equity</w:t>
      </w:r>
      <w:r w:rsidRPr="00096351">
        <w:rPr>
          <w:color w:val="000000"/>
        </w:rPr>
        <w:t>. [online] Institute of Health Equity. Available at: https://www.instituteofhealthequity.org/resources-reports/build-back-fairer-the-covid-19-marmot-review.</w:t>
      </w:r>
    </w:p>
    <w:p w14:paraId="4F8C48AA" w14:textId="77777777" w:rsidR="00EE0787" w:rsidRPr="00096351" w:rsidRDefault="00EE0787" w:rsidP="00EE0787">
      <w:pPr>
        <w:spacing w:after="240" w:line="360" w:lineRule="atLeast"/>
        <w:jc w:val="both"/>
        <w:rPr>
          <w:color w:val="000000" w:themeColor="text1"/>
        </w:rPr>
      </w:pPr>
      <w:r w:rsidRPr="00096351">
        <w:rPr>
          <w:color w:val="000000" w:themeColor="text1"/>
        </w:rPr>
        <w:t>NHS England (2023a). </w:t>
      </w:r>
      <w:r w:rsidRPr="00096351">
        <w:rPr>
          <w:i/>
          <w:iCs/>
          <w:color w:val="000000" w:themeColor="text1"/>
        </w:rPr>
        <w:t>NHS Diabetes Prevention Programme (NHS DPP)</w:t>
      </w:r>
      <w:r w:rsidRPr="00096351">
        <w:rPr>
          <w:color w:val="000000" w:themeColor="text1"/>
        </w:rPr>
        <w:t xml:space="preserve">. [online] NHS England. Available at: </w:t>
      </w:r>
      <w:hyperlink r:id="rId6" w:history="1">
        <w:r w:rsidRPr="00096351">
          <w:rPr>
            <w:rStyle w:val="Hyperlink"/>
            <w:color w:val="000000" w:themeColor="text1"/>
          </w:rPr>
          <w:t>https://www.england.nhs.uk/diabetes/diabetes-prevention/</w:t>
        </w:r>
      </w:hyperlink>
      <w:r w:rsidRPr="00096351">
        <w:rPr>
          <w:color w:val="000000" w:themeColor="text1"/>
        </w:rPr>
        <w:t xml:space="preserve"> [Accessed 29 Apr. 2026].</w:t>
      </w:r>
    </w:p>
    <w:p w14:paraId="53CC8A95" w14:textId="77777777" w:rsidR="00EE0787" w:rsidRPr="00096351" w:rsidRDefault="00EE0787" w:rsidP="00EE0787">
      <w:pPr>
        <w:spacing w:after="240" w:line="360" w:lineRule="atLeast"/>
        <w:jc w:val="both"/>
        <w:rPr>
          <w:color w:val="000000"/>
        </w:rPr>
      </w:pPr>
      <w:r w:rsidRPr="00096351">
        <w:rPr>
          <w:color w:val="000000"/>
        </w:rPr>
        <w:t>NHS England (2023d). </w:t>
      </w:r>
      <w:r w:rsidRPr="00096351">
        <w:rPr>
          <w:i/>
          <w:iCs/>
          <w:color w:val="000000"/>
        </w:rPr>
        <w:t>NHS England» Publication Containers (topic: Vaccination, order by: Published date (newest first))</w:t>
      </w:r>
      <w:r w:rsidRPr="00096351">
        <w:rPr>
          <w:color w:val="000000"/>
        </w:rPr>
        <w:t>. [online] England.nhs.uk. Available at: https://www.england.nhs.uk/publication/page/4/?filter-keyword&amp;filter-category=vaccination&amp;filter-publication&amp;filter-date-from&amp;filter-date-to&amp;filter-order-by=date-desc [Accessed 30 Apr. 2026].</w:t>
      </w:r>
    </w:p>
    <w:p w14:paraId="68ED6B64" w14:textId="77777777" w:rsidR="00EE0787" w:rsidRPr="00096351" w:rsidRDefault="00EE0787" w:rsidP="00EE0787">
      <w:pPr>
        <w:spacing w:after="240" w:line="360" w:lineRule="atLeast"/>
        <w:jc w:val="both"/>
        <w:rPr>
          <w:color w:val="000000"/>
        </w:rPr>
      </w:pPr>
      <w:r w:rsidRPr="00096351">
        <w:rPr>
          <w:color w:val="000000"/>
        </w:rPr>
        <w:t>NHS England (2023b). </w:t>
      </w:r>
      <w:r w:rsidRPr="00096351">
        <w:rPr>
          <w:i/>
          <w:iCs/>
          <w:color w:val="000000"/>
        </w:rPr>
        <w:t>NHS equality, diversity, and Inclusion Improvement Plan</w:t>
      </w:r>
      <w:r w:rsidRPr="00096351">
        <w:rPr>
          <w:color w:val="000000"/>
        </w:rPr>
        <w:t>. [online] NHS England. Available at: https://www.england.nhs.uk/long-read/nhs-equality-diversity-and-inclusion-improvement-plan/ [Accessed 30 Apr. 2026].</w:t>
      </w:r>
    </w:p>
    <w:p w14:paraId="773DBF6E" w14:textId="77777777" w:rsidR="00EE0787" w:rsidRPr="00096351" w:rsidRDefault="00EE0787" w:rsidP="00EE0787">
      <w:pPr>
        <w:spacing w:after="240" w:line="360" w:lineRule="atLeast"/>
        <w:jc w:val="both"/>
        <w:rPr>
          <w:color w:val="000000"/>
        </w:rPr>
      </w:pPr>
      <w:r w:rsidRPr="00096351">
        <w:rPr>
          <w:color w:val="000000"/>
        </w:rPr>
        <w:t>NHS England (2023c). </w:t>
      </w:r>
      <w:r w:rsidRPr="00096351">
        <w:rPr>
          <w:i/>
          <w:iCs/>
          <w:color w:val="000000"/>
        </w:rPr>
        <w:t>NHS vaccination strategy</w:t>
      </w:r>
      <w:r w:rsidRPr="00096351">
        <w:rPr>
          <w:color w:val="000000"/>
        </w:rPr>
        <w:t>. [online] www.england.nhs.uk. Available at: https://www.england.nhs.uk/long-read/nhs-vaccination-strategy/ [Accessed 30 Apr. 2026].</w:t>
      </w:r>
    </w:p>
    <w:p w14:paraId="16E5D294" w14:textId="77777777" w:rsidR="00EE0787" w:rsidRPr="00096351" w:rsidRDefault="00EE0787" w:rsidP="00EE0787">
      <w:pPr>
        <w:spacing w:after="240" w:line="360" w:lineRule="atLeast"/>
        <w:jc w:val="both"/>
        <w:rPr>
          <w:color w:val="000000"/>
        </w:rPr>
      </w:pPr>
      <w:r w:rsidRPr="00096351">
        <w:rPr>
          <w:color w:val="000000"/>
        </w:rPr>
        <w:t>NHS England (2025). </w:t>
      </w:r>
      <w:r w:rsidRPr="00096351">
        <w:rPr>
          <w:i/>
          <w:iCs/>
          <w:color w:val="000000"/>
        </w:rPr>
        <w:t>NHS England» Publication Containers (topic: Vaccination, order by: Published date (newest first))</w:t>
      </w:r>
      <w:r w:rsidRPr="00096351">
        <w:rPr>
          <w:color w:val="000000"/>
        </w:rPr>
        <w:t>. [online] England.nhs.uk. Available at: https://www.england.nhs.uk/publication/?filter-keyword=&amp;filter-category=vaccination&amp;filter-publication=&amp;filter-date-from=&amp;filter-date-to=&amp;filter-order-by=date-desc [Accessed 30 Apr. 2026].</w:t>
      </w:r>
    </w:p>
    <w:p w14:paraId="09CC35BC" w14:textId="28EA319A" w:rsidR="00EE0787" w:rsidRPr="00096351" w:rsidRDefault="00EE0787" w:rsidP="00EE0787">
      <w:pPr>
        <w:spacing w:after="240" w:line="360" w:lineRule="atLeast"/>
        <w:jc w:val="both"/>
        <w:rPr>
          <w:color w:val="000000"/>
        </w:rPr>
      </w:pPr>
      <w:r w:rsidRPr="00096351">
        <w:rPr>
          <w:color w:val="000000"/>
        </w:rPr>
        <w:lastRenderedPageBreak/>
        <w:t>NHS, E</w:t>
      </w:r>
      <w:r w:rsidR="007A4453">
        <w:rPr>
          <w:color w:val="000000"/>
        </w:rPr>
        <w:t>ngland</w:t>
      </w:r>
      <w:r w:rsidRPr="00096351">
        <w:rPr>
          <w:color w:val="000000"/>
        </w:rPr>
        <w:t>. (2025). </w:t>
      </w:r>
      <w:r w:rsidRPr="00096351">
        <w:rPr>
          <w:i/>
          <w:iCs/>
          <w:color w:val="000000"/>
        </w:rPr>
        <w:t>NHS England» Ethnicity Recording Improvement Plan</w:t>
      </w:r>
      <w:r w:rsidRPr="00096351">
        <w:rPr>
          <w:color w:val="000000"/>
        </w:rPr>
        <w:t>. [online] England.nhs.uk. Available at: https://www.england.nhs.uk/long-read/ethnicity-recording-improvement-plan/ [Accessed 29Apr. 2026].</w:t>
      </w:r>
    </w:p>
    <w:p w14:paraId="7A362916" w14:textId="77777777" w:rsidR="00EE0787" w:rsidRPr="00096351" w:rsidRDefault="00EE0787" w:rsidP="00EE0787">
      <w:pPr>
        <w:spacing w:after="240" w:line="360" w:lineRule="atLeast"/>
        <w:jc w:val="both"/>
        <w:rPr>
          <w:color w:val="000000"/>
        </w:rPr>
      </w:pPr>
      <w:r w:rsidRPr="00096351">
        <w:rPr>
          <w:color w:val="000000"/>
        </w:rPr>
        <w:t>NICE (2022). </w:t>
      </w:r>
      <w:r w:rsidRPr="00096351">
        <w:rPr>
          <w:i/>
          <w:iCs/>
          <w:color w:val="000000"/>
        </w:rPr>
        <w:t>Evidence on health inequalities | Tools and resources | NICE technology appraisal and highly specialised technologies guidance: the manual | Guidance | NICE</w:t>
      </w:r>
      <w:r w:rsidRPr="00096351">
        <w:rPr>
          <w:color w:val="000000"/>
        </w:rPr>
        <w:t>. [online] Nice.org.uk. Available at: https://www.nice.org.uk/process/pmg36/resources/support-document-health-inequalities-15313210669/chapter/evidence-on-health-inequalities [Accessed 29 Apr. 2026].</w:t>
      </w:r>
    </w:p>
    <w:p w14:paraId="0AD32F40" w14:textId="77777777" w:rsidR="00EE0787" w:rsidRPr="00096351" w:rsidRDefault="00EE0787" w:rsidP="00EE0787">
      <w:pPr>
        <w:spacing w:after="240" w:line="360" w:lineRule="atLeast"/>
        <w:jc w:val="both"/>
        <w:rPr>
          <w:color w:val="000000"/>
        </w:rPr>
      </w:pPr>
      <w:r w:rsidRPr="00096351">
        <w:rPr>
          <w:color w:val="000000"/>
        </w:rPr>
        <w:t>NICE (2025). </w:t>
      </w:r>
      <w:r w:rsidRPr="00096351">
        <w:rPr>
          <w:i/>
          <w:iCs/>
          <w:color w:val="000000"/>
        </w:rPr>
        <w:t>Update information | COVID-19 rapid guideline: managing COVID-19 | Guidance | NICE</w:t>
      </w:r>
      <w:r w:rsidRPr="00096351">
        <w:rPr>
          <w:color w:val="000000"/>
        </w:rPr>
        <w:t>. [online] www.nice.org.uk. Available at: https://www.nice.org.uk/guidance/ng191/chapter/Update-information [Accessed 28 Apr. 2026].</w:t>
      </w:r>
    </w:p>
    <w:p w14:paraId="62C86046" w14:textId="77777777" w:rsidR="00EE0787" w:rsidRPr="00096351" w:rsidRDefault="00EE0787" w:rsidP="00EE0787">
      <w:pPr>
        <w:spacing w:after="240" w:line="360" w:lineRule="atLeast"/>
        <w:jc w:val="both"/>
        <w:rPr>
          <w:color w:val="000000"/>
        </w:rPr>
      </w:pPr>
      <w:r w:rsidRPr="00096351">
        <w:rPr>
          <w:color w:val="000000"/>
        </w:rPr>
        <w:t>Office for National Statistics (2022). </w:t>
      </w:r>
      <w:r w:rsidRPr="00096351">
        <w:rPr>
          <w:i/>
          <w:iCs/>
          <w:color w:val="000000"/>
        </w:rPr>
        <w:t>Deaths due to COVID-19, registered in England and Wales - Office for National Statistics</w:t>
      </w:r>
      <w:r w:rsidRPr="00096351">
        <w:rPr>
          <w:color w:val="000000"/>
        </w:rPr>
        <w:t>. [online] www.ons.gov.uk. Available at: https://www.ons.gov.uk/peoplepopulationandcommunity/birthsdeathsandmarriages/deaths/articles/deathsregisteredduetocovid19/2021 [Accessed 30 Apr. 2026].</w:t>
      </w:r>
    </w:p>
    <w:p w14:paraId="3C2235D8" w14:textId="77777777" w:rsidR="00EE0787" w:rsidRPr="00096351" w:rsidRDefault="00EE0787" w:rsidP="00EE0787">
      <w:pPr>
        <w:spacing w:after="240" w:line="360" w:lineRule="atLeast"/>
        <w:jc w:val="both"/>
        <w:rPr>
          <w:color w:val="000000"/>
        </w:rPr>
      </w:pPr>
      <w:r w:rsidRPr="00096351">
        <w:rPr>
          <w:color w:val="000000"/>
        </w:rPr>
        <w:t>Office for National Statistics (2023). </w:t>
      </w:r>
      <w:r w:rsidRPr="00096351">
        <w:rPr>
          <w:i/>
          <w:iCs/>
          <w:color w:val="000000"/>
        </w:rPr>
        <w:t xml:space="preserve">Ethnic group differences in health, employment, education and housing shown in England and </w:t>
      </w:r>
      <w:proofErr w:type="spellStart"/>
      <w:r w:rsidRPr="00096351">
        <w:rPr>
          <w:i/>
          <w:iCs/>
          <w:color w:val="000000"/>
        </w:rPr>
        <w:t>Wales’</w:t>
      </w:r>
      <w:proofErr w:type="spellEnd"/>
      <w:r w:rsidRPr="00096351">
        <w:rPr>
          <w:i/>
          <w:iCs/>
          <w:color w:val="000000"/>
        </w:rPr>
        <w:t xml:space="preserve"> Census 2021 - Office for National Statistics</w:t>
      </w:r>
      <w:r w:rsidRPr="00096351">
        <w:rPr>
          <w:color w:val="000000"/>
        </w:rPr>
        <w:t>. [online] www.ons.gov.uk. Available at: https://www.ons.gov.uk/peoplepopulationandcommunity/culturalidentity/ethnicity/articles/ethnicgroupdifferencesinhealthemploymenteducationandhousingshowninenglandandwalescensus2021/2023-03-15 [Accessed 30 Apr. 2026].</w:t>
      </w:r>
    </w:p>
    <w:p w14:paraId="07788633" w14:textId="77777777" w:rsidR="00EE0787" w:rsidRPr="00096351" w:rsidRDefault="00EE0787" w:rsidP="00EE0787">
      <w:pPr>
        <w:spacing w:after="240" w:line="360" w:lineRule="atLeast"/>
        <w:jc w:val="both"/>
        <w:rPr>
          <w:color w:val="000000" w:themeColor="text1"/>
        </w:rPr>
      </w:pPr>
      <w:r w:rsidRPr="00096351">
        <w:rPr>
          <w:color w:val="000000" w:themeColor="text1"/>
        </w:rPr>
        <w:t>ONS (2020). </w:t>
      </w:r>
      <w:r w:rsidRPr="00096351">
        <w:rPr>
          <w:i/>
          <w:iCs/>
          <w:color w:val="000000" w:themeColor="text1"/>
        </w:rPr>
        <w:t>Deaths involving COVID-19 by local area and socioeconomic deprivation - Office for National Statistics</w:t>
      </w:r>
      <w:r w:rsidRPr="00096351">
        <w:rPr>
          <w:color w:val="000000" w:themeColor="text1"/>
        </w:rPr>
        <w:t xml:space="preserve">. [online] www.ons.gov.uk. Available at: </w:t>
      </w:r>
      <w:hyperlink r:id="rId7" w:history="1">
        <w:r w:rsidRPr="00096351">
          <w:rPr>
            <w:rStyle w:val="Hyperlink"/>
            <w:color w:val="000000" w:themeColor="text1"/>
          </w:rPr>
          <w:t>https://www.ons.gov.uk/peoplepopulationandcommunity/birthsdeathsandmarriages/deaths/bulletins/deathsinvolvingcovid19bylocalareasanddeprivation/deathsoccurringbetween1marchand30june2020</w:t>
        </w:r>
      </w:hyperlink>
      <w:r w:rsidRPr="00096351">
        <w:rPr>
          <w:color w:val="000000" w:themeColor="text1"/>
        </w:rPr>
        <w:t xml:space="preserve"> [Accessed 30 Apr. 2026].</w:t>
      </w:r>
    </w:p>
    <w:p w14:paraId="35C10721" w14:textId="77777777" w:rsidR="00EE0787" w:rsidRPr="00096351" w:rsidRDefault="00EE0787" w:rsidP="00EE0787">
      <w:pPr>
        <w:spacing w:after="240" w:line="360" w:lineRule="atLeast"/>
        <w:jc w:val="both"/>
        <w:rPr>
          <w:color w:val="000000"/>
        </w:rPr>
      </w:pPr>
      <w:r w:rsidRPr="00096351">
        <w:rPr>
          <w:color w:val="000000"/>
        </w:rPr>
        <w:t xml:space="preserve">Patel, M., </w:t>
      </w:r>
      <w:proofErr w:type="spellStart"/>
      <w:r w:rsidRPr="00096351">
        <w:rPr>
          <w:color w:val="000000"/>
        </w:rPr>
        <w:t>Abatcha</w:t>
      </w:r>
      <w:proofErr w:type="spellEnd"/>
      <w:r w:rsidRPr="00096351">
        <w:rPr>
          <w:color w:val="000000"/>
        </w:rPr>
        <w:t>, S. and Uthman, O. (2022). Ethnic differences between South Asians and White Caucasians in cardiovascular disease-related mortality in developed countries: a systematic literature review. </w:t>
      </w:r>
      <w:r w:rsidRPr="00096351">
        <w:rPr>
          <w:i/>
          <w:iCs/>
          <w:color w:val="000000"/>
        </w:rPr>
        <w:t>Systematic Reviews</w:t>
      </w:r>
      <w:r w:rsidRPr="00096351">
        <w:rPr>
          <w:color w:val="000000"/>
        </w:rPr>
        <w:t xml:space="preserve">, 11(1). </w:t>
      </w:r>
      <w:proofErr w:type="spellStart"/>
      <w:proofErr w:type="gramStart"/>
      <w:r w:rsidRPr="00096351">
        <w:rPr>
          <w:color w:val="000000"/>
        </w:rPr>
        <w:t>doi:https</w:t>
      </w:r>
      <w:proofErr w:type="spellEnd"/>
      <w:r w:rsidRPr="00096351">
        <w:rPr>
          <w:color w:val="000000"/>
        </w:rPr>
        <w:t>://doi.org/10.1186/s13643-022-02079-z</w:t>
      </w:r>
      <w:proofErr w:type="gramEnd"/>
      <w:r w:rsidRPr="00096351">
        <w:rPr>
          <w:color w:val="000000"/>
        </w:rPr>
        <w:t>.</w:t>
      </w:r>
    </w:p>
    <w:p w14:paraId="493B4418" w14:textId="77777777" w:rsidR="00EE0787" w:rsidRPr="00096351" w:rsidRDefault="00EE0787" w:rsidP="00EE0787">
      <w:pPr>
        <w:spacing w:after="240" w:line="360" w:lineRule="atLeast"/>
        <w:jc w:val="both"/>
        <w:rPr>
          <w:color w:val="000000"/>
        </w:rPr>
      </w:pPr>
      <w:r w:rsidRPr="00096351">
        <w:rPr>
          <w:color w:val="000000"/>
        </w:rPr>
        <w:t>Patient Safety Learning - the hub. (2022). </w:t>
      </w:r>
      <w:r w:rsidRPr="00096351">
        <w:rPr>
          <w:i/>
          <w:iCs/>
          <w:color w:val="000000"/>
        </w:rPr>
        <w:t>Infographic: Ethnic health inequalities in the UK (NHS Race &amp; Health Observatory, October 2021)</w:t>
      </w:r>
      <w:r w:rsidRPr="00096351">
        <w:rPr>
          <w:color w:val="000000"/>
        </w:rPr>
        <w:t>. [online] Available at: https://www.pslhub.org/learn/improving-patient-safety/health-inequalities/infographic-ethnic-</w:t>
      </w:r>
      <w:r w:rsidRPr="00096351">
        <w:rPr>
          <w:color w:val="000000"/>
        </w:rPr>
        <w:lastRenderedPageBreak/>
        <w:t>health-inequalities-in-the-uk-nhs-race-health-observatory-october-2021-r7240/ [Accessed 27 Apr. 2026].</w:t>
      </w:r>
    </w:p>
    <w:p w14:paraId="01B03506" w14:textId="77777777" w:rsidR="00EE0787" w:rsidRPr="00096351" w:rsidRDefault="00EE0787" w:rsidP="00EE0787">
      <w:pPr>
        <w:spacing w:after="240" w:line="360" w:lineRule="atLeast"/>
        <w:jc w:val="both"/>
        <w:rPr>
          <w:color w:val="000000"/>
        </w:rPr>
      </w:pPr>
      <w:r w:rsidRPr="00096351">
        <w:rPr>
          <w:color w:val="000000"/>
        </w:rPr>
        <w:t>Public Health England (2017). </w:t>
      </w:r>
      <w:r w:rsidRPr="00096351">
        <w:rPr>
          <w:i/>
          <w:iCs/>
          <w:color w:val="000000"/>
        </w:rPr>
        <w:t>Public Health England: approach to surveillance</w:t>
      </w:r>
      <w:r w:rsidRPr="00096351">
        <w:rPr>
          <w:color w:val="000000"/>
        </w:rPr>
        <w:t>. [online] GOV.UK. Available at: https://www.gov.uk/government/publications/public-health-england-approach-to-surveillance/public-health-england-approach-to-surveillance [Accessed 30 Apr. 2026].</w:t>
      </w:r>
    </w:p>
    <w:p w14:paraId="5FEED4A9" w14:textId="77777777" w:rsidR="00EE0787" w:rsidRPr="00096351" w:rsidRDefault="00EE0787" w:rsidP="00EE0787">
      <w:pPr>
        <w:spacing w:after="240" w:line="360" w:lineRule="atLeast"/>
        <w:jc w:val="both"/>
        <w:rPr>
          <w:color w:val="000000"/>
        </w:rPr>
      </w:pPr>
      <w:r w:rsidRPr="00096351">
        <w:rPr>
          <w:color w:val="000000"/>
        </w:rPr>
        <w:t>Public Health England (2020). </w:t>
      </w:r>
      <w:r w:rsidRPr="00096351">
        <w:rPr>
          <w:i/>
          <w:iCs/>
          <w:color w:val="000000"/>
        </w:rPr>
        <w:t>COVID-19: review of disparities in risks and outcomes</w:t>
      </w:r>
      <w:r w:rsidRPr="00096351">
        <w:rPr>
          <w:color w:val="000000"/>
        </w:rPr>
        <w:t>. [online] GOV.UK. Available at: https://www.gov.uk/government/publications/covid-19-review-of-disparities-in-risks-and-outcomes [Accessed 30 Apr. 2026].</w:t>
      </w:r>
    </w:p>
    <w:p w14:paraId="68613B0D" w14:textId="77777777" w:rsidR="00EE0787" w:rsidRPr="00096351" w:rsidRDefault="00EE0787" w:rsidP="00EE0787">
      <w:pPr>
        <w:spacing w:after="240" w:line="360" w:lineRule="atLeast"/>
        <w:jc w:val="both"/>
        <w:rPr>
          <w:color w:val="000000"/>
        </w:rPr>
      </w:pPr>
      <w:r w:rsidRPr="00096351">
        <w:rPr>
          <w:color w:val="000000"/>
        </w:rPr>
        <w:t>Raleigh, V. (2023). </w:t>
      </w:r>
      <w:r w:rsidRPr="00096351">
        <w:rPr>
          <w:i/>
          <w:iCs/>
          <w:color w:val="000000"/>
        </w:rPr>
        <w:t>The Health of People from Ethnic Minority Groups in England</w:t>
      </w:r>
      <w:r w:rsidRPr="00096351">
        <w:rPr>
          <w:color w:val="000000"/>
        </w:rPr>
        <w:t>. [online] The King’s Fund. Available at: https://www.kingsfund.org.uk/insight-and-analysis/long-reads/health-people-ethnic-minority-groups-england.</w:t>
      </w:r>
    </w:p>
    <w:p w14:paraId="75234287" w14:textId="77777777" w:rsidR="00EE0787" w:rsidRPr="00096351" w:rsidRDefault="00EE0787" w:rsidP="00EE0787">
      <w:pPr>
        <w:spacing w:after="240" w:line="360" w:lineRule="atLeast"/>
        <w:jc w:val="both"/>
        <w:rPr>
          <w:color w:val="000000"/>
        </w:rPr>
      </w:pPr>
      <w:r w:rsidRPr="00096351">
        <w:rPr>
          <w:color w:val="000000"/>
        </w:rPr>
        <w:t>The Health Foundation (2022). </w:t>
      </w:r>
      <w:r w:rsidRPr="00096351">
        <w:rPr>
          <w:i/>
          <w:iCs/>
          <w:color w:val="000000"/>
        </w:rPr>
        <w:t>A framework for NHS action on social determinants of health</w:t>
      </w:r>
      <w:r w:rsidRPr="00096351">
        <w:rPr>
          <w:color w:val="000000"/>
        </w:rPr>
        <w:t>. [online] The Health Foundation. Available at: https://www.health.org.uk/reports-and-analysis/briefings/a-framework-for-nhs-action-on-social-determinants-of-health.</w:t>
      </w:r>
    </w:p>
    <w:p w14:paraId="64BC28F5" w14:textId="77777777" w:rsidR="00EE0787" w:rsidRPr="00096351" w:rsidRDefault="00EE0787" w:rsidP="00EE0787">
      <w:pPr>
        <w:spacing w:after="240" w:line="360" w:lineRule="atLeast"/>
        <w:jc w:val="both"/>
        <w:rPr>
          <w:color w:val="000000"/>
        </w:rPr>
      </w:pPr>
      <w:r w:rsidRPr="00096351">
        <w:rPr>
          <w:color w:val="000000"/>
        </w:rPr>
        <w:t>The King’s Fund. (2021). </w:t>
      </w:r>
      <w:r w:rsidRPr="00096351">
        <w:rPr>
          <w:i/>
          <w:iCs/>
          <w:color w:val="000000"/>
        </w:rPr>
        <w:t>Covid-19 and the UK’s health care performance: international comparisons</w:t>
      </w:r>
      <w:r w:rsidRPr="00096351">
        <w:rPr>
          <w:color w:val="000000"/>
        </w:rPr>
        <w:t>. [online] Available at: https://www.kingsfund.org.uk/insight-and-analysis/blogs/covid-19-uks-health-care-performance-international-comparison [Accessed 30 Apr. 2026].</w:t>
      </w:r>
    </w:p>
    <w:p w14:paraId="217C18D8" w14:textId="77777777" w:rsidR="00EE0787" w:rsidRPr="00096351" w:rsidRDefault="00EE0787" w:rsidP="00EE0787">
      <w:pPr>
        <w:spacing w:after="240" w:line="360" w:lineRule="atLeast"/>
        <w:jc w:val="both"/>
        <w:rPr>
          <w:color w:val="000000"/>
        </w:rPr>
      </w:pPr>
      <w:r w:rsidRPr="00096351">
        <w:rPr>
          <w:color w:val="000000"/>
        </w:rPr>
        <w:t>UKHSA (2022). </w:t>
      </w:r>
      <w:r w:rsidRPr="00096351">
        <w:rPr>
          <w:i/>
          <w:iCs/>
          <w:color w:val="000000"/>
        </w:rPr>
        <w:t>UKHSA’S weekly surveillance report: focusing on ‘Pillar 1’ data – UK Health Security Agency</w:t>
      </w:r>
      <w:r w:rsidRPr="00096351">
        <w:rPr>
          <w:color w:val="000000"/>
        </w:rPr>
        <w:t>. [online] Blog.gov.uk. Available at: https://ukhsa.blog.gov.uk/2022/04/14/ukhsas-weekly-surveillance-report-focusing-on-pillar-1-data/ [Accessed 30 Apr. 2026].</w:t>
      </w:r>
    </w:p>
    <w:p w14:paraId="30D1E824" w14:textId="77777777" w:rsidR="00EE0787" w:rsidRPr="00096351" w:rsidRDefault="00EE0787" w:rsidP="00EE0787">
      <w:pPr>
        <w:spacing w:after="240" w:line="360" w:lineRule="atLeast"/>
        <w:jc w:val="both"/>
        <w:rPr>
          <w:color w:val="000000"/>
        </w:rPr>
      </w:pPr>
      <w:r w:rsidRPr="00096351">
        <w:rPr>
          <w:color w:val="000000"/>
        </w:rPr>
        <w:t>UKHSA (2023). </w:t>
      </w:r>
      <w:r w:rsidRPr="00096351">
        <w:rPr>
          <w:i/>
          <w:iCs/>
          <w:color w:val="000000"/>
        </w:rPr>
        <w:t>Changes to the way we report on COVID-19 deaths - UK Health Security Agency</w:t>
      </w:r>
      <w:r w:rsidRPr="00096351">
        <w:rPr>
          <w:color w:val="000000"/>
        </w:rPr>
        <w:t>. [online] ukhsa.blog.gov.uk. Available at: https://ukhsa.blog.gov.uk/2023/01/27/changes-to-the-way-we-report-on-covid-19-deaths/ [Accessed 30 Apr. 2026].</w:t>
      </w:r>
    </w:p>
    <w:p w14:paraId="7FC38677" w14:textId="77777777" w:rsidR="00EE0787" w:rsidRPr="00096351" w:rsidRDefault="00EE0787" w:rsidP="00EE0787">
      <w:pPr>
        <w:spacing w:after="240" w:line="360" w:lineRule="atLeast"/>
        <w:jc w:val="both"/>
        <w:rPr>
          <w:color w:val="000000"/>
        </w:rPr>
      </w:pPr>
      <w:r w:rsidRPr="00096351">
        <w:rPr>
          <w:color w:val="000000"/>
        </w:rPr>
        <w:t>Williams, E., Buck, D., Babalola, G. and Maguire, D. (2022). </w:t>
      </w:r>
      <w:r w:rsidRPr="00096351">
        <w:rPr>
          <w:i/>
          <w:iCs/>
          <w:color w:val="000000"/>
        </w:rPr>
        <w:t>What Are Health Inequalities?</w:t>
      </w:r>
      <w:r w:rsidRPr="00096351">
        <w:rPr>
          <w:color w:val="000000"/>
        </w:rPr>
        <w:t> [online] The King’s Fund. Available at: https://www.kingsfund.org.uk/insight-and-analysis/long-reads/what-are-health-inequalities.</w:t>
      </w:r>
    </w:p>
    <w:p w14:paraId="0B0A77D3" w14:textId="77777777" w:rsidR="00EE0787" w:rsidRPr="00096351" w:rsidRDefault="00EE0787" w:rsidP="00EE0787">
      <w:pPr>
        <w:spacing w:after="240" w:line="360" w:lineRule="atLeast"/>
        <w:jc w:val="both"/>
        <w:rPr>
          <w:color w:val="000000"/>
        </w:rPr>
      </w:pPr>
      <w:r w:rsidRPr="00096351">
        <w:rPr>
          <w:color w:val="000000"/>
        </w:rPr>
        <w:lastRenderedPageBreak/>
        <w:t>World Health Organization (2022). </w:t>
      </w:r>
      <w:r w:rsidRPr="00096351">
        <w:rPr>
          <w:i/>
          <w:iCs/>
          <w:color w:val="000000"/>
        </w:rPr>
        <w:t>Strengthening primary health care to tackle racial discrimination, promote intercultural services and reduce health inequities</w:t>
      </w:r>
      <w:r w:rsidRPr="00096351">
        <w:rPr>
          <w:color w:val="000000"/>
        </w:rPr>
        <w:t>. [online] www.who.int. Available at: https://www.who.int/publications/i/item/9789240057104.</w:t>
      </w:r>
    </w:p>
    <w:p w14:paraId="2BA37F0B" w14:textId="77777777" w:rsidR="00EE0787" w:rsidRDefault="00EE0787" w:rsidP="00EE0787">
      <w:pPr>
        <w:spacing w:after="240" w:line="360" w:lineRule="atLeast"/>
        <w:jc w:val="both"/>
        <w:rPr>
          <w:color w:val="000000"/>
        </w:rPr>
      </w:pPr>
      <w:r w:rsidRPr="00096351">
        <w:rPr>
          <w:color w:val="000000"/>
        </w:rPr>
        <w:t>World Health Organization (2025). </w:t>
      </w:r>
      <w:r w:rsidRPr="00096351">
        <w:rPr>
          <w:i/>
          <w:iCs/>
          <w:color w:val="000000"/>
        </w:rPr>
        <w:t>Coronavirus Disease (COVID-19)</w:t>
      </w:r>
      <w:r w:rsidRPr="00096351">
        <w:rPr>
          <w:color w:val="000000"/>
        </w:rPr>
        <w:t>. [online] World Health Organization. Available at: https://www.who.int/health-topics/coronavirus#tab=tab_1.</w:t>
      </w:r>
    </w:p>
    <w:p w14:paraId="4209588B" w14:textId="49D93A3C" w:rsidR="00EE0787" w:rsidRPr="00096351" w:rsidRDefault="00EE0787" w:rsidP="00EE0787">
      <w:pPr>
        <w:pStyle w:val="NormalWeb"/>
        <w:spacing w:before="0" w:beforeAutospacing="0" w:after="240" w:afterAutospacing="0" w:line="360" w:lineRule="atLeast"/>
        <w:jc w:val="both"/>
        <w:rPr>
          <w:color w:val="000000"/>
        </w:rPr>
      </w:pPr>
      <w:r>
        <w:rPr>
          <w:color w:val="000000"/>
        </w:rPr>
        <w:t>World Health Organization (2023).</w:t>
      </w:r>
      <w:r>
        <w:rPr>
          <w:rStyle w:val="apple-converted-space"/>
          <w:rFonts w:eastAsiaTheme="majorEastAsia"/>
          <w:color w:val="000000"/>
        </w:rPr>
        <w:t> </w:t>
      </w:r>
      <w:r>
        <w:rPr>
          <w:i/>
          <w:iCs/>
          <w:color w:val="000000"/>
        </w:rPr>
        <w:t>Advice for the public: Coronavirus disease (COVID-19)</w:t>
      </w:r>
      <w:r>
        <w:rPr>
          <w:color w:val="000000"/>
        </w:rPr>
        <w:t>. [online] World Health Organization. Available at: https://www.who.int/emergencies/diseases/novel-coronavirus-2019/advice-for-public.</w:t>
      </w:r>
    </w:p>
    <w:p w14:paraId="3A4D94F9" w14:textId="77777777" w:rsidR="00EE0787" w:rsidRPr="00096351" w:rsidRDefault="00EE0787" w:rsidP="00EE0787">
      <w:pPr>
        <w:spacing w:after="240" w:line="360" w:lineRule="atLeast"/>
        <w:jc w:val="both"/>
        <w:rPr>
          <w:color w:val="000000"/>
        </w:rPr>
      </w:pPr>
      <w:r w:rsidRPr="00096351">
        <w:rPr>
          <w:color w:val="000000"/>
        </w:rPr>
        <w:t xml:space="preserve">Young, A.O., Brown, A., Collins, T.A. and Glanz, K. (2023). Food insecurity, </w:t>
      </w:r>
      <w:proofErr w:type="spellStart"/>
      <w:r w:rsidRPr="00096351">
        <w:rPr>
          <w:color w:val="000000"/>
        </w:rPr>
        <w:t>Neighborhood</w:t>
      </w:r>
      <w:proofErr w:type="spellEnd"/>
      <w:r w:rsidRPr="00096351">
        <w:rPr>
          <w:color w:val="000000"/>
        </w:rPr>
        <w:t xml:space="preserve"> Food environment, and Health disparities: State of the science, Research Gaps and Opportunities. </w:t>
      </w:r>
      <w:r w:rsidRPr="00096351">
        <w:rPr>
          <w:i/>
          <w:iCs/>
          <w:color w:val="000000"/>
        </w:rPr>
        <w:t>The American Journal of Clinical Nutrition</w:t>
      </w:r>
      <w:r w:rsidRPr="00096351">
        <w:rPr>
          <w:color w:val="000000"/>
        </w:rPr>
        <w:t xml:space="preserve">, [online] 119(3), pp.850–861. </w:t>
      </w:r>
      <w:proofErr w:type="spellStart"/>
      <w:proofErr w:type="gramStart"/>
      <w:r w:rsidRPr="00096351">
        <w:rPr>
          <w:color w:val="000000"/>
        </w:rPr>
        <w:t>doi:https</w:t>
      </w:r>
      <w:proofErr w:type="spellEnd"/>
      <w:r w:rsidRPr="00096351">
        <w:rPr>
          <w:color w:val="000000"/>
        </w:rPr>
        <w:t>://doi.org/10.1016/j.ajcnut.2023.12.019</w:t>
      </w:r>
      <w:proofErr w:type="gramEnd"/>
      <w:r w:rsidRPr="00096351">
        <w:rPr>
          <w:color w:val="000000"/>
        </w:rPr>
        <w:t>.</w:t>
      </w:r>
    </w:p>
    <w:p w14:paraId="1F691A05" w14:textId="77777777" w:rsidR="00475A9B" w:rsidRPr="004477DB" w:rsidRDefault="00475A9B" w:rsidP="004477DB">
      <w:pPr>
        <w:spacing w:line="360" w:lineRule="auto"/>
        <w:jc w:val="both"/>
        <w:rPr>
          <w:rStyle w:val="apple-converted-space"/>
          <w:b/>
          <w:bCs/>
          <w:lang w:val="en-IN"/>
        </w:rPr>
      </w:pPr>
    </w:p>
    <w:p w14:paraId="55CDBF37" w14:textId="77777777" w:rsidR="00A0169F" w:rsidRPr="00A0169F" w:rsidRDefault="00A0169F" w:rsidP="00321F68">
      <w:pPr>
        <w:jc w:val="both"/>
      </w:pPr>
    </w:p>
    <w:sectPr w:rsidR="00A0169F" w:rsidRPr="00A016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ebkit-standard">
    <w:altName w:val="Cambria"/>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4A21"/>
    <w:multiLevelType w:val="multilevel"/>
    <w:tmpl w:val="C4E2B272"/>
    <w:lvl w:ilvl="0">
      <w:start w:val="1"/>
      <w:numFmt w:val="decimal"/>
      <w:lvlText w:val="%1."/>
      <w:lvlJc w:val="left"/>
      <w:pPr>
        <w:ind w:left="720" w:hanging="360"/>
      </w:pPr>
      <w:rPr>
        <w:b/>
        <w:bCs/>
      </w:rPr>
    </w:lvl>
    <w:lvl w:ilvl="1">
      <w:start w:val="1"/>
      <w:numFmt w:val="decimal"/>
      <w:isLgl/>
      <w:lvlText w:val="%1.%2."/>
      <w:lvlJc w:val="left"/>
      <w:pPr>
        <w:ind w:left="1400" w:hanging="720"/>
      </w:pPr>
      <w:rPr>
        <w:rFonts w:hint="default"/>
      </w:rPr>
    </w:lvl>
    <w:lvl w:ilvl="2">
      <w:start w:val="1"/>
      <w:numFmt w:val="decimal"/>
      <w:isLgl/>
      <w:lvlText w:val="%1.%2.%3."/>
      <w:lvlJc w:val="left"/>
      <w:pPr>
        <w:ind w:left="1720" w:hanging="720"/>
      </w:pPr>
      <w:rPr>
        <w:rFonts w:hint="default"/>
      </w:rPr>
    </w:lvl>
    <w:lvl w:ilvl="3">
      <w:start w:val="1"/>
      <w:numFmt w:val="decimal"/>
      <w:isLgl/>
      <w:lvlText w:val="%1.%2.%3.%4."/>
      <w:lvlJc w:val="left"/>
      <w:pPr>
        <w:ind w:left="2400" w:hanging="1080"/>
      </w:pPr>
      <w:rPr>
        <w:rFonts w:hint="default"/>
      </w:rPr>
    </w:lvl>
    <w:lvl w:ilvl="4">
      <w:start w:val="1"/>
      <w:numFmt w:val="decimal"/>
      <w:isLgl/>
      <w:lvlText w:val="%1.%2.%3.%4.%5."/>
      <w:lvlJc w:val="left"/>
      <w:pPr>
        <w:ind w:left="3080" w:hanging="1440"/>
      </w:pPr>
      <w:rPr>
        <w:rFonts w:hint="default"/>
      </w:rPr>
    </w:lvl>
    <w:lvl w:ilvl="5">
      <w:start w:val="1"/>
      <w:numFmt w:val="decimal"/>
      <w:isLgl/>
      <w:lvlText w:val="%1.%2.%3.%4.%5.%6."/>
      <w:lvlJc w:val="left"/>
      <w:pPr>
        <w:ind w:left="3400" w:hanging="1440"/>
      </w:pPr>
      <w:rPr>
        <w:rFonts w:hint="default"/>
      </w:rPr>
    </w:lvl>
    <w:lvl w:ilvl="6">
      <w:start w:val="1"/>
      <w:numFmt w:val="decimal"/>
      <w:isLgl/>
      <w:lvlText w:val="%1.%2.%3.%4.%5.%6.%7."/>
      <w:lvlJc w:val="left"/>
      <w:pPr>
        <w:ind w:left="4080" w:hanging="1800"/>
      </w:pPr>
      <w:rPr>
        <w:rFonts w:hint="default"/>
      </w:rPr>
    </w:lvl>
    <w:lvl w:ilvl="7">
      <w:start w:val="1"/>
      <w:numFmt w:val="decimal"/>
      <w:isLgl/>
      <w:lvlText w:val="%1.%2.%3.%4.%5.%6.%7.%8."/>
      <w:lvlJc w:val="left"/>
      <w:pPr>
        <w:ind w:left="4760" w:hanging="2160"/>
      </w:pPr>
      <w:rPr>
        <w:rFonts w:hint="default"/>
      </w:rPr>
    </w:lvl>
    <w:lvl w:ilvl="8">
      <w:start w:val="1"/>
      <w:numFmt w:val="decimal"/>
      <w:isLgl/>
      <w:lvlText w:val="%1.%2.%3.%4.%5.%6.%7.%8.%9."/>
      <w:lvlJc w:val="left"/>
      <w:pPr>
        <w:ind w:left="5080" w:hanging="2160"/>
      </w:pPr>
      <w:rPr>
        <w:rFonts w:hint="default"/>
      </w:rPr>
    </w:lvl>
  </w:abstractNum>
  <w:abstractNum w:abstractNumId="1" w15:restartNumberingAfterBreak="0">
    <w:nsid w:val="04E905B4"/>
    <w:multiLevelType w:val="hybridMultilevel"/>
    <w:tmpl w:val="E8407E42"/>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2" w15:restartNumberingAfterBreak="0">
    <w:nsid w:val="0B1B43C0"/>
    <w:multiLevelType w:val="multilevel"/>
    <w:tmpl w:val="C4E2B272"/>
    <w:lvl w:ilvl="0">
      <w:start w:val="1"/>
      <w:numFmt w:val="decimal"/>
      <w:lvlText w:val="%1."/>
      <w:lvlJc w:val="left"/>
      <w:pPr>
        <w:ind w:left="720" w:hanging="360"/>
      </w:pPr>
      <w:rPr>
        <w:b/>
        <w:bCs/>
      </w:rPr>
    </w:lvl>
    <w:lvl w:ilvl="1">
      <w:start w:val="1"/>
      <w:numFmt w:val="decimal"/>
      <w:isLgl/>
      <w:lvlText w:val="%1.%2."/>
      <w:lvlJc w:val="left"/>
      <w:pPr>
        <w:ind w:left="1400" w:hanging="720"/>
      </w:pPr>
      <w:rPr>
        <w:rFonts w:hint="default"/>
      </w:rPr>
    </w:lvl>
    <w:lvl w:ilvl="2">
      <w:start w:val="1"/>
      <w:numFmt w:val="decimal"/>
      <w:isLgl/>
      <w:lvlText w:val="%1.%2.%3."/>
      <w:lvlJc w:val="left"/>
      <w:pPr>
        <w:ind w:left="1720" w:hanging="720"/>
      </w:pPr>
      <w:rPr>
        <w:rFonts w:hint="default"/>
      </w:rPr>
    </w:lvl>
    <w:lvl w:ilvl="3">
      <w:start w:val="1"/>
      <w:numFmt w:val="decimal"/>
      <w:isLgl/>
      <w:lvlText w:val="%1.%2.%3.%4."/>
      <w:lvlJc w:val="left"/>
      <w:pPr>
        <w:ind w:left="2400" w:hanging="1080"/>
      </w:pPr>
      <w:rPr>
        <w:rFonts w:hint="default"/>
      </w:rPr>
    </w:lvl>
    <w:lvl w:ilvl="4">
      <w:start w:val="1"/>
      <w:numFmt w:val="decimal"/>
      <w:isLgl/>
      <w:lvlText w:val="%1.%2.%3.%4.%5."/>
      <w:lvlJc w:val="left"/>
      <w:pPr>
        <w:ind w:left="3080" w:hanging="1440"/>
      </w:pPr>
      <w:rPr>
        <w:rFonts w:hint="default"/>
      </w:rPr>
    </w:lvl>
    <w:lvl w:ilvl="5">
      <w:start w:val="1"/>
      <w:numFmt w:val="decimal"/>
      <w:isLgl/>
      <w:lvlText w:val="%1.%2.%3.%4.%5.%6."/>
      <w:lvlJc w:val="left"/>
      <w:pPr>
        <w:ind w:left="3400" w:hanging="1440"/>
      </w:pPr>
      <w:rPr>
        <w:rFonts w:hint="default"/>
      </w:rPr>
    </w:lvl>
    <w:lvl w:ilvl="6">
      <w:start w:val="1"/>
      <w:numFmt w:val="decimal"/>
      <w:isLgl/>
      <w:lvlText w:val="%1.%2.%3.%4.%5.%6.%7."/>
      <w:lvlJc w:val="left"/>
      <w:pPr>
        <w:ind w:left="4080" w:hanging="1800"/>
      </w:pPr>
      <w:rPr>
        <w:rFonts w:hint="default"/>
      </w:rPr>
    </w:lvl>
    <w:lvl w:ilvl="7">
      <w:start w:val="1"/>
      <w:numFmt w:val="decimal"/>
      <w:isLgl/>
      <w:lvlText w:val="%1.%2.%3.%4.%5.%6.%7.%8."/>
      <w:lvlJc w:val="left"/>
      <w:pPr>
        <w:ind w:left="4760" w:hanging="2160"/>
      </w:pPr>
      <w:rPr>
        <w:rFonts w:hint="default"/>
      </w:rPr>
    </w:lvl>
    <w:lvl w:ilvl="8">
      <w:start w:val="1"/>
      <w:numFmt w:val="decimal"/>
      <w:isLgl/>
      <w:lvlText w:val="%1.%2.%3.%4.%5.%6.%7.%8.%9."/>
      <w:lvlJc w:val="left"/>
      <w:pPr>
        <w:ind w:left="5080" w:hanging="2160"/>
      </w:pPr>
      <w:rPr>
        <w:rFonts w:hint="default"/>
      </w:rPr>
    </w:lvl>
  </w:abstractNum>
  <w:abstractNum w:abstractNumId="3" w15:restartNumberingAfterBreak="0">
    <w:nsid w:val="15510BDA"/>
    <w:multiLevelType w:val="hybridMultilevel"/>
    <w:tmpl w:val="11786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D15D45"/>
    <w:multiLevelType w:val="multilevel"/>
    <w:tmpl w:val="99561D9E"/>
    <w:lvl w:ilvl="0">
      <w:start w:val="1"/>
      <w:numFmt w:val="bullet"/>
      <w:lvlText w:val=""/>
      <w:lvlJc w:val="left"/>
      <w:pPr>
        <w:ind w:left="720" w:hanging="360"/>
      </w:pPr>
      <w:rPr>
        <w:rFonts w:ascii="Symbol" w:hAnsi="Symbol" w:hint="default"/>
        <w:b/>
        <w:bCs/>
      </w:rPr>
    </w:lvl>
    <w:lvl w:ilvl="1">
      <w:start w:val="1"/>
      <w:numFmt w:val="decimal"/>
      <w:isLgl/>
      <w:lvlText w:val="%1.%2."/>
      <w:lvlJc w:val="left"/>
      <w:pPr>
        <w:ind w:left="1400" w:hanging="720"/>
      </w:pPr>
      <w:rPr>
        <w:rFonts w:hint="default"/>
      </w:rPr>
    </w:lvl>
    <w:lvl w:ilvl="2">
      <w:start w:val="1"/>
      <w:numFmt w:val="decimal"/>
      <w:isLgl/>
      <w:lvlText w:val="%1.%2.%3."/>
      <w:lvlJc w:val="left"/>
      <w:pPr>
        <w:ind w:left="1720" w:hanging="720"/>
      </w:pPr>
      <w:rPr>
        <w:rFonts w:hint="default"/>
      </w:rPr>
    </w:lvl>
    <w:lvl w:ilvl="3">
      <w:start w:val="1"/>
      <w:numFmt w:val="decimal"/>
      <w:isLgl/>
      <w:lvlText w:val="%1.%2.%3.%4."/>
      <w:lvlJc w:val="left"/>
      <w:pPr>
        <w:ind w:left="2400" w:hanging="1080"/>
      </w:pPr>
      <w:rPr>
        <w:rFonts w:hint="default"/>
      </w:rPr>
    </w:lvl>
    <w:lvl w:ilvl="4">
      <w:start w:val="1"/>
      <w:numFmt w:val="decimal"/>
      <w:isLgl/>
      <w:lvlText w:val="%1.%2.%3.%4.%5."/>
      <w:lvlJc w:val="left"/>
      <w:pPr>
        <w:ind w:left="3080" w:hanging="1440"/>
      </w:pPr>
      <w:rPr>
        <w:rFonts w:hint="default"/>
      </w:rPr>
    </w:lvl>
    <w:lvl w:ilvl="5">
      <w:start w:val="1"/>
      <w:numFmt w:val="decimal"/>
      <w:isLgl/>
      <w:lvlText w:val="%1.%2.%3.%4.%5.%6."/>
      <w:lvlJc w:val="left"/>
      <w:pPr>
        <w:ind w:left="3400" w:hanging="1440"/>
      </w:pPr>
      <w:rPr>
        <w:rFonts w:hint="default"/>
      </w:rPr>
    </w:lvl>
    <w:lvl w:ilvl="6">
      <w:start w:val="1"/>
      <w:numFmt w:val="decimal"/>
      <w:isLgl/>
      <w:lvlText w:val="%1.%2.%3.%4.%5.%6.%7."/>
      <w:lvlJc w:val="left"/>
      <w:pPr>
        <w:ind w:left="4080" w:hanging="1800"/>
      </w:pPr>
      <w:rPr>
        <w:rFonts w:hint="default"/>
      </w:rPr>
    </w:lvl>
    <w:lvl w:ilvl="7">
      <w:start w:val="1"/>
      <w:numFmt w:val="decimal"/>
      <w:isLgl/>
      <w:lvlText w:val="%1.%2.%3.%4.%5.%6.%7.%8."/>
      <w:lvlJc w:val="left"/>
      <w:pPr>
        <w:ind w:left="4760" w:hanging="2160"/>
      </w:pPr>
      <w:rPr>
        <w:rFonts w:hint="default"/>
      </w:rPr>
    </w:lvl>
    <w:lvl w:ilvl="8">
      <w:start w:val="1"/>
      <w:numFmt w:val="decimal"/>
      <w:isLgl/>
      <w:lvlText w:val="%1.%2.%3.%4.%5.%6.%7.%8.%9."/>
      <w:lvlJc w:val="left"/>
      <w:pPr>
        <w:ind w:left="5080" w:hanging="2160"/>
      </w:pPr>
      <w:rPr>
        <w:rFonts w:hint="default"/>
      </w:rPr>
    </w:lvl>
  </w:abstractNum>
  <w:abstractNum w:abstractNumId="5" w15:restartNumberingAfterBreak="0">
    <w:nsid w:val="33AD2500"/>
    <w:multiLevelType w:val="multilevel"/>
    <w:tmpl w:val="729E8894"/>
    <w:lvl w:ilvl="0">
      <w:start w:val="2"/>
      <w:numFmt w:val="decimal"/>
      <w:lvlText w:val="%1."/>
      <w:lvlJc w:val="left"/>
      <w:pPr>
        <w:ind w:left="480" w:hanging="480"/>
      </w:pPr>
      <w:rPr>
        <w:rFonts w:hint="default"/>
        <w:color w:val="000000"/>
      </w:rPr>
    </w:lvl>
    <w:lvl w:ilvl="1">
      <w:start w:val="6"/>
      <w:numFmt w:val="decimal"/>
      <w:lvlText w:val="%1.%2."/>
      <w:lvlJc w:val="left"/>
      <w:pPr>
        <w:ind w:left="720" w:hanging="720"/>
      </w:pPr>
      <w:rPr>
        <w:rFonts w:hint="default"/>
        <w:color w:val="000000"/>
      </w:rPr>
    </w:lvl>
    <w:lvl w:ilvl="2">
      <w:start w:val="1"/>
      <w:numFmt w:val="decimal"/>
      <w:lvlText w:val="%1.%2.%3."/>
      <w:lvlJc w:val="left"/>
      <w:pPr>
        <w:ind w:left="720" w:hanging="720"/>
      </w:pPr>
      <w:rPr>
        <w:rFonts w:hint="default"/>
        <w:color w:val="000000"/>
      </w:rPr>
    </w:lvl>
    <w:lvl w:ilvl="3">
      <w:start w:val="1"/>
      <w:numFmt w:val="decimal"/>
      <w:lvlText w:val="%1.%2.%3.%4."/>
      <w:lvlJc w:val="left"/>
      <w:pPr>
        <w:ind w:left="1080" w:hanging="1080"/>
      </w:pPr>
      <w:rPr>
        <w:rFonts w:hint="default"/>
        <w:color w:val="000000"/>
      </w:rPr>
    </w:lvl>
    <w:lvl w:ilvl="4">
      <w:start w:val="1"/>
      <w:numFmt w:val="decimal"/>
      <w:lvlText w:val="%1.%2.%3.%4.%5."/>
      <w:lvlJc w:val="left"/>
      <w:pPr>
        <w:ind w:left="1440" w:hanging="1440"/>
      </w:pPr>
      <w:rPr>
        <w:rFonts w:hint="default"/>
        <w:color w:val="000000"/>
      </w:rPr>
    </w:lvl>
    <w:lvl w:ilvl="5">
      <w:start w:val="1"/>
      <w:numFmt w:val="decimal"/>
      <w:lvlText w:val="%1.%2.%3.%4.%5.%6."/>
      <w:lvlJc w:val="left"/>
      <w:pPr>
        <w:ind w:left="1440" w:hanging="1440"/>
      </w:pPr>
      <w:rPr>
        <w:rFonts w:hint="default"/>
        <w:color w:val="000000"/>
      </w:rPr>
    </w:lvl>
    <w:lvl w:ilvl="6">
      <w:start w:val="1"/>
      <w:numFmt w:val="decimal"/>
      <w:lvlText w:val="%1.%2.%3.%4.%5.%6.%7."/>
      <w:lvlJc w:val="left"/>
      <w:pPr>
        <w:ind w:left="1800" w:hanging="1800"/>
      </w:pPr>
      <w:rPr>
        <w:rFonts w:hint="default"/>
        <w:color w:val="000000"/>
      </w:rPr>
    </w:lvl>
    <w:lvl w:ilvl="7">
      <w:start w:val="1"/>
      <w:numFmt w:val="decimal"/>
      <w:lvlText w:val="%1.%2.%3.%4.%5.%6.%7.%8."/>
      <w:lvlJc w:val="left"/>
      <w:pPr>
        <w:ind w:left="2160" w:hanging="2160"/>
      </w:pPr>
      <w:rPr>
        <w:rFonts w:hint="default"/>
        <w:color w:val="000000"/>
      </w:rPr>
    </w:lvl>
    <w:lvl w:ilvl="8">
      <w:start w:val="1"/>
      <w:numFmt w:val="decimal"/>
      <w:lvlText w:val="%1.%2.%3.%4.%5.%6.%7.%8.%9."/>
      <w:lvlJc w:val="left"/>
      <w:pPr>
        <w:ind w:left="2160" w:hanging="2160"/>
      </w:pPr>
      <w:rPr>
        <w:rFonts w:hint="default"/>
        <w:color w:val="000000"/>
      </w:rPr>
    </w:lvl>
  </w:abstractNum>
  <w:abstractNum w:abstractNumId="6" w15:restartNumberingAfterBreak="0">
    <w:nsid w:val="385016BA"/>
    <w:multiLevelType w:val="multilevel"/>
    <w:tmpl w:val="32FEA57C"/>
    <w:lvl w:ilvl="0">
      <w:start w:val="1"/>
      <w:numFmt w:val="decimal"/>
      <w:lvlText w:val="%1."/>
      <w:lvlJc w:val="left"/>
      <w:pPr>
        <w:ind w:left="720" w:hanging="360"/>
      </w:pPr>
      <w:rPr>
        <w:rFonts w:hint="default"/>
      </w:rPr>
    </w:lvl>
    <w:lvl w:ilvl="1">
      <w:start w:val="1"/>
      <w:numFmt w:val="decimal"/>
      <w:isLgl/>
      <w:lvlText w:val="%1.%2."/>
      <w:lvlJc w:val="left"/>
      <w:pPr>
        <w:ind w:left="502" w:hanging="360"/>
      </w:pPr>
      <w:rPr>
        <w:rFonts w:hint="default"/>
        <w:b/>
        <w:bCs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abstractNum w:abstractNumId="7" w15:restartNumberingAfterBreak="0">
    <w:nsid w:val="3A5A4062"/>
    <w:multiLevelType w:val="hybridMultilevel"/>
    <w:tmpl w:val="72AA6FC2"/>
    <w:lvl w:ilvl="0" w:tplc="0809000F">
      <w:start w:val="1"/>
      <w:numFmt w:val="decimal"/>
      <w:lvlText w:val="%1."/>
      <w:lvlJc w:val="left"/>
      <w:pPr>
        <w:ind w:left="3058" w:hanging="360"/>
      </w:pPr>
    </w:lvl>
    <w:lvl w:ilvl="1" w:tplc="08090019" w:tentative="1">
      <w:start w:val="1"/>
      <w:numFmt w:val="lowerLetter"/>
      <w:lvlText w:val="%2."/>
      <w:lvlJc w:val="left"/>
      <w:pPr>
        <w:ind w:left="3778" w:hanging="360"/>
      </w:pPr>
    </w:lvl>
    <w:lvl w:ilvl="2" w:tplc="0809001B" w:tentative="1">
      <w:start w:val="1"/>
      <w:numFmt w:val="lowerRoman"/>
      <w:lvlText w:val="%3."/>
      <w:lvlJc w:val="right"/>
      <w:pPr>
        <w:ind w:left="4498" w:hanging="180"/>
      </w:pPr>
    </w:lvl>
    <w:lvl w:ilvl="3" w:tplc="0809000F" w:tentative="1">
      <w:start w:val="1"/>
      <w:numFmt w:val="decimal"/>
      <w:lvlText w:val="%4."/>
      <w:lvlJc w:val="left"/>
      <w:pPr>
        <w:ind w:left="5218" w:hanging="360"/>
      </w:pPr>
    </w:lvl>
    <w:lvl w:ilvl="4" w:tplc="08090019" w:tentative="1">
      <w:start w:val="1"/>
      <w:numFmt w:val="lowerLetter"/>
      <w:lvlText w:val="%5."/>
      <w:lvlJc w:val="left"/>
      <w:pPr>
        <w:ind w:left="5938" w:hanging="360"/>
      </w:pPr>
    </w:lvl>
    <w:lvl w:ilvl="5" w:tplc="0809001B" w:tentative="1">
      <w:start w:val="1"/>
      <w:numFmt w:val="lowerRoman"/>
      <w:lvlText w:val="%6."/>
      <w:lvlJc w:val="right"/>
      <w:pPr>
        <w:ind w:left="6658" w:hanging="180"/>
      </w:pPr>
    </w:lvl>
    <w:lvl w:ilvl="6" w:tplc="0809000F" w:tentative="1">
      <w:start w:val="1"/>
      <w:numFmt w:val="decimal"/>
      <w:lvlText w:val="%7."/>
      <w:lvlJc w:val="left"/>
      <w:pPr>
        <w:ind w:left="7378" w:hanging="360"/>
      </w:pPr>
    </w:lvl>
    <w:lvl w:ilvl="7" w:tplc="08090019" w:tentative="1">
      <w:start w:val="1"/>
      <w:numFmt w:val="lowerLetter"/>
      <w:lvlText w:val="%8."/>
      <w:lvlJc w:val="left"/>
      <w:pPr>
        <w:ind w:left="8098" w:hanging="360"/>
      </w:pPr>
    </w:lvl>
    <w:lvl w:ilvl="8" w:tplc="0809001B" w:tentative="1">
      <w:start w:val="1"/>
      <w:numFmt w:val="lowerRoman"/>
      <w:lvlText w:val="%9."/>
      <w:lvlJc w:val="right"/>
      <w:pPr>
        <w:ind w:left="8818" w:hanging="180"/>
      </w:pPr>
    </w:lvl>
  </w:abstractNum>
  <w:abstractNum w:abstractNumId="8" w15:restartNumberingAfterBreak="0">
    <w:nsid w:val="3DD41E8F"/>
    <w:multiLevelType w:val="multilevel"/>
    <w:tmpl w:val="C4E2B272"/>
    <w:lvl w:ilvl="0">
      <w:start w:val="1"/>
      <w:numFmt w:val="decimal"/>
      <w:lvlText w:val="%1."/>
      <w:lvlJc w:val="left"/>
      <w:pPr>
        <w:ind w:left="720" w:hanging="360"/>
      </w:pPr>
      <w:rPr>
        <w:b/>
        <w:bCs/>
      </w:rPr>
    </w:lvl>
    <w:lvl w:ilvl="1">
      <w:start w:val="1"/>
      <w:numFmt w:val="decimal"/>
      <w:isLgl/>
      <w:lvlText w:val="%1.%2."/>
      <w:lvlJc w:val="left"/>
      <w:pPr>
        <w:ind w:left="1400" w:hanging="720"/>
      </w:pPr>
      <w:rPr>
        <w:rFonts w:hint="default"/>
      </w:rPr>
    </w:lvl>
    <w:lvl w:ilvl="2">
      <w:start w:val="1"/>
      <w:numFmt w:val="decimal"/>
      <w:isLgl/>
      <w:lvlText w:val="%1.%2.%3."/>
      <w:lvlJc w:val="left"/>
      <w:pPr>
        <w:ind w:left="1720" w:hanging="720"/>
      </w:pPr>
      <w:rPr>
        <w:rFonts w:hint="default"/>
      </w:rPr>
    </w:lvl>
    <w:lvl w:ilvl="3">
      <w:start w:val="1"/>
      <w:numFmt w:val="decimal"/>
      <w:isLgl/>
      <w:lvlText w:val="%1.%2.%3.%4."/>
      <w:lvlJc w:val="left"/>
      <w:pPr>
        <w:ind w:left="2400" w:hanging="1080"/>
      </w:pPr>
      <w:rPr>
        <w:rFonts w:hint="default"/>
      </w:rPr>
    </w:lvl>
    <w:lvl w:ilvl="4">
      <w:start w:val="1"/>
      <w:numFmt w:val="decimal"/>
      <w:isLgl/>
      <w:lvlText w:val="%1.%2.%3.%4.%5."/>
      <w:lvlJc w:val="left"/>
      <w:pPr>
        <w:ind w:left="3080" w:hanging="1440"/>
      </w:pPr>
      <w:rPr>
        <w:rFonts w:hint="default"/>
      </w:rPr>
    </w:lvl>
    <w:lvl w:ilvl="5">
      <w:start w:val="1"/>
      <w:numFmt w:val="decimal"/>
      <w:isLgl/>
      <w:lvlText w:val="%1.%2.%3.%4.%5.%6."/>
      <w:lvlJc w:val="left"/>
      <w:pPr>
        <w:ind w:left="3400" w:hanging="1440"/>
      </w:pPr>
      <w:rPr>
        <w:rFonts w:hint="default"/>
      </w:rPr>
    </w:lvl>
    <w:lvl w:ilvl="6">
      <w:start w:val="1"/>
      <w:numFmt w:val="decimal"/>
      <w:isLgl/>
      <w:lvlText w:val="%1.%2.%3.%4.%5.%6.%7."/>
      <w:lvlJc w:val="left"/>
      <w:pPr>
        <w:ind w:left="4080" w:hanging="1800"/>
      </w:pPr>
      <w:rPr>
        <w:rFonts w:hint="default"/>
      </w:rPr>
    </w:lvl>
    <w:lvl w:ilvl="7">
      <w:start w:val="1"/>
      <w:numFmt w:val="decimal"/>
      <w:isLgl/>
      <w:lvlText w:val="%1.%2.%3.%4.%5.%6.%7.%8."/>
      <w:lvlJc w:val="left"/>
      <w:pPr>
        <w:ind w:left="4760" w:hanging="2160"/>
      </w:pPr>
      <w:rPr>
        <w:rFonts w:hint="default"/>
      </w:rPr>
    </w:lvl>
    <w:lvl w:ilvl="8">
      <w:start w:val="1"/>
      <w:numFmt w:val="decimal"/>
      <w:isLgl/>
      <w:lvlText w:val="%1.%2.%3.%4.%5.%6.%7.%8.%9."/>
      <w:lvlJc w:val="left"/>
      <w:pPr>
        <w:ind w:left="5080" w:hanging="2160"/>
      </w:pPr>
      <w:rPr>
        <w:rFonts w:hint="default"/>
      </w:rPr>
    </w:lvl>
  </w:abstractNum>
  <w:abstractNum w:abstractNumId="9" w15:restartNumberingAfterBreak="0">
    <w:nsid w:val="45BC6F3C"/>
    <w:multiLevelType w:val="multilevel"/>
    <w:tmpl w:val="C4E2B272"/>
    <w:lvl w:ilvl="0">
      <w:start w:val="1"/>
      <w:numFmt w:val="decimal"/>
      <w:lvlText w:val="%1."/>
      <w:lvlJc w:val="left"/>
      <w:pPr>
        <w:ind w:left="720" w:hanging="360"/>
      </w:pPr>
      <w:rPr>
        <w:b/>
        <w:bCs/>
      </w:rPr>
    </w:lvl>
    <w:lvl w:ilvl="1">
      <w:start w:val="1"/>
      <w:numFmt w:val="decimal"/>
      <w:isLgl/>
      <w:lvlText w:val="%1.%2."/>
      <w:lvlJc w:val="left"/>
      <w:pPr>
        <w:ind w:left="1400" w:hanging="720"/>
      </w:pPr>
      <w:rPr>
        <w:rFonts w:hint="default"/>
      </w:rPr>
    </w:lvl>
    <w:lvl w:ilvl="2">
      <w:start w:val="1"/>
      <w:numFmt w:val="decimal"/>
      <w:isLgl/>
      <w:lvlText w:val="%1.%2.%3."/>
      <w:lvlJc w:val="left"/>
      <w:pPr>
        <w:ind w:left="1720" w:hanging="720"/>
      </w:pPr>
      <w:rPr>
        <w:rFonts w:hint="default"/>
      </w:rPr>
    </w:lvl>
    <w:lvl w:ilvl="3">
      <w:start w:val="1"/>
      <w:numFmt w:val="decimal"/>
      <w:isLgl/>
      <w:lvlText w:val="%1.%2.%3.%4."/>
      <w:lvlJc w:val="left"/>
      <w:pPr>
        <w:ind w:left="2400" w:hanging="1080"/>
      </w:pPr>
      <w:rPr>
        <w:rFonts w:hint="default"/>
      </w:rPr>
    </w:lvl>
    <w:lvl w:ilvl="4">
      <w:start w:val="1"/>
      <w:numFmt w:val="decimal"/>
      <w:isLgl/>
      <w:lvlText w:val="%1.%2.%3.%4.%5."/>
      <w:lvlJc w:val="left"/>
      <w:pPr>
        <w:ind w:left="3080" w:hanging="1440"/>
      </w:pPr>
      <w:rPr>
        <w:rFonts w:hint="default"/>
      </w:rPr>
    </w:lvl>
    <w:lvl w:ilvl="5">
      <w:start w:val="1"/>
      <w:numFmt w:val="decimal"/>
      <w:isLgl/>
      <w:lvlText w:val="%1.%2.%3.%4.%5.%6."/>
      <w:lvlJc w:val="left"/>
      <w:pPr>
        <w:ind w:left="3400" w:hanging="1440"/>
      </w:pPr>
      <w:rPr>
        <w:rFonts w:hint="default"/>
      </w:rPr>
    </w:lvl>
    <w:lvl w:ilvl="6">
      <w:start w:val="1"/>
      <w:numFmt w:val="decimal"/>
      <w:isLgl/>
      <w:lvlText w:val="%1.%2.%3.%4.%5.%6.%7."/>
      <w:lvlJc w:val="left"/>
      <w:pPr>
        <w:ind w:left="4080" w:hanging="1800"/>
      </w:pPr>
      <w:rPr>
        <w:rFonts w:hint="default"/>
      </w:rPr>
    </w:lvl>
    <w:lvl w:ilvl="7">
      <w:start w:val="1"/>
      <w:numFmt w:val="decimal"/>
      <w:isLgl/>
      <w:lvlText w:val="%1.%2.%3.%4.%5.%6.%7.%8."/>
      <w:lvlJc w:val="left"/>
      <w:pPr>
        <w:ind w:left="4760" w:hanging="2160"/>
      </w:pPr>
      <w:rPr>
        <w:rFonts w:hint="default"/>
      </w:rPr>
    </w:lvl>
    <w:lvl w:ilvl="8">
      <w:start w:val="1"/>
      <w:numFmt w:val="decimal"/>
      <w:isLgl/>
      <w:lvlText w:val="%1.%2.%3.%4.%5.%6.%7.%8.%9."/>
      <w:lvlJc w:val="left"/>
      <w:pPr>
        <w:ind w:left="5080" w:hanging="2160"/>
      </w:pPr>
      <w:rPr>
        <w:rFonts w:hint="default"/>
      </w:rPr>
    </w:lvl>
  </w:abstractNum>
  <w:abstractNum w:abstractNumId="10" w15:restartNumberingAfterBreak="0">
    <w:nsid w:val="4DBF5C1D"/>
    <w:multiLevelType w:val="hybridMultilevel"/>
    <w:tmpl w:val="E7EC0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D6072D"/>
    <w:multiLevelType w:val="multilevel"/>
    <w:tmpl w:val="DDC2D688"/>
    <w:lvl w:ilvl="0">
      <w:start w:val="2"/>
      <w:numFmt w:val="decimal"/>
      <w:lvlText w:val="%1."/>
      <w:lvlJc w:val="left"/>
      <w:pPr>
        <w:ind w:left="480" w:hanging="480"/>
      </w:pPr>
      <w:rPr>
        <w:rFonts w:hint="default"/>
        <w:color w:val="000000"/>
      </w:rPr>
    </w:lvl>
    <w:lvl w:ilvl="1">
      <w:start w:val="6"/>
      <w:numFmt w:val="decimal"/>
      <w:lvlText w:val="%1.%2."/>
      <w:lvlJc w:val="left"/>
      <w:pPr>
        <w:ind w:left="720" w:hanging="720"/>
      </w:pPr>
      <w:rPr>
        <w:rFonts w:hint="default"/>
        <w:color w:val="000000"/>
      </w:rPr>
    </w:lvl>
    <w:lvl w:ilvl="2">
      <w:start w:val="1"/>
      <w:numFmt w:val="decimal"/>
      <w:lvlText w:val="%1.%2.%3."/>
      <w:lvlJc w:val="left"/>
      <w:pPr>
        <w:ind w:left="720" w:hanging="720"/>
      </w:pPr>
      <w:rPr>
        <w:rFonts w:hint="default"/>
        <w:color w:val="000000"/>
      </w:rPr>
    </w:lvl>
    <w:lvl w:ilvl="3">
      <w:start w:val="1"/>
      <w:numFmt w:val="decimal"/>
      <w:lvlText w:val="%1.%2.%3.%4."/>
      <w:lvlJc w:val="left"/>
      <w:pPr>
        <w:ind w:left="1080" w:hanging="1080"/>
      </w:pPr>
      <w:rPr>
        <w:rFonts w:hint="default"/>
        <w:color w:val="000000"/>
      </w:rPr>
    </w:lvl>
    <w:lvl w:ilvl="4">
      <w:start w:val="1"/>
      <w:numFmt w:val="decimal"/>
      <w:lvlText w:val="%1.%2.%3.%4.%5."/>
      <w:lvlJc w:val="left"/>
      <w:pPr>
        <w:ind w:left="1440" w:hanging="1440"/>
      </w:pPr>
      <w:rPr>
        <w:rFonts w:hint="default"/>
        <w:color w:val="000000"/>
      </w:rPr>
    </w:lvl>
    <w:lvl w:ilvl="5">
      <w:start w:val="1"/>
      <w:numFmt w:val="decimal"/>
      <w:lvlText w:val="%1.%2.%3.%4.%5.%6."/>
      <w:lvlJc w:val="left"/>
      <w:pPr>
        <w:ind w:left="1440" w:hanging="1440"/>
      </w:pPr>
      <w:rPr>
        <w:rFonts w:hint="default"/>
        <w:color w:val="000000"/>
      </w:rPr>
    </w:lvl>
    <w:lvl w:ilvl="6">
      <w:start w:val="1"/>
      <w:numFmt w:val="decimal"/>
      <w:lvlText w:val="%1.%2.%3.%4.%5.%6.%7."/>
      <w:lvlJc w:val="left"/>
      <w:pPr>
        <w:ind w:left="1800" w:hanging="1800"/>
      </w:pPr>
      <w:rPr>
        <w:rFonts w:hint="default"/>
        <w:color w:val="000000"/>
      </w:rPr>
    </w:lvl>
    <w:lvl w:ilvl="7">
      <w:start w:val="1"/>
      <w:numFmt w:val="decimal"/>
      <w:lvlText w:val="%1.%2.%3.%4.%5.%6.%7.%8."/>
      <w:lvlJc w:val="left"/>
      <w:pPr>
        <w:ind w:left="2160" w:hanging="2160"/>
      </w:pPr>
      <w:rPr>
        <w:rFonts w:hint="default"/>
        <w:color w:val="000000"/>
      </w:rPr>
    </w:lvl>
    <w:lvl w:ilvl="8">
      <w:start w:val="1"/>
      <w:numFmt w:val="decimal"/>
      <w:lvlText w:val="%1.%2.%3.%4.%5.%6.%7.%8.%9."/>
      <w:lvlJc w:val="left"/>
      <w:pPr>
        <w:ind w:left="2160" w:hanging="2160"/>
      </w:pPr>
      <w:rPr>
        <w:rFonts w:hint="default"/>
        <w:color w:val="000000"/>
      </w:rPr>
    </w:lvl>
  </w:abstractNum>
  <w:abstractNum w:abstractNumId="12" w15:restartNumberingAfterBreak="0">
    <w:nsid w:val="5D374BBF"/>
    <w:multiLevelType w:val="multilevel"/>
    <w:tmpl w:val="3C526B22"/>
    <w:lvl w:ilvl="0">
      <w:start w:val="2"/>
      <w:numFmt w:val="decimal"/>
      <w:lvlText w:val="%1"/>
      <w:lvlJc w:val="left"/>
      <w:pPr>
        <w:ind w:left="360" w:hanging="360"/>
      </w:pPr>
      <w:rPr>
        <w:rFonts w:ascii="-webkit-standard" w:hAnsi="-webkit-standard" w:cstheme="minorBidi" w:hint="default"/>
        <w:b w:val="0"/>
        <w:sz w:val="27"/>
      </w:rPr>
    </w:lvl>
    <w:lvl w:ilvl="1">
      <w:start w:val="3"/>
      <w:numFmt w:val="decimal"/>
      <w:lvlText w:val="%1.%2"/>
      <w:lvlJc w:val="left"/>
      <w:pPr>
        <w:ind w:left="360" w:hanging="360"/>
      </w:pPr>
      <w:rPr>
        <w:rFonts w:ascii="Times New Roman" w:hAnsi="Times New Roman" w:cs="Times New Roman" w:hint="default"/>
        <w:b/>
        <w:bCs w:val="0"/>
        <w:sz w:val="28"/>
        <w:szCs w:val="28"/>
      </w:rPr>
    </w:lvl>
    <w:lvl w:ilvl="2">
      <w:start w:val="1"/>
      <w:numFmt w:val="decimal"/>
      <w:lvlText w:val="%1.%2.%3"/>
      <w:lvlJc w:val="left"/>
      <w:pPr>
        <w:ind w:left="720" w:hanging="720"/>
      </w:pPr>
      <w:rPr>
        <w:rFonts w:ascii="-webkit-standard" w:hAnsi="-webkit-standard" w:cstheme="minorBidi" w:hint="default"/>
        <w:b w:val="0"/>
        <w:sz w:val="27"/>
      </w:rPr>
    </w:lvl>
    <w:lvl w:ilvl="3">
      <w:start w:val="1"/>
      <w:numFmt w:val="decimal"/>
      <w:lvlText w:val="%1.%2.%3.%4"/>
      <w:lvlJc w:val="left"/>
      <w:pPr>
        <w:ind w:left="720" w:hanging="720"/>
      </w:pPr>
      <w:rPr>
        <w:rFonts w:ascii="-webkit-standard" w:hAnsi="-webkit-standard" w:cstheme="minorBidi" w:hint="default"/>
        <w:b w:val="0"/>
        <w:sz w:val="27"/>
      </w:rPr>
    </w:lvl>
    <w:lvl w:ilvl="4">
      <w:start w:val="1"/>
      <w:numFmt w:val="decimal"/>
      <w:lvlText w:val="%1.%2.%3.%4.%5"/>
      <w:lvlJc w:val="left"/>
      <w:pPr>
        <w:ind w:left="1080" w:hanging="1080"/>
      </w:pPr>
      <w:rPr>
        <w:rFonts w:ascii="-webkit-standard" w:hAnsi="-webkit-standard" w:cstheme="minorBidi" w:hint="default"/>
        <w:b w:val="0"/>
        <w:sz w:val="27"/>
      </w:rPr>
    </w:lvl>
    <w:lvl w:ilvl="5">
      <w:start w:val="1"/>
      <w:numFmt w:val="decimal"/>
      <w:lvlText w:val="%1.%2.%3.%4.%5.%6"/>
      <w:lvlJc w:val="left"/>
      <w:pPr>
        <w:ind w:left="1080" w:hanging="1080"/>
      </w:pPr>
      <w:rPr>
        <w:rFonts w:ascii="-webkit-standard" w:hAnsi="-webkit-standard" w:cstheme="minorBidi" w:hint="default"/>
        <w:b w:val="0"/>
        <w:sz w:val="27"/>
      </w:rPr>
    </w:lvl>
    <w:lvl w:ilvl="6">
      <w:start w:val="1"/>
      <w:numFmt w:val="decimal"/>
      <w:lvlText w:val="%1.%2.%3.%4.%5.%6.%7"/>
      <w:lvlJc w:val="left"/>
      <w:pPr>
        <w:ind w:left="1440" w:hanging="1440"/>
      </w:pPr>
      <w:rPr>
        <w:rFonts w:ascii="-webkit-standard" w:hAnsi="-webkit-standard" w:cstheme="minorBidi" w:hint="default"/>
        <w:b w:val="0"/>
        <w:sz w:val="27"/>
      </w:rPr>
    </w:lvl>
    <w:lvl w:ilvl="7">
      <w:start w:val="1"/>
      <w:numFmt w:val="decimal"/>
      <w:lvlText w:val="%1.%2.%3.%4.%5.%6.%7.%8"/>
      <w:lvlJc w:val="left"/>
      <w:pPr>
        <w:ind w:left="1440" w:hanging="1440"/>
      </w:pPr>
      <w:rPr>
        <w:rFonts w:ascii="-webkit-standard" w:hAnsi="-webkit-standard" w:cstheme="minorBidi" w:hint="default"/>
        <w:b w:val="0"/>
        <w:sz w:val="27"/>
      </w:rPr>
    </w:lvl>
    <w:lvl w:ilvl="8">
      <w:start w:val="1"/>
      <w:numFmt w:val="decimal"/>
      <w:lvlText w:val="%1.%2.%3.%4.%5.%6.%7.%8.%9"/>
      <w:lvlJc w:val="left"/>
      <w:pPr>
        <w:ind w:left="1800" w:hanging="1800"/>
      </w:pPr>
      <w:rPr>
        <w:rFonts w:ascii="-webkit-standard" w:hAnsi="-webkit-standard" w:cstheme="minorBidi" w:hint="default"/>
        <w:b w:val="0"/>
        <w:sz w:val="27"/>
      </w:rPr>
    </w:lvl>
  </w:abstractNum>
  <w:abstractNum w:abstractNumId="13" w15:restartNumberingAfterBreak="0">
    <w:nsid w:val="66CF5406"/>
    <w:multiLevelType w:val="multilevel"/>
    <w:tmpl w:val="44668474"/>
    <w:lvl w:ilvl="0">
      <w:start w:val="2"/>
      <w:numFmt w:val="decimal"/>
      <w:lvlText w:val="%1."/>
      <w:lvlJc w:val="left"/>
      <w:pPr>
        <w:ind w:left="480" w:hanging="480"/>
      </w:pPr>
      <w:rPr>
        <w:rFonts w:hint="default"/>
        <w:color w:val="000000"/>
      </w:rPr>
    </w:lvl>
    <w:lvl w:ilvl="1">
      <w:start w:val="6"/>
      <w:numFmt w:val="decimal"/>
      <w:lvlText w:val="%1.%2."/>
      <w:lvlJc w:val="left"/>
      <w:pPr>
        <w:ind w:left="720" w:hanging="720"/>
      </w:pPr>
      <w:rPr>
        <w:rFonts w:hint="default"/>
        <w:color w:val="000000"/>
      </w:rPr>
    </w:lvl>
    <w:lvl w:ilvl="2">
      <w:start w:val="1"/>
      <w:numFmt w:val="decimal"/>
      <w:lvlText w:val="%1.%2.%3."/>
      <w:lvlJc w:val="left"/>
      <w:pPr>
        <w:ind w:left="720" w:hanging="720"/>
      </w:pPr>
      <w:rPr>
        <w:rFonts w:hint="default"/>
        <w:color w:val="000000"/>
      </w:rPr>
    </w:lvl>
    <w:lvl w:ilvl="3">
      <w:start w:val="1"/>
      <w:numFmt w:val="decimal"/>
      <w:lvlText w:val="%1.%2.%3.%4."/>
      <w:lvlJc w:val="left"/>
      <w:pPr>
        <w:ind w:left="1080" w:hanging="1080"/>
      </w:pPr>
      <w:rPr>
        <w:rFonts w:hint="default"/>
        <w:color w:val="000000"/>
      </w:rPr>
    </w:lvl>
    <w:lvl w:ilvl="4">
      <w:start w:val="1"/>
      <w:numFmt w:val="decimal"/>
      <w:lvlText w:val="%1.%2.%3.%4.%5."/>
      <w:lvlJc w:val="left"/>
      <w:pPr>
        <w:ind w:left="1440" w:hanging="1440"/>
      </w:pPr>
      <w:rPr>
        <w:rFonts w:hint="default"/>
        <w:color w:val="000000"/>
      </w:rPr>
    </w:lvl>
    <w:lvl w:ilvl="5">
      <w:start w:val="1"/>
      <w:numFmt w:val="decimal"/>
      <w:lvlText w:val="%1.%2.%3.%4.%5.%6."/>
      <w:lvlJc w:val="left"/>
      <w:pPr>
        <w:ind w:left="1440" w:hanging="1440"/>
      </w:pPr>
      <w:rPr>
        <w:rFonts w:hint="default"/>
        <w:color w:val="000000"/>
      </w:rPr>
    </w:lvl>
    <w:lvl w:ilvl="6">
      <w:start w:val="1"/>
      <w:numFmt w:val="decimal"/>
      <w:lvlText w:val="%1.%2.%3.%4.%5.%6.%7."/>
      <w:lvlJc w:val="left"/>
      <w:pPr>
        <w:ind w:left="1800" w:hanging="1800"/>
      </w:pPr>
      <w:rPr>
        <w:rFonts w:hint="default"/>
        <w:color w:val="000000"/>
      </w:rPr>
    </w:lvl>
    <w:lvl w:ilvl="7">
      <w:start w:val="1"/>
      <w:numFmt w:val="decimal"/>
      <w:lvlText w:val="%1.%2.%3.%4.%5.%6.%7.%8."/>
      <w:lvlJc w:val="left"/>
      <w:pPr>
        <w:ind w:left="2160" w:hanging="2160"/>
      </w:pPr>
      <w:rPr>
        <w:rFonts w:hint="default"/>
        <w:color w:val="000000"/>
      </w:rPr>
    </w:lvl>
    <w:lvl w:ilvl="8">
      <w:start w:val="1"/>
      <w:numFmt w:val="decimal"/>
      <w:lvlText w:val="%1.%2.%3.%4.%5.%6.%7.%8.%9."/>
      <w:lvlJc w:val="left"/>
      <w:pPr>
        <w:ind w:left="2160" w:hanging="2160"/>
      </w:pPr>
      <w:rPr>
        <w:rFonts w:hint="default"/>
        <w:color w:val="000000"/>
      </w:rPr>
    </w:lvl>
  </w:abstractNum>
  <w:num w:numId="1" w16cid:durableId="1342467694">
    <w:abstractNumId w:val="7"/>
  </w:num>
  <w:num w:numId="2" w16cid:durableId="1402211920">
    <w:abstractNumId w:val="8"/>
  </w:num>
  <w:num w:numId="3" w16cid:durableId="2049408281">
    <w:abstractNumId w:val="3"/>
  </w:num>
  <w:num w:numId="4" w16cid:durableId="2040399814">
    <w:abstractNumId w:val="10"/>
  </w:num>
  <w:num w:numId="5" w16cid:durableId="1546217323">
    <w:abstractNumId w:val="6"/>
  </w:num>
  <w:num w:numId="6" w16cid:durableId="1862934355">
    <w:abstractNumId w:val="12"/>
  </w:num>
  <w:num w:numId="7" w16cid:durableId="143205847">
    <w:abstractNumId w:val="5"/>
  </w:num>
  <w:num w:numId="8" w16cid:durableId="1853908101">
    <w:abstractNumId w:val="13"/>
  </w:num>
  <w:num w:numId="9" w16cid:durableId="1580402850">
    <w:abstractNumId w:val="11"/>
  </w:num>
  <w:num w:numId="10" w16cid:durableId="1382555703">
    <w:abstractNumId w:val="2"/>
  </w:num>
  <w:num w:numId="11" w16cid:durableId="275530153">
    <w:abstractNumId w:val="0"/>
  </w:num>
  <w:num w:numId="12" w16cid:durableId="442575595">
    <w:abstractNumId w:val="9"/>
  </w:num>
  <w:num w:numId="13" w16cid:durableId="1661076011">
    <w:abstractNumId w:val="4"/>
  </w:num>
  <w:num w:numId="14" w16cid:durableId="623579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3D9"/>
    <w:rsid w:val="0002669D"/>
    <w:rsid w:val="00062B79"/>
    <w:rsid w:val="000C7601"/>
    <w:rsid w:val="00125AD2"/>
    <w:rsid w:val="001442B5"/>
    <w:rsid w:val="001C5FC4"/>
    <w:rsid w:val="001F204F"/>
    <w:rsid w:val="001F2326"/>
    <w:rsid w:val="002416C5"/>
    <w:rsid w:val="00257AD2"/>
    <w:rsid w:val="00267CFC"/>
    <w:rsid w:val="002A68F3"/>
    <w:rsid w:val="002F3C3E"/>
    <w:rsid w:val="00321F68"/>
    <w:rsid w:val="003B582B"/>
    <w:rsid w:val="004477DB"/>
    <w:rsid w:val="00475A9B"/>
    <w:rsid w:val="0048189E"/>
    <w:rsid w:val="00491FA7"/>
    <w:rsid w:val="004B2F14"/>
    <w:rsid w:val="004D3B93"/>
    <w:rsid w:val="005331D6"/>
    <w:rsid w:val="00566D33"/>
    <w:rsid w:val="005801E9"/>
    <w:rsid w:val="005E409D"/>
    <w:rsid w:val="005F4960"/>
    <w:rsid w:val="00611692"/>
    <w:rsid w:val="00706017"/>
    <w:rsid w:val="007316E4"/>
    <w:rsid w:val="0076540C"/>
    <w:rsid w:val="00794C09"/>
    <w:rsid w:val="007A4453"/>
    <w:rsid w:val="007C5AD2"/>
    <w:rsid w:val="007F5616"/>
    <w:rsid w:val="00877083"/>
    <w:rsid w:val="0095382E"/>
    <w:rsid w:val="00990BBD"/>
    <w:rsid w:val="00A0169F"/>
    <w:rsid w:val="00A26F70"/>
    <w:rsid w:val="00A7248A"/>
    <w:rsid w:val="00A76BA1"/>
    <w:rsid w:val="00A82A9F"/>
    <w:rsid w:val="00B219EF"/>
    <w:rsid w:val="00B24A6F"/>
    <w:rsid w:val="00B4594A"/>
    <w:rsid w:val="00B75ADD"/>
    <w:rsid w:val="00B8366B"/>
    <w:rsid w:val="00BD13D9"/>
    <w:rsid w:val="00C447AB"/>
    <w:rsid w:val="00C63DE2"/>
    <w:rsid w:val="00C8069A"/>
    <w:rsid w:val="00C872BD"/>
    <w:rsid w:val="00C95535"/>
    <w:rsid w:val="00D56849"/>
    <w:rsid w:val="00D926F3"/>
    <w:rsid w:val="00D93798"/>
    <w:rsid w:val="00DD1C74"/>
    <w:rsid w:val="00E050CA"/>
    <w:rsid w:val="00E124DC"/>
    <w:rsid w:val="00E65A49"/>
    <w:rsid w:val="00EC522E"/>
    <w:rsid w:val="00EC64E8"/>
    <w:rsid w:val="00EE0787"/>
    <w:rsid w:val="00F23345"/>
    <w:rsid w:val="00F43AF4"/>
    <w:rsid w:val="00F85065"/>
    <w:rsid w:val="00F851E6"/>
    <w:rsid w:val="00F92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8C137"/>
  <w15:chartTrackingRefBased/>
  <w15:docId w15:val="{B0450C5B-1892-F348-9BB3-38D4E3D4C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AD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D13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13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13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13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13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13D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13D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13D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13D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3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13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13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13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13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13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13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13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13D9"/>
    <w:rPr>
      <w:rFonts w:eastAsiaTheme="majorEastAsia" w:cstheme="majorBidi"/>
      <w:color w:val="272727" w:themeColor="text1" w:themeTint="D8"/>
    </w:rPr>
  </w:style>
  <w:style w:type="paragraph" w:styleId="Title">
    <w:name w:val="Title"/>
    <w:basedOn w:val="Normal"/>
    <w:next w:val="Normal"/>
    <w:link w:val="TitleChar"/>
    <w:uiPriority w:val="10"/>
    <w:qFormat/>
    <w:rsid w:val="00BD13D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13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13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13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13D9"/>
    <w:pPr>
      <w:spacing w:before="160"/>
      <w:jc w:val="center"/>
    </w:pPr>
    <w:rPr>
      <w:i/>
      <w:iCs/>
      <w:color w:val="404040" w:themeColor="text1" w:themeTint="BF"/>
    </w:rPr>
  </w:style>
  <w:style w:type="character" w:customStyle="1" w:styleId="QuoteChar">
    <w:name w:val="Quote Char"/>
    <w:basedOn w:val="DefaultParagraphFont"/>
    <w:link w:val="Quote"/>
    <w:uiPriority w:val="29"/>
    <w:rsid w:val="00BD13D9"/>
    <w:rPr>
      <w:i/>
      <w:iCs/>
      <w:color w:val="404040" w:themeColor="text1" w:themeTint="BF"/>
    </w:rPr>
  </w:style>
  <w:style w:type="paragraph" w:styleId="ListParagraph">
    <w:name w:val="List Paragraph"/>
    <w:basedOn w:val="Normal"/>
    <w:uiPriority w:val="34"/>
    <w:qFormat/>
    <w:rsid w:val="00BD13D9"/>
    <w:pPr>
      <w:ind w:left="720"/>
      <w:contextualSpacing/>
    </w:pPr>
  </w:style>
  <w:style w:type="character" w:styleId="IntenseEmphasis">
    <w:name w:val="Intense Emphasis"/>
    <w:basedOn w:val="DefaultParagraphFont"/>
    <w:uiPriority w:val="21"/>
    <w:qFormat/>
    <w:rsid w:val="00BD13D9"/>
    <w:rPr>
      <w:i/>
      <w:iCs/>
      <w:color w:val="0F4761" w:themeColor="accent1" w:themeShade="BF"/>
    </w:rPr>
  </w:style>
  <w:style w:type="paragraph" w:styleId="IntenseQuote">
    <w:name w:val="Intense Quote"/>
    <w:basedOn w:val="Normal"/>
    <w:next w:val="Normal"/>
    <w:link w:val="IntenseQuoteChar"/>
    <w:uiPriority w:val="30"/>
    <w:qFormat/>
    <w:rsid w:val="00BD13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13D9"/>
    <w:rPr>
      <w:i/>
      <w:iCs/>
      <w:color w:val="0F4761" w:themeColor="accent1" w:themeShade="BF"/>
    </w:rPr>
  </w:style>
  <w:style w:type="character" w:styleId="IntenseReference">
    <w:name w:val="Intense Reference"/>
    <w:basedOn w:val="DefaultParagraphFont"/>
    <w:uiPriority w:val="32"/>
    <w:qFormat/>
    <w:rsid w:val="00BD13D9"/>
    <w:rPr>
      <w:b/>
      <w:bCs/>
      <w:smallCaps/>
      <w:color w:val="0F4761" w:themeColor="accent1" w:themeShade="BF"/>
      <w:spacing w:val="5"/>
    </w:rPr>
  </w:style>
  <w:style w:type="paragraph" w:customStyle="1" w:styleId="s7">
    <w:name w:val="s7"/>
    <w:basedOn w:val="Normal"/>
    <w:rsid w:val="00BD13D9"/>
    <w:pPr>
      <w:spacing w:before="100" w:beforeAutospacing="1" w:after="100" w:afterAutospacing="1"/>
    </w:pPr>
  </w:style>
  <w:style w:type="character" w:customStyle="1" w:styleId="s5">
    <w:name w:val="s5"/>
    <w:basedOn w:val="DefaultParagraphFont"/>
    <w:rsid w:val="00BD13D9"/>
  </w:style>
  <w:style w:type="character" w:customStyle="1" w:styleId="apple-converted-space">
    <w:name w:val="apple-converted-space"/>
    <w:basedOn w:val="DefaultParagraphFont"/>
    <w:rsid w:val="00BD13D9"/>
  </w:style>
  <w:style w:type="character" w:customStyle="1" w:styleId="s6">
    <w:name w:val="s6"/>
    <w:basedOn w:val="DefaultParagraphFont"/>
    <w:rsid w:val="00BD13D9"/>
  </w:style>
  <w:style w:type="paragraph" w:customStyle="1" w:styleId="s8">
    <w:name w:val="s8"/>
    <w:basedOn w:val="Normal"/>
    <w:rsid w:val="00BD13D9"/>
    <w:pPr>
      <w:spacing w:before="100" w:beforeAutospacing="1" w:after="100" w:afterAutospacing="1"/>
    </w:pPr>
  </w:style>
  <w:style w:type="paragraph" w:customStyle="1" w:styleId="p1">
    <w:name w:val="p1"/>
    <w:basedOn w:val="Normal"/>
    <w:rsid w:val="00BD13D9"/>
    <w:rPr>
      <w:rFonts w:ascii="Arial" w:hAnsi="Arial" w:cs="Arial"/>
      <w:color w:val="000000"/>
      <w:sz w:val="17"/>
      <w:szCs w:val="17"/>
    </w:rPr>
  </w:style>
  <w:style w:type="paragraph" w:styleId="NormalWeb">
    <w:name w:val="Normal (Web)"/>
    <w:basedOn w:val="Normal"/>
    <w:uiPriority w:val="99"/>
    <w:unhideWhenUsed/>
    <w:rsid w:val="00062B79"/>
    <w:pPr>
      <w:spacing w:before="100" w:beforeAutospacing="1" w:after="100" w:afterAutospacing="1"/>
    </w:pPr>
  </w:style>
  <w:style w:type="table" w:styleId="TableGrid">
    <w:name w:val="Table Grid"/>
    <w:basedOn w:val="TableNormal"/>
    <w:uiPriority w:val="39"/>
    <w:rsid w:val="00B836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D1C74"/>
    <w:rPr>
      <w:color w:val="467886" w:themeColor="hyperlink"/>
      <w:u w:val="single"/>
    </w:rPr>
  </w:style>
  <w:style w:type="character" w:styleId="UnresolvedMention">
    <w:name w:val="Unresolved Mention"/>
    <w:basedOn w:val="DefaultParagraphFont"/>
    <w:uiPriority w:val="99"/>
    <w:semiHidden/>
    <w:unhideWhenUsed/>
    <w:rsid w:val="00DD1C74"/>
    <w:rPr>
      <w:color w:val="605E5C"/>
      <w:shd w:val="clear" w:color="auto" w:fill="E1DFDD"/>
    </w:rPr>
  </w:style>
  <w:style w:type="character" w:customStyle="1" w:styleId="whitespace-normal">
    <w:name w:val="whitespace-normal"/>
    <w:basedOn w:val="DefaultParagraphFont"/>
    <w:rsid w:val="007C5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ns.gov.uk/peoplepopulationandcommunity/birthsdeathsandmarriages/deaths/bulletins/deathsinvolvingcovid19bylocalareasanddeprivation/deathsoccurringbetween1marchand30june20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diabetes/diabetes-prevention/"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4725</Words>
  <Characters>26937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Tiwari (2526931)</dc:creator>
  <cp:keywords/>
  <dc:description/>
  <cp:lastModifiedBy>Amit Tiwari (2526931)</cp:lastModifiedBy>
  <cp:revision>2</cp:revision>
  <dcterms:created xsi:type="dcterms:W3CDTF">2026-04-30T23:26:00Z</dcterms:created>
  <dcterms:modified xsi:type="dcterms:W3CDTF">2026-04-30T23:26:00Z</dcterms:modified>
</cp:coreProperties>
</file>