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2AE3D">
      <w:pPr>
        <w:spacing w:before="200"/>
        <w:ind w:firstLine="720"/>
        <w:jc w:val="center"/>
        <w:rPr>
          <w:rFonts w:cs="Arial"/>
          <w:b/>
          <w:sz w:val="22"/>
          <w:szCs w:val="22"/>
        </w:rPr>
      </w:pPr>
      <w:r>
        <w:rPr>
          <w:rFonts w:cs="Arial"/>
          <w:b/>
          <w:sz w:val="22"/>
          <w:szCs w:val="22"/>
        </w:rPr>
        <w:t xml:space="preserve">PG1 </w:t>
      </w:r>
      <w:r>
        <w:rPr>
          <w:rFonts w:hint="eastAsia" w:eastAsia="宋体" w:cs="Arial"/>
          <w:b/>
          <w:sz w:val="22"/>
          <w:szCs w:val="22"/>
          <w:lang w:eastAsia="zh-CN"/>
        </w:rPr>
        <w:t>·</w:t>
      </w:r>
      <w:r>
        <w:rPr>
          <w:rFonts w:cs="Arial"/>
          <w:b/>
          <w:sz w:val="22"/>
          <w:szCs w:val="22"/>
        </w:rPr>
        <w:t>FULL RESEARCH PROPOSAL</w:t>
      </w:r>
    </w:p>
    <w:p w14:paraId="0802AE3E">
      <w:pPr>
        <w:rPr>
          <w:rFonts w:cs="Arial"/>
          <w:b/>
          <w:sz w:val="22"/>
          <w:szCs w:val="22"/>
        </w:rPr>
      </w:pPr>
    </w:p>
    <w:tbl>
      <w:tblPr>
        <w:tblStyle w:val="14"/>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6"/>
      </w:tblGrid>
      <w:tr w14:paraId="0802A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tcPr>
          <w:p w14:paraId="0802AE3F">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r>
              <w:fldChar w:fldCharType="begin"/>
            </w:r>
            <w:r>
              <w:instrText xml:space="preserve"> HYPERLINK "mailto:pgresearch@uwtsd.ac.uk" </w:instrText>
            </w:r>
            <w:r>
              <w:fldChar w:fldCharType="separate"/>
            </w:r>
            <w:r>
              <w:rPr>
                <w:rStyle w:val="18"/>
                <w:rFonts w:cs="Arial"/>
                <w:sz w:val="22"/>
                <w:szCs w:val="22"/>
              </w:rPr>
              <w:t>pgresearch@uwtsd.ac.uk</w:t>
            </w:r>
            <w:r>
              <w:rPr>
                <w:rStyle w:val="18"/>
                <w:rFonts w:cs="Arial"/>
                <w:sz w:val="22"/>
                <w:szCs w:val="22"/>
              </w:rPr>
              <w:fldChar w:fldCharType="end"/>
            </w:r>
            <w:r>
              <w:rPr>
                <w:rFonts w:cs="Arial"/>
                <w:b/>
                <w:bCs/>
                <w:sz w:val="22"/>
                <w:szCs w:val="22"/>
              </w:rPr>
              <w:t xml:space="preserve">. </w:t>
            </w:r>
          </w:p>
        </w:tc>
      </w:tr>
    </w:tbl>
    <w:p w14:paraId="0802AE41">
      <w:pPr>
        <w:rPr>
          <w:rFonts w:cs="Arial"/>
          <w:b/>
          <w:sz w:val="22"/>
          <w:szCs w:val="22"/>
        </w:rPr>
      </w:pPr>
    </w:p>
    <w:p w14:paraId="0802AE42">
      <w:pPr>
        <w:spacing w:before="240"/>
        <w:rPr>
          <w:rFonts w:cs="Arial"/>
          <w:b/>
          <w:sz w:val="22"/>
          <w:szCs w:val="22"/>
        </w:rPr>
      </w:pPr>
      <w:r>
        <w:rPr>
          <w:rFonts w:cs="Arial"/>
          <w:b/>
          <w:sz w:val="22"/>
          <w:szCs w:val="22"/>
        </w:rPr>
        <w:t xml:space="preserve">Student Details </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056"/>
        <w:gridCol w:w="2835"/>
        <w:gridCol w:w="2835"/>
      </w:tblGrid>
      <w:tr w14:paraId="0802A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14:paraId="0802AE43">
            <w:pPr>
              <w:tabs>
                <w:tab w:val="center" w:pos="2202"/>
              </w:tabs>
              <w:rPr>
                <w:rFonts w:cs="Arial"/>
                <w:sz w:val="22"/>
                <w:szCs w:val="22"/>
              </w:rPr>
            </w:pPr>
            <w:r>
              <w:rPr>
                <w:rFonts w:cs="Arial"/>
                <w:sz w:val="22"/>
                <w:szCs w:val="22"/>
              </w:rPr>
              <w:t>Student Family / Surname:</w:t>
            </w:r>
          </w:p>
          <w:p w14:paraId="0802AE44">
            <w:pPr>
              <w:rPr>
                <w:rFonts w:cs="Arial"/>
                <w:sz w:val="22"/>
                <w:szCs w:val="22"/>
              </w:rPr>
            </w:pPr>
          </w:p>
        </w:tc>
        <w:tc>
          <w:tcPr>
            <w:tcW w:w="5670" w:type="dxa"/>
            <w:gridSpan w:val="2"/>
            <w:shd w:val="clear" w:color="auto" w:fill="auto"/>
          </w:tcPr>
          <w:p w14:paraId="0802AE45">
            <w:pPr>
              <w:rPr>
                <w:rFonts w:eastAsia="宋体" w:cs="Arial"/>
                <w:sz w:val="22"/>
                <w:szCs w:val="22"/>
                <w:lang w:val="en-US" w:eastAsia="zh-CN"/>
              </w:rPr>
            </w:pPr>
            <w:r>
              <w:rPr>
                <w:rFonts w:hint="eastAsia" w:eastAsia="宋体" w:cs="Arial"/>
                <w:sz w:val="22"/>
                <w:szCs w:val="22"/>
                <w:lang w:val="en-US" w:eastAsia="zh-CN"/>
              </w:rPr>
              <w:t>Su</w:t>
            </w:r>
          </w:p>
        </w:tc>
      </w:tr>
      <w:tr w14:paraId="0802A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14:paraId="0802AE47">
            <w:pPr>
              <w:rPr>
                <w:rFonts w:cs="Arial"/>
                <w:sz w:val="22"/>
                <w:szCs w:val="22"/>
              </w:rPr>
            </w:pPr>
            <w:r>
              <w:rPr>
                <w:rFonts w:cs="Arial"/>
                <w:sz w:val="22"/>
                <w:szCs w:val="22"/>
              </w:rPr>
              <w:t>Student Given / First name:</w:t>
            </w:r>
          </w:p>
          <w:p w14:paraId="0802AE48">
            <w:pPr>
              <w:rPr>
                <w:rFonts w:cs="Arial"/>
                <w:sz w:val="22"/>
                <w:szCs w:val="22"/>
              </w:rPr>
            </w:pPr>
          </w:p>
        </w:tc>
        <w:tc>
          <w:tcPr>
            <w:tcW w:w="5670" w:type="dxa"/>
            <w:gridSpan w:val="2"/>
            <w:shd w:val="clear" w:color="auto" w:fill="auto"/>
          </w:tcPr>
          <w:p w14:paraId="0802AE49">
            <w:pPr>
              <w:rPr>
                <w:rFonts w:eastAsia="宋体" w:cs="Arial"/>
                <w:sz w:val="22"/>
                <w:szCs w:val="22"/>
                <w:lang w:val="en-US" w:eastAsia="zh-CN"/>
              </w:rPr>
            </w:pPr>
            <w:r>
              <w:rPr>
                <w:rFonts w:hint="eastAsia" w:eastAsia="宋体" w:cs="Arial"/>
                <w:sz w:val="22"/>
                <w:szCs w:val="22"/>
                <w:lang w:val="en-US" w:eastAsia="zh-CN"/>
              </w:rPr>
              <w:t>Guobin</w:t>
            </w:r>
          </w:p>
        </w:tc>
      </w:tr>
      <w:tr w14:paraId="0802A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14:paraId="0802AE4B">
            <w:pPr>
              <w:rPr>
                <w:rFonts w:cs="Arial"/>
                <w:sz w:val="22"/>
                <w:szCs w:val="22"/>
              </w:rPr>
            </w:pPr>
            <w:r>
              <w:rPr>
                <w:rFonts w:cs="Arial"/>
                <w:sz w:val="22"/>
                <w:szCs w:val="22"/>
              </w:rPr>
              <w:t>Student Number</w:t>
            </w:r>
          </w:p>
          <w:p w14:paraId="0802AE4C">
            <w:pPr>
              <w:tabs>
                <w:tab w:val="center" w:pos="2202"/>
              </w:tabs>
              <w:rPr>
                <w:rFonts w:cs="Arial"/>
                <w:sz w:val="22"/>
                <w:szCs w:val="22"/>
              </w:rPr>
            </w:pPr>
          </w:p>
        </w:tc>
        <w:tc>
          <w:tcPr>
            <w:tcW w:w="5670" w:type="dxa"/>
            <w:gridSpan w:val="2"/>
            <w:shd w:val="clear" w:color="auto" w:fill="auto"/>
          </w:tcPr>
          <w:p w14:paraId="0802AE4D">
            <w:pPr>
              <w:rPr>
                <w:rFonts w:eastAsia="宋体" w:cs="Arial"/>
                <w:sz w:val="22"/>
                <w:szCs w:val="22"/>
                <w:lang w:val="en-US" w:eastAsia="zh-CN"/>
              </w:rPr>
            </w:pPr>
            <w:r>
              <w:rPr>
                <w:rFonts w:hint="eastAsia" w:eastAsia="宋体" w:cs="Arial"/>
                <w:sz w:val="22"/>
                <w:szCs w:val="22"/>
                <w:lang w:val="en-US" w:eastAsia="zh-CN"/>
              </w:rPr>
              <w:t>2320106</w:t>
            </w:r>
          </w:p>
        </w:tc>
      </w:tr>
      <w:tr w14:paraId="0802A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4111" w:type="dxa"/>
            <w:gridSpan w:val="2"/>
            <w:shd w:val="clear" w:color="auto" w:fill="F1F1F1" w:themeFill="background1" w:themeFillShade="F2"/>
          </w:tcPr>
          <w:p w14:paraId="0802AE4F">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gridSpan w:val="2"/>
            <w:shd w:val="clear" w:color="auto" w:fill="auto"/>
          </w:tcPr>
          <w:p w14:paraId="0802AE50">
            <w:pPr>
              <w:rPr>
                <w:rFonts w:eastAsia="宋体" w:cs="Arial"/>
                <w:sz w:val="22"/>
                <w:szCs w:val="22"/>
                <w:lang w:val="en-US" w:eastAsia="zh-CN"/>
              </w:rPr>
            </w:pPr>
            <w:r>
              <w:rPr>
                <w:rFonts w:hint="eastAsia" w:eastAsia="宋体" w:cs="Arial"/>
                <w:sz w:val="22"/>
                <w:szCs w:val="22"/>
                <w:lang w:val="en-US" w:eastAsia="zh-CN"/>
              </w:rPr>
              <w:t>Wales institute of science and art</w:t>
            </w:r>
          </w:p>
        </w:tc>
      </w:tr>
      <w:tr w14:paraId="0802A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4111" w:type="dxa"/>
            <w:gridSpan w:val="2"/>
            <w:shd w:val="clear" w:color="auto" w:fill="F1F1F1" w:themeFill="background1" w:themeFillShade="F2"/>
          </w:tcPr>
          <w:p w14:paraId="0802AE5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670" w:type="dxa"/>
            <w:gridSpan w:val="2"/>
            <w:shd w:val="clear" w:color="auto" w:fill="auto"/>
          </w:tcPr>
          <w:p w14:paraId="0802AE53">
            <w:pPr>
              <w:rPr>
                <w:rFonts w:cs="Arial"/>
                <w:sz w:val="22"/>
                <w:szCs w:val="22"/>
              </w:rPr>
            </w:pPr>
          </w:p>
        </w:tc>
      </w:tr>
      <w:tr w14:paraId="0802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5" w:type="dxa"/>
            <w:shd w:val="clear" w:color="auto" w:fill="F1F1F1" w:themeFill="background1" w:themeFillShade="F2"/>
          </w:tcPr>
          <w:p w14:paraId="0802AE55">
            <w:pPr>
              <w:rPr>
                <w:rFonts w:cs="Arial"/>
                <w:sz w:val="22"/>
                <w:szCs w:val="22"/>
              </w:rPr>
            </w:pPr>
            <w:r>
              <w:rPr>
                <w:rFonts w:cs="Arial"/>
                <w:sz w:val="22"/>
                <w:szCs w:val="22"/>
              </w:rPr>
              <w:t>Start Date</w:t>
            </w:r>
          </w:p>
        </w:tc>
        <w:tc>
          <w:tcPr>
            <w:tcW w:w="2056" w:type="dxa"/>
            <w:shd w:val="clear" w:color="auto" w:fill="FFFFFF" w:themeFill="background1"/>
          </w:tcPr>
          <w:p w14:paraId="0802AE56">
            <w:pPr>
              <w:rPr>
                <w:rFonts w:eastAsia="宋体" w:cs="Arial"/>
                <w:sz w:val="22"/>
                <w:szCs w:val="22"/>
                <w:lang w:val="en-US" w:eastAsia="zh-CN"/>
              </w:rPr>
            </w:pPr>
            <w:r>
              <w:rPr>
                <w:rFonts w:hint="eastAsia" w:eastAsia="宋体" w:cs="Arial"/>
                <w:sz w:val="22"/>
                <w:szCs w:val="22"/>
                <w:lang w:val="en-US" w:eastAsia="zh-CN"/>
              </w:rPr>
              <w:t>01.02.2024</w:t>
            </w:r>
          </w:p>
        </w:tc>
        <w:tc>
          <w:tcPr>
            <w:tcW w:w="2835" w:type="dxa"/>
            <w:shd w:val="clear" w:color="auto" w:fill="F1F1F1" w:themeFill="background1" w:themeFillShade="F2"/>
          </w:tcPr>
          <w:p w14:paraId="0802AE57">
            <w:pPr>
              <w:rPr>
                <w:rFonts w:cs="Arial"/>
                <w:sz w:val="22"/>
                <w:szCs w:val="22"/>
              </w:rPr>
            </w:pPr>
            <w:r>
              <w:rPr>
                <w:rFonts w:cs="Arial"/>
                <w:sz w:val="22"/>
                <w:szCs w:val="22"/>
              </w:rPr>
              <w:t xml:space="preserve">End Date </w:t>
            </w:r>
          </w:p>
        </w:tc>
        <w:tc>
          <w:tcPr>
            <w:tcW w:w="2835" w:type="dxa"/>
            <w:shd w:val="clear" w:color="auto" w:fill="auto"/>
          </w:tcPr>
          <w:p w14:paraId="0802AE58">
            <w:pPr>
              <w:rPr>
                <w:rFonts w:cs="Arial"/>
                <w:sz w:val="22"/>
                <w:szCs w:val="22"/>
              </w:rPr>
            </w:pPr>
            <w:r>
              <w:rPr>
                <w:rFonts w:hint="eastAsia" w:eastAsia="宋体" w:cs="Arial"/>
                <w:sz w:val="22"/>
                <w:szCs w:val="22"/>
                <w:lang w:val="en-US" w:eastAsia="zh-CN"/>
              </w:rPr>
              <w:t>01.02.</w:t>
            </w:r>
            <w:r>
              <w:rPr>
                <w:rFonts w:cs="Arial"/>
                <w:sz w:val="22"/>
                <w:szCs w:val="22"/>
              </w:rPr>
              <w:t>2027</w:t>
            </w:r>
          </w:p>
        </w:tc>
      </w:tr>
      <w:tr w14:paraId="0802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1" w:type="dxa"/>
            <w:gridSpan w:val="2"/>
            <w:shd w:val="clear" w:color="auto" w:fill="F1F1F1" w:themeFill="background1" w:themeFillShade="F2"/>
          </w:tcPr>
          <w:p w14:paraId="0802AE5A">
            <w:pPr>
              <w:rPr>
                <w:rFonts w:cs="Arial"/>
                <w:sz w:val="22"/>
                <w:szCs w:val="22"/>
              </w:rPr>
            </w:pPr>
            <w:r>
              <w:rPr>
                <w:rFonts w:cs="Arial"/>
                <w:sz w:val="22"/>
                <w:szCs w:val="22"/>
              </w:rPr>
              <w:t>Mode of Study</w:t>
            </w:r>
          </w:p>
          <w:p w14:paraId="0802AE5B">
            <w:pPr>
              <w:rPr>
                <w:rFonts w:cs="Arial"/>
                <w:sz w:val="22"/>
                <w:szCs w:val="22"/>
              </w:rPr>
            </w:pPr>
          </w:p>
        </w:tc>
        <w:tc>
          <w:tcPr>
            <w:tcW w:w="2835" w:type="dxa"/>
            <w:shd w:val="clear" w:color="auto" w:fill="auto"/>
          </w:tcPr>
          <w:p w14:paraId="0802AE5C">
            <w:pPr>
              <w:rPr>
                <w:rFonts w:cs="Arial"/>
                <w:sz w:val="22"/>
                <w:szCs w:val="22"/>
              </w:rPr>
            </w:pPr>
            <w:r>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c>
          <w:tcPr>
            <w:tcW w:w="2835" w:type="dxa"/>
            <w:shd w:val="clear" w:color="auto" w:fill="auto"/>
          </w:tcPr>
          <w:p w14:paraId="0802AE5D">
            <w:pPr>
              <w:rPr>
                <w:rFonts w:cs="Arial"/>
                <w:sz w:val="22"/>
                <w:szCs w:val="22"/>
              </w:rPr>
            </w:pPr>
            <w:r>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r>
    </w:tbl>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14:paraId="0802A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shd w:val="clear" w:color="auto" w:fill="F1F1F1" w:themeFill="background1" w:themeFillShade="F2"/>
          </w:tcPr>
          <w:p w14:paraId="0802AE5F">
            <w:pPr>
              <w:rPr>
                <w:rFonts w:cs="Arial"/>
                <w:sz w:val="22"/>
                <w:szCs w:val="22"/>
              </w:rPr>
            </w:pPr>
            <w:r>
              <w:rPr>
                <w:rFonts w:cs="Arial"/>
                <w:sz w:val="22"/>
                <w:szCs w:val="22"/>
              </w:rPr>
              <w:t>PhD</w:t>
            </w:r>
          </w:p>
          <w:p w14:paraId="0802AE60">
            <w:pPr>
              <w:rPr>
                <w:rFonts w:cs="Arial"/>
                <w:sz w:val="22"/>
                <w:szCs w:val="22"/>
              </w:rPr>
            </w:pPr>
            <w:r>
              <w:rPr>
                <w:rFonts w:cs="Arial"/>
                <w:sz w:val="22"/>
                <w:szCs w:val="22"/>
              </w:rPr>
              <w:t>by Research</w:t>
            </w:r>
          </w:p>
        </w:tc>
        <w:tc>
          <w:tcPr>
            <w:tcW w:w="1660" w:type="dxa"/>
            <w:shd w:val="clear" w:color="auto" w:fill="F1F1F1" w:themeFill="background1" w:themeFillShade="F2"/>
          </w:tcPr>
          <w:p w14:paraId="0802AE61">
            <w:pPr>
              <w:rPr>
                <w:rFonts w:cs="Arial"/>
                <w:sz w:val="22"/>
                <w:szCs w:val="22"/>
              </w:rPr>
            </w:pPr>
            <w:r>
              <w:rPr>
                <w:rFonts w:cs="Arial"/>
                <w:sz w:val="22"/>
                <w:szCs w:val="22"/>
              </w:rPr>
              <w:t xml:space="preserve">PhD </w:t>
            </w:r>
          </w:p>
          <w:p w14:paraId="0802AE62">
            <w:pPr>
              <w:rPr>
                <w:rFonts w:cs="Arial"/>
                <w:sz w:val="22"/>
                <w:szCs w:val="22"/>
              </w:rPr>
            </w:pPr>
            <w:r>
              <w:rPr>
                <w:rFonts w:cs="Arial"/>
                <w:sz w:val="22"/>
                <w:szCs w:val="22"/>
              </w:rPr>
              <w:t>Practice Based</w:t>
            </w:r>
          </w:p>
        </w:tc>
        <w:tc>
          <w:tcPr>
            <w:tcW w:w="1648" w:type="dxa"/>
            <w:shd w:val="clear" w:color="auto" w:fill="F1F1F1" w:themeFill="background1" w:themeFillShade="F2"/>
          </w:tcPr>
          <w:p w14:paraId="0802AE63">
            <w:pPr>
              <w:rPr>
                <w:rFonts w:cs="Arial"/>
                <w:sz w:val="22"/>
                <w:szCs w:val="22"/>
              </w:rPr>
            </w:pPr>
            <w:r>
              <w:rPr>
                <w:rFonts w:cs="Arial"/>
                <w:sz w:val="22"/>
                <w:szCs w:val="22"/>
              </w:rPr>
              <w:t xml:space="preserve">PhD by </w:t>
            </w:r>
          </w:p>
          <w:p w14:paraId="0802AE64">
            <w:pPr>
              <w:rPr>
                <w:rFonts w:cs="Arial"/>
                <w:sz w:val="22"/>
                <w:szCs w:val="22"/>
              </w:rPr>
            </w:pPr>
            <w:r>
              <w:rPr>
                <w:rFonts w:cs="Arial"/>
                <w:sz w:val="22"/>
                <w:szCs w:val="22"/>
              </w:rPr>
              <w:t>Published Works</w:t>
            </w:r>
          </w:p>
        </w:tc>
        <w:tc>
          <w:tcPr>
            <w:tcW w:w="1662" w:type="dxa"/>
            <w:shd w:val="clear" w:color="auto" w:fill="F1F1F1" w:themeFill="background1" w:themeFillShade="F2"/>
          </w:tcPr>
          <w:p w14:paraId="0802AE65">
            <w:pPr>
              <w:rPr>
                <w:rFonts w:cs="Arial"/>
                <w:sz w:val="22"/>
                <w:szCs w:val="22"/>
              </w:rPr>
            </w:pPr>
            <w:r>
              <w:rPr>
                <w:rFonts w:cs="Arial"/>
                <w:sz w:val="22"/>
                <w:szCs w:val="22"/>
              </w:rPr>
              <w:t>Professional Doctorate</w:t>
            </w:r>
          </w:p>
          <w:p w14:paraId="0802AE66">
            <w:pPr>
              <w:rPr>
                <w:rFonts w:cs="Arial"/>
                <w:sz w:val="22"/>
                <w:szCs w:val="22"/>
              </w:rPr>
            </w:pPr>
            <w:r>
              <w:rPr>
                <w:rFonts w:cs="Arial"/>
                <w:szCs w:val="22"/>
              </w:rPr>
              <w:t>(including DBA, DProf, Ed D)</w:t>
            </w:r>
          </w:p>
        </w:tc>
        <w:tc>
          <w:tcPr>
            <w:tcW w:w="1629" w:type="dxa"/>
            <w:shd w:val="clear" w:color="auto" w:fill="F1F1F1" w:themeFill="background1" w:themeFillShade="F2"/>
          </w:tcPr>
          <w:p w14:paraId="0802AE67">
            <w:pPr>
              <w:rPr>
                <w:rFonts w:cs="Arial"/>
                <w:sz w:val="22"/>
                <w:szCs w:val="22"/>
              </w:rPr>
            </w:pPr>
            <w:r>
              <w:rPr>
                <w:rFonts w:cs="Arial"/>
                <w:sz w:val="22"/>
                <w:szCs w:val="22"/>
              </w:rPr>
              <w:t>MPhil by Research</w:t>
            </w:r>
          </w:p>
          <w:p w14:paraId="0802AE68">
            <w:pPr>
              <w:rPr>
                <w:rFonts w:cs="Arial"/>
                <w:sz w:val="22"/>
                <w:szCs w:val="22"/>
              </w:rPr>
            </w:pPr>
          </w:p>
        </w:tc>
        <w:tc>
          <w:tcPr>
            <w:tcW w:w="1525" w:type="dxa"/>
            <w:shd w:val="clear" w:color="auto" w:fill="F1F1F1" w:themeFill="background1" w:themeFillShade="F2"/>
          </w:tcPr>
          <w:p w14:paraId="0802AE69">
            <w:pPr>
              <w:rPr>
                <w:rFonts w:cs="Arial"/>
                <w:sz w:val="22"/>
                <w:szCs w:val="22"/>
              </w:rPr>
            </w:pPr>
            <w:r>
              <w:rPr>
                <w:rFonts w:cs="Arial"/>
                <w:sz w:val="22"/>
                <w:szCs w:val="22"/>
              </w:rPr>
              <w:t>MPhil</w:t>
            </w:r>
          </w:p>
          <w:p w14:paraId="0802AE6A">
            <w:pPr>
              <w:rPr>
                <w:rFonts w:cs="Arial"/>
                <w:sz w:val="22"/>
                <w:szCs w:val="22"/>
              </w:rPr>
            </w:pPr>
            <w:r>
              <w:rPr>
                <w:rFonts w:cs="Arial"/>
                <w:sz w:val="22"/>
                <w:szCs w:val="22"/>
              </w:rPr>
              <w:t xml:space="preserve">Practice Based </w:t>
            </w:r>
          </w:p>
          <w:p w14:paraId="0802AE6B">
            <w:pPr>
              <w:rPr>
                <w:rFonts w:cs="Arial"/>
                <w:sz w:val="22"/>
                <w:szCs w:val="22"/>
              </w:rPr>
            </w:pPr>
          </w:p>
        </w:tc>
      </w:tr>
      <w:tr w14:paraId="0802A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tcPr>
          <w:sdt>
            <w:sdtPr>
              <w:rPr>
                <w:rFonts w:cs="Arial"/>
                <w:sz w:val="22"/>
                <w:szCs w:val="22"/>
              </w:rPr>
              <w:id w:val="746380728"/>
              <w14:checkbox>
                <w14:checked w14:val="0"/>
                <w14:checkedState w14:val="2612" w14:font="MS Gothic"/>
                <w14:uncheckedState w14:val="2610" w14:font="MS Gothic"/>
              </w14:checkbox>
            </w:sdtPr>
            <w:sdtEndPr>
              <w:rPr>
                <w:rFonts w:cs="Arial"/>
                <w:sz w:val="22"/>
                <w:szCs w:val="22"/>
              </w:rPr>
            </w:sdtEndPr>
            <w:sdtContent>
              <w:p w14:paraId="0802AE6D">
                <w:pPr>
                  <w:jc w:val="center"/>
                  <w:rPr>
                    <w:rFonts w:cs="Arial"/>
                    <w:sz w:val="22"/>
                    <w:szCs w:val="22"/>
                  </w:rPr>
                </w:pPr>
                <w:r>
                  <w:rPr>
                    <w:rFonts w:ascii="MS Gothic" w:hAnsi="MS Gothic" w:eastAsia="MS Gothic" w:cs="Arial"/>
                    <w:sz w:val="22"/>
                    <w:szCs w:val="22"/>
                  </w:rPr>
                  <w:t>☐</w:t>
                </w:r>
              </w:p>
            </w:sdtContent>
          </w:sdt>
          <w:p w14:paraId="0802AE6E">
            <w:pPr>
              <w:jc w:val="center"/>
              <w:rPr>
                <w:rFonts w:cs="Arial"/>
                <w:sz w:val="22"/>
                <w:szCs w:val="22"/>
              </w:rPr>
            </w:pPr>
          </w:p>
        </w:tc>
        <w:sdt>
          <w:sdtPr>
            <w:rPr>
              <w:rFonts w:cs="Arial"/>
              <w:sz w:val="22"/>
              <w:szCs w:val="22"/>
            </w:rPr>
            <w:id w:val="1301043622"/>
            <w14:checkbox>
              <w14:checked w14:val="0"/>
              <w14:checkedState w14:val="2612" w14:font="MS Gothic"/>
              <w14:uncheckedState w14:val="2610" w14:font="MS Gothic"/>
            </w14:checkbox>
          </w:sdtPr>
          <w:sdtEndPr>
            <w:rPr>
              <w:rFonts w:cs="Arial"/>
              <w:sz w:val="22"/>
              <w:szCs w:val="22"/>
            </w:rPr>
          </w:sdtEndPr>
          <w:sdtContent>
            <w:tc>
              <w:tcPr>
                <w:tcW w:w="1660" w:type="dxa"/>
              </w:tcPr>
              <w:p w14:paraId="0802AE6F">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14:paraId="0802AE70">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2110955926"/>
            <w14:checkbox>
              <w14:checked w14:val="1"/>
              <w14:checkedState w14:val="2612" w14:font="MS Gothic"/>
              <w14:uncheckedState w14:val="2610" w14:font="MS Gothic"/>
            </w14:checkbox>
          </w:sdtPr>
          <w:sdtEndPr>
            <w:rPr>
              <w:rFonts w:cs="Arial"/>
              <w:sz w:val="22"/>
              <w:szCs w:val="22"/>
            </w:rPr>
          </w:sdtEndPr>
          <w:sdtContent>
            <w:tc>
              <w:tcPr>
                <w:tcW w:w="1662" w:type="dxa"/>
              </w:tcPr>
              <w:p w14:paraId="0802AE71">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14:paraId="0802AE72">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14:paraId="0802AE73">
                <w:pPr>
                  <w:jc w:val="center"/>
                  <w:rPr>
                    <w:rFonts w:cs="Arial"/>
                    <w:sz w:val="22"/>
                    <w:szCs w:val="22"/>
                  </w:rPr>
                </w:pPr>
                <w:r>
                  <w:rPr>
                    <w:rFonts w:ascii="MS Gothic" w:hAnsi="MS Gothic" w:eastAsia="MS Gothic" w:cs="Arial"/>
                    <w:sz w:val="22"/>
                    <w:szCs w:val="22"/>
                  </w:rPr>
                  <w:t>☐</w:t>
                </w:r>
              </w:p>
            </w:tc>
          </w:sdtContent>
        </w:sdt>
      </w:tr>
      <w:tr w14:paraId="0802A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shd w:val="clear" w:color="auto" w:fill="D8D8D8" w:themeFill="background1" w:themeFillShade="D9"/>
          </w:tcPr>
          <w:p w14:paraId="0802AE75">
            <w:pPr>
              <w:jc w:val="center"/>
              <w:rPr>
                <w:rFonts w:cs="Arial"/>
                <w:sz w:val="22"/>
                <w:szCs w:val="22"/>
              </w:rPr>
            </w:pPr>
            <w:r>
              <w:rPr>
                <w:rFonts w:cs="Arial"/>
                <w:sz w:val="22"/>
                <w:szCs w:val="22"/>
              </w:rPr>
              <w:t>MA by Research</w:t>
            </w:r>
          </w:p>
        </w:tc>
        <w:tc>
          <w:tcPr>
            <w:tcW w:w="1660" w:type="dxa"/>
            <w:shd w:val="clear" w:color="auto" w:fill="D8D8D8" w:themeFill="background1" w:themeFillShade="D9"/>
          </w:tcPr>
          <w:p w14:paraId="0802AE76">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14:paraId="0802AE77">
            <w:pPr>
              <w:jc w:val="center"/>
              <w:rPr>
                <w:rFonts w:cs="Arial"/>
                <w:sz w:val="22"/>
                <w:szCs w:val="22"/>
              </w:rPr>
            </w:pPr>
            <w:r>
              <w:rPr>
                <w:rFonts w:cs="Arial"/>
                <w:sz w:val="22"/>
                <w:szCs w:val="22"/>
              </w:rPr>
              <w:t>MRes</w:t>
            </w:r>
          </w:p>
        </w:tc>
        <w:tc>
          <w:tcPr>
            <w:tcW w:w="1662" w:type="dxa"/>
            <w:shd w:val="clear" w:color="auto" w:fill="D8D8D8" w:themeFill="background1" w:themeFillShade="D9"/>
          </w:tcPr>
          <w:p w14:paraId="0802AE78">
            <w:pPr>
              <w:jc w:val="center"/>
              <w:rPr>
                <w:rFonts w:cs="Arial"/>
                <w:sz w:val="22"/>
                <w:szCs w:val="22"/>
              </w:rPr>
            </w:pPr>
          </w:p>
        </w:tc>
        <w:tc>
          <w:tcPr>
            <w:tcW w:w="1629" w:type="dxa"/>
            <w:shd w:val="clear" w:color="auto" w:fill="D8D8D8" w:themeFill="background1" w:themeFillShade="D9"/>
          </w:tcPr>
          <w:p w14:paraId="0802AE79">
            <w:pPr>
              <w:jc w:val="center"/>
              <w:rPr>
                <w:rFonts w:cs="Arial"/>
                <w:sz w:val="22"/>
                <w:szCs w:val="22"/>
              </w:rPr>
            </w:pPr>
          </w:p>
        </w:tc>
        <w:tc>
          <w:tcPr>
            <w:tcW w:w="1525" w:type="dxa"/>
            <w:shd w:val="clear" w:color="auto" w:fill="D8D8D8" w:themeFill="background1" w:themeFillShade="D9"/>
          </w:tcPr>
          <w:p w14:paraId="0802AE7A">
            <w:pPr>
              <w:jc w:val="center"/>
              <w:rPr>
                <w:rFonts w:cs="Arial"/>
                <w:sz w:val="22"/>
                <w:szCs w:val="22"/>
              </w:rPr>
            </w:pPr>
          </w:p>
        </w:tc>
      </w:tr>
      <w:tr w14:paraId="0802A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tcPr>
          <w:sdt>
            <w:sdtPr>
              <w:rPr>
                <w:rFonts w:cs="Arial"/>
                <w:sz w:val="22"/>
                <w:szCs w:val="22"/>
              </w:rPr>
              <w:id w:val="1366476584"/>
              <w14:checkbox>
                <w14:checked w14:val="0"/>
                <w14:checkedState w14:val="2612" w14:font="MS Gothic"/>
                <w14:uncheckedState w14:val="2610" w14:font="MS Gothic"/>
              </w14:checkbox>
            </w:sdtPr>
            <w:sdtEndPr>
              <w:rPr>
                <w:rFonts w:cs="Arial"/>
                <w:sz w:val="22"/>
                <w:szCs w:val="22"/>
              </w:rPr>
            </w:sdtEndPr>
            <w:sdtContent>
              <w:p w14:paraId="0802AE7C">
                <w:pPr>
                  <w:jc w:val="center"/>
                  <w:rPr>
                    <w:rFonts w:cs="Arial"/>
                    <w:sz w:val="22"/>
                    <w:szCs w:val="22"/>
                  </w:rPr>
                </w:pPr>
                <w:r>
                  <w:rPr>
                    <w:rFonts w:ascii="MS Gothic" w:hAnsi="MS Gothic" w:eastAsia="MS Gothic" w:cs="Arial"/>
                    <w:sz w:val="22"/>
                    <w:szCs w:val="22"/>
                  </w:rPr>
                  <w:t>☐</w:t>
                </w:r>
              </w:p>
            </w:sdtContent>
          </w:sdt>
          <w:p w14:paraId="0802AE7D">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14:paraId="0802AE7E">
                <w:pPr>
                  <w:jc w:val="center"/>
                  <w:rPr>
                    <w:rFonts w:cs="Arial"/>
                    <w:sz w:val="22"/>
                    <w:szCs w:val="22"/>
                  </w:rPr>
                </w:pPr>
                <w:r>
                  <w:rPr>
                    <w:rFonts w:ascii="MS Gothic" w:hAnsi="MS Gothic" w:eastAsia="MS Gothic" w:cs="Arial"/>
                    <w:sz w:val="22"/>
                    <w:szCs w:val="22"/>
                  </w:rPr>
                  <w:t>☐</w:t>
                </w:r>
              </w:p>
            </w:sdtContent>
          </w:sdt>
          <w:p w14:paraId="0802AE7F">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14:paraId="0802AE80">
                <w:pPr>
                  <w:jc w:val="center"/>
                  <w:rPr>
                    <w:rFonts w:cs="Arial"/>
                    <w:sz w:val="22"/>
                    <w:szCs w:val="22"/>
                  </w:rPr>
                </w:pPr>
                <w:r>
                  <w:rPr>
                    <w:rFonts w:ascii="MS Gothic" w:hAnsi="MS Gothic" w:eastAsia="MS Gothic" w:cs="Arial"/>
                    <w:sz w:val="22"/>
                    <w:szCs w:val="22"/>
                  </w:rPr>
                  <w:t>☐</w:t>
                </w:r>
              </w:p>
            </w:sdtContent>
          </w:sdt>
          <w:p w14:paraId="0802AE81">
            <w:pPr>
              <w:jc w:val="center"/>
              <w:rPr>
                <w:rFonts w:cs="Arial"/>
                <w:sz w:val="22"/>
                <w:szCs w:val="22"/>
              </w:rPr>
            </w:pPr>
          </w:p>
        </w:tc>
        <w:tc>
          <w:tcPr>
            <w:tcW w:w="1662" w:type="dxa"/>
          </w:tcPr>
          <w:p w14:paraId="0802AE82">
            <w:pPr>
              <w:jc w:val="center"/>
              <w:rPr>
                <w:rFonts w:cs="Arial"/>
                <w:sz w:val="22"/>
                <w:szCs w:val="22"/>
              </w:rPr>
            </w:pPr>
          </w:p>
        </w:tc>
        <w:tc>
          <w:tcPr>
            <w:tcW w:w="1629" w:type="dxa"/>
          </w:tcPr>
          <w:p w14:paraId="0802AE83">
            <w:pPr>
              <w:jc w:val="center"/>
              <w:rPr>
                <w:rFonts w:cs="Arial"/>
                <w:sz w:val="22"/>
                <w:szCs w:val="22"/>
              </w:rPr>
            </w:pPr>
          </w:p>
        </w:tc>
        <w:tc>
          <w:tcPr>
            <w:tcW w:w="1525" w:type="dxa"/>
          </w:tcPr>
          <w:p w14:paraId="0802AE84">
            <w:pPr>
              <w:jc w:val="center"/>
              <w:rPr>
                <w:rFonts w:cs="Arial"/>
                <w:sz w:val="22"/>
                <w:szCs w:val="22"/>
              </w:rPr>
            </w:pPr>
          </w:p>
        </w:tc>
      </w:tr>
    </w:tbl>
    <w:p w14:paraId="0802AE86">
      <w:pPr>
        <w:ind w:left="180" w:hanging="270"/>
        <w:rPr>
          <w:rFonts w:cs="Arial"/>
          <w:b/>
          <w:sz w:val="22"/>
          <w:szCs w:val="22"/>
        </w:rPr>
      </w:pPr>
    </w:p>
    <w:p w14:paraId="0802AE87">
      <w:pPr>
        <w:rPr>
          <w:rFonts w:cs="Arial"/>
          <w:sz w:val="22"/>
          <w:szCs w:val="22"/>
        </w:rPr>
      </w:pPr>
    </w:p>
    <w:p w14:paraId="0802AE88">
      <w:pPr>
        <w:ind w:left="-142"/>
        <w:rPr>
          <w:rFonts w:cs="Arial"/>
          <w:bCs/>
          <w:sz w:val="22"/>
          <w:szCs w:val="22"/>
        </w:rPr>
      </w:pPr>
      <w:r>
        <w:rPr>
          <w:rFonts w:cs="Arial"/>
          <w:b/>
          <w:bCs/>
          <w:sz w:val="22"/>
          <w:szCs w:val="22"/>
        </w:rPr>
        <w:t>Proposed Research</w:t>
      </w:r>
    </w:p>
    <w:p w14:paraId="0802AE89">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14:paraId="0802A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14:paraId="0802AE8A">
            <w:pPr>
              <w:rPr>
                <w:rFonts w:cs="Arial"/>
                <w:sz w:val="22"/>
                <w:szCs w:val="22"/>
              </w:rPr>
            </w:pPr>
            <w:r>
              <w:rPr>
                <w:rFonts w:cs="Arial"/>
                <w:sz w:val="22"/>
                <w:szCs w:val="22"/>
              </w:rPr>
              <w:t>Current Proposed Title (20 / 30 words):</w:t>
            </w:r>
          </w:p>
        </w:tc>
      </w:tr>
      <w:tr w14:paraId="0802A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0802AE8C">
            <w:pPr>
              <w:rPr>
                <w:rFonts w:cs="Arial"/>
                <w:sz w:val="22"/>
                <w:szCs w:val="22"/>
                <w:lang w:val="en-US"/>
              </w:rPr>
            </w:pPr>
            <w:r>
              <w:rPr>
                <w:rFonts w:hint="eastAsia"/>
              </w:rPr>
              <w:t xml:space="preserve">How Can We Understand the Existential </w:t>
            </w:r>
            <w:r>
              <w:rPr>
                <w:rFonts w:hint="eastAsia" w:eastAsia="宋体"/>
                <w:lang w:val="en-US" w:eastAsia="zh-CN"/>
              </w:rPr>
              <w:t>Struggle</w:t>
            </w:r>
            <w:r>
              <w:rPr>
                <w:rFonts w:hint="eastAsia"/>
              </w:rPr>
              <w:t xml:space="preserve"> of Chinese Youth? Examining the Symbolic and Critical Expressions of Identity Crisis and Cultural Anxiety Through the Spread and Evolution of Core Suffix Aesthetics on Chinese Social Media.</w:t>
            </w:r>
          </w:p>
        </w:tc>
      </w:tr>
      <w:tr w14:paraId="0802A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0802AE8E">
            <w:pPr>
              <w:rPr>
                <w:rFonts w:cs="Arial"/>
                <w:sz w:val="22"/>
                <w:szCs w:val="22"/>
              </w:rPr>
            </w:pPr>
            <w:r>
              <w:rPr>
                <w:rFonts w:cs="Arial"/>
                <w:sz w:val="22"/>
                <w:szCs w:val="22"/>
              </w:rPr>
              <w:t xml:space="preserve"> </w:t>
            </w:r>
          </w:p>
          <w:p w14:paraId="0802AE8F">
            <w:pPr>
              <w:rPr>
                <w:rFonts w:cs="Arial"/>
                <w:sz w:val="22"/>
                <w:szCs w:val="22"/>
              </w:rPr>
            </w:pPr>
            <w:r>
              <w:rPr>
                <w:rFonts w:cs="Arial"/>
                <w:sz w:val="22"/>
                <w:szCs w:val="22"/>
              </w:rPr>
              <w:t>Background &amp; Context (approx. 500 words)</w:t>
            </w:r>
          </w:p>
          <w:p w14:paraId="0802AE90">
            <w:pPr>
              <w:rPr>
                <w:rFonts w:cs="Arial"/>
                <w:sz w:val="22"/>
                <w:szCs w:val="22"/>
              </w:rPr>
            </w:pPr>
          </w:p>
        </w:tc>
      </w:tr>
      <w:tr w14:paraId="0802A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09867446">
            <w:pPr>
              <w:pStyle w:val="26"/>
              <w:autoSpaceDE w:val="0"/>
              <w:autoSpaceDN w:val="0"/>
              <w:adjustRightInd w:val="0"/>
              <w:ind w:left="0"/>
              <w:contextualSpacing/>
              <w:rPr>
                <w:rFonts w:hint="eastAsia"/>
              </w:rPr>
            </w:pPr>
            <w:r>
              <w:rPr>
                <w:rFonts w:hint="eastAsia"/>
              </w:rPr>
              <w:t>In recent decades, China has witnessed rapid economic, social, and cultural transformations, leading to profound changes across all levels of society. These shifts have not only resulted in generational gaps but also in identity challenges, especially for Chinese youth who navigate the pressures of modern life amidst traditional expectations (Wang, 2021). As digital natives, these young individuals are deeply embedded in the social media landscape, where platforms like TikTok, Weibo, and Bilibili serve as key venues for self-expression and identity formation (Liu, 2019).</w:t>
            </w:r>
          </w:p>
          <w:p w14:paraId="427092CB">
            <w:pPr>
              <w:pStyle w:val="26"/>
              <w:autoSpaceDE w:val="0"/>
              <w:autoSpaceDN w:val="0"/>
              <w:adjustRightInd w:val="0"/>
              <w:ind w:left="0"/>
              <w:contextualSpacing/>
              <w:rPr>
                <w:rFonts w:hint="eastAsia"/>
              </w:rPr>
            </w:pPr>
          </w:p>
          <w:p w14:paraId="10F6C88E">
            <w:pPr>
              <w:pStyle w:val="26"/>
              <w:autoSpaceDE w:val="0"/>
              <w:autoSpaceDN w:val="0"/>
              <w:adjustRightInd w:val="0"/>
              <w:ind w:left="0"/>
              <w:contextualSpacing/>
              <w:rPr>
                <w:rFonts w:hint="eastAsia"/>
              </w:rPr>
            </w:pPr>
            <w:r>
              <w:rPr>
                <w:rFonts w:hint="eastAsia"/>
              </w:rPr>
              <w:t>One significant social media trend emerging from this digital environment is “Core Suffix Aesthetics.” By appending "-core" to various words, young Chinese have generated an array of new aesthetic categories that reflect their diverse interests and identities. This phenomenon mirrors a broader, global tendency to categorize aesthetics based on distinct visual styles and thematic compositions (Zhang, 2023). Rooted in niche musical subgenres of the late 1990s and early 2000s, today’s Core Suffix Aesthetics is fueled by the visual culture popularized on social media. Platforms like Instagram and TikTok have amplified these micro-aesthetics, allowing them to serve not only as personal expression tools but also as channels for cultural critique (Highfield and Leaver, 2016).</w:t>
            </w:r>
          </w:p>
          <w:p w14:paraId="3AD4EE74">
            <w:pPr>
              <w:pStyle w:val="26"/>
              <w:autoSpaceDE w:val="0"/>
              <w:autoSpaceDN w:val="0"/>
              <w:adjustRightInd w:val="0"/>
              <w:ind w:left="0"/>
              <w:contextualSpacing/>
              <w:rPr>
                <w:rFonts w:hint="eastAsia"/>
              </w:rPr>
            </w:pPr>
          </w:p>
          <w:p w14:paraId="14550E9F">
            <w:pPr>
              <w:pStyle w:val="26"/>
              <w:autoSpaceDE w:val="0"/>
              <w:autoSpaceDN w:val="0"/>
              <w:adjustRightInd w:val="0"/>
              <w:ind w:left="0"/>
              <w:contextualSpacing/>
              <w:rPr>
                <w:rFonts w:hint="eastAsia"/>
              </w:rPr>
            </w:pPr>
            <w:r>
              <w:rPr>
                <w:rFonts w:hint="eastAsia"/>
              </w:rPr>
              <w:t>For Generation Z, these aesthetics provide an outlet for escapism and creativity amidst global and personal challenges, including economic instability, climate change, and the recent COVID-19 pandemic. The trend often employs amateur editing and low-quality imagery, adding an element of relatability and authenticity that resonates strongly with viewers (Kjeldgaard and Askegaard, 2006). Moreover, the democratization of artistic creation in the post-internet era—coupled with the formation of virtual communities—has empowered individuals to engage in cultural production that challenges traditional notions of authorship and identity (Maly and Varis, 2016).</w:t>
            </w:r>
          </w:p>
          <w:p w14:paraId="59090461">
            <w:pPr>
              <w:pStyle w:val="26"/>
              <w:autoSpaceDE w:val="0"/>
              <w:autoSpaceDN w:val="0"/>
              <w:adjustRightInd w:val="0"/>
              <w:ind w:left="0"/>
              <w:contextualSpacing/>
              <w:rPr>
                <w:rFonts w:hint="eastAsia"/>
              </w:rPr>
            </w:pPr>
          </w:p>
          <w:p w14:paraId="10935D12">
            <w:pPr>
              <w:pStyle w:val="26"/>
              <w:autoSpaceDE w:val="0"/>
              <w:autoSpaceDN w:val="0"/>
              <w:adjustRightInd w:val="0"/>
              <w:ind w:left="0"/>
              <w:contextualSpacing/>
              <w:rPr>
                <w:rFonts w:hint="eastAsia"/>
              </w:rPr>
            </w:pPr>
            <w:r>
              <w:rPr>
                <w:rFonts w:hint="eastAsia"/>
              </w:rPr>
              <w:t>These dynamics are especially pronounced within the unique socio-cultural context of Chinese social media. Chinese youth face the complex challenge of reconciling traditional values with global influences, often resulting in a heightened sense of cultural anxiety (Li and Chen, 2022). This anxiety is further compounded by intense educational and occupational pressures, which contribute to existential struggles among young people as they strive to find meaning and stability in a highly competitive environment (Wu, 2020). In such circumstances, Core Suffix Aesthetics not only provides a medium for self-expression but also serves as a form of social commentary on the pressures facing young Chinese in modern society (Huang, 2022).</w:t>
            </w:r>
          </w:p>
          <w:p w14:paraId="13072033">
            <w:pPr>
              <w:pStyle w:val="26"/>
              <w:autoSpaceDE w:val="0"/>
              <w:autoSpaceDN w:val="0"/>
              <w:adjustRightInd w:val="0"/>
              <w:ind w:left="0"/>
              <w:contextualSpacing/>
              <w:rPr>
                <w:rFonts w:hint="eastAsia"/>
              </w:rPr>
            </w:pPr>
          </w:p>
          <w:p w14:paraId="360AC7C3">
            <w:pPr>
              <w:pStyle w:val="26"/>
              <w:autoSpaceDE w:val="0"/>
              <w:autoSpaceDN w:val="0"/>
              <w:adjustRightInd w:val="0"/>
              <w:ind w:left="0"/>
              <w:contextualSpacing/>
              <w:rPr>
                <w:rFonts w:hint="eastAsia"/>
              </w:rPr>
            </w:pPr>
            <w:r>
              <w:rPr>
                <w:rFonts w:hint="eastAsia"/>
              </w:rPr>
              <w:t>Government policies and internet censorship add yet another layer to this cultural landscape. Digital regulations shape the ways in which Chinese youth express themselves and negotiate their identities online, often creating tensions between individual expression and state-imposed limits (Yang, 2021). Despite these challenges, Core Suffix Aesthetics continues to evolve, becoming a significant vehicle through which youth express identity and critique societal norms within the digital ecosystem (Giolo and Berghman, 2023).</w:t>
            </w:r>
          </w:p>
          <w:p w14:paraId="3D68A3A3">
            <w:pPr>
              <w:pStyle w:val="26"/>
              <w:autoSpaceDE w:val="0"/>
              <w:autoSpaceDN w:val="0"/>
              <w:adjustRightInd w:val="0"/>
              <w:ind w:left="0"/>
              <w:contextualSpacing/>
              <w:rPr>
                <w:rFonts w:hint="eastAsia"/>
              </w:rPr>
            </w:pPr>
          </w:p>
          <w:p w14:paraId="1F1B9E9A">
            <w:pPr>
              <w:pStyle w:val="26"/>
              <w:autoSpaceDE w:val="0"/>
              <w:autoSpaceDN w:val="0"/>
              <w:adjustRightInd w:val="0"/>
              <w:ind w:left="0"/>
              <w:contextualSpacing/>
              <w:rPr>
                <w:rFonts w:hint="eastAsia"/>
              </w:rPr>
            </w:pPr>
            <w:r>
              <w:rPr>
                <w:rFonts w:hint="eastAsia"/>
              </w:rPr>
              <w:t>Ultimately, the rise of Core Suffix Aesthetics reflects the broader struggle of Chinese youth to assert their identities in an increasingly complex world. By analyzing the production, dissemination, and reception of these aesthetics, this research seeks to explore how these visual cultures contribute to our understanding of identity formation, cultural anxiety, and societal critique in contemporary China (Kenett et al., 2023).</w:t>
            </w:r>
            <w:r>
              <w:rPr>
                <w:rFonts w:hint="eastAsia"/>
              </w:rPr>
              <w:br w:type="textWrapping"/>
            </w:r>
            <w:r>
              <w:rPr>
                <w:rFonts w:hint="eastAsia"/>
              </w:rPr>
              <w:br w:type="textWrapping"/>
            </w:r>
            <w:r>
              <w:drawing>
                <wp:inline distT="0" distB="0" distL="114300" distR="114300">
                  <wp:extent cx="3962400" cy="3124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3962400" cy="3124200"/>
                          </a:xfrm>
                          <a:prstGeom prst="rect">
                            <a:avLst/>
                          </a:prstGeom>
                          <a:noFill/>
                          <a:ln>
                            <a:noFill/>
                          </a:ln>
                        </pic:spPr>
                      </pic:pic>
                    </a:graphicData>
                  </a:graphic>
                </wp:inline>
              </w:drawing>
            </w:r>
            <w:bookmarkStart w:id="0" w:name="_GoBack"/>
            <w:bookmarkEnd w:id="0"/>
          </w:p>
          <w:p w14:paraId="0802AEC3">
            <w:pPr>
              <w:pStyle w:val="26"/>
              <w:autoSpaceDE w:val="0"/>
              <w:autoSpaceDN w:val="0"/>
              <w:adjustRightInd w:val="0"/>
              <w:ind w:left="0"/>
              <w:contextualSpacing/>
              <w:rPr>
                <w:rFonts w:hint="eastAsia" w:ascii="Arial" w:hAnsi="Arial"/>
                <w:lang w:eastAsia="zh-CN"/>
              </w:rPr>
            </w:pPr>
          </w:p>
        </w:tc>
      </w:tr>
      <w:tr w14:paraId="0802A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0802AEC5">
            <w:pPr>
              <w:rPr>
                <w:rFonts w:cs="Arial"/>
                <w:sz w:val="22"/>
                <w:szCs w:val="22"/>
                <w:lang w:eastAsia="zh-CN"/>
              </w:rPr>
            </w:pPr>
          </w:p>
          <w:p w14:paraId="0802AEC6">
            <w:pPr>
              <w:rPr>
                <w:rFonts w:cs="Arial"/>
                <w:sz w:val="22"/>
                <w:szCs w:val="22"/>
              </w:rPr>
            </w:pPr>
            <w:r>
              <w:rPr>
                <w:rFonts w:cs="Arial"/>
                <w:sz w:val="22"/>
                <w:szCs w:val="22"/>
              </w:rPr>
              <w:t>Aims and Objectives (approx.. 250 – 500 words)</w:t>
            </w:r>
          </w:p>
        </w:tc>
      </w:tr>
      <w:tr w14:paraId="0802A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0ACE04CB">
            <w:pPr>
              <w:pStyle w:val="26"/>
              <w:autoSpaceDE w:val="0"/>
              <w:autoSpaceDN w:val="0"/>
              <w:adjustRightInd w:val="0"/>
              <w:ind w:left="0"/>
              <w:contextualSpacing/>
              <w:rPr>
                <w:rFonts w:hint="default" w:eastAsia="宋体"/>
                <w:b/>
                <w:bCs/>
                <w:lang w:val="en-US" w:eastAsia="zh-CN"/>
              </w:rPr>
            </w:pPr>
            <w:r>
              <w:rPr>
                <w:rFonts w:hint="eastAsia" w:eastAsia="宋体"/>
                <w:b/>
                <w:bCs/>
                <w:lang w:val="en-US" w:eastAsia="zh-CN"/>
              </w:rPr>
              <w:t>Aims</w:t>
            </w:r>
          </w:p>
          <w:p w14:paraId="0DE31F7E">
            <w:pPr>
              <w:pStyle w:val="26"/>
              <w:autoSpaceDE w:val="0"/>
              <w:autoSpaceDN w:val="0"/>
              <w:adjustRightInd w:val="0"/>
              <w:ind w:left="0"/>
              <w:contextualSpacing/>
              <w:rPr>
                <w:rFonts w:hint="eastAsia"/>
              </w:rPr>
            </w:pPr>
          </w:p>
          <w:p w14:paraId="31831745">
            <w:pPr>
              <w:pStyle w:val="26"/>
              <w:autoSpaceDE w:val="0"/>
              <w:autoSpaceDN w:val="0"/>
              <w:adjustRightInd w:val="0"/>
              <w:ind w:left="0"/>
              <w:contextualSpacing/>
              <w:rPr>
                <w:rFonts w:hint="eastAsia"/>
              </w:rPr>
            </w:pPr>
            <w:r>
              <w:rPr>
                <w:rFonts w:hint="eastAsia"/>
              </w:rPr>
              <w:t>To investigate how Core Suffix Aesthetic communities on Chinese social media reflect and critique contemporary societal anxieties through visual culture, with a particular focus on identity and cultural anxieties in the digital age. This research aims to provide insights into the evolving nature of Chinese youth culture, digital expression, and social critique, offering a unique perspective on how young people navigate and respond to rapid social changes through online aesthetic communities.</w:t>
            </w:r>
          </w:p>
          <w:p w14:paraId="258CEACC">
            <w:pPr>
              <w:pStyle w:val="26"/>
              <w:autoSpaceDE w:val="0"/>
              <w:autoSpaceDN w:val="0"/>
              <w:adjustRightInd w:val="0"/>
              <w:ind w:left="0"/>
              <w:contextualSpacing/>
              <w:rPr>
                <w:rFonts w:hint="eastAsia"/>
              </w:rPr>
            </w:pPr>
          </w:p>
          <w:p w14:paraId="520D91DF">
            <w:pPr>
              <w:pStyle w:val="26"/>
              <w:autoSpaceDE w:val="0"/>
              <w:autoSpaceDN w:val="0"/>
              <w:adjustRightInd w:val="0"/>
              <w:ind w:left="0"/>
              <w:contextualSpacing/>
              <w:rPr>
                <w:rFonts w:hint="eastAsia"/>
                <w:b/>
                <w:bCs/>
              </w:rPr>
            </w:pPr>
            <w:r>
              <w:rPr>
                <w:rFonts w:hint="eastAsia" w:eastAsia="宋体"/>
                <w:b/>
                <w:bCs/>
                <w:lang w:val="en-US" w:eastAsia="zh-CN"/>
              </w:rPr>
              <w:t>Primary o</w:t>
            </w:r>
            <w:r>
              <w:rPr>
                <w:rFonts w:hint="eastAsia"/>
                <w:b/>
                <w:bCs/>
              </w:rPr>
              <w:t>bjectives</w:t>
            </w:r>
          </w:p>
          <w:p w14:paraId="401233BC">
            <w:pPr>
              <w:pStyle w:val="26"/>
              <w:autoSpaceDE w:val="0"/>
              <w:autoSpaceDN w:val="0"/>
              <w:adjustRightInd w:val="0"/>
              <w:ind w:left="0"/>
              <w:contextualSpacing/>
              <w:rPr>
                <w:rFonts w:hint="eastAsia"/>
              </w:rPr>
            </w:pPr>
          </w:p>
          <w:p w14:paraId="5717E9EF">
            <w:pPr>
              <w:pStyle w:val="26"/>
              <w:numPr>
                <w:ilvl w:val="0"/>
                <w:numId w:val="1"/>
              </w:numPr>
              <w:autoSpaceDE w:val="0"/>
              <w:autoSpaceDN w:val="0"/>
              <w:adjustRightInd w:val="0"/>
              <w:ind w:left="0"/>
              <w:contextualSpacing/>
              <w:rPr>
                <w:rFonts w:hint="eastAsia"/>
                <w:lang w:eastAsia="zh-CN"/>
              </w:rPr>
            </w:pPr>
            <w:r>
              <w:rPr>
                <w:rFonts w:hint="eastAsia"/>
              </w:rPr>
              <w:t>Analyze the Formation and Evolution of Core Suffix Aesthetic Subcultures</w:t>
            </w:r>
          </w:p>
          <w:p w14:paraId="5279279D">
            <w:pPr>
              <w:pStyle w:val="26"/>
              <w:autoSpaceDE w:val="0"/>
              <w:autoSpaceDN w:val="0"/>
              <w:adjustRightInd w:val="0"/>
              <w:ind w:left="0"/>
              <w:contextualSpacing/>
              <w:rPr>
                <w:rFonts w:hint="eastAsia"/>
              </w:rPr>
            </w:pPr>
            <w:r>
              <w:rPr>
                <w:rFonts w:hint="eastAsia"/>
              </w:rPr>
              <w:t xml:space="preserve">   - Employ digital ethnography to trace the emergence and development of Core Suffix Aesthetics on major Chinese social media platforms.</w:t>
            </w:r>
          </w:p>
          <w:p w14:paraId="32C0FF8D">
            <w:pPr>
              <w:pStyle w:val="26"/>
              <w:autoSpaceDE w:val="0"/>
              <w:autoSpaceDN w:val="0"/>
              <w:adjustRightInd w:val="0"/>
              <w:ind w:left="0"/>
              <w:contextualSpacing/>
              <w:rPr>
                <w:rFonts w:hint="eastAsia"/>
              </w:rPr>
            </w:pPr>
            <w:r>
              <w:rPr>
                <w:rFonts w:hint="eastAsia"/>
              </w:rPr>
              <w:t xml:space="preserve">   - Apply multimodal analysis to user-generated content to understand how these subcultures adapt and transform in response to social and cultural pressures.Analyse the relationships between different modalities and how they create meaning. Such as images, video, audio, text, etc.</w:t>
            </w:r>
          </w:p>
          <w:p w14:paraId="44D7A7C6">
            <w:pPr>
              <w:pStyle w:val="26"/>
              <w:autoSpaceDE w:val="0"/>
              <w:autoSpaceDN w:val="0"/>
              <w:adjustRightInd w:val="0"/>
              <w:ind w:left="0"/>
              <w:contextualSpacing/>
              <w:rPr>
                <w:rFonts w:hint="eastAsia"/>
              </w:rPr>
            </w:pPr>
            <w:r>
              <w:rPr>
                <w:rFonts w:hint="eastAsia"/>
              </w:rPr>
              <w:t xml:space="preserve">   - Conduct in-depth interviews with community members to gather narratives on the motivations behind participating in these aesthetic movements.</w:t>
            </w:r>
          </w:p>
          <w:p w14:paraId="1DCF332E">
            <w:pPr>
              <w:pStyle w:val="26"/>
              <w:autoSpaceDE w:val="0"/>
              <w:autoSpaceDN w:val="0"/>
              <w:adjustRightInd w:val="0"/>
              <w:ind w:left="0"/>
              <w:contextualSpacing/>
              <w:rPr>
                <w:rFonts w:hint="eastAsia"/>
              </w:rPr>
            </w:pPr>
          </w:p>
          <w:p w14:paraId="3F859B51">
            <w:pPr>
              <w:pStyle w:val="26"/>
              <w:autoSpaceDE w:val="0"/>
              <w:autoSpaceDN w:val="0"/>
              <w:adjustRightInd w:val="0"/>
              <w:ind w:left="0"/>
              <w:contextualSpacing/>
              <w:rPr>
                <w:rFonts w:hint="eastAsia" w:eastAsia="宋体"/>
                <w:lang w:eastAsia="zh-CN"/>
              </w:rPr>
            </w:pPr>
            <w:r>
              <w:rPr>
                <w:rFonts w:hint="eastAsia"/>
              </w:rPr>
              <w:t>2. Examine the Reflection and Critique of Societal Anxieties through Digital Aesthetics</w:t>
            </w:r>
          </w:p>
          <w:p w14:paraId="60DFF627">
            <w:pPr>
              <w:pStyle w:val="26"/>
              <w:autoSpaceDE w:val="0"/>
              <w:autoSpaceDN w:val="0"/>
              <w:adjustRightInd w:val="0"/>
              <w:ind w:left="0"/>
              <w:contextualSpacing/>
              <w:rPr>
                <w:rFonts w:hint="eastAsia"/>
              </w:rPr>
            </w:pPr>
            <w:r>
              <w:rPr>
                <w:rFonts w:hint="eastAsia"/>
              </w:rPr>
              <w:t xml:space="preserve">   - Utilize cultural semiotic analysis to decode the symbolic representations of societal anxieties within Core Suffix Aesthetic content.</w:t>
            </w:r>
          </w:p>
          <w:p w14:paraId="6A6D4C31">
            <w:pPr>
              <w:pStyle w:val="26"/>
              <w:autoSpaceDE w:val="0"/>
              <w:autoSpaceDN w:val="0"/>
              <w:adjustRightInd w:val="0"/>
              <w:ind w:left="0"/>
              <w:contextualSpacing/>
              <w:rPr>
                <w:rFonts w:hint="eastAsia"/>
              </w:rPr>
            </w:pPr>
            <w:r>
              <w:rPr>
                <w:rFonts w:hint="eastAsia"/>
              </w:rPr>
              <w:t xml:space="preserve">   - Analyze the visual, textual, and interactive elements of these aesthetics to understand how they articulate and critique contemporary social issues.</w:t>
            </w:r>
          </w:p>
          <w:p w14:paraId="2E9A7367">
            <w:pPr>
              <w:pStyle w:val="26"/>
              <w:autoSpaceDE w:val="0"/>
              <w:autoSpaceDN w:val="0"/>
              <w:adjustRightInd w:val="0"/>
              <w:ind w:left="0"/>
              <w:contextualSpacing/>
              <w:rPr>
                <w:rFonts w:hint="eastAsia"/>
              </w:rPr>
            </w:pPr>
            <w:r>
              <w:rPr>
                <w:rFonts w:hint="eastAsia"/>
              </w:rPr>
              <w:t xml:space="preserve">   - Organize focus groups to explore how participants perceive and use these aesthetics as forms of social commentary.</w:t>
            </w:r>
          </w:p>
          <w:p w14:paraId="14715041">
            <w:pPr>
              <w:pStyle w:val="26"/>
              <w:autoSpaceDE w:val="0"/>
              <w:autoSpaceDN w:val="0"/>
              <w:adjustRightInd w:val="0"/>
              <w:ind w:left="0"/>
              <w:contextualSpacing/>
              <w:rPr>
                <w:rFonts w:hint="eastAsia"/>
              </w:rPr>
            </w:pPr>
          </w:p>
          <w:p w14:paraId="217429D9">
            <w:pPr>
              <w:pStyle w:val="26"/>
              <w:autoSpaceDE w:val="0"/>
              <w:autoSpaceDN w:val="0"/>
              <w:adjustRightInd w:val="0"/>
              <w:ind w:left="0"/>
              <w:contextualSpacing/>
              <w:rPr>
                <w:rFonts w:hint="eastAsia" w:eastAsia="宋体"/>
                <w:lang w:eastAsia="zh-CN"/>
              </w:rPr>
            </w:pPr>
            <w:r>
              <w:rPr>
                <w:rFonts w:hint="eastAsia"/>
              </w:rPr>
              <w:t>3. Investigate the Role of Visual Culture in Shaping Youth Identity in the Digital Age</w:t>
            </w:r>
          </w:p>
          <w:p w14:paraId="1FF5DA6D">
            <w:pPr>
              <w:pStyle w:val="26"/>
              <w:autoSpaceDE w:val="0"/>
              <w:autoSpaceDN w:val="0"/>
              <w:adjustRightInd w:val="0"/>
              <w:ind w:left="0"/>
              <w:contextualSpacing/>
              <w:rPr>
                <w:rFonts w:hint="eastAsia"/>
              </w:rPr>
            </w:pPr>
            <w:r>
              <w:rPr>
                <w:rFonts w:hint="eastAsia"/>
              </w:rPr>
              <w:t xml:space="preserve">   - Conduct a multimodal analysis of Core Suffix Aesthetic content to examine how visual elements contribute to identity formation and expression.</w:t>
            </w:r>
          </w:p>
          <w:p w14:paraId="0A940D75">
            <w:pPr>
              <w:pStyle w:val="26"/>
              <w:autoSpaceDE w:val="0"/>
              <w:autoSpaceDN w:val="0"/>
              <w:adjustRightInd w:val="0"/>
              <w:ind w:left="0"/>
              <w:contextualSpacing/>
              <w:rPr>
                <w:rFonts w:hint="eastAsia"/>
              </w:rPr>
            </w:pPr>
            <w:r>
              <w:rPr>
                <w:rFonts w:hint="eastAsia"/>
              </w:rPr>
              <w:t xml:space="preserve">   - Employ visual-elicitation interviews to explore how participants use these aesthetics to navigate and construct their digital identities.</w:t>
            </w:r>
          </w:p>
          <w:p w14:paraId="10949220">
            <w:pPr>
              <w:pStyle w:val="26"/>
              <w:autoSpaceDE w:val="0"/>
              <w:autoSpaceDN w:val="0"/>
              <w:adjustRightInd w:val="0"/>
              <w:ind w:left="0"/>
              <w:contextualSpacing/>
              <w:rPr>
                <w:rFonts w:hint="eastAsia"/>
              </w:rPr>
            </w:pPr>
            <w:r>
              <w:rPr>
                <w:rFonts w:hint="eastAsia"/>
              </w:rPr>
              <w:t xml:space="preserve">   - Analyze user-created content through a cultural semiotic lens to understand patterns of self-representation and digital socialization.</w:t>
            </w:r>
          </w:p>
          <w:p w14:paraId="72854E61">
            <w:pPr>
              <w:pStyle w:val="26"/>
              <w:autoSpaceDE w:val="0"/>
              <w:autoSpaceDN w:val="0"/>
              <w:adjustRightInd w:val="0"/>
              <w:ind w:left="0"/>
              <w:contextualSpacing/>
              <w:rPr>
                <w:rFonts w:hint="eastAsia"/>
              </w:rPr>
            </w:pPr>
          </w:p>
          <w:p w14:paraId="1BABA7BB">
            <w:pPr>
              <w:pStyle w:val="26"/>
              <w:autoSpaceDE w:val="0"/>
              <w:autoSpaceDN w:val="0"/>
              <w:adjustRightInd w:val="0"/>
              <w:ind w:left="0"/>
              <w:contextualSpacing/>
              <w:rPr>
                <w:rFonts w:hint="default" w:eastAsia="宋体"/>
                <w:b/>
                <w:bCs/>
                <w:lang w:val="en-US" w:eastAsia="zh-CN"/>
              </w:rPr>
            </w:pPr>
            <w:r>
              <w:rPr>
                <w:rFonts w:hint="eastAsia" w:eastAsia="宋体"/>
                <w:b/>
                <w:bCs/>
                <w:lang w:val="en-US" w:eastAsia="zh-CN"/>
              </w:rPr>
              <w:t>Secondary objectives</w:t>
            </w:r>
          </w:p>
          <w:p w14:paraId="6D8FFB78">
            <w:pPr>
              <w:pStyle w:val="26"/>
              <w:autoSpaceDE w:val="0"/>
              <w:autoSpaceDN w:val="0"/>
              <w:adjustRightInd w:val="0"/>
              <w:ind w:left="0"/>
              <w:contextualSpacing/>
              <w:rPr>
                <w:rFonts w:hint="eastAsia"/>
              </w:rPr>
            </w:pPr>
          </w:p>
          <w:p w14:paraId="2AB43AE1">
            <w:pPr>
              <w:pStyle w:val="26"/>
              <w:autoSpaceDE w:val="0"/>
              <w:autoSpaceDN w:val="0"/>
              <w:adjustRightInd w:val="0"/>
              <w:ind w:left="0"/>
              <w:contextualSpacing/>
              <w:rPr>
                <w:rFonts w:hint="eastAsia" w:eastAsia="宋体"/>
                <w:lang w:eastAsia="zh-CN"/>
              </w:rPr>
            </w:pPr>
            <w:r>
              <w:rPr>
                <w:rFonts w:hint="eastAsia" w:eastAsia="宋体"/>
                <w:lang w:val="en-US" w:eastAsia="zh-CN"/>
              </w:rPr>
              <w:t>1</w:t>
            </w:r>
            <w:r>
              <w:rPr>
                <w:rFonts w:hint="eastAsia"/>
              </w:rPr>
              <w:t>. Explore the Interplay Between Global Internet Trends and Local Chinese Cultural Contexts</w:t>
            </w:r>
          </w:p>
          <w:p w14:paraId="707FB1E4">
            <w:pPr>
              <w:pStyle w:val="26"/>
              <w:autoSpaceDE w:val="0"/>
              <w:autoSpaceDN w:val="0"/>
              <w:adjustRightInd w:val="0"/>
              <w:ind w:left="0"/>
              <w:contextualSpacing/>
              <w:rPr>
                <w:rFonts w:hint="eastAsia"/>
              </w:rPr>
            </w:pPr>
            <w:r>
              <w:rPr>
                <w:rFonts w:hint="eastAsia"/>
              </w:rPr>
              <w:t xml:space="preserve">   - Apply comparative analysis to identify similarities and differences between Core Suffix Aesthetics and global digital subcultures.</w:t>
            </w:r>
          </w:p>
          <w:p w14:paraId="5340A812">
            <w:pPr>
              <w:pStyle w:val="26"/>
              <w:autoSpaceDE w:val="0"/>
              <w:autoSpaceDN w:val="0"/>
              <w:adjustRightInd w:val="0"/>
              <w:ind w:left="0"/>
              <w:contextualSpacing/>
              <w:rPr>
                <w:rFonts w:hint="eastAsia"/>
              </w:rPr>
            </w:pPr>
            <w:r>
              <w:rPr>
                <w:rFonts w:hint="eastAsia"/>
              </w:rPr>
              <w:t xml:space="preserve">   - Conduct interviews with participants to understand how they perceive and integrate global trends within local cultural frameworks.</w:t>
            </w:r>
          </w:p>
          <w:p w14:paraId="4DB99666">
            <w:pPr>
              <w:pStyle w:val="26"/>
              <w:autoSpaceDE w:val="0"/>
              <w:autoSpaceDN w:val="0"/>
              <w:adjustRightInd w:val="0"/>
              <w:ind w:left="0"/>
              <w:contextualSpacing/>
              <w:rPr>
                <w:rFonts w:hint="eastAsia"/>
              </w:rPr>
            </w:pPr>
            <w:r>
              <w:rPr>
                <w:rFonts w:hint="eastAsia"/>
              </w:rPr>
              <w:t xml:space="preserve"> </w:t>
            </w:r>
          </w:p>
          <w:p w14:paraId="13A6F3CD">
            <w:pPr>
              <w:pStyle w:val="26"/>
              <w:autoSpaceDE w:val="0"/>
              <w:autoSpaceDN w:val="0"/>
              <w:adjustRightInd w:val="0"/>
              <w:ind w:left="0"/>
              <w:contextualSpacing/>
              <w:rPr>
                <w:rFonts w:hint="eastAsia"/>
              </w:rPr>
            </w:pPr>
          </w:p>
          <w:p w14:paraId="338C2D2B">
            <w:pPr>
              <w:pStyle w:val="26"/>
              <w:autoSpaceDE w:val="0"/>
              <w:autoSpaceDN w:val="0"/>
              <w:adjustRightInd w:val="0"/>
              <w:ind w:left="0"/>
              <w:contextualSpacing/>
              <w:rPr>
                <w:rFonts w:hint="eastAsia" w:eastAsia="宋体"/>
                <w:lang w:eastAsia="zh-CN"/>
              </w:rPr>
            </w:pPr>
            <w:r>
              <w:rPr>
                <w:rFonts w:hint="eastAsia" w:eastAsia="宋体"/>
                <w:lang w:val="en-US" w:eastAsia="zh-CN"/>
              </w:rPr>
              <w:t>2</w:t>
            </w:r>
            <w:r>
              <w:rPr>
                <w:rFonts w:hint="eastAsia"/>
              </w:rPr>
              <w:t>. Assess the Potential of Aesthetic-Driven Online Communities as Indicators of Broader Social and Cultural Shifts in Contemporary China</w:t>
            </w:r>
          </w:p>
          <w:p w14:paraId="2C8F3F7F">
            <w:pPr>
              <w:pStyle w:val="26"/>
              <w:autoSpaceDE w:val="0"/>
              <w:autoSpaceDN w:val="0"/>
              <w:adjustRightInd w:val="0"/>
              <w:ind w:left="0"/>
              <w:contextualSpacing/>
              <w:rPr>
                <w:rFonts w:hint="eastAsia"/>
              </w:rPr>
            </w:pPr>
            <w:r>
              <w:rPr>
                <w:rFonts w:hint="eastAsia"/>
              </w:rPr>
              <w:t xml:space="preserve">   - Implement long-term digital ethnographic observation to track evolving themes and concerns within Core Suffix Aesthetic communities.</w:t>
            </w:r>
          </w:p>
          <w:p w14:paraId="0CF23398">
            <w:pPr>
              <w:pStyle w:val="26"/>
              <w:autoSpaceDE w:val="0"/>
              <w:autoSpaceDN w:val="0"/>
              <w:adjustRightInd w:val="0"/>
              <w:ind w:left="0"/>
              <w:contextualSpacing/>
              <w:rPr>
                <w:rFonts w:hint="eastAsia"/>
              </w:rPr>
            </w:pPr>
            <w:r>
              <w:rPr>
                <w:rFonts w:hint="eastAsia"/>
              </w:rPr>
              <w:t xml:space="preserve">   - Analyze media reports and social commentary related to these aesthetics to gauge their impact on broader societal discourse.</w:t>
            </w:r>
          </w:p>
          <w:p w14:paraId="7AA404BE">
            <w:pPr>
              <w:pStyle w:val="26"/>
              <w:autoSpaceDE w:val="0"/>
              <w:autoSpaceDN w:val="0"/>
              <w:adjustRightInd w:val="0"/>
              <w:ind w:left="0"/>
              <w:contextualSpacing/>
              <w:rPr>
                <w:rFonts w:hint="eastAsia"/>
              </w:rPr>
            </w:pPr>
            <w:r>
              <w:rPr>
                <w:rFonts w:hint="eastAsia"/>
              </w:rPr>
              <w:t xml:space="preserve">   - Conduct interviews with cultural critics and social scientists to contextualize the significance of these online subcultures within larger social and cultural transformations in China.</w:t>
            </w:r>
          </w:p>
          <w:p w14:paraId="632143F7">
            <w:pPr>
              <w:pStyle w:val="26"/>
              <w:autoSpaceDE w:val="0"/>
              <w:autoSpaceDN w:val="0"/>
              <w:adjustRightInd w:val="0"/>
              <w:ind w:left="0"/>
              <w:contextualSpacing/>
              <w:rPr>
                <w:rFonts w:hint="eastAsia"/>
              </w:rPr>
            </w:pPr>
          </w:p>
          <w:p w14:paraId="78AE16ED">
            <w:pPr>
              <w:pStyle w:val="26"/>
              <w:autoSpaceDE w:val="0"/>
              <w:autoSpaceDN w:val="0"/>
              <w:adjustRightInd w:val="0"/>
              <w:ind w:left="0"/>
              <w:contextualSpacing/>
              <w:rPr>
                <w:rFonts w:hint="eastAsia"/>
              </w:rPr>
            </w:pPr>
            <w:r>
              <w:rPr>
                <w:rFonts w:hint="eastAsia"/>
              </w:rPr>
              <w:t>This research aims to develop knowledge and understanding of how digital aesthetic communities reflect and critique social anxieties, the role of visual culture in shaping youth identity in the digital age, the interaction between global internet trends and local Chinese cultural contexts, the mechanisms of online subculture formation and evolution on Chinese social media platforms, and the potential of aesthetic-driven online communities as indicators of broader social and cultural shifts in contemporary China.</w:t>
            </w:r>
          </w:p>
          <w:p w14:paraId="77869C4F">
            <w:pPr>
              <w:pStyle w:val="26"/>
              <w:autoSpaceDE w:val="0"/>
              <w:autoSpaceDN w:val="0"/>
              <w:adjustRightInd w:val="0"/>
              <w:ind w:left="0"/>
              <w:contextualSpacing/>
              <w:rPr>
                <w:rFonts w:hint="eastAsia"/>
              </w:rPr>
            </w:pPr>
          </w:p>
          <w:p w14:paraId="226C18E8">
            <w:pPr>
              <w:pStyle w:val="26"/>
              <w:autoSpaceDE w:val="0"/>
              <w:autoSpaceDN w:val="0"/>
              <w:adjustRightInd w:val="0"/>
              <w:ind w:left="0"/>
              <w:contextualSpacing/>
              <w:rPr>
                <w:rFonts w:hint="eastAsia"/>
              </w:rPr>
            </w:pPr>
            <w:r>
              <w:rPr>
                <w:rFonts w:hint="eastAsia"/>
              </w:rPr>
              <w:t>By integrating multimodal analysis, cultural semiotics, and digital ethnography, this study will provide a comprehensive exploration of Core Suffix Aesthetics as a lens through which to understand the complex interplay between digital culture, youth identity formation, and sociocultural dynamics in contemporary China. This research will contribute to broader discussions on the role of digital subcultures in reflecting and shaping societal changes in the age of social media.</w:t>
            </w:r>
          </w:p>
        </w:tc>
      </w:tr>
      <w:tr w14:paraId="0802A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0802AEE8">
            <w:pPr>
              <w:rPr>
                <w:rFonts w:cs="Arial"/>
                <w:sz w:val="22"/>
                <w:szCs w:val="22"/>
              </w:rPr>
            </w:pPr>
          </w:p>
          <w:p w14:paraId="0802AEE9">
            <w:pPr>
              <w:rPr>
                <w:rFonts w:cs="Arial"/>
                <w:sz w:val="22"/>
                <w:szCs w:val="22"/>
              </w:rPr>
            </w:pPr>
            <w:r>
              <w:rPr>
                <w:rFonts w:cs="Arial"/>
                <w:sz w:val="22"/>
                <w:szCs w:val="22"/>
              </w:rPr>
              <w:t xml:space="preserve">Proposed plan of work including timetable </w:t>
            </w:r>
          </w:p>
        </w:tc>
      </w:tr>
      <w:tr w14:paraId="0802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tcPr>
          <w:p w14:paraId="0802AEEB">
            <w:pPr>
              <w:rPr>
                <w:rFonts w:cs="Arial"/>
                <w:sz w:val="22"/>
                <w:szCs w:val="22"/>
                <w:lang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7"/>
              <w:gridCol w:w="4778"/>
            </w:tblGrid>
            <w:tr w14:paraId="0802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EEC">
                  <w:pPr>
                    <w:rPr>
                      <w:rFonts w:cs="Arial"/>
                      <w:sz w:val="22"/>
                      <w:szCs w:val="22"/>
                    </w:rPr>
                  </w:pPr>
                  <w:r>
                    <w:rPr>
                      <w:rFonts w:cs="Arial"/>
                      <w:sz w:val="22"/>
                      <w:szCs w:val="22"/>
                    </w:rPr>
                    <w:t>Planned Development (e.g. submission of form, completion of chapter, submission of thesis)</w:t>
                  </w:r>
                </w:p>
              </w:tc>
              <w:tc>
                <w:tcPr>
                  <w:tcW w:w="4778" w:type="dxa"/>
                </w:tcPr>
                <w:p w14:paraId="0802AEED">
                  <w:pPr>
                    <w:rPr>
                      <w:rFonts w:cs="Arial"/>
                      <w:sz w:val="22"/>
                      <w:szCs w:val="22"/>
                    </w:rPr>
                  </w:pPr>
                  <w:r>
                    <w:rPr>
                      <w:rFonts w:cs="Arial"/>
                      <w:sz w:val="22"/>
                      <w:szCs w:val="22"/>
                    </w:rPr>
                    <w:t>Target Date</w:t>
                  </w:r>
                </w:p>
              </w:tc>
            </w:tr>
            <w:tr w14:paraId="6EBD8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19580FC9">
                  <w:pPr>
                    <w:rPr>
                      <w:rFonts w:ascii="宋体" w:hAnsi="宋体" w:eastAsia="宋体" w:cs="宋体"/>
                      <w:sz w:val="24"/>
                      <w:szCs w:val="24"/>
                    </w:rPr>
                  </w:pPr>
                  <w:r>
                    <w:rPr>
                      <w:rFonts w:ascii="宋体" w:hAnsi="宋体" w:eastAsia="宋体" w:cs="宋体"/>
                      <w:sz w:val="24"/>
                      <w:szCs w:val="24"/>
                    </w:rPr>
                    <w:t xml:space="preserve">Graduate to Part 2 </w:t>
                  </w:r>
                </w:p>
              </w:tc>
              <w:tc>
                <w:tcPr>
                  <w:tcW w:w="4778" w:type="dxa"/>
                </w:tcPr>
                <w:p w14:paraId="62624352">
                  <w:pPr>
                    <w:rPr>
                      <w:rFonts w:ascii="宋体" w:hAnsi="宋体" w:eastAsia="宋体" w:cs="宋体"/>
                      <w:sz w:val="24"/>
                      <w:szCs w:val="24"/>
                    </w:rPr>
                  </w:pPr>
                  <w:r>
                    <w:rPr>
                      <w:rFonts w:ascii="宋体" w:hAnsi="宋体" w:eastAsia="宋体" w:cs="宋体"/>
                      <w:sz w:val="24"/>
                      <w:szCs w:val="24"/>
                    </w:rPr>
                    <w:t>Feb 2025</w:t>
                  </w:r>
                </w:p>
              </w:tc>
            </w:tr>
            <w:tr w14:paraId="2B65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57077E41">
                  <w:pPr>
                    <w:rPr>
                      <w:rFonts w:ascii="宋体" w:hAnsi="宋体" w:eastAsia="宋体" w:cs="宋体"/>
                      <w:sz w:val="24"/>
                      <w:szCs w:val="24"/>
                    </w:rPr>
                  </w:pPr>
                  <w:r>
                    <w:rPr>
                      <w:rFonts w:ascii="宋体" w:hAnsi="宋体" w:eastAsia="宋体" w:cs="宋体"/>
                      <w:sz w:val="24"/>
                      <w:szCs w:val="24"/>
                    </w:rPr>
                    <w:t xml:space="preserve">PG1 submitted </w:t>
                  </w:r>
                </w:p>
              </w:tc>
              <w:tc>
                <w:tcPr>
                  <w:tcW w:w="4778" w:type="dxa"/>
                </w:tcPr>
                <w:p w14:paraId="55835BCE">
                  <w:pPr>
                    <w:rPr>
                      <w:rFonts w:ascii="宋体" w:hAnsi="宋体" w:eastAsia="宋体" w:cs="宋体"/>
                      <w:sz w:val="24"/>
                      <w:szCs w:val="24"/>
                    </w:rPr>
                  </w:pPr>
                  <w:r>
                    <w:rPr>
                      <w:rFonts w:ascii="宋体" w:hAnsi="宋体" w:eastAsia="宋体" w:cs="宋体"/>
                      <w:sz w:val="24"/>
                      <w:szCs w:val="24"/>
                    </w:rPr>
                    <w:t>April 2025</w:t>
                  </w:r>
                </w:p>
              </w:tc>
            </w:tr>
            <w:tr w14:paraId="15881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0214348">
                  <w:pPr>
                    <w:rPr>
                      <w:rFonts w:ascii="宋体" w:hAnsi="宋体" w:eastAsia="宋体" w:cs="宋体"/>
                      <w:sz w:val="24"/>
                      <w:szCs w:val="24"/>
                    </w:rPr>
                  </w:pPr>
                  <w:r>
                    <w:rPr>
                      <w:rFonts w:ascii="宋体" w:hAnsi="宋体" w:eastAsia="宋体" w:cs="宋体"/>
                      <w:sz w:val="24"/>
                      <w:szCs w:val="24"/>
                    </w:rPr>
                    <w:t xml:space="preserve">PG2 submitted </w:t>
                  </w:r>
                </w:p>
              </w:tc>
              <w:tc>
                <w:tcPr>
                  <w:tcW w:w="4778" w:type="dxa"/>
                </w:tcPr>
                <w:p w14:paraId="171ED96E">
                  <w:pPr>
                    <w:rPr>
                      <w:rFonts w:ascii="宋体" w:hAnsi="宋体" w:eastAsia="宋体" w:cs="宋体"/>
                      <w:sz w:val="24"/>
                      <w:szCs w:val="24"/>
                    </w:rPr>
                  </w:pPr>
                  <w:r>
                    <w:rPr>
                      <w:rFonts w:ascii="宋体" w:hAnsi="宋体" w:eastAsia="宋体" w:cs="宋体"/>
                      <w:sz w:val="24"/>
                      <w:szCs w:val="24"/>
                    </w:rPr>
                    <w:t>June 2024</w:t>
                  </w:r>
                </w:p>
              </w:tc>
            </w:tr>
            <w:tr w14:paraId="0802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EEF">
                  <w:pPr>
                    <w:rPr>
                      <w:rFonts w:cs="Arial"/>
                      <w:sz w:val="22"/>
                      <w:szCs w:val="22"/>
                    </w:rPr>
                  </w:pPr>
                  <w:r>
                    <w:rPr>
                      <w:rFonts w:ascii="宋体" w:hAnsi="宋体" w:eastAsia="宋体" w:cs="宋体"/>
                      <w:sz w:val="24"/>
                      <w:szCs w:val="24"/>
                    </w:rPr>
                    <w:t>Initial Literature Review Completed</w:t>
                  </w:r>
                </w:p>
              </w:tc>
              <w:tc>
                <w:tcPr>
                  <w:tcW w:w="4778" w:type="dxa"/>
                </w:tcPr>
                <w:p w14:paraId="0802AEF0">
                  <w:pPr>
                    <w:rPr>
                      <w:rFonts w:cs="Arial"/>
                      <w:sz w:val="22"/>
                      <w:szCs w:val="22"/>
                    </w:rPr>
                  </w:pPr>
                  <w:r>
                    <w:rPr>
                      <w:rFonts w:ascii="宋体" w:hAnsi="宋体" w:eastAsia="宋体" w:cs="宋体"/>
                      <w:sz w:val="24"/>
                      <w:szCs w:val="24"/>
                    </w:rPr>
                    <w:t>July 2024</w:t>
                  </w:r>
                </w:p>
              </w:tc>
            </w:tr>
            <w:tr w14:paraId="0802A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EF2">
                  <w:pPr>
                    <w:rPr>
                      <w:rFonts w:cs="Arial"/>
                      <w:sz w:val="22"/>
                      <w:szCs w:val="22"/>
                    </w:rPr>
                  </w:pPr>
                  <w:r>
                    <w:rPr>
                      <w:rFonts w:ascii="宋体" w:hAnsi="宋体" w:eastAsia="宋体" w:cs="宋体"/>
                      <w:sz w:val="24"/>
                      <w:szCs w:val="24"/>
                    </w:rPr>
                    <w:t>Research Proposal Submission</w:t>
                  </w:r>
                </w:p>
              </w:tc>
              <w:tc>
                <w:tcPr>
                  <w:tcW w:w="4778" w:type="dxa"/>
                </w:tcPr>
                <w:p w14:paraId="0802AEF3">
                  <w:pPr>
                    <w:rPr>
                      <w:rFonts w:cs="Arial"/>
                      <w:sz w:val="22"/>
                      <w:szCs w:val="22"/>
                    </w:rPr>
                  </w:pPr>
                  <w:r>
                    <w:rPr>
                      <w:rFonts w:ascii="宋体" w:hAnsi="宋体" w:eastAsia="宋体" w:cs="宋体"/>
                      <w:sz w:val="24"/>
                      <w:szCs w:val="24"/>
                    </w:rPr>
                    <w:t>July/August 2024</w:t>
                  </w:r>
                </w:p>
              </w:tc>
            </w:tr>
            <w:tr w14:paraId="0802A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EF5">
                  <w:pPr>
                    <w:rPr>
                      <w:rFonts w:cs="Arial"/>
                      <w:sz w:val="22"/>
                      <w:szCs w:val="22"/>
                    </w:rPr>
                  </w:pPr>
                  <w:r>
                    <w:rPr>
                      <w:rFonts w:ascii="宋体" w:hAnsi="宋体" w:eastAsia="宋体" w:cs="宋体"/>
                      <w:sz w:val="24"/>
                      <w:szCs w:val="24"/>
                    </w:rPr>
                    <w:t>Methodology Design</w:t>
                  </w:r>
                </w:p>
              </w:tc>
              <w:tc>
                <w:tcPr>
                  <w:tcW w:w="4778" w:type="dxa"/>
                </w:tcPr>
                <w:p w14:paraId="0802AEF6">
                  <w:pPr>
                    <w:rPr>
                      <w:rFonts w:cs="Arial"/>
                      <w:sz w:val="22"/>
                      <w:szCs w:val="22"/>
                    </w:rPr>
                  </w:pPr>
                  <w:r>
                    <w:rPr>
                      <w:rFonts w:ascii="宋体" w:hAnsi="宋体" w:eastAsia="宋体" w:cs="宋体"/>
                      <w:sz w:val="24"/>
                      <w:szCs w:val="24"/>
                    </w:rPr>
                    <w:t>September 2024</w:t>
                  </w:r>
                </w:p>
              </w:tc>
            </w:tr>
            <w:tr w14:paraId="0802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77" w:type="dxa"/>
                </w:tcPr>
                <w:p w14:paraId="0802AEF8">
                  <w:pPr>
                    <w:rPr>
                      <w:rFonts w:cs="Arial"/>
                      <w:sz w:val="22"/>
                      <w:szCs w:val="22"/>
                    </w:rPr>
                  </w:pPr>
                  <w:r>
                    <w:rPr>
                      <w:rFonts w:ascii="宋体" w:hAnsi="宋体" w:eastAsia="宋体" w:cs="宋体"/>
                      <w:sz w:val="24"/>
                      <w:szCs w:val="24"/>
                    </w:rPr>
                    <w:t>Fieldwork Preparation (Interviews &amp; Surveys Design)</w:t>
                  </w:r>
                </w:p>
              </w:tc>
              <w:tc>
                <w:tcPr>
                  <w:tcW w:w="4778" w:type="dxa"/>
                </w:tcPr>
                <w:p w14:paraId="0802AEF9">
                  <w:pPr>
                    <w:rPr>
                      <w:rFonts w:cs="Arial"/>
                      <w:sz w:val="22"/>
                      <w:szCs w:val="22"/>
                    </w:rPr>
                  </w:pPr>
                  <w:r>
                    <w:rPr>
                      <w:rFonts w:ascii="宋体" w:hAnsi="宋体" w:eastAsia="宋体" w:cs="宋体"/>
                      <w:sz w:val="24"/>
                      <w:szCs w:val="24"/>
                    </w:rPr>
                    <w:t>October 2024</w:t>
                  </w:r>
                </w:p>
              </w:tc>
            </w:tr>
            <w:tr w14:paraId="0802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EFB">
                  <w:pPr>
                    <w:rPr>
                      <w:rFonts w:cs="Arial"/>
                      <w:sz w:val="22"/>
                      <w:szCs w:val="22"/>
                    </w:rPr>
                  </w:pPr>
                  <w:r>
                    <w:rPr>
                      <w:rFonts w:ascii="宋体" w:hAnsi="宋体" w:eastAsia="宋体" w:cs="宋体"/>
                      <w:sz w:val="24"/>
                      <w:szCs w:val="24"/>
                    </w:rPr>
                    <w:t>Data Collection (Online Research &amp; Initial Surveys)</w:t>
                  </w:r>
                </w:p>
              </w:tc>
              <w:tc>
                <w:tcPr>
                  <w:tcW w:w="4778" w:type="dxa"/>
                </w:tcPr>
                <w:p w14:paraId="0802AEFC">
                  <w:pPr>
                    <w:rPr>
                      <w:rFonts w:cs="Arial"/>
                      <w:sz w:val="22"/>
                      <w:szCs w:val="22"/>
                    </w:rPr>
                  </w:pPr>
                  <w:r>
                    <w:rPr>
                      <w:rFonts w:ascii="宋体" w:hAnsi="宋体" w:eastAsia="宋体" w:cs="宋体"/>
                      <w:sz w:val="24"/>
                      <w:szCs w:val="24"/>
                    </w:rPr>
                    <w:t xml:space="preserve">Nov 2024 </w:t>
                  </w:r>
                  <w:r>
                    <w:rPr>
                      <w:rFonts w:hint="eastAsia" w:ascii="宋体" w:hAnsi="宋体" w:eastAsia="宋体" w:cs="宋体"/>
                      <w:sz w:val="24"/>
                      <w:szCs w:val="24"/>
                      <w:lang w:eastAsia="zh-CN"/>
                    </w:rPr>
                    <w:t>·</w:t>
                  </w:r>
                  <w:r>
                    <w:rPr>
                      <w:rFonts w:ascii="宋体" w:hAnsi="宋体" w:eastAsia="宋体" w:cs="宋体"/>
                      <w:sz w:val="24"/>
                      <w:szCs w:val="24"/>
                    </w:rPr>
                    <w:t>Jan 2025</w:t>
                  </w:r>
                </w:p>
              </w:tc>
            </w:tr>
            <w:tr w14:paraId="0802A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EFE">
                  <w:pPr>
                    <w:rPr>
                      <w:rFonts w:cs="Arial"/>
                      <w:sz w:val="22"/>
                      <w:szCs w:val="22"/>
                    </w:rPr>
                  </w:pPr>
                  <w:r>
                    <w:rPr>
                      <w:rFonts w:ascii="宋体" w:hAnsi="宋体" w:eastAsia="宋体" w:cs="宋体"/>
                      <w:sz w:val="24"/>
                      <w:szCs w:val="24"/>
                    </w:rPr>
                    <w:t>Research Trip to China for Field Research</w:t>
                  </w:r>
                </w:p>
              </w:tc>
              <w:tc>
                <w:tcPr>
                  <w:tcW w:w="4778" w:type="dxa"/>
                </w:tcPr>
                <w:p w14:paraId="0802AEFF">
                  <w:pPr>
                    <w:rPr>
                      <w:rFonts w:cs="Arial"/>
                      <w:sz w:val="22"/>
                      <w:szCs w:val="22"/>
                    </w:rPr>
                  </w:pPr>
                  <w:r>
                    <w:rPr>
                      <w:rFonts w:ascii="宋体" w:hAnsi="宋体" w:eastAsia="宋体" w:cs="宋体"/>
                      <w:sz w:val="24"/>
                      <w:szCs w:val="24"/>
                    </w:rPr>
                    <w:t xml:space="preserve">Feb 2025 </w:t>
                  </w:r>
                  <w:r>
                    <w:rPr>
                      <w:rFonts w:hint="eastAsia" w:ascii="宋体" w:hAnsi="宋体" w:eastAsia="宋体" w:cs="宋体"/>
                      <w:sz w:val="24"/>
                      <w:szCs w:val="24"/>
                      <w:lang w:eastAsia="zh-CN"/>
                    </w:rPr>
                    <w:t>·</w:t>
                  </w:r>
                  <w:r>
                    <w:rPr>
                      <w:rFonts w:ascii="宋体" w:hAnsi="宋体" w:eastAsia="宋体" w:cs="宋体"/>
                      <w:sz w:val="24"/>
                      <w:szCs w:val="24"/>
                    </w:rPr>
                    <w:t>Jun 2025</w:t>
                  </w:r>
                </w:p>
              </w:tc>
            </w:tr>
            <w:tr w14:paraId="0802A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F01">
                  <w:pPr>
                    <w:rPr>
                      <w:rFonts w:ascii="宋体" w:hAnsi="宋体" w:eastAsia="宋体" w:cs="宋体"/>
                      <w:sz w:val="24"/>
                      <w:szCs w:val="24"/>
                    </w:rPr>
                  </w:pPr>
                  <w:r>
                    <w:rPr>
                      <w:rFonts w:ascii="宋体" w:hAnsi="宋体" w:eastAsia="宋体" w:cs="宋体"/>
                      <w:sz w:val="24"/>
                      <w:szCs w:val="24"/>
                    </w:rPr>
                    <w:t>Data Analysis and Coding (Qualitative and Quantitative)</w:t>
                  </w:r>
                </w:p>
              </w:tc>
              <w:tc>
                <w:tcPr>
                  <w:tcW w:w="4778" w:type="dxa"/>
                </w:tcPr>
                <w:p w14:paraId="0802AF02">
                  <w:pPr>
                    <w:rPr>
                      <w:rFonts w:cs="Arial"/>
                      <w:sz w:val="22"/>
                      <w:szCs w:val="22"/>
                    </w:rPr>
                  </w:pPr>
                  <w:r>
                    <w:rPr>
                      <w:rFonts w:ascii="宋体" w:hAnsi="宋体" w:eastAsia="宋体" w:cs="宋体"/>
                      <w:sz w:val="24"/>
                      <w:szCs w:val="24"/>
                    </w:rPr>
                    <w:t xml:space="preserve">July 2025 </w:t>
                  </w:r>
                  <w:r>
                    <w:rPr>
                      <w:rFonts w:hint="eastAsia" w:ascii="宋体" w:hAnsi="宋体" w:eastAsia="宋体" w:cs="宋体"/>
                      <w:sz w:val="24"/>
                      <w:szCs w:val="24"/>
                      <w:lang w:eastAsia="zh-CN"/>
                    </w:rPr>
                    <w:t>·</w:t>
                  </w:r>
                  <w:r>
                    <w:rPr>
                      <w:rFonts w:ascii="宋体" w:hAnsi="宋体" w:eastAsia="宋体" w:cs="宋体"/>
                      <w:sz w:val="24"/>
                      <w:szCs w:val="24"/>
                    </w:rPr>
                    <w:t>Dec 2025</w:t>
                  </w:r>
                </w:p>
              </w:tc>
            </w:tr>
            <w:tr w14:paraId="0802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F04">
                  <w:pPr>
                    <w:rPr>
                      <w:rFonts w:ascii="宋体" w:hAnsi="宋体" w:eastAsia="宋体" w:cs="宋体"/>
                      <w:sz w:val="24"/>
                      <w:szCs w:val="24"/>
                    </w:rPr>
                  </w:pPr>
                  <w:r>
                    <w:rPr>
                      <w:rFonts w:ascii="宋体" w:hAnsi="宋体" w:eastAsia="宋体" w:cs="宋体"/>
                      <w:sz w:val="24"/>
                      <w:szCs w:val="24"/>
                    </w:rPr>
                    <w:t>First Draft of Core Chapters (Data Analysis)</w:t>
                  </w:r>
                </w:p>
              </w:tc>
              <w:tc>
                <w:tcPr>
                  <w:tcW w:w="4778" w:type="dxa"/>
                </w:tcPr>
                <w:p w14:paraId="0802AF05">
                  <w:pPr>
                    <w:rPr>
                      <w:rFonts w:cs="Arial"/>
                      <w:sz w:val="22"/>
                      <w:szCs w:val="22"/>
                    </w:rPr>
                  </w:pPr>
                  <w:r>
                    <w:rPr>
                      <w:rFonts w:ascii="宋体" w:hAnsi="宋体" w:eastAsia="宋体" w:cs="宋体"/>
                      <w:sz w:val="24"/>
                      <w:szCs w:val="24"/>
                    </w:rPr>
                    <w:t>January 2026</w:t>
                  </w:r>
                </w:p>
              </w:tc>
            </w:tr>
            <w:tr w14:paraId="0802A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F07">
                  <w:pPr>
                    <w:rPr>
                      <w:rFonts w:ascii="宋体" w:hAnsi="宋体" w:eastAsia="宋体" w:cs="宋体"/>
                      <w:sz w:val="24"/>
                      <w:szCs w:val="24"/>
                    </w:rPr>
                  </w:pPr>
                  <w:r>
                    <w:rPr>
                      <w:rFonts w:ascii="宋体" w:hAnsi="宋体" w:eastAsia="宋体" w:cs="宋体"/>
                      <w:sz w:val="24"/>
                      <w:szCs w:val="24"/>
                    </w:rPr>
                    <w:t>Supervisor Feedback on First Draft</w:t>
                  </w:r>
                </w:p>
              </w:tc>
              <w:tc>
                <w:tcPr>
                  <w:tcW w:w="4778" w:type="dxa"/>
                </w:tcPr>
                <w:p w14:paraId="0802AF08">
                  <w:pPr>
                    <w:rPr>
                      <w:rFonts w:cs="Arial"/>
                      <w:sz w:val="22"/>
                      <w:szCs w:val="22"/>
                    </w:rPr>
                  </w:pPr>
                  <w:r>
                    <w:rPr>
                      <w:rFonts w:ascii="宋体" w:hAnsi="宋体" w:eastAsia="宋体" w:cs="宋体"/>
                      <w:sz w:val="24"/>
                      <w:szCs w:val="24"/>
                    </w:rPr>
                    <w:t>March 2026</w:t>
                  </w:r>
                </w:p>
              </w:tc>
            </w:tr>
            <w:tr w14:paraId="0802A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F0A">
                  <w:pPr>
                    <w:rPr>
                      <w:rFonts w:ascii="宋体" w:hAnsi="宋体" w:eastAsia="宋体" w:cs="宋体"/>
                      <w:sz w:val="24"/>
                      <w:szCs w:val="24"/>
                    </w:rPr>
                  </w:pPr>
                  <w:r>
                    <w:rPr>
                      <w:rFonts w:ascii="宋体" w:hAnsi="宋体" w:eastAsia="宋体" w:cs="宋体"/>
                      <w:sz w:val="24"/>
                      <w:szCs w:val="24"/>
                    </w:rPr>
                    <w:t>Revision and Redrafting of Core Chapters</w:t>
                  </w:r>
                </w:p>
              </w:tc>
              <w:tc>
                <w:tcPr>
                  <w:tcW w:w="4778" w:type="dxa"/>
                </w:tcPr>
                <w:p w14:paraId="0802AF0B">
                  <w:pPr>
                    <w:rPr>
                      <w:rFonts w:cs="Arial"/>
                      <w:sz w:val="22"/>
                      <w:szCs w:val="22"/>
                    </w:rPr>
                  </w:pPr>
                  <w:r>
                    <w:rPr>
                      <w:rFonts w:ascii="宋体" w:hAnsi="宋体" w:eastAsia="宋体" w:cs="宋体"/>
                      <w:sz w:val="24"/>
                      <w:szCs w:val="24"/>
                    </w:rPr>
                    <w:t xml:space="preserve">April </w:t>
                  </w:r>
                  <w:r>
                    <w:rPr>
                      <w:rFonts w:hint="eastAsia" w:ascii="宋体" w:hAnsi="宋体" w:eastAsia="宋体" w:cs="宋体"/>
                      <w:sz w:val="24"/>
                      <w:szCs w:val="24"/>
                      <w:lang w:eastAsia="zh-CN"/>
                    </w:rPr>
                    <w:t>·</w:t>
                  </w:r>
                  <w:r>
                    <w:rPr>
                      <w:rFonts w:ascii="宋体" w:hAnsi="宋体" w:eastAsia="宋体" w:cs="宋体"/>
                      <w:sz w:val="24"/>
                      <w:szCs w:val="24"/>
                    </w:rPr>
                    <w:t>June 2026</w:t>
                  </w:r>
                </w:p>
              </w:tc>
            </w:tr>
            <w:tr w14:paraId="0802A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F0D">
                  <w:pPr>
                    <w:rPr>
                      <w:rFonts w:ascii="宋体" w:hAnsi="宋体" w:eastAsia="宋体" w:cs="宋体"/>
                      <w:sz w:val="24"/>
                      <w:szCs w:val="24"/>
                    </w:rPr>
                  </w:pPr>
                  <w:r>
                    <w:rPr>
                      <w:rFonts w:ascii="宋体" w:hAnsi="宋体" w:eastAsia="宋体" w:cs="宋体"/>
                      <w:sz w:val="24"/>
                      <w:szCs w:val="24"/>
                    </w:rPr>
                    <w:t>Final Draft of Thesis</w:t>
                  </w:r>
                </w:p>
              </w:tc>
              <w:tc>
                <w:tcPr>
                  <w:tcW w:w="4778" w:type="dxa"/>
                </w:tcPr>
                <w:p w14:paraId="0802AF0E">
                  <w:pPr>
                    <w:rPr>
                      <w:rFonts w:cs="Arial"/>
                      <w:sz w:val="22"/>
                      <w:szCs w:val="22"/>
                    </w:rPr>
                  </w:pPr>
                  <w:r>
                    <w:rPr>
                      <w:rFonts w:ascii="宋体" w:hAnsi="宋体" w:eastAsia="宋体" w:cs="宋体"/>
                      <w:sz w:val="24"/>
                      <w:szCs w:val="24"/>
                    </w:rPr>
                    <w:t>August 2026</w:t>
                  </w:r>
                </w:p>
              </w:tc>
            </w:tr>
            <w:tr w14:paraId="0802A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F10">
                  <w:pPr>
                    <w:rPr>
                      <w:rFonts w:ascii="宋体" w:hAnsi="宋体" w:eastAsia="宋体" w:cs="宋体"/>
                      <w:sz w:val="24"/>
                      <w:szCs w:val="24"/>
                    </w:rPr>
                  </w:pPr>
                  <w:r>
                    <w:rPr>
                      <w:rFonts w:ascii="宋体" w:hAnsi="宋体" w:eastAsia="宋体" w:cs="宋体"/>
                      <w:sz w:val="24"/>
                      <w:szCs w:val="24"/>
                    </w:rPr>
                    <w:t>Final Supervisor Review and Revisions</w:t>
                  </w:r>
                </w:p>
              </w:tc>
              <w:tc>
                <w:tcPr>
                  <w:tcW w:w="4778" w:type="dxa"/>
                </w:tcPr>
                <w:p w14:paraId="0802AF11">
                  <w:pPr>
                    <w:rPr>
                      <w:rFonts w:cs="Arial"/>
                      <w:sz w:val="22"/>
                      <w:szCs w:val="22"/>
                    </w:rPr>
                  </w:pPr>
                  <w:r>
                    <w:rPr>
                      <w:rFonts w:ascii="宋体" w:hAnsi="宋体" w:eastAsia="宋体" w:cs="宋体"/>
                      <w:sz w:val="24"/>
                      <w:szCs w:val="24"/>
                    </w:rPr>
                    <w:t>September 2026</w:t>
                  </w:r>
                </w:p>
              </w:tc>
            </w:tr>
            <w:tr w14:paraId="0802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7" w:type="dxa"/>
                </w:tcPr>
                <w:p w14:paraId="0802AF13">
                  <w:pPr>
                    <w:tabs>
                      <w:tab w:val="left" w:pos="3074"/>
                    </w:tabs>
                    <w:rPr>
                      <w:rFonts w:ascii="宋体" w:hAnsi="宋体" w:eastAsia="宋体" w:cs="宋体"/>
                      <w:sz w:val="24"/>
                      <w:szCs w:val="24"/>
                      <w:lang w:eastAsia="zh-CN"/>
                    </w:rPr>
                  </w:pPr>
                  <w:r>
                    <w:rPr>
                      <w:rFonts w:ascii="宋体" w:hAnsi="宋体" w:eastAsia="宋体" w:cs="宋体"/>
                      <w:sz w:val="24"/>
                      <w:szCs w:val="24"/>
                    </w:rPr>
                    <w:t>Thesis Submission</w:t>
                  </w:r>
                </w:p>
              </w:tc>
              <w:tc>
                <w:tcPr>
                  <w:tcW w:w="4778" w:type="dxa"/>
                </w:tcPr>
                <w:p w14:paraId="0802AF14">
                  <w:pPr>
                    <w:rPr>
                      <w:rFonts w:cs="Arial"/>
                      <w:sz w:val="22"/>
                      <w:szCs w:val="22"/>
                    </w:rPr>
                  </w:pPr>
                  <w:r>
                    <w:rPr>
                      <w:rFonts w:ascii="宋体" w:hAnsi="宋体" w:eastAsia="宋体" w:cs="宋体"/>
                      <w:sz w:val="24"/>
                      <w:szCs w:val="24"/>
                    </w:rPr>
                    <w:t>December 2026</w:t>
                  </w:r>
                </w:p>
              </w:tc>
            </w:tr>
          </w:tbl>
          <w:p w14:paraId="0802AF16">
            <w:pPr>
              <w:rPr>
                <w:rFonts w:cs="Arial"/>
                <w:sz w:val="22"/>
                <w:szCs w:val="22"/>
              </w:rPr>
            </w:pPr>
          </w:p>
          <w:p w14:paraId="0802AF17">
            <w:pPr>
              <w:rPr>
                <w:rFonts w:cs="Arial"/>
                <w:sz w:val="22"/>
                <w:szCs w:val="22"/>
              </w:rPr>
            </w:pPr>
          </w:p>
        </w:tc>
      </w:tr>
      <w:tr w14:paraId="0802A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0802AF19">
            <w:pPr>
              <w:rPr>
                <w:rFonts w:cs="Arial"/>
                <w:sz w:val="22"/>
                <w:szCs w:val="22"/>
              </w:rPr>
            </w:pPr>
            <w:r>
              <w:rPr>
                <w:rFonts w:cs="Arial"/>
                <w:sz w:val="22"/>
                <w:szCs w:val="22"/>
              </w:rPr>
              <w:t>Proposed methodology (approx. 500 words):</w:t>
            </w:r>
          </w:p>
        </w:tc>
      </w:tr>
      <w:tr w14:paraId="0802A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1D642759">
            <w:pPr>
              <w:rPr>
                <w:rFonts w:hint="eastAsia"/>
              </w:rPr>
            </w:pPr>
            <w:r>
              <w:rPr>
                <w:rFonts w:hint="eastAsia"/>
              </w:rPr>
              <w:t>This research on Core Suffix Aesthetics and its connection to identity and cultural anxiety in the digital age will employ a multidisciplinary approach, grounded in digital ethnography, visual culture theory, and cultural studies. The methodology is designed to provide a rich, nuanced understanding of the creation, dissemination, and consumption of aesthetic trends within Chinese social media communities.</w:t>
            </w:r>
          </w:p>
          <w:p w14:paraId="606B156F">
            <w:pPr>
              <w:rPr>
                <w:rFonts w:hint="eastAsia"/>
              </w:rPr>
            </w:pPr>
          </w:p>
          <w:p w14:paraId="7555FA4F">
            <w:pPr>
              <w:rPr>
                <w:rFonts w:hint="eastAsia"/>
              </w:rPr>
            </w:pPr>
            <w:r>
              <w:rPr>
                <w:rFonts w:hint="eastAsia"/>
              </w:rPr>
              <w:t>Disciplinary Orientation and Philosophical Approach</w:t>
            </w:r>
          </w:p>
          <w:p w14:paraId="51B89E74">
            <w:pPr>
              <w:rPr>
                <w:rFonts w:hint="eastAsia"/>
              </w:rPr>
            </w:pPr>
          </w:p>
          <w:p w14:paraId="1338CA3B">
            <w:pPr>
              <w:rPr>
                <w:rFonts w:hint="eastAsia"/>
              </w:rPr>
            </w:pPr>
            <w:r>
              <w:rPr>
                <w:rFonts w:hint="eastAsia"/>
              </w:rPr>
              <w:t>The study adopts a constructivist-interpretivist paradigm, acknowledging that reality is socially constructed, particularly in digital spaces where identities are fluid and shaped by aesthetic trends. This approach aligns with the work of scholars like danah boyd (2014) in her ethnographic study of American teens' social media practices, allowing for a deep exploration of subjective experiences and cultural meanings.</w:t>
            </w:r>
          </w:p>
          <w:p w14:paraId="57FD731B">
            <w:pPr>
              <w:rPr>
                <w:rFonts w:hint="eastAsia"/>
              </w:rPr>
            </w:pPr>
          </w:p>
          <w:p w14:paraId="2895322D">
            <w:pPr>
              <w:rPr>
                <w:rFonts w:hint="eastAsia"/>
              </w:rPr>
            </w:pPr>
            <w:r>
              <w:rPr>
                <w:rFonts w:hint="eastAsia"/>
              </w:rPr>
              <w:t>Methods of Data Collection</w:t>
            </w:r>
          </w:p>
          <w:p w14:paraId="18F101F0">
            <w:pPr>
              <w:rPr>
                <w:rFonts w:hint="eastAsia"/>
              </w:rPr>
            </w:pPr>
          </w:p>
          <w:p w14:paraId="1CB1C18A">
            <w:pPr>
              <w:rPr>
                <w:rFonts w:hint="eastAsia"/>
              </w:rPr>
            </w:pPr>
            <w:r>
              <w:rPr>
                <w:rFonts w:hint="eastAsia"/>
              </w:rPr>
              <w:t>1. Digital Ethnography</w:t>
            </w:r>
          </w:p>
          <w:p w14:paraId="27860574">
            <w:pPr>
              <w:rPr>
                <w:rFonts w:hint="eastAsia"/>
              </w:rPr>
            </w:pPr>
            <w:r>
              <w:rPr>
                <w:rFonts w:hint="eastAsia"/>
              </w:rPr>
              <w:t xml:space="preserve">   Drawing on the methodological approaches of Christine Hine (2015) and Sarah Pink et al. (2016), this research will employ immersive digital ethnography techniques:</w:t>
            </w:r>
          </w:p>
          <w:p w14:paraId="3BC763AC">
            <w:pPr>
              <w:rPr>
                <w:rFonts w:hint="eastAsia"/>
              </w:rPr>
            </w:pPr>
            <w:r>
              <w:rPr>
                <w:rFonts w:hint="eastAsia"/>
              </w:rPr>
              <w:t xml:space="preserve">   </w:t>
            </w:r>
          </w:p>
          <w:p w14:paraId="09B1C3A9">
            <w:pPr>
              <w:rPr>
                <w:rFonts w:hint="eastAsia"/>
              </w:rPr>
            </w:pPr>
            <w:r>
              <w:rPr>
                <w:rFonts w:hint="eastAsia"/>
              </w:rPr>
              <w:t xml:space="preserve">   - Participant Observation: Extended immersion in Core Suffix Aesthetic communities on platforms like Bilibili, Douyin, and Weibo. This will involve creating accounts, engaging with content, and participating in community discussions to gain an insider's perspective.</w:t>
            </w:r>
          </w:p>
          <w:p w14:paraId="3A79C765">
            <w:pPr>
              <w:rPr>
                <w:rFonts w:hint="eastAsia"/>
              </w:rPr>
            </w:pPr>
            <w:r>
              <w:rPr>
                <w:rFonts w:hint="eastAsia"/>
              </w:rPr>
              <w:t xml:space="preserve">   </w:t>
            </w:r>
          </w:p>
          <w:p w14:paraId="7E303916">
            <w:pPr>
              <w:rPr>
                <w:rFonts w:hint="eastAsia"/>
              </w:rPr>
            </w:pPr>
            <w:r>
              <w:rPr>
                <w:rFonts w:hint="eastAsia"/>
              </w:rPr>
              <w:t xml:space="preserve">   - Field Notes and Reflexive Journaling: Detailed documentation of observations, interactions, and personal reflections throughout the research process, following the practice of reflexivity advocated by Pink et al. (2016).</w:t>
            </w:r>
          </w:p>
          <w:p w14:paraId="05CC43D8">
            <w:pPr>
              <w:rPr>
                <w:rFonts w:hint="eastAsia"/>
              </w:rPr>
            </w:pPr>
            <w:r>
              <w:rPr>
                <w:rFonts w:hint="eastAsia"/>
              </w:rPr>
              <w:t xml:space="preserve">   </w:t>
            </w:r>
          </w:p>
          <w:p w14:paraId="25AD26D9">
            <w:pPr>
              <w:rPr>
                <w:rFonts w:hint="eastAsia"/>
              </w:rPr>
            </w:pPr>
            <w:r>
              <w:rPr>
                <w:rFonts w:hint="eastAsia"/>
              </w:rPr>
              <w:t xml:space="preserve">   - Digital Artifacts Collection: Systematic gathering of user-generated content, including images, videos, comments, and profile information, with careful attention to ethical considerations and platform-specific data collection policies.</w:t>
            </w:r>
          </w:p>
          <w:p w14:paraId="7E02BDB6">
            <w:pPr>
              <w:rPr>
                <w:rFonts w:hint="eastAsia"/>
              </w:rPr>
            </w:pPr>
          </w:p>
          <w:p w14:paraId="7DF3DB07">
            <w:pPr>
              <w:rPr>
                <w:rFonts w:hint="eastAsia"/>
              </w:rPr>
            </w:pPr>
            <w:r>
              <w:rPr>
                <w:rFonts w:hint="eastAsia"/>
              </w:rPr>
              <w:t>2. Visual Data Analysis</w:t>
            </w:r>
          </w:p>
          <w:p w14:paraId="2D46FF80">
            <w:pPr>
              <w:rPr>
                <w:rFonts w:hint="eastAsia"/>
              </w:rPr>
            </w:pPr>
            <w:r>
              <w:rPr>
                <w:rFonts w:hint="eastAsia"/>
              </w:rPr>
              <w:t xml:space="preserve">   Inspired by the multimodal discourse analysis approach of Kress and van Leeuwen (2006):</w:t>
            </w:r>
          </w:p>
          <w:p w14:paraId="1914A3E2">
            <w:pPr>
              <w:rPr>
                <w:rFonts w:hint="eastAsia"/>
              </w:rPr>
            </w:pPr>
            <w:r>
              <w:rPr>
                <w:rFonts w:hint="eastAsia"/>
              </w:rPr>
              <w:t xml:space="preserve">   </w:t>
            </w:r>
          </w:p>
          <w:p w14:paraId="20AE1A19">
            <w:pPr>
              <w:rPr>
                <w:rFonts w:hint="eastAsia"/>
              </w:rPr>
            </w:pPr>
            <w:r>
              <w:rPr>
                <w:rFonts w:hint="eastAsia"/>
              </w:rPr>
              <w:t xml:space="preserve">   - Semiotic Analysis: Examination of visual elements, color schemes, and symbolic representations within Core Suffix Aesthetic content.</w:t>
            </w:r>
          </w:p>
          <w:p w14:paraId="0B6AECF3">
            <w:pPr>
              <w:rPr>
                <w:rFonts w:hint="eastAsia"/>
              </w:rPr>
            </w:pPr>
            <w:r>
              <w:rPr>
                <w:rFonts w:hint="eastAsia"/>
              </w:rPr>
              <w:t xml:space="preserve">   </w:t>
            </w:r>
          </w:p>
          <w:p w14:paraId="5ABAC304">
            <w:pPr>
              <w:rPr>
                <w:rFonts w:hint="eastAsia"/>
              </w:rPr>
            </w:pPr>
            <w:r>
              <w:rPr>
                <w:rFonts w:hint="eastAsia"/>
              </w:rPr>
              <w:t xml:space="preserve">   - Multimodal Analysis: Investigation of the interplay between visual, textual, and interactive elements in user-generated content.</w:t>
            </w:r>
          </w:p>
          <w:p w14:paraId="0EAC9973">
            <w:pPr>
              <w:rPr>
                <w:rFonts w:hint="eastAsia"/>
              </w:rPr>
            </w:pPr>
            <w:r>
              <w:rPr>
                <w:rFonts w:hint="eastAsia"/>
              </w:rPr>
              <w:t xml:space="preserve">   </w:t>
            </w:r>
          </w:p>
          <w:p w14:paraId="3849BD4F">
            <w:pPr>
              <w:rPr>
                <w:rFonts w:hint="eastAsia"/>
              </w:rPr>
            </w:pPr>
            <w:r>
              <w:rPr>
                <w:rFonts w:hint="eastAsia"/>
              </w:rPr>
              <w:t xml:space="preserve">   - Diachronic Analysis: Tracking the evolution of aesthetic trends over time, particularly in response to societal events or cultural shifts.</w:t>
            </w:r>
          </w:p>
          <w:p w14:paraId="49C6AA35">
            <w:pPr>
              <w:rPr>
                <w:rFonts w:hint="eastAsia"/>
              </w:rPr>
            </w:pPr>
          </w:p>
          <w:p w14:paraId="1912F6DE">
            <w:pPr>
              <w:rPr>
                <w:rFonts w:hint="eastAsia"/>
              </w:rPr>
            </w:pPr>
            <w:r>
              <w:rPr>
                <w:rFonts w:hint="eastAsia"/>
              </w:rPr>
              <w:t>3. In-depth Interviews</w:t>
            </w:r>
          </w:p>
          <w:p w14:paraId="7C16724D">
            <w:pPr>
              <w:rPr>
                <w:rFonts w:hint="eastAsia"/>
              </w:rPr>
            </w:pPr>
            <w:r>
              <w:rPr>
                <w:rFonts w:hint="eastAsia"/>
              </w:rPr>
              <w:t xml:space="preserve">   Following the ethnographic interviewing techniques outlined by Spradley (1979):</w:t>
            </w:r>
          </w:p>
          <w:p w14:paraId="50DCBCEA">
            <w:pPr>
              <w:rPr>
                <w:rFonts w:hint="eastAsia"/>
              </w:rPr>
            </w:pPr>
            <w:r>
              <w:rPr>
                <w:rFonts w:hint="eastAsia"/>
              </w:rPr>
              <w:t xml:space="preserve">   </w:t>
            </w:r>
          </w:p>
          <w:p w14:paraId="41B6D0F0">
            <w:pPr>
              <w:rPr>
                <w:rFonts w:hint="eastAsia"/>
              </w:rPr>
            </w:pPr>
            <w:r>
              <w:rPr>
                <w:rFonts w:hint="eastAsia"/>
              </w:rPr>
              <w:t xml:space="preserve">   - Semi-structured Interviews: Conduct 20-30 in-depth interviews with community members, content creators, and cultural commentators.</w:t>
            </w:r>
          </w:p>
          <w:p w14:paraId="55C213BC">
            <w:pPr>
              <w:rPr>
                <w:rFonts w:hint="eastAsia"/>
              </w:rPr>
            </w:pPr>
            <w:r>
              <w:rPr>
                <w:rFonts w:hint="eastAsia"/>
              </w:rPr>
              <w:t xml:space="preserve">   </w:t>
            </w:r>
          </w:p>
          <w:p w14:paraId="0266BDFB">
            <w:pPr>
              <w:rPr>
                <w:rFonts w:hint="eastAsia"/>
              </w:rPr>
            </w:pPr>
            <w:r>
              <w:rPr>
                <w:rFonts w:hint="eastAsia"/>
              </w:rPr>
              <w:t xml:space="preserve">   - Visual Elicitation: Incorporate visual prompts during interviews to stimulate discussion and gain deeper insights into aesthetic preferences and meanings.</w:t>
            </w:r>
          </w:p>
          <w:p w14:paraId="35CB4AFA">
            <w:pPr>
              <w:rPr>
                <w:rFonts w:hint="eastAsia"/>
              </w:rPr>
            </w:pPr>
            <w:r>
              <w:rPr>
                <w:rFonts w:hint="eastAsia"/>
              </w:rPr>
              <w:t xml:space="preserve">   </w:t>
            </w:r>
          </w:p>
          <w:p w14:paraId="0813086D">
            <w:pPr>
              <w:rPr>
                <w:rFonts w:hint="eastAsia"/>
              </w:rPr>
            </w:pPr>
            <w:r>
              <w:rPr>
                <w:rFonts w:hint="eastAsia"/>
              </w:rPr>
              <w:t xml:space="preserve">   - Online and Offline Integration: Conduct interviews both online (via video calls) and in-person during a field research trip to China, allowing for a comparison of digital and physical interactions.</w:t>
            </w:r>
          </w:p>
          <w:p w14:paraId="55C897A0">
            <w:pPr>
              <w:rPr>
                <w:rFonts w:hint="eastAsia"/>
              </w:rPr>
            </w:pPr>
          </w:p>
          <w:p w14:paraId="272E3E6F">
            <w:pPr>
              <w:rPr>
                <w:rFonts w:hint="eastAsia"/>
              </w:rPr>
            </w:pPr>
            <w:r>
              <w:rPr>
                <w:rFonts w:hint="eastAsia"/>
              </w:rPr>
              <w:t>4. Quantitative Data Collection</w:t>
            </w:r>
          </w:p>
          <w:p w14:paraId="6224AF50">
            <w:pPr>
              <w:rPr>
                <w:rFonts w:hint="eastAsia"/>
              </w:rPr>
            </w:pPr>
            <w:r>
              <w:rPr>
                <w:rFonts w:hint="eastAsia"/>
              </w:rPr>
              <w:t xml:space="preserve">   To complement the qualitative approaches:</w:t>
            </w:r>
          </w:p>
          <w:p w14:paraId="161529DE">
            <w:pPr>
              <w:rPr>
                <w:rFonts w:hint="eastAsia"/>
              </w:rPr>
            </w:pPr>
            <w:r>
              <w:rPr>
                <w:rFonts w:hint="eastAsia"/>
              </w:rPr>
              <w:t xml:space="preserve">   </w:t>
            </w:r>
          </w:p>
          <w:p w14:paraId="0B68C956">
            <w:pPr>
              <w:rPr>
                <w:rFonts w:hint="eastAsia"/>
              </w:rPr>
            </w:pPr>
            <w:r>
              <w:rPr>
                <w:rFonts w:hint="eastAsia"/>
              </w:rPr>
              <w:t xml:space="preserve">   - Social Network Analysis: Map the relationships and interactions within Core Suffix Aesthetic communities, inspired by the work of Marwick (2013) on status-seeking behaviors in social media.</w:t>
            </w:r>
          </w:p>
          <w:p w14:paraId="7ACAB9C5">
            <w:pPr>
              <w:rPr>
                <w:rFonts w:hint="eastAsia"/>
              </w:rPr>
            </w:pPr>
            <w:r>
              <w:rPr>
                <w:rFonts w:hint="eastAsia"/>
              </w:rPr>
              <w:t xml:space="preserve">   </w:t>
            </w:r>
          </w:p>
          <w:p w14:paraId="22EC52A0">
            <w:pPr>
              <w:rPr>
                <w:rFonts w:hint="eastAsia"/>
              </w:rPr>
            </w:pPr>
            <w:r>
              <w:rPr>
                <w:rFonts w:hint="eastAsia"/>
              </w:rPr>
              <w:t xml:space="preserve">   - Content Analysis: Quantify the frequency and distribution of specific aesthetic elements, hashtags, and themes across platforms and over time.</w:t>
            </w:r>
          </w:p>
          <w:p w14:paraId="148BF18A">
            <w:pPr>
              <w:rPr>
                <w:rFonts w:hint="eastAsia"/>
              </w:rPr>
            </w:pPr>
          </w:p>
          <w:p w14:paraId="371FB721">
            <w:pPr>
              <w:rPr>
                <w:rFonts w:hint="eastAsia"/>
              </w:rPr>
            </w:pPr>
            <w:r>
              <w:rPr>
                <w:rFonts w:hint="eastAsia"/>
              </w:rPr>
              <w:t>Data Analysis</w:t>
            </w:r>
          </w:p>
          <w:p w14:paraId="691F10A6">
            <w:pPr>
              <w:rPr>
                <w:rFonts w:hint="eastAsia"/>
              </w:rPr>
            </w:pPr>
          </w:p>
          <w:p w14:paraId="5BB96257">
            <w:pPr>
              <w:rPr>
                <w:rFonts w:hint="eastAsia"/>
              </w:rPr>
            </w:pPr>
            <w:r>
              <w:rPr>
                <w:rFonts w:hint="eastAsia"/>
              </w:rPr>
              <w:t>The analysis will integrate qualitative and quantitative approaches:</w:t>
            </w:r>
          </w:p>
          <w:p w14:paraId="285B8BF5">
            <w:pPr>
              <w:rPr>
                <w:rFonts w:hint="eastAsia"/>
              </w:rPr>
            </w:pPr>
          </w:p>
          <w:p w14:paraId="7DFD9468">
            <w:pPr>
              <w:rPr>
                <w:rFonts w:hint="eastAsia"/>
              </w:rPr>
            </w:pPr>
            <w:r>
              <w:rPr>
                <w:rFonts w:hint="eastAsia"/>
              </w:rPr>
              <w:t>- Thematic Analysis: Coding and analysis of interview transcripts and field notes to identify recurring themes and patterns, using NVivo software for organization and interpretation.</w:t>
            </w:r>
          </w:p>
          <w:p w14:paraId="46BE62FE">
            <w:pPr>
              <w:rPr>
                <w:rFonts w:hint="eastAsia"/>
              </w:rPr>
            </w:pPr>
          </w:p>
          <w:p w14:paraId="1B27FE3D">
            <w:pPr>
              <w:rPr>
                <w:rFonts w:hint="eastAsia"/>
              </w:rPr>
            </w:pPr>
            <w:r>
              <w:rPr>
                <w:rFonts w:hint="eastAsia"/>
              </w:rPr>
              <w:t>- Visual Discourse Analysis: Applying the frameworks of Rose (2016) to analyze the social and cultural meanings embedded in Core Suffix Aesthetic visuals.</w:t>
            </w:r>
          </w:p>
          <w:p w14:paraId="7A628112">
            <w:pPr>
              <w:rPr>
                <w:rFonts w:hint="eastAsia"/>
              </w:rPr>
            </w:pPr>
          </w:p>
          <w:p w14:paraId="1D35782B">
            <w:pPr>
              <w:rPr>
                <w:rFonts w:hint="eastAsia"/>
              </w:rPr>
            </w:pPr>
            <w:r>
              <w:rPr>
                <w:rFonts w:hint="eastAsia"/>
              </w:rPr>
              <w:t>- Comparative Analysis: Examining variations in aesthetic trends across different platforms and in relation to global digital subcultures.</w:t>
            </w:r>
          </w:p>
          <w:p w14:paraId="7B7C86D0">
            <w:pPr>
              <w:rPr>
                <w:rFonts w:hint="eastAsia"/>
              </w:rPr>
            </w:pPr>
          </w:p>
          <w:p w14:paraId="4F7CA46C">
            <w:pPr>
              <w:rPr>
                <w:rFonts w:hint="eastAsia"/>
              </w:rPr>
            </w:pPr>
            <w:r>
              <w:rPr>
                <w:rFonts w:hint="eastAsia"/>
              </w:rPr>
              <w:t>- Quantitative Data Visualization: Creating visual representations of network structures and content distribution to complement qualitative findings.</w:t>
            </w:r>
          </w:p>
          <w:p w14:paraId="73316032">
            <w:pPr>
              <w:rPr>
                <w:rFonts w:hint="eastAsia"/>
              </w:rPr>
            </w:pPr>
          </w:p>
          <w:p w14:paraId="64505F88">
            <w:pPr>
              <w:rPr>
                <w:rFonts w:hint="eastAsia"/>
              </w:rPr>
            </w:pPr>
            <w:r>
              <w:rPr>
                <w:rFonts w:hint="eastAsia"/>
              </w:rPr>
              <w:t>Ethical Considerations</w:t>
            </w:r>
          </w:p>
          <w:p w14:paraId="4AA9FD22">
            <w:pPr>
              <w:rPr>
                <w:rFonts w:hint="eastAsia"/>
              </w:rPr>
            </w:pPr>
          </w:p>
          <w:p w14:paraId="0388177E">
            <w:pPr>
              <w:rPr>
                <w:rFonts w:hint="eastAsia"/>
              </w:rPr>
            </w:pPr>
            <w:r>
              <w:rPr>
                <w:rFonts w:hint="eastAsia"/>
              </w:rPr>
              <w:t>The research will adhere to strict ethical guidelines, including:</w:t>
            </w:r>
          </w:p>
          <w:p w14:paraId="75BC5C02">
            <w:pPr>
              <w:rPr>
                <w:rFonts w:hint="eastAsia"/>
              </w:rPr>
            </w:pPr>
          </w:p>
          <w:p w14:paraId="0B5C20D9">
            <w:pPr>
              <w:rPr>
                <w:rFonts w:hint="eastAsia"/>
              </w:rPr>
            </w:pPr>
            <w:r>
              <w:rPr>
                <w:rFonts w:hint="eastAsia"/>
              </w:rPr>
              <w:t>- Informed Consent: Obtaining explicit consent from all interview participants and clearly communicating research objectives.</w:t>
            </w:r>
          </w:p>
          <w:p w14:paraId="291111D6">
            <w:pPr>
              <w:rPr>
                <w:rFonts w:hint="eastAsia"/>
              </w:rPr>
            </w:pPr>
          </w:p>
          <w:p w14:paraId="6D37AC4D">
            <w:pPr>
              <w:rPr>
                <w:rFonts w:hint="eastAsia"/>
              </w:rPr>
            </w:pPr>
            <w:r>
              <w:rPr>
                <w:rFonts w:hint="eastAsia"/>
              </w:rPr>
              <w:t>- Data Protection: Ensuring the anonymity of participants and secure storage of collected data.</w:t>
            </w:r>
          </w:p>
          <w:p w14:paraId="7B842D45">
            <w:pPr>
              <w:rPr>
                <w:rFonts w:hint="eastAsia"/>
              </w:rPr>
            </w:pPr>
          </w:p>
          <w:p w14:paraId="628DED23">
            <w:pPr>
              <w:rPr>
                <w:rFonts w:hint="eastAsia"/>
              </w:rPr>
            </w:pPr>
            <w:r>
              <w:rPr>
                <w:rFonts w:hint="eastAsia"/>
              </w:rPr>
              <w:t>- Platform-Specific Ethics: Adhering to the terms of service and ethical guidelines of each social media platform used in the study.</w:t>
            </w:r>
          </w:p>
          <w:p w14:paraId="6083FDC6">
            <w:pPr>
              <w:rPr>
                <w:rFonts w:hint="eastAsia"/>
              </w:rPr>
            </w:pPr>
          </w:p>
          <w:p w14:paraId="335C01E7">
            <w:pPr>
              <w:rPr>
                <w:rFonts w:hint="eastAsia"/>
              </w:rPr>
            </w:pPr>
            <w:r>
              <w:rPr>
                <w:rFonts w:hint="eastAsia"/>
              </w:rPr>
              <w:t>- Reflexivity: Continuously reflecting on the researcher's positionality and potential biases throughout the research process.</w:t>
            </w:r>
          </w:p>
          <w:p w14:paraId="1BD27479">
            <w:pPr>
              <w:rPr>
                <w:rFonts w:hint="eastAsia"/>
              </w:rPr>
            </w:pPr>
          </w:p>
          <w:p w14:paraId="59AD3DBA">
            <w:pPr>
              <w:rPr>
                <w:rFonts w:hint="eastAsia"/>
              </w:rPr>
            </w:pPr>
            <w:r>
              <w:rPr>
                <w:rFonts w:hint="eastAsia"/>
              </w:rPr>
              <w:t>Conclusion</w:t>
            </w:r>
          </w:p>
          <w:p w14:paraId="443A1D84">
            <w:pPr>
              <w:rPr>
                <w:rFonts w:hint="eastAsia"/>
              </w:rPr>
            </w:pPr>
          </w:p>
          <w:p w14:paraId="5D5DDD6E">
            <w:pPr>
              <w:rPr>
                <w:rFonts w:hint="eastAsia"/>
              </w:rPr>
            </w:pPr>
            <w:r>
              <w:rPr>
                <w:rFonts w:hint="eastAsia"/>
              </w:rPr>
              <w:t>This methodology, grounded in digital ethnography and incorporating visual analysis, in-depth interviews, and quantitative methods, will provide a comprehensive understanding of Core Suffix Aesthetics as a reflection of cultural anxiety and identity formation among Chinese youth. By integrating immersive digital fieldwork with rigorous analytical approaches, the research aims to contribute valuable insights to the fields of digital culture studies, visual anthropology, and Chinese youth studies.</w:t>
            </w:r>
          </w:p>
          <w:p w14:paraId="1DB2FA61">
            <w:pPr>
              <w:rPr>
                <w:rFonts w:hint="eastAsia"/>
              </w:rPr>
            </w:pPr>
          </w:p>
          <w:p w14:paraId="0B5A9529">
            <w:pPr>
              <w:rPr>
                <w:rFonts w:hint="eastAsia"/>
              </w:rPr>
            </w:pPr>
            <w:r>
              <w:rPr>
                <w:rFonts w:hint="eastAsia"/>
              </w:rPr>
              <w:t>This revised methodology incorporates key elements of digital ethnography, draws inspiration from notable scholars in the field, and provides a more structured and comprehensive approach to data collection and analysis. It also addresses ethical considerations more explicitly, which is crucial for research involving online communities and personal data.</w:t>
            </w:r>
          </w:p>
          <w:p w14:paraId="0802AF45">
            <w:pPr>
              <w:rPr>
                <w:rFonts w:cs="Arial"/>
                <w:sz w:val="22"/>
                <w:szCs w:val="22"/>
              </w:rPr>
            </w:pPr>
          </w:p>
        </w:tc>
      </w:tr>
      <w:tr w14:paraId="0802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0802AF47">
            <w:pPr>
              <w:rPr>
                <w:rFonts w:cs="Arial"/>
                <w:sz w:val="22"/>
                <w:szCs w:val="22"/>
              </w:rPr>
            </w:pPr>
            <w:r>
              <w:rPr>
                <w:rFonts w:cs="Arial"/>
                <w:sz w:val="22"/>
                <w:szCs w:val="22"/>
              </w:rPr>
              <w:t>Introductory bibliography:</w:t>
            </w:r>
          </w:p>
        </w:tc>
      </w:tr>
      <w:tr w14:paraId="0802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1B18C0BD">
            <w:pPr>
              <w:rPr>
                <w:rFonts w:hint="eastAsia"/>
              </w:rPr>
            </w:pPr>
            <w:r>
              <w:rPr>
                <w:rFonts w:hint="eastAsia"/>
              </w:rPr>
              <w:t>Adorno, T.W. and Horkheimer, M., 1947/2002. Dialectic of enlightenment. Stanford University Press.</w:t>
            </w:r>
          </w:p>
          <w:p w14:paraId="04A9D60D">
            <w:pPr>
              <w:rPr>
                <w:rFonts w:hint="eastAsia"/>
              </w:rPr>
            </w:pPr>
          </w:p>
          <w:p w14:paraId="6863AED8">
            <w:pPr>
              <w:rPr>
                <w:rFonts w:hint="eastAsia"/>
              </w:rPr>
            </w:pPr>
            <w:r>
              <w:rPr>
                <w:rFonts w:hint="eastAsia"/>
              </w:rPr>
              <w:t>Appadurai, A., 1996. Modernity at large: Cultural dimensions of globalization. University of Minnesota Press.</w:t>
            </w:r>
          </w:p>
          <w:p w14:paraId="52521E99">
            <w:pPr>
              <w:rPr>
                <w:rFonts w:hint="eastAsia"/>
              </w:rPr>
            </w:pPr>
          </w:p>
          <w:p w14:paraId="5385D209">
            <w:pPr>
              <w:rPr>
                <w:rFonts w:hint="eastAsia"/>
              </w:rPr>
            </w:pPr>
            <w:r>
              <w:rPr>
                <w:rFonts w:hint="eastAsia"/>
              </w:rPr>
              <w:t>Bai, Q., Dan, Q., Mu, Z. and Yang, M., 2019. A systematic review of emoji: Current research and future perspectives. Frontiers in Psychology, 10, p.2221.</w:t>
            </w:r>
          </w:p>
          <w:p w14:paraId="528FC829">
            <w:pPr>
              <w:rPr>
                <w:rFonts w:hint="eastAsia"/>
              </w:rPr>
            </w:pPr>
          </w:p>
          <w:p w14:paraId="14E7AA46">
            <w:pPr>
              <w:rPr>
                <w:rFonts w:hint="eastAsia"/>
              </w:rPr>
            </w:pPr>
            <w:r>
              <w:rPr>
                <w:rFonts w:hint="eastAsia"/>
              </w:rPr>
              <w:t>Bakhshi, S., Shamma, D.A. and Gilbert, E., 2014. Faces engage us: Photos with faces attract more likes and comments on Instagram. Proceedings of the SIGCHI Conference on Human Factors in Computing Systems, pp.965-974.</w:t>
            </w:r>
          </w:p>
          <w:p w14:paraId="779F4603">
            <w:pPr>
              <w:rPr>
                <w:rFonts w:hint="eastAsia"/>
              </w:rPr>
            </w:pPr>
          </w:p>
          <w:p w14:paraId="61E548A4">
            <w:pPr>
              <w:rPr>
                <w:rFonts w:hint="eastAsia"/>
              </w:rPr>
            </w:pPr>
            <w:r>
              <w:rPr>
                <w:rFonts w:hint="eastAsia"/>
              </w:rPr>
              <w:t>Baudrillard, J., 1981/1994. Simulacra and simulation. University of Michigan Press.</w:t>
            </w:r>
          </w:p>
          <w:p w14:paraId="74B1A2BC">
            <w:pPr>
              <w:rPr>
                <w:rFonts w:hint="eastAsia"/>
              </w:rPr>
            </w:pPr>
          </w:p>
          <w:p w14:paraId="6DB574B0">
            <w:pPr>
              <w:rPr>
                <w:rFonts w:hint="eastAsia"/>
              </w:rPr>
            </w:pPr>
            <w:r>
              <w:rPr>
                <w:rFonts w:hint="eastAsia"/>
              </w:rPr>
              <w:t>Bauman, Z., 2000. Liquid modernity. Polity Press.</w:t>
            </w:r>
          </w:p>
          <w:p w14:paraId="291BC498">
            <w:pPr>
              <w:rPr>
                <w:rFonts w:hint="eastAsia"/>
              </w:rPr>
            </w:pPr>
          </w:p>
          <w:p w14:paraId="7DFD8913">
            <w:pPr>
              <w:rPr>
                <w:rFonts w:hint="eastAsia"/>
              </w:rPr>
            </w:pPr>
            <w:r>
              <w:rPr>
                <w:rFonts w:hint="eastAsia"/>
              </w:rPr>
              <w:t>Baumeister, R.F. and Leary, M.R., 1995. The need to belong: Desire for interpersonal attachments as a fundamental human motivation. Psychological Bulletin, 117(3), pp.497-529.</w:t>
            </w:r>
          </w:p>
          <w:p w14:paraId="111A9A59">
            <w:pPr>
              <w:rPr>
                <w:rFonts w:hint="eastAsia"/>
              </w:rPr>
            </w:pPr>
          </w:p>
          <w:p w14:paraId="0EEDC6AC">
            <w:pPr>
              <w:rPr>
                <w:rFonts w:hint="eastAsia"/>
              </w:rPr>
            </w:pPr>
            <w:r>
              <w:rPr>
                <w:rFonts w:hint="eastAsia"/>
              </w:rPr>
              <w:t>Baym, N.K., 2015. Personal connections in the digital age. John Wiley &amp; Sons.</w:t>
            </w:r>
          </w:p>
          <w:p w14:paraId="76596331">
            <w:pPr>
              <w:rPr>
                <w:rFonts w:hint="eastAsia"/>
              </w:rPr>
            </w:pPr>
          </w:p>
          <w:p w14:paraId="49D2C930">
            <w:pPr>
              <w:rPr>
                <w:rFonts w:hint="eastAsia" w:eastAsia="宋体"/>
                <w:lang w:eastAsia="zh-CN"/>
              </w:rPr>
            </w:pPr>
            <w:r>
              <w:rPr>
                <w:rFonts w:hint="eastAsia"/>
              </w:rPr>
              <w:t xml:space="preserve">Bhabha, H.K., 1994. The location of culture. </w:t>
            </w:r>
          </w:p>
          <w:p w14:paraId="47E220CA">
            <w:pPr>
              <w:rPr>
                <w:rFonts w:hint="eastAsia"/>
              </w:rPr>
            </w:pPr>
          </w:p>
          <w:p w14:paraId="1E0BE93E">
            <w:pPr>
              <w:rPr>
                <w:rFonts w:hint="eastAsia"/>
              </w:rPr>
            </w:pPr>
            <w:r>
              <w:rPr>
                <w:rFonts w:hint="eastAsia"/>
              </w:rPr>
              <w:t>Bishop, C., 2012. Artificial hells: Participatory art and the politics of spectatorship. Verso Books.</w:t>
            </w:r>
          </w:p>
          <w:p w14:paraId="1C5DB527">
            <w:pPr>
              <w:rPr>
                <w:rFonts w:hint="eastAsia"/>
              </w:rPr>
            </w:pPr>
          </w:p>
          <w:p w14:paraId="5C3D69DE">
            <w:pPr>
              <w:rPr>
                <w:rFonts w:hint="eastAsia"/>
              </w:rPr>
            </w:pPr>
            <w:r>
              <w:rPr>
                <w:rFonts w:hint="eastAsia"/>
              </w:rPr>
              <w:t>Bourdieu, P., 1984. Distinction: A social critique of the judgement of taste. Harvard University Press.</w:t>
            </w:r>
          </w:p>
          <w:p w14:paraId="4D4B7A85">
            <w:pPr>
              <w:rPr>
                <w:rFonts w:hint="eastAsia"/>
              </w:rPr>
            </w:pPr>
          </w:p>
          <w:p w14:paraId="2F9699D5">
            <w:pPr>
              <w:rPr>
                <w:rFonts w:hint="eastAsia"/>
              </w:rPr>
            </w:pPr>
            <w:r>
              <w:rPr>
                <w:rFonts w:hint="eastAsia"/>
              </w:rPr>
              <w:t>Bourriaud, N., 2002. Relational aesthetics. Les Presses du réel.</w:t>
            </w:r>
          </w:p>
          <w:p w14:paraId="3899E52C">
            <w:pPr>
              <w:rPr>
                <w:rFonts w:hint="eastAsia"/>
              </w:rPr>
            </w:pPr>
          </w:p>
          <w:p w14:paraId="36AA874E">
            <w:pPr>
              <w:rPr>
                <w:rFonts w:hint="eastAsia"/>
              </w:rPr>
            </w:pPr>
            <w:r>
              <w:rPr>
                <w:rFonts w:hint="eastAsia"/>
              </w:rPr>
              <w:t>Boyd, D., 2014. It's complicated: The social lives of networked teens. Yale University Press.</w:t>
            </w:r>
          </w:p>
          <w:p w14:paraId="12521AB1">
            <w:pPr>
              <w:rPr>
                <w:rFonts w:hint="eastAsia"/>
              </w:rPr>
            </w:pPr>
          </w:p>
          <w:p w14:paraId="4F5E86E4">
            <w:pPr>
              <w:rPr>
                <w:rFonts w:hint="eastAsia"/>
              </w:rPr>
            </w:pPr>
            <w:r>
              <w:rPr>
                <w:rFonts w:hint="eastAsia"/>
              </w:rPr>
              <w:t>Castells, M., 2010. The rise of the network society. John Wiley &amp; Sons.</w:t>
            </w:r>
          </w:p>
          <w:p w14:paraId="24FEC963">
            <w:pPr>
              <w:rPr>
                <w:rFonts w:hint="eastAsia"/>
              </w:rPr>
            </w:pPr>
          </w:p>
          <w:p w14:paraId="0151CB81">
            <w:pPr>
              <w:rPr>
                <w:rFonts w:hint="eastAsia"/>
              </w:rPr>
            </w:pPr>
            <w:r>
              <w:rPr>
                <w:rFonts w:hint="eastAsia"/>
              </w:rPr>
              <w:t>Choi, T.R. and Sung, Y., 2018. Instagram versus Snapchat: Self-expression and privacy concern on social media. Telematics and Informatics, 35(8), pp.2289-2298.</w:t>
            </w:r>
          </w:p>
          <w:p w14:paraId="344D4744">
            <w:pPr>
              <w:rPr>
                <w:rFonts w:hint="eastAsia"/>
              </w:rPr>
            </w:pPr>
          </w:p>
          <w:p w14:paraId="783E317A">
            <w:pPr>
              <w:rPr>
                <w:rFonts w:hint="eastAsia"/>
              </w:rPr>
            </w:pPr>
            <w:r>
              <w:rPr>
                <w:rFonts w:hint="eastAsia"/>
              </w:rPr>
              <w:t>Davis, R., 2020. The aesthetics of digital nostalgia: A study of Internet subcultures. Journal of Visual Culture, 19(2), pp.234-253.</w:t>
            </w:r>
          </w:p>
          <w:p w14:paraId="35521C1C">
            <w:pPr>
              <w:rPr>
                <w:rFonts w:hint="eastAsia"/>
              </w:rPr>
            </w:pPr>
          </w:p>
          <w:p w14:paraId="6F072D2F">
            <w:pPr>
              <w:rPr>
                <w:rFonts w:hint="eastAsia"/>
              </w:rPr>
            </w:pPr>
            <w:r>
              <w:rPr>
                <w:rFonts w:hint="eastAsia"/>
              </w:rPr>
              <w:t>Debord, G., 1967/1994. The society of the spectacle. Zone Books.</w:t>
            </w:r>
          </w:p>
          <w:p w14:paraId="274C3D19">
            <w:pPr>
              <w:rPr>
                <w:rFonts w:hint="eastAsia"/>
              </w:rPr>
            </w:pPr>
          </w:p>
          <w:p w14:paraId="37B890B4">
            <w:pPr>
              <w:rPr>
                <w:rFonts w:hint="eastAsia"/>
              </w:rPr>
            </w:pPr>
            <w:r>
              <w:rPr>
                <w:rFonts w:hint="eastAsia"/>
              </w:rPr>
              <w:t>Deaton, S., 2015. Social learning theory in the age of social media: Implications for educational practitioners. Journal of Educational Technology, 12(1), pp.1-61.</w:t>
            </w:r>
          </w:p>
          <w:p w14:paraId="6ADF8675">
            <w:pPr>
              <w:rPr>
                <w:rFonts w:hint="eastAsia"/>
              </w:rPr>
            </w:pPr>
          </w:p>
          <w:p w14:paraId="18F5BCE5">
            <w:pPr>
              <w:rPr>
                <w:rFonts w:hint="eastAsia"/>
              </w:rPr>
            </w:pPr>
            <w:r>
              <w:rPr>
                <w:rFonts w:hint="eastAsia"/>
              </w:rPr>
              <w:t>Doshi, S., Sirohi, M., Rao, K. and Mishra, A., 2024. Gen-Z's engagement with micro-cores: Exploring aesthetics and identity in contemporary times. Fashion, Style &amp; Popular Culture, n. pag.</w:t>
            </w:r>
          </w:p>
          <w:p w14:paraId="4DD7BEA2">
            <w:pPr>
              <w:rPr>
                <w:rFonts w:hint="eastAsia"/>
              </w:rPr>
            </w:pPr>
          </w:p>
          <w:p w14:paraId="6A70AE56">
            <w:pPr>
              <w:rPr>
                <w:rFonts w:hint="eastAsia"/>
              </w:rPr>
            </w:pPr>
            <w:r>
              <w:rPr>
                <w:rFonts w:hint="eastAsia"/>
              </w:rPr>
              <w:t>Elliott, A., 2013. Concepts of the Self. Polity Press.</w:t>
            </w:r>
          </w:p>
          <w:p w14:paraId="5CC56873">
            <w:pPr>
              <w:rPr>
                <w:rFonts w:hint="eastAsia"/>
              </w:rPr>
            </w:pPr>
          </w:p>
          <w:p w14:paraId="32BD96FD">
            <w:pPr>
              <w:rPr>
                <w:rFonts w:hint="eastAsia"/>
              </w:rPr>
            </w:pPr>
            <w:r>
              <w:rPr>
                <w:rFonts w:hint="eastAsia"/>
              </w:rPr>
              <w:t>Erikson, E.H., 1968. Identity: Youth and crisis. WW Norton &amp; Company.</w:t>
            </w:r>
          </w:p>
          <w:p w14:paraId="1EBF1FC4">
            <w:pPr>
              <w:rPr>
                <w:rFonts w:hint="eastAsia"/>
              </w:rPr>
            </w:pPr>
          </w:p>
          <w:p w14:paraId="72A02AFC">
            <w:pPr>
              <w:rPr>
                <w:rFonts w:hint="eastAsia"/>
              </w:rPr>
            </w:pPr>
            <w:r>
              <w:rPr>
                <w:rFonts w:hint="eastAsia"/>
              </w:rPr>
              <w:t>Fardouly, J. and Vartanian, L.R., 2016. Social media and body image concerns: Current research and future directions. Current Opinion in Psychology, 9, pp.1-5.</w:t>
            </w:r>
          </w:p>
          <w:p w14:paraId="3851D61C">
            <w:pPr>
              <w:rPr>
                <w:rFonts w:hint="eastAsia"/>
              </w:rPr>
            </w:pPr>
          </w:p>
          <w:p w14:paraId="2984849C">
            <w:pPr>
              <w:rPr>
                <w:rFonts w:hint="eastAsia"/>
              </w:rPr>
            </w:pPr>
            <w:r>
              <w:rPr>
                <w:rFonts w:hint="eastAsia"/>
              </w:rPr>
              <w:t>Foucault, M., 1975/1995. Discipline and punish: The birth of the prison. Vintage Books.</w:t>
            </w:r>
          </w:p>
          <w:p w14:paraId="760DED2C">
            <w:pPr>
              <w:rPr>
                <w:rFonts w:hint="eastAsia"/>
              </w:rPr>
            </w:pPr>
          </w:p>
          <w:p w14:paraId="3A89C79D">
            <w:pPr>
              <w:rPr>
                <w:rFonts w:hint="eastAsia"/>
              </w:rPr>
            </w:pPr>
            <w:r>
              <w:rPr>
                <w:rFonts w:hint="eastAsia"/>
              </w:rPr>
              <w:t>Friedberg, A., 2006. The virtual window: From Alberti to Microsoft. MIT Press.</w:t>
            </w:r>
          </w:p>
          <w:p w14:paraId="6DBABB88">
            <w:pPr>
              <w:rPr>
                <w:rFonts w:hint="eastAsia"/>
              </w:rPr>
            </w:pPr>
          </w:p>
          <w:p w14:paraId="6BA5E1ED">
            <w:pPr>
              <w:rPr>
                <w:rFonts w:hint="eastAsia"/>
              </w:rPr>
            </w:pPr>
            <w:r>
              <w:rPr>
                <w:rFonts w:hint="eastAsia"/>
              </w:rPr>
              <w:t>Fung, A.Y.H., 2008. Global Capital, Local Culture: Transnational Media Corporations in China. Peter Lang.</w:t>
            </w:r>
          </w:p>
          <w:p w14:paraId="212922BC">
            <w:pPr>
              <w:rPr>
                <w:rFonts w:hint="eastAsia"/>
              </w:rPr>
            </w:pPr>
          </w:p>
          <w:p w14:paraId="7B061032">
            <w:pPr>
              <w:rPr>
                <w:rFonts w:hint="eastAsia"/>
              </w:rPr>
            </w:pPr>
            <w:r>
              <w:rPr>
                <w:rFonts w:hint="eastAsia"/>
              </w:rPr>
              <w:t>Gao, Q., Tian, Y. and Tu, M., 2022. Exploring continuous social media use among WeChat users: A perspective of flow theory. Computers in Human Behavior, 127, p.107075.</w:t>
            </w:r>
          </w:p>
          <w:p w14:paraId="3BF607EE">
            <w:pPr>
              <w:rPr>
                <w:rFonts w:hint="eastAsia"/>
              </w:rPr>
            </w:pPr>
          </w:p>
          <w:p w14:paraId="72C8C50B">
            <w:pPr>
              <w:rPr>
                <w:rFonts w:hint="eastAsia"/>
              </w:rPr>
            </w:pPr>
            <w:r>
              <w:rPr>
                <w:rFonts w:hint="eastAsia"/>
              </w:rPr>
              <w:t>Gergen, K.J., 1991. The saturated self: Dilemmas of identity in contemporary life. Basic Books.</w:t>
            </w:r>
          </w:p>
          <w:p w14:paraId="47085364">
            <w:pPr>
              <w:rPr>
                <w:rFonts w:hint="eastAsia"/>
              </w:rPr>
            </w:pPr>
          </w:p>
          <w:p w14:paraId="05AF5871">
            <w:pPr>
              <w:rPr>
                <w:rFonts w:hint="eastAsia"/>
              </w:rPr>
            </w:pPr>
            <w:r>
              <w:rPr>
                <w:rFonts w:hint="eastAsia"/>
              </w:rPr>
              <w:t>Giddens, A., 1991. Modernity and self-identity: Self and society in the late modern age. Stanford University Press.</w:t>
            </w:r>
          </w:p>
          <w:p w14:paraId="66CB8A66">
            <w:pPr>
              <w:rPr>
                <w:rFonts w:hint="eastAsia"/>
              </w:rPr>
            </w:pPr>
          </w:p>
          <w:p w14:paraId="591158E0">
            <w:pPr>
              <w:rPr>
                <w:rFonts w:hint="eastAsia"/>
              </w:rPr>
            </w:pPr>
            <w:r>
              <w:rPr>
                <w:rFonts w:hint="eastAsia"/>
              </w:rPr>
              <w:t>Giolo, G. and Berghman, M., 2023. The aesthetics of the self: The meaning-making of Internet aesthetics. First Monday, 28(3). doi: 10.5210/fm.v28i3.12723.</w:t>
            </w:r>
          </w:p>
          <w:p w14:paraId="7383ECA6">
            <w:pPr>
              <w:rPr>
                <w:rFonts w:hint="eastAsia"/>
              </w:rPr>
            </w:pPr>
          </w:p>
          <w:p w14:paraId="3AD0BB55">
            <w:pPr>
              <w:rPr>
                <w:rFonts w:hint="eastAsia"/>
              </w:rPr>
            </w:pPr>
            <w:r>
              <w:rPr>
                <w:rFonts w:hint="eastAsia"/>
              </w:rPr>
              <w:t>Groys, B., 2010. Going public. Sternberg Press.</w:t>
            </w:r>
          </w:p>
          <w:p w14:paraId="13F9939A">
            <w:pPr>
              <w:rPr>
                <w:rFonts w:hint="eastAsia"/>
              </w:rPr>
            </w:pPr>
          </w:p>
          <w:p w14:paraId="36F1F2DB">
            <w:pPr>
              <w:rPr>
                <w:rFonts w:hint="eastAsia"/>
              </w:rPr>
            </w:pPr>
            <w:r>
              <w:rPr>
                <w:rFonts w:hint="eastAsia"/>
              </w:rPr>
              <w:t>Gunkel, D.J., 2018. The machine question: Critical perspectives on AI, robots, and ethics. Information Society, 34(4), pp.213-225.</w:t>
            </w:r>
          </w:p>
          <w:p w14:paraId="2E9E852B">
            <w:pPr>
              <w:rPr>
                <w:rFonts w:hint="eastAsia"/>
              </w:rPr>
            </w:pPr>
          </w:p>
          <w:p w14:paraId="67FDA5F8">
            <w:pPr>
              <w:rPr>
                <w:rFonts w:hint="eastAsia" w:eastAsia="宋体"/>
                <w:lang w:eastAsia="zh-CN"/>
              </w:rPr>
            </w:pPr>
            <w:r>
              <w:rPr>
                <w:rFonts w:hint="eastAsia"/>
              </w:rPr>
              <w:t xml:space="preserve">Hebdige, D., 1979. Subculture: The meaning of style. </w:t>
            </w:r>
          </w:p>
          <w:p w14:paraId="39AA5535">
            <w:pPr>
              <w:rPr>
                <w:rFonts w:hint="eastAsia"/>
              </w:rPr>
            </w:pPr>
          </w:p>
          <w:p w14:paraId="641F1587">
            <w:pPr>
              <w:rPr>
                <w:rFonts w:hint="eastAsia" w:eastAsia="宋体"/>
                <w:lang w:eastAsia="zh-CN"/>
              </w:rPr>
            </w:pPr>
            <w:r>
              <w:rPr>
                <w:rFonts w:hint="eastAsia"/>
              </w:rPr>
              <w:t xml:space="preserve">Herold, D.K. and Marolt, P. (eds.), 2011. Online Society in China: Creating, Celebrating, and Instrumentalising the Online Carnival. </w:t>
            </w:r>
          </w:p>
          <w:p w14:paraId="731FD7AA">
            <w:pPr>
              <w:rPr>
                <w:rFonts w:hint="eastAsia"/>
              </w:rPr>
            </w:pPr>
          </w:p>
          <w:p w14:paraId="7CB27BF3">
            <w:pPr>
              <w:rPr>
                <w:rFonts w:hint="eastAsia" w:eastAsia="宋体"/>
                <w:lang w:eastAsia="zh-CN"/>
              </w:rPr>
            </w:pPr>
            <w:r>
              <w:rPr>
                <w:rFonts w:hint="eastAsia"/>
              </w:rPr>
              <w:t xml:space="preserve">Herold, D.K. and Marolt, P. (eds.), 2015. China Online: Locating Society in Online Spaces. </w:t>
            </w:r>
          </w:p>
          <w:p w14:paraId="54BC60D1">
            <w:pPr>
              <w:rPr>
                <w:rFonts w:hint="eastAsia"/>
              </w:rPr>
            </w:pPr>
          </w:p>
          <w:p w14:paraId="1D28E324">
            <w:pPr>
              <w:rPr>
                <w:rFonts w:hint="eastAsia"/>
              </w:rPr>
            </w:pPr>
            <w:r>
              <w:rPr>
                <w:rFonts w:hint="eastAsia"/>
              </w:rPr>
              <w:t>Highfield, T. and Leaver, T., 2016. Instagrammatics and digital methods: Studying visual social media, from selfies and GIFs to memes and emoji. Communication Research and Practice, 2(1), pp.47-62. doi: 10.1080/22041451.2016.1155332.</w:t>
            </w:r>
          </w:p>
          <w:p w14:paraId="2B106A14">
            <w:pPr>
              <w:rPr>
                <w:rFonts w:hint="eastAsia"/>
              </w:rPr>
            </w:pPr>
          </w:p>
          <w:p w14:paraId="2DB5DDA1">
            <w:pPr>
              <w:rPr>
                <w:rFonts w:hint="eastAsia"/>
              </w:rPr>
            </w:pPr>
            <w:r>
              <w:rPr>
                <w:rFonts w:hint="eastAsia"/>
              </w:rPr>
              <w:t>Hine, C., 2015. Ethnography for the internet: Embedded, embodied and everyday. Bloomsbury Publishing.</w:t>
            </w:r>
          </w:p>
          <w:p w14:paraId="1EE468F0">
            <w:pPr>
              <w:rPr>
                <w:rFonts w:hint="eastAsia"/>
              </w:rPr>
            </w:pPr>
          </w:p>
          <w:p w14:paraId="0CC36DCD">
            <w:pPr>
              <w:rPr>
                <w:rFonts w:hint="eastAsia" w:eastAsia="宋体"/>
                <w:lang w:eastAsia="zh-CN"/>
              </w:rPr>
            </w:pPr>
            <w:r>
              <w:rPr>
                <w:rFonts w:hint="eastAsia"/>
              </w:rPr>
              <w:t xml:space="preserve">Hjorth, L. and Khoo, O. (eds.), 2016. Routledge Handbook of New Media in Asia. </w:t>
            </w:r>
          </w:p>
          <w:p w14:paraId="1605187D">
            <w:pPr>
              <w:rPr>
                <w:rFonts w:hint="eastAsia"/>
              </w:rPr>
            </w:pPr>
          </w:p>
          <w:p w14:paraId="2E0B6F62">
            <w:pPr>
              <w:rPr>
                <w:rFonts w:hint="eastAsia"/>
              </w:rPr>
            </w:pPr>
            <w:r>
              <w:rPr>
                <w:rFonts w:hint="eastAsia"/>
              </w:rPr>
              <w:t>Hochschild, A.R., 1983. The managed heart: Commercialization of human feeling. University of California Press.</w:t>
            </w:r>
          </w:p>
          <w:p w14:paraId="2A7E9B24">
            <w:pPr>
              <w:rPr>
                <w:rFonts w:hint="eastAsia"/>
              </w:rPr>
            </w:pPr>
          </w:p>
          <w:p w14:paraId="59092838">
            <w:pPr>
              <w:rPr>
                <w:rFonts w:hint="eastAsia"/>
              </w:rPr>
            </w:pPr>
            <w:r>
              <w:rPr>
                <w:rFonts w:hint="eastAsia"/>
              </w:rPr>
              <w:t>Huang, C., 2022. Social media use and mental health during the COVID-19 pandemic: A meta-analysis. Computers in Human Behavior Reports, 7, p.100207.</w:t>
            </w:r>
          </w:p>
          <w:p w14:paraId="2C84D564">
            <w:pPr>
              <w:rPr>
                <w:rFonts w:hint="eastAsia"/>
              </w:rPr>
            </w:pPr>
          </w:p>
          <w:p w14:paraId="1B32F953">
            <w:pPr>
              <w:rPr>
                <w:rFonts w:hint="eastAsia"/>
              </w:rPr>
            </w:pPr>
            <w:r>
              <w:rPr>
                <w:rFonts w:hint="eastAsia"/>
              </w:rPr>
              <w:t>Huntington, S.P., 1996. The clash of civilizations and the remaking of world order. Simon &amp; Schuster.</w:t>
            </w:r>
          </w:p>
          <w:p w14:paraId="7151646D">
            <w:pPr>
              <w:rPr>
                <w:rFonts w:hint="eastAsia"/>
              </w:rPr>
            </w:pPr>
          </w:p>
          <w:p w14:paraId="591D776A">
            <w:pPr>
              <w:rPr>
                <w:rFonts w:hint="eastAsia"/>
              </w:rPr>
            </w:pPr>
            <w:r>
              <w:rPr>
                <w:rFonts w:hint="eastAsia"/>
              </w:rPr>
              <w:t>Jenkins, H., 2006. Convergence culture: Where old and new media collide. NYU Press.</w:t>
            </w:r>
          </w:p>
          <w:p w14:paraId="766CD04B">
            <w:pPr>
              <w:rPr>
                <w:rFonts w:hint="eastAsia"/>
              </w:rPr>
            </w:pPr>
          </w:p>
          <w:p w14:paraId="60F016FD">
            <w:pPr>
              <w:rPr>
                <w:rFonts w:hint="eastAsia"/>
              </w:rPr>
            </w:pPr>
            <w:r>
              <w:rPr>
                <w:rFonts w:hint="eastAsia"/>
              </w:rPr>
              <w:t>Jenkins, H., Ito, M. and boyd, d., 2015. Participatory culture in a networked era: A conversation on youth, learning, commerce, and politics. Polity Press.</w:t>
            </w:r>
          </w:p>
          <w:p w14:paraId="084A9BA3">
            <w:pPr>
              <w:rPr>
                <w:rFonts w:hint="eastAsia"/>
              </w:rPr>
            </w:pPr>
          </w:p>
          <w:p w14:paraId="79711C23">
            <w:pPr>
              <w:rPr>
                <w:rFonts w:hint="eastAsia"/>
              </w:rPr>
            </w:pPr>
            <w:r>
              <w:rPr>
                <w:rFonts w:hint="eastAsia"/>
              </w:rPr>
              <w:t>Jin, A., 2020. Beauty and its perceptions: A deep dive into China's current social media landscape. US-China Today.</w:t>
            </w:r>
          </w:p>
          <w:p w14:paraId="7198BC82">
            <w:pPr>
              <w:rPr>
                <w:rFonts w:hint="eastAsia"/>
              </w:rPr>
            </w:pPr>
          </w:p>
          <w:p w14:paraId="799169A2">
            <w:pPr>
              <w:rPr>
                <w:rFonts w:hint="eastAsia"/>
              </w:rPr>
            </w:pPr>
            <w:r>
              <w:rPr>
                <w:rFonts w:hint="eastAsia"/>
              </w:rPr>
              <w:t>Kenett, Y.N., Cardillo, E.R., Christensen, A.P. and Chatterjee, A., 2023. Aesthetic emotions are affected by context: A psychometric network analysis. Scientific Reports, 13(1), p.20985. doi: 10.1038/s41598-023-48219-w.</w:t>
            </w:r>
          </w:p>
          <w:p w14:paraId="1BDC8B22">
            <w:pPr>
              <w:rPr>
                <w:rFonts w:hint="eastAsia"/>
              </w:rPr>
            </w:pPr>
          </w:p>
          <w:p w14:paraId="6B7B8987">
            <w:pPr>
              <w:rPr>
                <w:rFonts w:hint="eastAsia"/>
              </w:rPr>
            </w:pPr>
            <w:r>
              <w:rPr>
                <w:rFonts w:hint="eastAsia"/>
              </w:rPr>
              <w:t>Keane, M., 2015. The Chinese Television Industry. Palgrave.</w:t>
            </w:r>
          </w:p>
          <w:p w14:paraId="11ACD4E7">
            <w:pPr>
              <w:rPr>
                <w:rFonts w:hint="eastAsia"/>
              </w:rPr>
            </w:pPr>
          </w:p>
          <w:p w14:paraId="56CD12B1">
            <w:pPr>
              <w:rPr>
                <w:rFonts w:hint="eastAsia"/>
              </w:rPr>
            </w:pPr>
            <w:r>
              <w:rPr>
                <w:rFonts w:hint="eastAsia"/>
              </w:rPr>
              <w:t>Kjeldgaard, D. and Askegaard, S., 2006. The glocalization of youth culture: The global youth segment as structures of common difference. Journal of Consumer Research, 33, pp.231-247.</w:t>
            </w:r>
          </w:p>
          <w:p w14:paraId="4C3C8FB9">
            <w:pPr>
              <w:rPr>
                <w:rFonts w:hint="eastAsia"/>
              </w:rPr>
            </w:pPr>
          </w:p>
          <w:p w14:paraId="6F93B36B">
            <w:pPr>
              <w:rPr>
                <w:rFonts w:hint="eastAsia"/>
              </w:rPr>
            </w:pPr>
            <w:r>
              <w:rPr>
                <w:rFonts w:hint="eastAsia"/>
              </w:rPr>
              <w:t>Li, Y., Wang, X., Lin, X. and Hajli, M., 2018. Seeking and sharing health information on social media: A net valence model and cross-cultural comparison. Technological Forecasting and Social Change, 126, pp.28-40.</w:t>
            </w:r>
          </w:p>
          <w:p w14:paraId="7DFD150C">
            <w:pPr>
              <w:rPr>
                <w:rFonts w:hint="eastAsia"/>
              </w:rPr>
            </w:pPr>
          </w:p>
          <w:p w14:paraId="30465F5D">
            <w:pPr>
              <w:rPr>
                <w:rFonts w:hint="eastAsia" w:eastAsia="宋体"/>
                <w:lang w:eastAsia="zh-CN"/>
              </w:rPr>
            </w:pPr>
            <w:r>
              <w:rPr>
                <w:rFonts w:hint="eastAsia"/>
              </w:rPr>
              <w:t xml:space="preserve">Liu, F., 2011. Urban Youth in China: Modernity, the Internet and the Self. </w:t>
            </w:r>
          </w:p>
          <w:p w14:paraId="734713BF">
            <w:pPr>
              <w:rPr>
                <w:rFonts w:hint="eastAsia"/>
              </w:rPr>
            </w:pPr>
          </w:p>
          <w:p w14:paraId="6BD3591A">
            <w:pPr>
              <w:rPr>
                <w:rFonts w:hint="eastAsia" w:eastAsia="宋体"/>
                <w:lang w:eastAsia="zh-CN"/>
              </w:rPr>
            </w:pPr>
            <w:r>
              <w:rPr>
                <w:rFonts w:hint="eastAsia"/>
              </w:rPr>
              <w:t xml:space="preserve">Lupton, D., 2014. Digital sociology. </w:t>
            </w:r>
          </w:p>
          <w:p w14:paraId="69A82948">
            <w:pPr>
              <w:rPr>
                <w:rFonts w:hint="eastAsia"/>
              </w:rPr>
            </w:pPr>
          </w:p>
          <w:p w14:paraId="73FBCEB8">
            <w:pPr>
              <w:rPr>
                <w:rFonts w:hint="eastAsia"/>
              </w:rPr>
            </w:pPr>
            <w:r>
              <w:rPr>
                <w:rFonts w:hint="eastAsia"/>
              </w:rPr>
              <w:t>Manovich, L., 2001. The language of new media. MIT Press.</w:t>
            </w:r>
          </w:p>
          <w:p w14:paraId="78245E52">
            <w:pPr>
              <w:rPr>
                <w:rFonts w:hint="eastAsia"/>
              </w:rPr>
            </w:pPr>
          </w:p>
          <w:p w14:paraId="514E0C16">
            <w:pPr>
              <w:rPr>
                <w:rFonts w:hint="eastAsia"/>
              </w:rPr>
            </w:pPr>
            <w:r>
              <w:rPr>
                <w:rFonts w:hint="eastAsia"/>
              </w:rPr>
              <w:t>Manovich, L., 2013. Software takes command. Bloomsbury Academic.</w:t>
            </w:r>
          </w:p>
          <w:p w14:paraId="031CBE0A">
            <w:pPr>
              <w:rPr>
                <w:rFonts w:hint="eastAsia"/>
              </w:rPr>
            </w:pPr>
          </w:p>
          <w:p w14:paraId="1A37D48F">
            <w:pPr>
              <w:rPr>
                <w:rFonts w:hint="eastAsia"/>
              </w:rPr>
            </w:pPr>
            <w:r>
              <w:rPr>
                <w:rFonts w:hint="eastAsia"/>
              </w:rPr>
              <w:t>Maly, I. and Varis, P., 2016. The 21st-century hipster: On micro-populations in times of superdiversity. European Journal of Cultural Studies, 19(6), pp.637-653. doi: 10.1177/1367549415597920.</w:t>
            </w:r>
          </w:p>
          <w:p w14:paraId="70DC9D53">
            <w:pPr>
              <w:rPr>
                <w:rFonts w:hint="eastAsia"/>
              </w:rPr>
            </w:pPr>
          </w:p>
          <w:p w14:paraId="4D8408F0">
            <w:pPr>
              <w:rPr>
                <w:rFonts w:hint="eastAsia"/>
              </w:rPr>
            </w:pPr>
            <w:r>
              <w:rPr>
                <w:rFonts w:hint="eastAsia"/>
              </w:rPr>
              <w:t>Marx, K., 1844/1988. Economic and philosophic manuscripts of 1844. Prometheus Books.</w:t>
            </w:r>
          </w:p>
          <w:p w14:paraId="47BD5318">
            <w:pPr>
              <w:rPr>
                <w:rFonts w:hint="eastAsia"/>
              </w:rPr>
            </w:pPr>
          </w:p>
          <w:p w14:paraId="55B04F35">
            <w:pPr>
              <w:rPr>
                <w:rFonts w:hint="eastAsia"/>
              </w:rPr>
            </w:pPr>
            <w:r>
              <w:rPr>
                <w:rFonts w:hint="eastAsia"/>
              </w:rPr>
              <w:t>Mirzoeff, N., 2015. How to see the world: An introduction to images, from self-portraits to selfies, maps to movies, and more. Basic Books.</w:t>
            </w:r>
          </w:p>
          <w:p w14:paraId="5133102A">
            <w:pPr>
              <w:rPr>
                <w:rFonts w:hint="eastAsia"/>
              </w:rPr>
            </w:pPr>
          </w:p>
          <w:p w14:paraId="5E1D4C9F">
            <w:pPr>
              <w:rPr>
                <w:rFonts w:hint="eastAsia" w:eastAsia="宋体"/>
                <w:lang w:eastAsia="zh-CN"/>
              </w:rPr>
            </w:pPr>
            <w:r>
              <w:rPr>
                <w:rFonts w:hint="eastAsia"/>
              </w:rPr>
              <w:t xml:space="preserve">Papacharissi, Z., 2010. A networked self: Identity, community, and culture on social network sites. </w:t>
            </w:r>
          </w:p>
          <w:p w14:paraId="46DE244C">
            <w:pPr>
              <w:rPr>
                <w:rFonts w:hint="eastAsia"/>
              </w:rPr>
            </w:pPr>
          </w:p>
          <w:p w14:paraId="29306425">
            <w:pPr>
              <w:rPr>
                <w:rFonts w:hint="eastAsia" w:eastAsia="宋体"/>
                <w:lang w:eastAsia="zh-CN"/>
              </w:rPr>
            </w:pPr>
            <w:r>
              <w:rPr>
                <w:rFonts w:hint="eastAsia"/>
              </w:rPr>
              <w:t xml:space="preserve">Papacharissi, Z., 2018. A networked self and platforms, stories, connections. </w:t>
            </w:r>
          </w:p>
          <w:p w14:paraId="6CEB9936">
            <w:pPr>
              <w:rPr>
                <w:rFonts w:hint="eastAsia"/>
              </w:rPr>
            </w:pPr>
          </w:p>
          <w:p w14:paraId="0FAA1A95">
            <w:pPr>
              <w:rPr>
                <w:rFonts w:hint="eastAsia"/>
              </w:rPr>
            </w:pPr>
            <w:r>
              <w:rPr>
                <w:rFonts w:hint="eastAsia"/>
              </w:rPr>
              <w:t>Pink, S., Horst, H., Postill, J., Hjorth, L., Lewis, T. and Tacchi, J., 2016. Digital ethnography: Principles and practice. Sage.</w:t>
            </w:r>
          </w:p>
          <w:p w14:paraId="351AACFC">
            <w:pPr>
              <w:rPr>
                <w:rFonts w:hint="eastAsia"/>
              </w:rPr>
            </w:pPr>
          </w:p>
          <w:p w14:paraId="22E60753">
            <w:pPr>
              <w:rPr>
                <w:rFonts w:hint="eastAsia"/>
              </w:rPr>
            </w:pPr>
            <w:r>
              <w:rPr>
                <w:rFonts w:hint="eastAsia"/>
              </w:rPr>
              <w:t>Qiu, J.L., 2009. Working-class network society: Communication technology and the information have-less in urban China. MIT Press.</w:t>
            </w:r>
          </w:p>
          <w:p w14:paraId="3E808E0D">
            <w:pPr>
              <w:rPr>
                <w:rFonts w:hint="eastAsia"/>
              </w:rPr>
            </w:pPr>
          </w:p>
          <w:p w14:paraId="02F16E4D">
            <w:pPr>
              <w:rPr>
                <w:rFonts w:hint="eastAsia"/>
              </w:rPr>
            </w:pPr>
            <w:r>
              <w:rPr>
                <w:rFonts w:hint="eastAsia"/>
              </w:rPr>
              <w:t>Said, E.W., 1978. Orientalism. Pantheon Books.</w:t>
            </w:r>
          </w:p>
          <w:p w14:paraId="71098FED">
            <w:pPr>
              <w:rPr>
                <w:rFonts w:hint="eastAsia"/>
              </w:rPr>
            </w:pPr>
          </w:p>
          <w:p w14:paraId="20DF2F8F">
            <w:pPr>
              <w:rPr>
                <w:rFonts w:hint="eastAsia"/>
              </w:rPr>
            </w:pPr>
            <w:r>
              <w:rPr>
                <w:rFonts w:hint="eastAsia"/>
              </w:rPr>
              <w:t>Shaviro, S., 2010. Post-cinematic affect. Zero Books</w:t>
            </w:r>
            <w:r>
              <w:rPr>
                <w:rFonts w:hint="eastAsia"/>
              </w:rPr>
              <w:br w:type="textWrapping"/>
            </w:r>
            <w:r>
              <w:rPr>
                <w:rFonts w:hint="eastAsia"/>
              </w:rPr>
              <w:br w:type="textWrapping"/>
            </w:r>
            <w:r>
              <w:rPr>
                <w:rFonts w:hint="eastAsia"/>
              </w:rPr>
              <w:t>Shen, C., Kasra, M., Pan, W., Bassett, G.A., Malloch, Y. and O’Brien, J.F., 2014. The rise of China’s WeChat: An examination of its cultural factors and global marketing impact. International Journal of Communication, 8, pp.2015-2043.</w:t>
            </w:r>
          </w:p>
          <w:p w14:paraId="0C04DB9B">
            <w:pPr>
              <w:rPr>
                <w:rFonts w:hint="eastAsia"/>
              </w:rPr>
            </w:pPr>
          </w:p>
          <w:p w14:paraId="77EFF8E3">
            <w:pPr>
              <w:rPr>
                <w:rFonts w:hint="eastAsia"/>
              </w:rPr>
            </w:pPr>
            <w:r>
              <w:rPr>
                <w:rFonts w:hint="eastAsia"/>
              </w:rPr>
              <w:t>Snyder, T., 2010. The art of losing: American poetry in the age of digital media. University of Michigan Press.</w:t>
            </w:r>
          </w:p>
          <w:p w14:paraId="300BE19F">
            <w:pPr>
              <w:rPr>
                <w:rFonts w:hint="eastAsia"/>
              </w:rPr>
            </w:pPr>
          </w:p>
          <w:p w14:paraId="0B246404">
            <w:pPr>
              <w:rPr>
                <w:rFonts w:hint="eastAsia" w:eastAsia="宋体"/>
                <w:lang w:eastAsia="zh-CN"/>
              </w:rPr>
            </w:pPr>
            <w:r>
              <w:rPr>
                <w:rFonts w:hint="eastAsia"/>
              </w:rPr>
              <w:t xml:space="preserve">Sun, W. and Sinclair, J. (eds.), 2016. Media and communication in the Chinese diaspora: Rethinking transnationalism. </w:t>
            </w:r>
          </w:p>
          <w:p w14:paraId="2C8304A7">
            <w:pPr>
              <w:rPr>
                <w:rFonts w:hint="eastAsia"/>
              </w:rPr>
            </w:pPr>
          </w:p>
          <w:p w14:paraId="7EE64D68">
            <w:pPr>
              <w:rPr>
                <w:rFonts w:hint="eastAsia"/>
              </w:rPr>
            </w:pPr>
            <w:r>
              <w:rPr>
                <w:rFonts w:hint="eastAsia"/>
              </w:rPr>
              <w:t>Thompson, E.P., 1963. The making of the English working class. Penguin Books.</w:t>
            </w:r>
          </w:p>
          <w:p w14:paraId="595ACC80">
            <w:pPr>
              <w:rPr>
                <w:rFonts w:hint="eastAsia"/>
              </w:rPr>
            </w:pPr>
          </w:p>
          <w:p w14:paraId="3B283E16">
            <w:pPr>
              <w:rPr>
                <w:rFonts w:hint="eastAsia"/>
              </w:rPr>
            </w:pPr>
            <w:r>
              <w:rPr>
                <w:rFonts w:hint="eastAsia"/>
              </w:rPr>
              <w:t>Turkle, S., 2011. Alone together: Why we expect more from technology and less from each other. Basic Books.</w:t>
            </w:r>
          </w:p>
          <w:p w14:paraId="4C31B210">
            <w:pPr>
              <w:rPr>
                <w:rFonts w:hint="eastAsia"/>
              </w:rPr>
            </w:pPr>
          </w:p>
          <w:p w14:paraId="685A0718">
            <w:pPr>
              <w:rPr>
                <w:rFonts w:hint="eastAsia"/>
              </w:rPr>
            </w:pPr>
            <w:r>
              <w:rPr>
                <w:rFonts w:hint="eastAsia"/>
              </w:rPr>
              <w:t>Turner, G., 2010. Ordinary people and the media: The demotic turn. Sage.</w:t>
            </w:r>
          </w:p>
          <w:p w14:paraId="0E15D5C4">
            <w:pPr>
              <w:rPr>
                <w:rFonts w:hint="eastAsia"/>
              </w:rPr>
            </w:pPr>
          </w:p>
          <w:p w14:paraId="62F79070">
            <w:pPr>
              <w:rPr>
                <w:rFonts w:hint="eastAsia"/>
              </w:rPr>
            </w:pPr>
            <w:r>
              <w:rPr>
                <w:rFonts w:hint="eastAsia"/>
              </w:rPr>
              <w:t>Van Dijck, J., 2013. The culture of connectivity: A critical history of social media. Oxford University Press.</w:t>
            </w:r>
          </w:p>
          <w:p w14:paraId="42A1F5FD">
            <w:pPr>
              <w:rPr>
                <w:rFonts w:hint="eastAsia"/>
              </w:rPr>
            </w:pPr>
          </w:p>
          <w:p w14:paraId="1995B9E2">
            <w:pPr>
              <w:rPr>
                <w:rFonts w:hint="eastAsia"/>
              </w:rPr>
            </w:pPr>
            <w:r>
              <w:rPr>
                <w:rFonts w:hint="eastAsia"/>
              </w:rPr>
              <w:t>Wang, H., 2014. The end of the revolution: China and the limits of modernity. Verso.</w:t>
            </w:r>
          </w:p>
          <w:p w14:paraId="54A7E3AE">
            <w:pPr>
              <w:rPr>
                <w:rFonts w:hint="eastAsia"/>
              </w:rPr>
            </w:pPr>
          </w:p>
          <w:p w14:paraId="63243668">
            <w:pPr>
              <w:rPr>
                <w:rFonts w:hint="eastAsia"/>
              </w:rPr>
            </w:pPr>
            <w:r>
              <w:rPr>
                <w:rFonts w:hint="eastAsia"/>
              </w:rPr>
              <w:t>Williams, R., 1977. Marxism and literature. Oxford University Press.</w:t>
            </w:r>
          </w:p>
          <w:p w14:paraId="63259BE4">
            <w:pPr>
              <w:rPr>
                <w:rFonts w:hint="eastAsia"/>
              </w:rPr>
            </w:pPr>
          </w:p>
          <w:p w14:paraId="334A3429">
            <w:pPr>
              <w:rPr>
                <w:rFonts w:hint="eastAsia"/>
              </w:rPr>
            </w:pPr>
            <w:r>
              <w:rPr>
                <w:rFonts w:hint="eastAsia"/>
              </w:rPr>
              <w:t>Zeng, C. and Greenfield, P.M., 2015. Cultural evolution over the last 40 years in China: Using the Google Ngram Viewer to study implications of social and political change for cultural values. International Journal of Psychology, 50(1), pp.47-55.</w:t>
            </w:r>
          </w:p>
          <w:p w14:paraId="5EE8219E">
            <w:pPr>
              <w:rPr>
                <w:rFonts w:hint="eastAsia"/>
              </w:rPr>
            </w:pPr>
          </w:p>
          <w:p w14:paraId="34DEB9F9">
            <w:pPr>
              <w:rPr>
                <w:rFonts w:hint="eastAsia"/>
              </w:rPr>
            </w:pPr>
            <w:r>
              <w:rPr>
                <w:rFonts w:hint="eastAsia"/>
              </w:rPr>
              <w:t>Zhao, S., 2023. The rise of AI culture in East Asia: A study of societal integration and artistic applications. International Journal of Digital Humanities, 2(1), pp.39-62.</w:t>
            </w:r>
          </w:p>
          <w:p w14:paraId="396DD806">
            <w:pPr>
              <w:rPr>
                <w:rFonts w:hint="eastAsia"/>
              </w:rPr>
            </w:pPr>
          </w:p>
        </w:tc>
      </w:tr>
      <w:tr w14:paraId="0802A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shd w:val="clear" w:color="auto" w:fill="F1F1F1" w:themeFill="background1" w:themeFillShade="F2"/>
            <w:vAlign w:val="center"/>
          </w:tcPr>
          <w:p w14:paraId="0802AF69">
            <w:pPr>
              <w:rPr>
                <w:rFonts w:cs="Arial"/>
                <w:sz w:val="22"/>
                <w:szCs w:val="22"/>
              </w:rPr>
            </w:pPr>
            <w:r>
              <w:rPr>
                <w:rFonts w:cs="Arial"/>
                <w:sz w:val="22"/>
                <w:szCs w:val="22"/>
              </w:rPr>
              <w:t>Facilities and resources available for the investigation: please indicate if you expect to need any special resources</w:t>
            </w:r>
          </w:p>
        </w:tc>
      </w:tr>
      <w:tr w14:paraId="0802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781" w:type="dxa"/>
            <w:vAlign w:val="center"/>
          </w:tcPr>
          <w:p w14:paraId="0802AF6D">
            <w:pPr>
              <w:rPr>
                <w:rFonts w:cs="Arial"/>
                <w:sz w:val="22"/>
                <w:szCs w:val="22"/>
              </w:rPr>
            </w:pPr>
            <w:r>
              <w:rPr>
                <w:rFonts w:hint="eastAsia" w:cs="Arial"/>
                <w:sz w:val="22"/>
                <w:szCs w:val="22"/>
              </w:rPr>
              <w:t>To successfully complete the proposed research on Core Suffix Aesthetics, the following facilities, resources, and arrangements are required:</w:t>
            </w:r>
          </w:p>
          <w:p w14:paraId="0802AF6E">
            <w:pPr>
              <w:rPr>
                <w:rFonts w:cs="Arial"/>
                <w:sz w:val="22"/>
                <w:szCs w:val="22"/>
              </w:rPr>
            </w:pPr>
          </w:p>
          <w:p w14:paraId="0802AF6F">
            <w:pPr>
              <w:rPr>
                <w:rFonts w:eastAsia="宋体" w:cs="Arial"/>
                <w:sz w:val="22"/>
                <w:szCs w:val="22"/>
                <w:lang w:eastAsia="zh-CN"/>
              </w:rPr>
            </w:pPr>
            <w:r>
              <w:rPr>
                <w:rFonts w:hint="eastAsia" w:cs="Arial"/>
                <w:sz w:val="22"/>
                <w:szCs w:val="22"/>
              </w:rPr>
              <w:t>1. Libraries and Archives</w:t>
            </w:r>
          </w:p>
          <w:p w14:paraId="0802AF70">
            <w:pPr>
              <w:rPr>
                <w:rFonts w:cs="Arial"/>
                <w:sz w:val="22"/>
                <w:szCs w:val="22"/>
              </w:rPr>
            </w:pPr>
            <w:r>
              <w:rPr>
                <w:rFonts w:hint="eastAsia" w:eastAsia="宋体" w:cs="Arial"/>
                <w:sz w:val="22"/>
                <w:szCs w:val="22"/>
                <w:lang w:eastAsia="zh-CN"/>
              </w:rPr>
              <w:t>·</w:t>
            </w:r>
            <w:r>
              <w:rPr>
                <w:rFonts w:hint="eastAsia" w:cs="Arial"/>
                <w:sz w:val="22"/>
                <w:szCs w:val="22"/>
              </w:rPr>
              <w:t>Access to University Libraries: I will primarily utilize the libraries and digital databases available at my home institution. These include resources such as JSTOR, ProQuest, and Google Scholar, which offer extensive collections of academic papers, books, and dissertations related to visual culture, digital anthropology, cultural studies, and psychology. These resources are critical for conducting the theoretical framework and literature review for my research.</w:t>
            </w:r>
          </w:p>
          <w:p w14:paraId="0802AF71">
            <w:pPr>
              <w:rPr>
                <w:rFonts w:cs="Arial"/>
                <w:sz w:val="22"/>
                <w:szCs w:val="22"/>
              </w:rPr>
            </w:pPr>
            <w:r>
              <w:rPr>
                <w:rFonts w:hint="eastAsia" w:cs="Arial"/>
                <w:sz w:val="22"/>
                <w:szCs w:val="22"/>
              </w:rPr>
              <w:t xml:space="preserve">  </w:t>
            </w:r>
            <w:r>
              <w:rPr>
                <w:rFonts w:hint="eastAsia" w:eastAsia="宋体" w:cs="Arial"/>
                <w:sz w:val="22"/>
                <w:szCs w:val="22"/>
                <w:lang w:eastAsia="zh-CN"/>
              </w:rPr>
              <w:t>·</w:t>
            </w:r>
            <w:r>
              <w:rPr>
                <w:rFonts w:hint="eastAsia" w:cs="Arial"/>
                <w:sz w:val="22"/>
                <w:szCs w:val="22"/>
              </w:rPr>
              <w:t>Permission: I already have full access to these facilities as a registered PhD student at the institution.</w:t>
            </w:r>
          </w:p>
          <w:p w14:paraId="0802AF72">
            <w:pPr>
              <w:rPr>
                <w:rFonts w:cs="Arial"/>
                <w:sz w:val="22"/>
                <w:szCs w:val="22"/>
              </w:rPr>
            </w:pPr>
            <w:r>
              <w:rPr>
                <w:rFonts w:hint="eastAsia" w:cs="Arial"/>
                <w:sz w:val="22"/>
                <w:szCs w:val="22"/>
              </w:rPr>
              <w:t xml:space="preserve">  </w:t>
            </w:r>
          </w:p>
          <w:p w14:paraId="0802AF73">
            <w:pPr>
              <w:rPr>
                <w:rFonts w:cs="Arial"/>
                <w:sz w:val="22"/>
                <w:szCs w:val="22"/>
              </w:rPr>
            </w:pPr>
            <w:r>
              <w:rPr>
                <w:rFonts w:hint="eastAsia" w:eastAsia="宋体" w:cs="Arial"/>
                <w:sz w:val="22"/>
                <w:szCs w:val="22"/>
                <w:lang w:eastAsia="zh-CN"/>
              </w:rPr>
              <w:t>·</w:t>
            </w:r>
            <w:r>
              <w:rPr>
                <w:rFonts w:hint="eastAsia" w:cs="Arial"/>
                <w:sz w:val="22"/>
                <w:szCs w:val="22"/>
              </w:rPr>
              <w:t>Online Archives: Digital repositories like the National Library of China’s online platform and social media archives will provide critical primary data for analysing the content produced by Core Suffix Aesthetic communities. Access to these resources will not require any special permissions as they are publicly available or part of institutional subscriptions.</w:t>
            </w:r>
          </w:p>
          <w:p w14:paraId="0802AF74">
            <w:pPr>
              <w:rPr>
                <w:rFonts w:cs="Arial"/>
                <w:sz w:val="22"/>
                <w:szCs w:val="22"/>
              </w:rPr>
            </w:pPr>
          </w:p>
          <w:p w14:paraId="0802AF75">
            <w:pPr>
              <w:rPr>
                <w:rFonts w:eastAsia="宋体" w:cs="Arial"/>
                <w:sz w:val="22"/>
                <w:szCs w:val="22"/>
                <w:lang w:eastAsia="zh-CN"/>
              </w:rPr>
            </w:pPr>
            <w:r>
              <w:rPr>
                <w:rFonts w:hint="eastAsia" w:cs="Arial"/>
                <w:sz w:val="22"/>
                <w:szCs w:val="22"/>
              </w:rPr>
              <w:t>2. Online Platforms and Specialist IT Facilities</w:t>
            </w:r>
          </w:p>
          <w:p w14:paraId="0802AF76">
            <w:pPr>
              <w:rPr>
                <w:rFonts w:cs="Arial"/>
                <w:sz w:val="22"/>
                <w:szCs w:val="22"/>
              </w:rPr>
            </w:pPr>
            <w:r>
              <w:rPr>
                <w:rFonts w:hint="eastAsia" w:eastAsia="宋体" w:cs="Arial"/>
                <w:sz w:val="22"/>
                <w:szCs w:val="22"/>
                <w:lang w:eastAsia="zh-CN"/>
              </w:rPr>
              <w:t>·</w:t>
            </w:r>
            <w:r>
              <w:rPr>
                <w:rFonts w:hint="eastAsia" w:cs="Arial"/>
                <w:sz w:val="22"/>
                <w:szCs w:val="22"/>
              </w:rPr>
              <w:t>Social Media Platforms: The investigation will involve online research on Chinese platforms such as Weibo, Douyin (Chinese TikTok), and Bilibili. These platforms will serve as the primary source of aesthetic trends and user interactions that are crucial for examining Core Suffix Aesthetics. I have already registered accounts on these platforms and have permission to observe and collect data publicly available in these communities. I will, however, need to secure further ethical clearance before engaging with participants for interviews or direct interactions.</w:t>
            </w:r>
          </w:p>
          <w:p w14:paraId="0802AF77">
            <w:pPr>
              <w:rPr>
                <w:rFonts w:cs="Arial"/>
                <w:sz w:val="22"/>
                <w:szCs w:val="22"/>
              </w:rPr>
            </w:pPr>
            <w:r>
              <w:rPr>
                <w:rFonts w:hint="eastAsia" w:cs="Arial"/>
                <w:sz w:val="22"/>
                <w:szCs w:val="22"/>
              </w:rPr>
              <w:t xml:space="preserve">  </w:t>
            </w:r>
            <w:r>
              <w:rPr>
                <w:rFonts w:hint="eastAsia" w:eastAsia="宋体" w:cs="Arial"/>
                <w:sz w:val="22"/>
                <w:szCs w:val="22"/>
                <w:lang w:eastAsia="zh-CN"/>
              </w:rPr>
              <w:t>·</w:t>
            </w:r>
            <w:r>
              <w:rPr>
                <w:rFonts w:hint="eastAsia" w:cs="Arial"/>
                <w:sz w:val="22"/>
                <w:szCs w:val="22"/>
              </w:rPr>
              <w:t>Specialist IT Tools: Tools such as NVivo or ATLAS.ti for qualitative analysis and semiotic analysis software may be necessary for organizing and analysing large volumes of visual data. Additionally, specialized web-scraping software will help collect and systematize the visual and textual data for content analysis. I will coordinate with my institution’s IT department to access these tools.</w:t>
            </w:r>
          </w:p>
          <w:p w14:paraId="0802AF78">
            <w:pPr>
              <w:rPr>
                <w:rFonts w:cs="Arial"/>
                <w:sz w:val="22"/>
                <w:szCs w:val="22"/>
              </w:rPr>
            </w:pPr>
          </w:p>
          <w:p w14:paraId="0802AF79">
            <w:pPr>
              <w:rPr>
                <w:rFonts w:eastAsia="宋体" w:cs="Arial"/>
                <w:sz w:val="22"/>
                <w:szCs w:val="22"/>
                <w:lang w:eastAsia="zh-CN"/>
              </w:rPr>
            </w:pPr>
            <w:r>
              <w:rPr>
                <w:rFonts w:hint="eastAsia" w:cs="Arial"/>
                <w:sz w:val="22"/>
                <w:szCs w:val="22"/>
              </w:rPr>
              <w:t>3. Travel and Fieldwork</w:t>
            </w:r>
          </w:p>
          <w:p w14:paraId="0802AF7A">
            <w:pPr>
              <w:rPr>
                <w:rFonts w:eastAsia="宋体" w:cs="Arial"/>
                <w:sz w:val="22"/>
                <w:szCs w:val="22"/>
                <w:lang w:eastAsia="zh-CN"/>
              </w:rPr>
            </w:pPr>
            <w:r>
              <w:rPr>
                <w:rFonts w:hint="eastAsia" w:eastAsia="宋体" w:cs="Arial"/>
                <w:sz w:val="22"/>
                <w:szCs w:val="22"/>
                <w:lang w:eastAsia="zh-CN"/>
              </w:rPr>
              <w:t>·</w:t>
            </w:r>
            <w:r>
              <w:rPr>
                <w:rFonts w:hint="eastAsia" w:cs="Arial"/>
                <w:sz w:val="22"/>
                <w:szCs w:val="22"/>
              </w:rPr>
              <w:t>Fieldwork in China: As part of my research, I will be required to return to China for a minimum of six months. The fieldwork will include</w:t>
            </w:r>
            <w:r>
              <w:rPr>
                <w:rFonts w:hint="eastAsia" w:eastAsia="宋体" w:cs="Arial"/>
                <w:sz w:val="22"/>
                <w:szCs w:val="22"/>
                <w:lang w:eastAsia="zh-CN"/>
              </w:rPr>
              <w:t>：</w:t>
            </w:r>
          </w:p>
          <w:p w14:paraId="0802AF7B">
            <w:pPr>
              <w:rPr>
                <w:rFonts w:cs="Arial"/>
                <w:sz w:val="22"/>
                <w:szCs w:val="22"/>
              </w:rPr>
            </w:pPr>
            <w:r>
              <w:rPr>
                <w:rFonts w:hint="eastAsia" w:cs="Arial"/>
                <w:sz w:val="22"/>
                <w:szCs w:val="22"/>
              </w:rPr>
              <w:t xml:space="preserve">  </w:t>
            </w:r>
            <w:r>
              <w:rPr>
                <w:rFonts w:hint="eastAsia" w:eastAsia="宋体" w:cs="Arial"/>
                <w:sz w:val="22"/>
                <w:szCs w:val="22"/>
                <w:lang w:eastAsia="zh-CN"/>
              </w:rPr>
              <w:t>·</w:t>
            </w:r>
            <w:r>
              <w:rPr>
                <w:rFonts w:hint="eastAsia" w:cs="Arial"/>
                <w:sz w:val="22"/>
                <w:szCs w:val="22"/>
              </w:rPr>
              <w:t xml:space="preserve">Interviews with members of Core Suffix Aesthetic communities: I will conduct semi-structured interviews with content creators and consumers of Core Suffix Aesthetics to gain deeper insights into the personal motivations behind their aesthetic choices and how these choices relate to cultural anxiety and identity formation. </w:t>
            </w:r>
          </w:p>
          <w:p w14:paraId="0802AF7C">
            <w:pPr>
              <w:rPr>
                <w:rFonts w:cs="Arial"/>
                <w:sz w:val="22"/>
                <w:szCs w:val="22"/>
              </w:rPr>
            </w:pPr>
            <w:r>
              <w:rPr>
                <w:rFonts w:hint="eastAsia" w:cs="Arial"/>
                <w:sz w:val="22"/>
                <w:szCs w:val="22"/>
              </w:rPr>
              <w:t xml:space="preserve">  </w:t>
            </w:r>
            <w:r>
              <w:rPr>
                <w:rFonts w:hint="eastAsia" w:eastAsia="宋体" w:cs="Arial"/>
                <w:sz w:val="22"/>
                <w:szCs w:val="22"/>
                <w:lang w:eastAsia="zh-CN"/>
              </w:rPr>
              <w:t>·</w:t>
            </w:r>
            <w:r>
              <w:rPr>
                <w:rFonts w:hint="eastAsia" w:cs="Arial"/>
                <w:sz w:val="22"/>
                <w:szCs w:val="22"/>
              </w:rPr>
              <w:t>Ethnographic Observation: I will also immerse myself in offline activities where these online subcultures may manifest, such as art exhibitions or fan meetups, providing an additional layer of understanding of the real-world impact of online trends.</w:t>
            </w:r>
          </w:p>
          <w:p w14:paraId="0802AF7D">
            <w:pPr>
              <w:rPr>
                <w:rFonts w:cs="Arial"/>
                <w:sz w:val="22"/>
                <w:szCs w:val="22"/>
              </w:rPr>
            </w:pPr>
            <w:r>
              <w:rPr>
                <w:rFonts w:hint="eastAsia" w:cs="Arial"/>
                <w:sz w:val="22"/>
                <w:szCs w:val="22"/>
              </w:rPr>
              <w:t xml:space="preserve">  </w:t>
            </w:r>
            <w:r>
              <w:rPr>
                <w:rFonts w:hint="eastAsia" w:eastAsia="宋体" w:cs="Arial"/>
                <w:sz w:val="22"/>
                <w:szCs w:val="22"/>
                <w:lang w:eastAsia="zh-CN"/>
              </w:rPr>
              <w:t>·</w:t>
            </w:r>
            <w:r>
              <w:rPr>
                <w:rFonts w:hint="eastAsia" w:cs="Arial"/>
                <w:sz w:val="22"/>
                <w:szCs w:val="22"/>
              </w:rPr>
              <w:t xml:space="preserve">Location: The fieldwork will primarily take place in cities like Beijing, Shanghai, and Chengdu, where cultural activities and digital innovation often intersect. </w:t>
            </w:r>
          </w:p>
          <w:p w14:paraId="0802AF7E">
            <w:pPr>
              <w:rPr>
                <w:rFonts w:cs="Arial"/>
                <w:sz w:val="22"/>
                <w:szCs w:val="22"/>
              </w:rPr>
            </w:pPr>
          </w:p>
          <w:p w14:paraId="0802AF7F">
            <w:pPr>
              <w:rPr>
                <w:rFonts w:eastAsia="宋体" w:cs="Arial"/>
                <w:sz w:val="22"/>
                <w:szCs w:val="22"/>
                <w:lang w:eastAsia="zh-CN"/>
              </w:rPr>
            </w:pPr>
            <w:r>
              <w:rPr>
                <w:rFonts w:hint="eastAsia" w:cs="Arial"/>
                <w:sz w:val="22"/>
                <w:szCs w:val="22"/>
              </w:rPr>
              <w:t>4. Permission and Ethical Clearance</w:t>
            </w:r>
          </w:p>
          <w:p w14:paraId="0802AF80">
            <w:pPr>
              <w:rPr>
                <w:rFonts w:cs="Arial"/>
                <w:sz w:val="22"/>
                <w:szCs w:val="22"/>
              </w:rPr>
            </w:pPr>
            <w:r>
              <w:rPr>
                <w:rFonts w:hint="eastAsia" w:eastAsia="宋体" w:cs="Arial"/>
                <w:sz w:val="22"/>
                <w:szCs w:val="22"/>
                <w:lang w:eastAsia="zh-CN"/>
              </w:rPr>
              <w:t>·</w:t>
            </w:r>
            <w:r>
              <w:rPr>
                <w:rFonts w:hint="eastAsia" w:cs="Arial"/>
                <w:sz w:val="22"/>
                <w:szCs w:val="22"/>
              </w:rPr>
              <w:t>Interviews and Ethical Protocols: All interviews and participant observation will be conducted in accordance with my institution’s ethical guidelines for human subjects research. I will apply for ethical clearance from the university’s Institutional Review Board (IRB) prior to conducting fieldwork and interviews. Consent forms will be provided in both English and Chinese, ensuring participants are fully informed about the purpose of the research and their rights.</w:t>
            </w:r>
          </w:p>
          <w:p w14:paraId="0802AF81">
            <w:pPr>
              <w:rPr>
                <w:rFonts w:cs="Arial"/>
                <w:sz w:val="22"/>
                <w:szCs w:val="22"/>
              </w:rPr>
            </w:pPr>
            <w:r>
              <w:rPr>
                <w:rFonts w:hint="eastAsia" w:cs="Arial"/>
                <w:sz w:val="22"/>
                <w:szCs w:val="22"/>
              </w:rPr>
              <w:t xml:space="preserve">  </w:t>
            </w:r>
            <w:r>
              <w:rPr>
                <w:rFonts w:hint="eastAsia" w:eastAsia="宋体" w:cs="Arial"/>
                <w:sz w:val="22"/>
                <w:szCs w:val="22"/>
                <w:lang w:eastAsia="zh-CN"/>
              </w:rPr>
              <w:t>·</w:t>
            </w:r>
            <w:r>
              <w:rPr>
                <w:rFonts w:hint="eastAsia" w:cs="Arial"/>
                <w:sz w:val="22"/>
                <w:szCs w:val="22"/>
              </w:rPr>
              <w:t xml:space="preserve">I will also secure permissions from online platforms and relevant authorities (where necessary) to observe and collect data. </w:t>
            </w:r>
          </w:p>
          <w:p w14:paraId="0802AF82">
            <w:pPr>
              <w:rPr>
                <w:rFonts w:cs="Arial"/>
                <w:sz w:val="22"/>
                <w:szCs w:val="22"/>
              </w:rPr>
            </w:pPr>
            <w:r>
              <w:rPr>
                <w:rFonts w:hint="eastAsia" w:cs="Arial"/>
                <w:sz w:val="22"/>
                <w:szCs w:val="22"/>
              </w:rPr>
              <w:t xml:space="preserve">  </w:t>
            </w:r>
            <w:r>
              <w:rPr>
                <w:rFonts w:hint="eastAsia" w:eastAsia="宋体" w:cs="Arial"/>
                <w:sz w:val="22"/>
                <w:szCs w:val="22"/>
                <w:lang w:eastAsia="zh-CN"/>
              </w:rPr>
              <w:t>·</w:t>
            </w:r>
            <w:r>
              <w:rPr>
                <w:rFonts w:hint="eastAsia" w:cs="Arial"/>
                <w:sz w:val="22"/>
                <w:szCs w:val="22"/>
              </w:rPr>
              <w:t>Confidentiality: I will ensure all participants' identities remain confidential, and data will be anonymized where applicable.</w:t>
            </w:r>
          </w:p>
          <w:p w14:paraId="0802AF83">
            <w:pPr>
              <w:rPr>
                <w:rFonts w:cs="Arial"/>
                <w:sz w:val="22"/>
                <w:szCs w:val="22"/>
              </w:rPr>
            </w:pPr>
          </w:p>
          <w:p w14:paraId="0802AF84">
            <w:pPr>
              <w:rPr>
                <w:rFonts w:eastAsia="宋体" w:cs="Arial"/>
                <w:sz w:val="22"/>
                <w:szCs w:val="22"/>
                <w:lang w:eastAsia="zh-CN"/>
              </w:rPr>
            </w:pPr>
            <w:r>
              <w:rPr>
                <w:rFonts w:hint="eastAsia" w:cs="Arial"/>
                <w:sz w:val="22"/>
                <w:szCs w:val="22"/>
              </w:rPr>
              <w:t>5. Specialized Research Facilities</w:t>
            </w:r>
          </w:p>
          <w:p w14:paraId="0802AF85">
            <w:pPr>
              <w:rPr>
                <w:rFonts w:cs="Arial"/>
                <w:sz w:val="22"/>
                <w:szCs w:val="22"/>
              </w:rPr>
            </w:pPr>
          </w:p>
          <w:p w14:paraId="0802AF86">
            <w:pPr>
              <w:rPr>
                <w:rFonts w:cs="Arial"/>
                <w:sz w:val="22"/>
                <w:szCs w:val="22"/>
              </w:rPr>
            </w:pPr>
            <w:r>
              <w:rPr>
                <w:rFonts w:hint="eastAsia" w:cs="Arial"/>
                <w:sz w:val="22"/>
                <w:szCs w:val="22"/>
              </w:rPr>
              <w:t>Access to Digital Anthropology Research Institutes: Should the need arise, I will seek access to institutes specializing in digital anthropology and social media research, such as the Institute of Network Cultures or local research centres in China, which may offer additional resources and support for the study of digital subcultures.</w:t>
            </w:r>
          </w:p>
          <w:p w14:paraId="0802AF87">
            <w:pPr>
              <w:rPr>
                <w:rFonts w:cs="Arial"/>
                <w:sz w:val="22"/>
                <w:szCs w:val="22"/>
              </w:rPr>
            </w:pPr>
          </w:p>
          <w:p w14:paraId="0802AF88">
            <w:pPr>
              <w:rPr>
                <w:rFonts w:cs="Arial"/>
                <w:sz w:val="22"/>
                <w:szCs w:val="22"/>
              </w:rPr>
            </w:pPr>
            <w:r>
              <w:rPr>
                <w:rFonts w:hint="eastAsia" w:cs="Arial"/>
                <w:sz w:val="22"/>
                <w:szCs w:val="22"/>
              </w:rPr>
              <w:t>Conclusion</w:t>
            </w:r>
          </w:p>
          <w:p w14:paraId="0802AF89">
            <w:pPr>
              <w:rPr>
                <w:rFonts w:cs="Arial"/>
                <w:sz w:val="22"/>
                <w:szCs w:val="22"/>
              </w:rPr>
            </w:pPr>
          </w:p>
          <w:p w14:paraId="0802AF8A">
            <w:pPr>
              <w:rPr>
                <w:rFonts w:cs="Arial"/>
                <w:sz w:val="22"/>
                <w:szCs w:val="22"/>
              </w:rPr>
            </w:pPr>
            <w:r>
              <w:rPr>
                <w:rFonts w:hint="eastAsia" w:cs="Arial"/>
                <w:sz w:val="22"/>
                <w:szCs w:val="22"/>
              </w:rPr>
              <w:t>With access to these essential facilities and resources, I am confident that I will have the necessary tools to conduct a thorough investigation into Core Suffix Aesthetics. My planned fieldwork and use of specialist IT tools, coupled with access to key social media platforms and archival resources, will ensure a comprehensive and multi-dimensional approach to my research. Permissions and ethical protocols will be carefully observed throughout the research process to maintain the integrity and ethical standards of the study.</w:t>
            </w:r>
          </w:p>
          <w:p w14:paraId="0802AF8B">
            <w:pPr>
              <w:rPr>
                <w:rFonts w:cs="Arial"/>
                <w:sz w:val="22"/>
                <w:szCs w:val="22"/>
              </w:rPr>
            </w:pPr>
          </w:p>
          <w:p w14:paraId="0802AF8C">
            <w:pPr>
              <w:rPr>
                <w:rFonts w:cs="Arial"/>
                <w:sz w:val="22"/>
                <w:szCs w:val="22"/>
              </w:rPr>
            </w:pPr>
          </w:p>
          <w:p w14:paraId="0802AF8D">
            <w:pPr>
              <w:rPr>
                <w:rFonts w:cs="Arial"/>
                <w:sz w:val="22"/>
                <w:szCs w:val="22"/>
              </w:rPr>
            </w:pPr>
          </w:p>
          <w:p w14:paraId="0802AF8E">
            <w:pPr>
              <w:rPr>
                <w:rFonts w:cs="Arial"/>
                <w:sz w:val="22"/>
                <w:szCs w:val="22"/>
              </w:rPr>
            </w:pPr>
          </w:p>
          <w:p w14:paraId="49BB6B21">
            <w:pPr>
              <w:rPr>
                <w:rFonts w:cs="Arial"/>
                <w:sz w:val="22"/>
                <w:szCs w:val="22"/>
              </w:rPr>
            </w:pPr>
          </w:p>
          <w:p w14:paraId="0802AF8F">
            <w:pPr>
              <w:rPr>
                <w:rFonts w:cs="Arial"/>
                <w:sz w:val="22"/>
                <w:szCs w:val="22"/>
              </w:rPr>
            </w:pPr>
          </w:p>
          <w:p w14:paraId="0802AF90">
            <w:pPr>
              <w:rPr>
                <w:rFonts w:cs="Arial"/>
                <w:sz w:val="22"/>
                <w:szCs w:val="22"/>
              </w:rPr>
            </w:pPr>
          </w:p>
        </w:tc>
      </w:tr>
    </w:tbl>
    <w:p w14:paraId="0802AF92">
      <w:pPr>
        <w:rPr>
          <w:rFonts w:cs="Arial"/>
          <w:sz w:val="22"/>
          <w:szCs w:val="22"/>
        </w:rPr>
      </w:pPr>
    </w:p>
    <w:p w14:paraId="0802AF93">
      <w:pPr>
        <w:rPr>
          <w:rFonts w:cs="Arial"/>
          <w:sz w:val="22"/>
          <w:szCs w:val="22"/>
        </w:rPr>
      </w:pPr>
    </w:p>
    <w:p w14:paraId="0802AF94">
      <w:pPr>
        <w:rPr>
          <w:rFonts w:cs="Arial"/>
          <w:sz w:val="22"/>
          <w:szCs w:val="22"/>
        </w:rPr>
      </w:pPr>
    </w:p>
    <w:p w14:paraId="0802AF95">
      <w:pPr>
        <w:rPr>
          <w:rFonts w:cs="Arial"/>
          <w:b/>
          <w:sz w:val="22"/>
          <w:szCs w:val="22"/>
        </w:rPr>
      </w:pPr>
      <w:r>
        <w:rPr>
          <w:rFonts w:cs="Arial"/>
          <w:b/>
          <w:sz w:val="22"/>
          <w:szCs w:val="22"/>
        </w:rPr>
        <w:t>Intellectual Property IP</w:t>
      </w:r>
    </w:p>
    <w:p w14:paraId="0802AF96">
      <w:pPr>
        <w:rPr>
          <w:rFonts w:cs="Arial"/>
          <w:b/>
          <w:sz w:val="22"/>
          <w:szCs w:val="22"/>
        </w:rPr>
      </w:pPr>
      <w:r>
        <w:rPr>
          <w:sz w:val="22"/>
        </w:rPr>
        <w:t>It is anticipated that Intellectual Property (IP) will be produced as a result of this research.</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6"/>
        <w:gridCol w:w="1418"/>
        <w:gridCol w:w="1417"/>
      </w:tblGrid>
      <w:tr w14:paraId="0802A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781" w:type="dxa"/>
            <w:gridSpan w:val="3"/>
            <w:tcBorders>
              <w:top w:val="nil"/>
              <w:left w:val="nil"/>
              <w:bottom w:val="nil"/>
              <w:right w:val="nil"/>
            </w:tcBorders>
            <w:shd w:val="clear" w:color="auto" w:fill="auto"/>
          </w:tcPr>
          <w:p w14:paraId="0802AF97">
            <w:pPr>
              <w:jc w:val="right"/>
              <w:rPr>
                <w:rFonts w:cs="Arial"/>
                <w:b/>
              </w:rPr>
            </w:pPr>
            <w:r>
              <w:rPr>
                <w:rFonts w:cs="Arial"/>
                <w:b/>
              </w:rPr>
              <w:t xml:space="preserve">Tick </w:t>
            </w:r>
            <w:r>
              <w:rPr>
                <w:rFonts w:ascii="Agency FB" w:hAnsi="Agency FB" w:cs="Arial"/>
                <w:b/>
              </w:rPr>
              <w:t>√</w:t>
            </w:r>
          </w:p>
        </w:tc>
      </w:tr>
      <w:tr w14:paraId="0802A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0802AF99">
            <w:pPr>
              <w:rPr>
                <w:rFonts w:cs="Arial"/>
                <w:sz w:val="22"/>
                <w:szCs w:val="22"/>
              </w:rPr>
            </w:pPr>
          </w:p>
        </w:tc>
        <w:tc>
          <w:tcPr>
            <w:tcW w:w="1418" w:type="dxa"/>
            <w:tcBorders>
              <w:top w:val="single" w:color="auto" w:sz="4" w:space="0"/>
              <w:left w:val="single" w:color="auto" w:sz="4" w:space="0"/>
            </w:tcBorders>
            <w:shd w:val="clear" w:color="auto" w:fill="F1F1F1" w:themeFill="background1" w:themeFillShade="F2"/>
          </w:tcPr>
          <w:p w14:paraId="0802AF9A">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0802AF9B">
            <w:pPr>
              <w:rPr>
                <w:rFonts w:cs="Arial"/>
                <w:sz w:val="22"/>
                <w:szCs w:val="22"/>
              </w:rPr>
            </w:pPr>
            <w:r>
              <w:rPr>
                <w:rFonts w:cs="Arial"/>
                <w:sz w:val="22"/>
                <w:szCs w:val="22"/>
              </w:rPr>
              <w:t>NO</w:t>
            </w:r>
          </w:p>
        </w:tc>
      </w:tr>
      <w:tr w14:paraId="0802A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single" w:color="auto" w:sz="4" w:space="0"/>
            </w:tcBorders>
            <w:shd w:val="clear" w:color="auto" w:fill="F1F1F1" w:themeFill="background1" w:themeFillShade="F2"/>
          </w:tcPr>
          <w:p w14:paraId="0802AF9D">
            <w:pPr>
              <w:rPr>
                <w:rFonts w:cs="Arial"/>
                <w:sz w:val="22"/>
                <w:szCs w:val="22"/>
              </w:rPr>
            </w:pPr>
            <w:r>
              <w:rPr>
                <w:sz w:val="22"/>
              </w:rPr>
              <w:t>Is the IP already subject to a separate agreement with a third party (e.g. employer, sponsor or external funder)? If so please provide details below</w:t>
            </w:r>
          </w:p>
        </w:tc>
        <w:sdt>
          <w:sdtPr>
            <w:rPr>
              <w:rFonts w:cs="Arial"/>
              <w:sz w:val="22"/>
              <w:szCs w:val="22"/>
            </w:rPr>
            <w:id w:val="1557745169"/>
            <w14:checkbox>
              <w14:checked w14:val="1"/>
              <w14:checkedState w14:val="2612" w14:font="MS Gothic"/>
              <w14:uncheckedState w14:val="2610" w14:font="MS Gothic"/>
            </w14:checkbox>
          </w:sdtPr>
          <w:sdtEndPr>
            <w:rPr>
              <w:rFonts w:cs="Arial"/>
              <w:sz w:val="22"/>
              <w:szCs w:val="22"/>
            </w:rPr>
          </w:sdtEndPr>
          <w:sdtContent>
            <w:tc>
              <w:tcPr>
                <w:tcW w:w="1418" w:type="dxa"/>
                <w:tcBorders>
                  <w:top w:val="single" w:color="auto" w:sz="4" w:space="0"/>
                </w:tcBorders>
                <w:shd w:val="clear" w:color="auto" w:fill="auto"/>
              </w:tcPr>
              <w:p w14:paraId="0802AF9E">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678392512"/>
            <w14:checkbox>
              <w14:checked w14:val="0"/>
              <w14:checkedState w14:val="2612" w14:font="MS Gothic"/>
              <w14:uncheckedState w14:val="2610" w14:font="MS Gothic"/>
            </w14:checkbox>
          </w:sdtPr>
          <w:sdtEndPr>
            <w:rPr>
              <w:rFonts w:cs="Arial"/>
              <w:sz w:val="22"/>
              <w:szCs w:val="22"/>
            </w:rPr>
          </w:sdtEndPr>
          <w:sdtContent>
            <w:tc>
              <w:tcPr>
                <w:tcW w:w="1417" w:type="dxa"/>
                <w:tcBorders>
                  <w:top w:val="single" w:color="auto" w:sz="4" w:space="0"/>
                </w:tcBorders>
                <w:shd w:val="clear" w:color="auto" w:fill="auto"/>
              </w:tcPr>
              <w:p w14:paraId="0802AF9F">
                <w:pPr>
                  <w:jc w:val="center"/>
                  <w:rPr>
                    <w:rFonts w:cs="Arial"/>
                    <w:sz w:val="22"/>
                    <w:szCs w:val="22"/>
                  </w:rPr>
                </w:pPr>
                <w:r>
                  <w:rPr>
                    <w:rFonts w:ascii="MS Gothic" w:hAnsi="MS Gothic" w:eastAsia="MS Gothic" w:cs="Arial"/>
                    <w:sz w:val="22"/>
                    <w:szCs w:val="22"/>
                  </w:rPr>
                  <w:t>☐</w:t>
                </w:r>
              </w:p>
            </w:tc>
          </w:sdtContent>
        </w:sdt>
      </w:tr>
      <w:tr w14:paraId="0802A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6946" w:type="dxa"/>
            <w:shd w:val="clear" w:color="auto" w:fill="F1F1F1" w:themeFill="background1" w:themeFillShade="F2"/>
          </w:tcPr>
          <w:p w14:paraId="0802AFA1">
            <w:pPr>
              <w:rPr>
                <w:sz w:val="22"/>
              </w:rPr>
            </w:pPr>
            <w:r>
              <w:rPr>
                <w:sz w:val="22"/>
              </w:rPr>
              <w:t xml:space="preserve">Is the research dependent upon background IP owned by: </w:t>
            </w:r>
          </w:p>
          <w:p w14:paraId="0802AFA2">
            <w:pPr>
              <w:rPr>
                <w:rFonts w:cs="Arial"/>
                <w:sz w:val="22"/>
                <w:szCs w:val="22"/>
              </w:rPr>
            </w:pPr>
            <w:r>
              <w:rPr>
                <w:sz w:val="22"/>
              </w:rPr>
              <w:t>If so, please provide details below</w:t>
            </w:r>
          </w:p>
        </w:tc>
        <w:tc>
          <w:tcPr>
            <w:tcW w:w="1418" w:type="dxa"/>
            <w:shd w:val="clear" w:color="auto" w:fill="auto"/>
          </w:tcPr>
          <w:p w14:paraId="0802AFA3">
            <w:pPr>
              <w:jc w:val="center"/>
              <w:rPr>
                <w:sz w:val="22"/>
              </w:rPr>
            </w:pPr>
            <w:r>
              <w:rPr>
                <w:sz w:val="22"/>
              </w:rPr>
              <w:t>UWTSD</w:t>
            </w:r>
          </w:p>
          <w:sdt>
            <w:sdtPr>
              <w:rPr>
                <w:rFonts w:cs="Arial"/>
                <w:sz w:val="22"/>
                <w:szCs w:val="22"/>
              </w:rPr>
              <w:id w:val="123590131"/>
              <w14:checkbox>
                <w14:checked w14:val="1"/>
                <w14:checkedState w14:val="2612" w14:font="MS Gothic"/>
                <w14:uncheckedState w14:val="2610" w14:font="MS Gothic"/>
              </w14:checkbox>
            </w:sdtPr>
            <w:sdtEndPr>
              <w:rPr>
                <w:rFonts w:cs="Arial"/>
                <w:sz w:val="22"/>
                <w:szCs w:val="22"/>
              </w:rPr>
            </w:sdtEndPr>
            <w:sdtContent>
              <w:p w14:paraId="0802AFA4">
                <w:pPr>
                  <w:jc w:val="center"/>
                  <w:rPr>
                    <w:rFonts w:cs="Arial"/>
                    <w:sz w:val="22"/>
                    <w:szCs w:val="22"/>
                  </w:rPr>
                </w:pPr>
                <w:r>
                  <w:rPr>
                    <w:rFonts w:ascii="MS Gothic" w:hAnsi="MS Gothic" w:eastAsia="MS Gothic" w:cs="Arial"/>
                    <w:sz w:val="22"/>
                    <w:szCs w:val="22"/>
                  </w:rPr>
                  <w:t>☒</w:t>
                </w:r>
              </w:p>
            </w:sdtContent>
          </w:sdt>
        </w:tc>
        <w:tc>
          <w:tcPr>
            <w:tcW w:w="1417" w:type="dxa"/>
            <w:shd w:val="clear" w:color="auto" w:fill="auto"/>
          </w:tcPr>
          <w:p w14:paraId="0802AFA5">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rPr>
                <w:rFonts w:cs="Arial"/>
                <w:sz w:val="22"/>
                <w:szCs w:val="22"/>
              </w:rPr>
            </w:sdtEndPr>
            <w:sdtContent>
              <w:p w14:paraId="0802AFA6">
                <w:pPr>
                  <w:jc w:val="center"/>
                  <w:rPr>
                    <w:rFonts w:cs="Arial"/>
                    <w:sz w:val="22"/>
                    <w:szCs w:val="22"/>
                  </w:rPr>
                </w:pPr>
                <w:r>
                  <w:rPr>
                    <w:rFonts w:ascii="MS Gothic" w:hAnsi="MS Gothic" w:eastAsia="MS Gothic" w:cs="Arial"/>
                    <w:sz w:val="22"/>
                    <w:szCs w:val="22"/>
                  </w:rPr>
                  <w:t>☐</w:t>
                </w:r>
              </w:p>
            </w:sdtContent>
          </w:sdt>
        </w:tc>
      </w:tr>
      <w:tr w14:paraId="0802A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781" w:type="dxa"/>
            <w:gridSpan w:val="3"/>
            <w:shd w:val="clear" w:color="auto" w:fill="auto"/>
          </w:tcPr>
          <w:p w14:paraId="0802AFA8">
            <w:pPr>
              <w:rPr>
                <w:i/>
                <w:sz w:val="18"/>
                <w:szCs w:val="18"/>
              </w:rPr>
            </w:pPr>
            <w:r>
              <w:rPr>
                <w:i/>
                <w:sz w:val="18"/>
                <w:szCs w:val="18"/>
              </w:rPr>
              <w:t>Text box will expand</w:t>
            </w:r>
          </w:p>
          <w:p w14:paraId="0802AFA9">
            <w:pPr>
              <w:rPr>
                <w:sz w:val="18"/>
                <w:szCs w:val="18"/>
              </w:rPr>
            </w:pPr>
          </w:p>
          <w:p w14:paraId="0802AFAA">
            <w:pPr>
              <w:rPr>
                <w:sz w:val="18"/>
                <w:szCs w:val="18"/>
              </w:rPr>
            </w:pPr>
          </w:p>
          <w:p w14:paraId="0802AFAB">
            <w:pPr>
              <w:rPr>
                <w:sz w:val="18"/>
                <w:szCs w:val="18"/>
              </w:rPr>
            </w:pPr>
          </w:p>
        </w:tc>
      </w:tr>
      <w:tr w14:paraId="0802A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781" w:type="dxa"/>
            <w:gridSpan w:val="3"/>
            <w:tcBorders>
              <w:top w:val="nil"/>
              <w:left w:val="nil"/>
              <w:bottom w:val="nil"/>
              <w:right w:val="nil"/>
            </w:tcBorders>
            <w:shd w:val="clear" w:color="auto" w:fill="auto"/>
          </w:tcPr>
          <w:p w14:paraId="0802AFAD">
            <w:pPr>
              <w:jc w:val="right"/>
              <w:rPr>
                <w:rFonts w:cs="Arial"/>
                <w:b/>
              </w:rPr>
            </w:pPr>
            <w:r>
              <w:rPr>
                <w:rFonts w:cs="Arial"/>
                <w:b/>
              </w:rPr>
              <w:t xml:space="preserve">Tick </w:t>
            </w:r>
            <w:r>
              <w:rPr>
                <w:rFonts w:ascii="Agency FB" w:hAnsi="Agency FB" w:cs="Arial"/>
                <w:b/>
              </w:rPr>
              <w:t>√</w:t>
            </w:r>
          </w:p>
        </w:tc>
      </w:tr>
      <w:tr w14:paraId="0802A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0802AFAF">
            <w:pPr>
              <w:rPr>
                <w:rFonts w:cs="Arial"/>
                <w:sz w:val="22"/>
                <w:szCs w:val="22"/>
              </w:rPr>
            </w:pPr>
            <w:r>
              <w:rPr>
                <w:rFonts w:cs="Arial"/>
                <w:sz w:val="22"/>
                <w:szCs w:val="22"/>
              </w:rPr>
              <w:t>I understand that:</w:t>
            </w:r>
          </w:p>
        </w:tc>
        <w:tc>
          <w:tcPr>
            <w:tcW w:w="1418" w:type="dxa"/>
            <w:tcBorders>
              <w:top w:val="single" w:color="auto" w:sz="4" w:space="0"/>
              <w:left w:val="single" w:color="auto" w:sz="4" w:space="0"/>
            </w:tcBorders>
            <w:shd w:val="clear" w:color="auto" w:fill="F1F1F1" w:themeFill="background1" w:themeFillShade="F2"/>
          </w:tcPr>
          <w:p w14:paraId="0802AFB0">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0802AFB1">
            <w:pPr>
              <w:rPr>
                <w:rFonts w:cs="Arial"/>
                <w:sz w:val="22"/>
                <w:szCs w:val="22"/>
              </w:rPr>
            </w:pPr>
            <w:r>
              <w:rPr>
                <w:rFonts w:cs="Arial"/>
                <w:sz w:val="22"/>
                <w:szCs w:val="22"/>
              </w:rPr>
              <w:t>NO</w:t>
            </w:r>
          </w:p>
        </w:tc>
      </w:tr>
      <w:tr w14:paraId="0802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946" w:type="dxa"/>
            <w:shd w:val="clear" w:color="auto" w:fill="F1F1F1" w:themeFill="background1" w:themeFillShade="F2"/>
          </w:tcPr>
          <w:p w14:paraId="0802AFB3">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0802AFB4">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EndPr>
            <w:rPr>
              <w:rFonts w:cs="Arial"/>
              <w:sz w:val="22"/>
              <w:szCs w:val="22"/>
            </w:rPr>
          </w:sdtEndPr>
          <w:sdtContent>
            <w:tc>
              <w:tcPr>
                <w:tcW w:w="1418" w:type="dxa"/>
                <w:shd w:val="clear" w:color="auto" w:fill="auto"/>
              </w:tcPr>
              <w:p w14:paraId="0802AFB5">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44885060"/>
            <w14:checkbox>
              <w14:checked w14:val="0"/>
              <w14:checkedState w14:val="2612" w14:font="MS Gothic"/>
              <w14:uncheckedState w14:val="2610" w14:font="MS Gothic"/>
            </w14:checkbox>
          </w:sdtPr>
          <w:sdtEndPr>
            <w:rPr>
              <w:rFonts w:cs="Arial"/>
              <w:sz w:val="22"/>
              <w:szCs w:val="22"/>
            </w:rPr>
          </w:sdtEndPr>
          <w:sdtContent>
            <w:tc>
              <w:tcPr>
                <w:tcW w:w="1417" w:type="dxa"/>
                <w:shd w:val="clear" w:color="auto" w:fill="auto"/>
              </w:tcPr>
              <w:p w14:paraId="0802AFB6">
                <w:pPr>
                  <w:jc w:val="center"/>
                  <w:rPr>
                    <w:rFonts w:cs="Arial"/>
                    <w:sz w:val="22"/>
                    <w:szCs w:val="22"/>
                  </w:rPr>
                </w:pPr>
                <w:r>
                  <w:rPr>
                    <w:rFonts w:ascii="MS Gothic" w:hAnsi="MS Gothic" w:eastAsia="MS Gothic" w:cs="Arial"/>
                    <w:sz w:val="22"/>
                    <w:szCs w:val="22"/>
                  </w:rPr>
                  <w:t>☐</w:t>
                </w:r>
              </w:p>
            </w:tc>
          </w:sdtContent>
        </w:sdt>
      </w:tr>
      <w:tr w14:paraId="0802A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6946" w:type="dxa"/>
            <w:shd w:val="clear" w:color="auto" w:fill="F1F1F1" w:themeFill="background1" w:themeFillShade="F2"/>
          </w:tcPr>
          <w:p w14:paraId="0802AFB8">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r>
              <w:fldChar w:fldCharType="begin"/>
            </w:r>
            <w:r>
              <w:instrText xml:space="preserve"> HYPERLINK "https://www.uwtsd.ac.uk/iiced/protecting-innovation-and-creativity---intellectual-property/" </w:instrText>
            </w:r>
            <w:r>
              <w:fldChar w:fldCharType="separate"/>
            </w:r>
            <w:r>
              <w:rPr>
                <w:rStyle w:val="18"/>
              </w:rPr>
              <w:t>https://www.uwtsd.ac.uk/iiced/protecting-innovation-and-creativity---intellectual-property/</w:t>
            </w:r>
            <w:r>
              <w:rPr>
                <w:rStyle w:val="18"/>
              </w:rPr>
              <w:fldChar w:fldCharType="end"/>
            </w:r>
          </w:p>
          <w:p w14:paraId="0802AFB9">
            <w:pPr>
              <w:rPr>
                <w:rFonts w:ascii="Calibri" w:hAnsi="Calibri"/>
              </w:rPr>
            </w:pPr>
          </w:p>
        </w:tc>
        <w:tc>
          <w:tcPr>
            <w:tcW w:w="1418" w:type="dxa"/>
            <w:shd w:val="clear" w:color="auto" w:fill="auto"/>
          </w:tcPr>
          <w:p w14:paraId="0802AFBA">
            <w:pPr>
              <w:jc w:val="center"/>
              <w:rPr>
                <w:rFonts w:cs="Arial"/>
                <w:sz w:val="22"/>
                <w:szCs w:val="22"/>
              </w:rPr>
            </w:pPr>
            <w:sdt>
              <w:sdtPr>
                <w:rPr>
                  <w:rFonts w:cs="Arial"/>
                  <w:sz w:val="22"/>
                  <w:szCs w:val="22"/>
                </w:rPr>
                <w:id w:val="1199513403"/>
                <w14:checkbox>
                  <w14:checked w14:val="1"/>
                  <w14:checkedState w14:val="2612" w14:font="MS Gothic"/>
                  <w14:uncheckedState w14:val="2610" w14:font="MS Gothic"/>
                </w14:checkbox>
              </w:sdtPr>
              <w:sdtEndPr>
                <w:rPr>
                  <w:rFonts w:cs="Arial"/>
                  <w:sz w:val="22"/>
                  <w:szCs w:val="22"/>
                </w:rPr>
              </w:sdtEndPr>
              <w:sdtContent>
                <w:r>
                  <w:rPr>
                    <w:rFonts w:hint="eastAsia" w:ascii="MS Gothic" w:hAnsi="MS Gothic" w:eastAsia="MS Gothic" w:cs="Arial"/>
                    <w:sz w:val="22"/>
                    <w:szCs w:val="22"/>
                  </w:rPr>
                  <w:t>☒</w:t>
                </w:r>
              </w:sdtContent>
            </w:sdt>
          </w:p>
        </w:tc>
        <w:tc>
          <w:tcPr>
            <w:tcW w:w="1417" w:type="dxa"/>
            <w:shd w:val="clear" w:color="auto" w:fill="auto"/>
          </w:tcPr>
          <w:p w14:paraId="0802AFBB">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r>
    </w:tbl>
    <w:p w14:paraId="0802AFBD">
      <w:pPr>
        <w:rPr>
          <w:rFonts w:cs="Arial"/>
          <w:sz w:val="22"/>
          <w:szCs w:val="22"/>
        </w:rPr>
      </w:pPr>
    </w:p>
    <w:tbl>
      <w:tblPr>
        <w:tblStyle w:val="14"/>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47"/>
      </w:tblGrid>
      <w:tr w14:paraId="0802A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747" w:type="dxa"/>
          </w:tcPr>
          <w:p w14:paraId="0802AFBE">
            <w:pPr>
              <w:rPr>
                <w:rFonts w:cs="Arial"/>
                <w:sz w:val="22"/>
                <w:szCs w:val="22"/>
              </w:rPr>
            </w:pPr>
          </w:p>
          <w:p w14:paraId="0802AFBF">
            <w:pPr>
              <w:rPr>
                <w:rFonts w:cs="Arial"/>
                <w:b/>
                <w:sz w:val="22"/>
                <w:szCs w:val="22"/>
              </w:rPr>
            </w:pPr>
            <w:r>
              <w:rPr>
                <w:rFonts w:cs="Arial"/>
                <w:b/>
                <w:sz w:val="22"/>
                <w:szCs w:val="22"/>
              </w:rPr>
              <w:t>Student Signature</w:t>
            </w:r>
          </w:p>
          <w:p w14:paraId="0802AFC0">
            <w:pPr>
              <w:rPr>
                <w:rFonts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6"/>
              <w:gridCol w:w="6052"/>
              <w:gridCol w:w="1413"/>
            </w:tblGrid>
            <w:tr w14:paraId="0802A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4" w:type="dxa"/>
                  <w:shd w:val="clear" w:color="auto" w:fill="F1F1F1" w:themeFill="background1" w:themeFillShade="F2"/>
                </w:tcPr>
                <w:p w14:paraId="0802AFC1">
                  <w:pPr>
                    <w:rPr>
                      <w:rFonts w:cs="Arial"/>
                      <w:sz w:val="22"/>
                      <w:szCs w:val="22"/>
                    </w:rPr>
                  </w:pPr>
                </w:p>
                <w:p w14:paraId="0802AFC2">
                  <w:pPr>
                    <w:rPr>
                      <w:rFonts w:cs="Arial"/>
                      <w:sz w:val="22"/>
                      <w:szCs w:val="22"/>
                    </w:rPr>
                  </w:pPr>
                  <w:r>
                    <w:rPr>
                      <w:rFonts w:cs="Arial"/>
                      <w:sz w:val="22"/>
                      <w:szCs w:val="22"/>
                    </w:rPr>
                    <w:t>Signature or Print Name:</w:t>
                  </w:r>
                </w:p>
                <w:p w14:paraId="0802AFC3">
                  <w:pPr>
                    <w:rPr>
                      <w:rFonts w:cs="Arial"/>
                      <w:sz w:val="22"/>
                      <w:szCs w:val="22"/>
                    </w:rPr>
                  </w:pPr>
                </w:p>
              </w:tc>
              <w:tc>
                <w:tcPr>
                  <w:tcW w:w="6265" w:type="dxa"/>
                </w:tcPr>
                <w:p w14:paraId="0802AFC4">
                  <w:pPr>
                    <w:rPr>
                      <w:rFonts w:hint="default" w:eastAsia="宋体" w:cs="Arial"/>
                      <w:sz w:val="22"/>
                      <w:szCs w:val="22"/>
                      <w:lang w:val="en-US" w:eastAsia="zh-CN"/>
                    </w:rPr>
                  </w:pPr>
                  <w:r>
                    <w:rPr>
                      <w:rFonts w:hint="eastAsia" w:eastAsia="宋体" w:cs="Arial"/>
                      <w:sz w:val="22"/>
                      <w:szCs w:val="22"/>
                      <w:lang w:val="en-US" w:eastAsia="zh-CN"/>
                    </w:rPr>
                    <w:t>Guobin Su</w:t>
                  </w:r>
                </w:p>
              </w:tc>
              <w:tc>
                <w:tcPr>
                  <w:tcW w:w="1417" w:type="dxa"/>
                </w:tcPr>
                <w:p w14:paraId="0802AFC5">
                  <w:pPr>
                    <w:rPr>
                      <w:rFonts w:hint="default" w:eastAsia="宋体" w:cs="Arial"/>
                      <w:sz w:val="22"/>
                      <w:szCs w:val="22"/>
                      <w:lang w:val="en-US" w:eastAsia="zh-CN"/>
                    </w:rPr>
                  </w:pPr>
                  <w:r>
                    <w:rPr>
                      <w:rFonts w:cs="Arial"/>
                      <w:sz w:val="22"/>
                      <w:szCs w:val="22"/>
                    </w:rPr>
                    <w:t>Date:</w:t>
                  </w:r>
                  <w:r>
                    <w:rPr>
                      <w:rFonts w:hint="eastAsia" w:eastAsia="宋体" w:cs="Arial"/>
                      <w:sz w:val="22"/>
                      <w:szCs w:val="22"/>
                      <w:lang w:val="en-US" w:eastAsia="zh-CN"/>
                    </w:rPr>
                    <w:t>2024-12-26</w:t>
                  </w:r>
                </w:p>
              </w:tc>
            </w:tr>
          </w:tbl>
          <w:p w14:paraId="0802AFC7">
            <w:pPr>
              <w:rPr>
                <w:rFonts w:cs="Arial"/>
                <w:sz w:val="22"/>
                <w:szCs w:val="22"/>
              </w:rPr>
            </w:pPr>
          </w:p>
          <w:p w14:paraId="0802AFC8">
            <w:pPr>
              <w:rPr>
                <w:rFonts w:cs="Arial"/>
                <w:sz w:val="22"/>
                <w:szCs w:val="22"/>
              </w:rPr>
            </w:pPr>
          </w:p>
        </w:tc>
      </w:tr>
    </w:tbl>
    <w:p w14:paraId="0802AFCA">
      <w:pPr>
        <w:rPr>
          <w:rFonts w:cs="Arial"/>
          <w:sz w:val="22"/>
          <w:szCs w:val="22"/>
        </w:rPr>
      </w:pPr>
    </w:p>
    <w:p w14:paraId="0802AFCB">
      <w:pPr>
        <w:rPr>
          <w:rFonts w:cs="Arial"/>
          <w:sz w:val="22"/>
          <w:szCs w:val="22"/>
        </w:rPr>
      </w:pPr>
      <w:r>
        <w:rPr>
          <w:rFonts w:cs="Arial"/>
          <w:sz w:val="22"/>
          <w:szCs w:val="22"/>
        </w:rPr>
        <w:br w:type="page"/>
      </w:r>
    </w:p>
    <w:p w14:paraId="0802AFCC">
      <w:pPr>
        <w:rPr>
          <w:rFonts w:cs="Arial"/>
          <w:sz w:val="22"/>
          <w:szCs w:val="22"/>
        </w:rPr>
      </w:pPr>
    </w:p>
    <w:p w14:paraId="0802AFCD">
      <w:pPr>
        <w:rPr>
          <w:rFonts w:cs="Arial"/>
          <w:sz w:val="22"/>
          <w:szCs w:val="22"/>
        </w:rPr>
      </w:pPr>
    </w:p>
    <w:p w14:paraId="0802AFCE">
      <w:pPr>
        <w:ind w:left="-142"/>
        <w:rPr>
          <w:rFonts w:cs="Arial"/>
          <w:sz w:val="22"/>
          <w:szCs w:val="22"/>
        </w:rPr>
      </w:pPr>
      <w:r>
        <w:rPr>
          <w:rFonts w:cs="Arial"/>
          <w:b/>
          <w:bCs/>
          <w:sz w:val="22"/>
          <w:szCs w:val="22"/>
        </w:rPr>
        <w:t>Supervisory Team</w:t>
      </w:r>
    </w:p>
    <w:p w14:paraId="0802AFCF">
      <w:pPr>
        <w:rPr>
          <w:rFonts w:cs="Arial"/>
          <w:sz w:val="22"/>
          <w:szCs w:val="22"/>
        </w:rPr>
      </w:pPr>
    </w:p>
    <w:p w14:paraId="0802AFD0">
      <w:pPr>
        <w:ind w:left="180"/>
        <w:rPr>
          <w:rFonts w:cs="Arial"/>
          <w:b/>
          <w:sz w:val="22"/>
          <w:szCs w:val="22"/>
        </w:rPr>
      </w:pPr>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7"/>
      </w:tblGrid>
      <w:tr w14:paraId="0802A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shd w:val="clear" w:color="auto" w:fill="F1F1F1" w:themeFill="background1" w:themeFillShade="F2"/>
          </w:tcPr>
          <w:p w14:paraId="0802AFD1">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14:paraId="0802A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7" w:type="dxa"/>
          </w:tcPr>
          <w:p w14:paraId="0802AFD3">
            <w:pPr>
              <w:rPr>
                <w:rFonts w:cs="Arial"/>
                <w:b/>
                <w:sz w:val="22"/>
                <w:szCs w:val="22"/>
              </w:rPr>
            </w:pPr>
          </w:p>
          <w:p w14:paraId="0802AFD4">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Arial"/>
                    <w:b/>
                    <w:sz w:val="22"/>
                    <w:szCs w:val="22"/>
                  </w:rPr>
                  <w:t>☐</w:t>
                </w:r>
              </w:sdtContent>
            </w:sdt>
            <w:r>
              <w:rPr>
                <w:rFonts w:cs="Arial"/>
                <w:b/>
                <w:sz w:val="22"/>
                <w:szCs w:val="22"/>
              </w:rPr>
              <w:t xml:space="preserve">                                                     Not Supported:  </w:t>
            </w:r>
            <w:sdt>
              <w:sdtPr>
                <w:rPr>
                  <w:rFonts w:cs="Arial"/>
                  <w:b/>
                  <w:sz w:val="22"/>
                  <w:szCs w:val="22"/>
                </w:rPr>
                <w:id w:val="1693492707"/>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MS Gothic"/>
                    <w:b/>
                    <w:sz w:val="22"/>
                    <w:szCs w:val="22"/>
                  </w:rPr>
                  <w:t>☐</w:t>
                </w:r>
              </w:sdtContent>
            </w:sdt>
          </w:p>
          <w:p w14:paraId="0802AFD5">
            <w:pPr>
              <w:rPr>
                <w:rFonts w:cs="Arial"/>
                <w:b/>
                <w:sz w:val="22"/>
                <w:szCs w:val="22"/>
              </w:rPr>
            </w:pPr>
          </w:p>
          <w:p w14:paraId="0802AFD6">
            <w:pPr>
              <w:rPr>
                <w:rFonts w:cs="Arial"/>
                <w:b/>
                <w:sz w:val="22"/>
                <w:szCs w:val="22"/>
              </w:rPr>
            </w:pPr>
          </w:p>
        </w:tc>
      </w:tr>
    </w:tbl>
    <w:p w14:paraId="0802AFD8">
      <w:pPr>
        <w:rPr>
          <w:rFonts w:cs="Arial"/>
          <w:sz w:val="22"/>
          <w:szCs w:val="22"/>
        </w:rPr>
      </w:pPr>
    </w:p>
    <w:p w14:paraId="0802AFD9">
      <w:pPr>
        <w:rPr>
          <w:rFonts w:cs="Arial"/>
          <w:b/>
          <w:sz w:val="22"/>
          <w:szCs w:val="22"/>
        </w:rPr>
      </w:pPr>
      <w:r>
        <w:rPr>
          <w:rFonts w:cs="Arial"/>
          <w:b/>
          <w:sz w:val="22"/>
          <w:szCs w:val="22"/>
        </w:rPr>
        <w:t>Authorisation</w:t>
      </w:r>
    </w:p>
    <w:p w14:paraId="0802AFDA">
      <w:pPr>
        <w:rPr>
          <w:rFonts w:cs="Arial"/>
          <w:sz w:val="22"/>
          <w:szCs w:val="22"/>
        </w:rPr>
      </w:pPr>
    </w:p>
    <w:tbl>
      <w:tblPr>
        <w:tblStyle w:val="14"/>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5387"/>
        <w:gridCol w:w="1842"/>
      </w:tblGrid>
      <w:tr w14:paraId="0802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shd w:val="clear" w:color="auto" w:fill="F1F1F1" w:themeFill="background1" w:themeFillShade="F2"/>
          </w:tcPr>
          <w:p w14:paraId="0802AFDB">
            <w:pPr>
              <w:rPr>
                <w:rFonts w:cs="Arial"/>
                <w:sz w:val="22"/>
                <w:szCs w:val="22"/>
              </w:rPr>
            </w:pPr>
            <w:r>
              <w:rPr>
                <w:rFonts w:cs="Arial"/>
                <w:sz w:val="22"/>
                <w:szCs w:val="22"/>
              </w:rPr>
              <w:t>Director of Studies</w:t>
            </w:r>
          </w:p>
        </w:tc>
        <w:tc>
          <w:tcPr>
            <w:tcW w:w="5387" w:type="dxa"/>
          </w:tcPr>
          <w:p w14:paraId="0802AFDC">
            <w:pPr>
              <w:rPr>
                <w:rFonts w:cs="Arial"/>
                <w:sz w:val="22"/>
                <w:szCs w:val="22"/>
              </w:rPr>
            </w:pPr>
            <w:r>
              <w:rPr>
                <w:rFonts w:cs="Arial"/>
                <w:sz w:val="22"/>
                <w:szCs w:val="22"/>
              </w:rPr>
              <w:t>Signature or Print Name:</w:t>
            </w:r>
          </w:p>
          <w:p w14:paraId="0802AFDD">
            <w:pPr>
              <w:rPr>
                <w:rFonts w:cs="Arial"/>
                <w:sz w:val="22"/>
                <w:szCs w:val="22"/>
              </w:rPr>
            </w:pPr>
          </w:p>
          <w:p w14:paraId="0802AFDE">
            <w:pPr>
              <w:rPr>
                <w:rFonts w:cs="Arial"/>
                <w:sz w:val="22"/>
                <w:szCs w:val="22"/>
              </w:rPr>
            </w:pPr>
          </w:p>
          <w:p w14:paraId="0802AFDF">
            <w:pPr>
              <w:rPr>
                <w:rFonts w:cs="Arial"/>
                <w:sz w:val="22"/>
                <w:szCs w:val="22"/>
              </w:rPr>
            </w:pPr>
          </w:p>
        </w:tc>
        <w:tc>
          <w:tcPr>
            <w:tcW w:w="1842" w:type="dxa"/>
          </w:tcPr>
          <w:p w14:paraId="0802AFE0">
            <w:pPr>
              <w:rPr>
                <w:rFonts w:cs="Arial"/>
                <w:sz w:val="22"/>
                <w:szCs w:val="22"/>
              </w:rPr>
            </w:pPr>
            <w:r>
              <w:rPr>
                <w:rFonts w:cs="Arial"/>
                <w:sz w:val="22"/>
                <w:szCs w:val="22"/>
              </w:rPr>
              <w:t>Date:</w:t>
            </w:r>
          </w:p>
        </w:tc>
      </w:tr>
      <w:tr w14:paraId="0802A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shd w:val="clear" w:color="auto" w:fill="F1F1F1" w:themeFill="background1" w:themeFillShade="F2"/>
          </w:tcPr>
          <w:p w14:paraId="0802AFE2">
            <w:pPr>
              <w:rPr>
                <w:rFonts w:cs="Arial"/>
                <w:sz w:val="22"/>
                <w:szCs w:val="22"/>
              </w:rPr>
            </w:pPr>
            <w:r>
              <w:rPr>
                <w:rFonts w:cs="Arial"/>
                <w:sz w:val="22"/>
                <w:szCs w:val="22"/>
              </w:rPr>
              <w:t>Institute Manager of Research Degrees</w:t>
            </w:r>
          </w:p>
          <w:p w14:paraId="0802AFE3">
            <w:pPr>
              <w:rPr>
                <w:rFonts w:cs="Arial"/>
                <w:sz w:val="22"/>
                <w:szCs w:val="22"/>
              </w:rPr>
            </w:pPr>
          </w:p>
        </w:tc>
        <w:tc>
          <w:tcPr>
            <w:tcW w:w="5387" w:type="dxa"/>
          </w:tcPr>
          <w:p w14:paraId="0802AFE4">
            <w:pPr>
              <w:rPr>
                <w:rFonts w:cs="Arial"/>
                <w:sz w:val="22"/>
                <w:szCs w:val="22"/>
              </w:rPr>
            </w:pPr>
            <w:r>
              <w:rPr>
                <w:rFonts w:cs="Arial"/>
                <w:sz w:val="22"/>
                <w:szCs w:val="22"/>
              </w:rPr>
              <w:t>Signature or Print Name:</w:t>
            </w:r>
          </w:p>
          <w:p w14:paraId="0802AFE5">
            <w:pPr>
              <w:rPr>
                <w:rFonts w:cs="Arial"/>
                <w:sz w:val="22"/>
                <w:szCs w:val="22"/>
              </w:rPr>
            </w:pPr>
          </w:p>
          <w:p w14:paraId="0802AFE6">
            <w:pPr>
              <w:rPr>
                <w:rFonts w:cs="Arial"/>
                <w:sz w:val="22"/>
                <w:szCs w:val="22"/>
              </w:rPr>
            </w:pPr>
          </w:p>
          <w:p w14:paraId="0802AFE7">
            <w:pPr>
              <w:rPr>
                <w:rFonts w:cs="Arial"/>
                <w:sz w:val="22"/>
                <w:szCs w:val="22"/>
              </w:rPr>
            </w:pPr>
          </w:p>
        </w:tc>
        <w:tc>
          <w:tcPr>
            <w:tcW w:w="1842" w:type="dxa"/>
          </w:tcPr>
          <w:p w14:paraId="0802AFE8">
            <w:pPr>
              <w:rPr>
                <w:rFonts w:cs="Arial"/>
                <w:sz w:val="22"/>
                <w:szCs w:val="22"/>
              </w:rPr>
            </w:pPr>
            <w:r>
              <w:rPr>
                <w:rFonts w:cs="Arial"/>
                <w:sz w:val="22"/>
                <w:szCs w:val="22"/>
              </w:rPr>
              <w:t>Date:</w:t>
            </w:r>
          </w:p>
        </w:tc>
      </w:tr>
    </w:tbl>
    <w:p w14:paraId="0802AFEA">
      <w:pPr>
        <w:rPr>
          <w:rFonts w:cs="Arial"/>
          <w:sz w:val="22"/>
          <w:szCs w:val="22"/>
        </w:rPr>
      </w:pPr>
    </w:p>
    <w:sectPr>
      <w:headerReference r:id="rId3" w:type="default"/>
      <w:footerReference r:id="rId4" w:type="default"/>
      <w:pgSz w:w="11906" w:h="16838"/>
      <w:pgMar w:top="1440"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Agency FB">
    <w:altName w:val="DejaVu Math TeX Gyre"/>
    <w:panose1 w:val="020B0503020202020204"/>
    <w:charset w:val="4D"/>
    <w:family w:val="swiss"/>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1110303"/>
    </w:sdtPr>
    <w:sdtContent>
      <w:p w14:paraId="0802AFF1">
        <w:pPr>
          <w:pStyle w:val="8"/>
          <w:jc w:val="center"/>
        </w:pPr>
        <w:r>
          <w:fldChar w:fldCharType="begin"/>
        </w:r>
        <w:r>
          <w:instrText xml:space="preserve"> PAGE   \* MERGEFORMAT </w:instrText>
        </w:r>
        <w:r>
          <w:fldChar w:fldCharType="separate"/>
        </w:r>
        <w:r>
          <w:t>1</w:t>
        </w:r>
        <w:r>
          <w:fldChar w:fldCharType="end"/>
        </w:r>
      </w:p>
    </w:sdtContent>
  </w:sdt>
  <w:p w14:paraId="0802AFF2">
    <w:pPr>
      <w:pStyle w:val="8"/>
      <w:tabs>
        <w:tab w:val="center" w:pos="4536"/>
        <w:tab w:val="left" w:pos="7371"/>
        <w:tab w:val="clear" w:pos="4320"/>
      </w:tabs>
      <w:ind w:right="-755"/>
    </w:pPr>
    <w:r>
      <w:t>November 2020                                                                                                  PG1 Full Research Proposal</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2AFEB">
    <w:pPr>
      <w:pStyle w:val="9"/>
    </w:pPr>
    <w:r>
      <w:drawing>
        <wp:anchor distT="0" distB="0" distL="114300" distR="114300" simplePos="0" relativeHeight="251659264" behindDoc="0" locked="0" layoutInCell="1" allowOverlap="1">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14:paraId="0802AFEC">
    <w:pPr>
      <w:pStyle w:val="9"/>
      <w:jc w:val="right"/>
    </w:pPr>
    <w:r>
      <w:tab/>
    </w:r>
    <w:r>
      <w:tab/>
    </w:r>
    <w:r>
      <w:tab/>
    </w:r>
    <w:r>
      <w:tab/>
    </w:r>
    <w:r>
      <w:t>Appendix PG1</w:t>
    </w:r>
  </w:p>
  <w:p w14:paraId="0802AFED">
    <w:pPr>
      <w:pStyle w:val="9"/>
    </w:pPr>
  </w:p>
  <w:p w14:paraId="0802AFEE">
    <w:pPr>
      <w:pStyle w:val="9"/>
    </w:pPr>
  </w:p>
  <w:p w14:paraId="0802AFEF">
    <w:pPr>
      <w:pStyle w:val="9"/>
    </w:pPr>
  </w:p>
  <w:p w14:paraId="0802AFF0">
    <w:pPr>
      <w:pStyle w:val="9"/>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BC8AEE"/>
    <w:multiLevelType w:val="singleLevel"/>
    <w:tmpl w:val="CFBC8AEE"/>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0"/>
  <w:bordersDoNotSurroundFooter w:val="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BhMzQ3ZGUxY2E3ZDBlOWZiNmU4OTEwMTMwMTRiMjIifQ=="/>
  </w:docVars>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B77BE"/>
    <w:rsid w:val="000C1D53"/>
    <w:rsid w:val="000C4198"/>
    <w:rsid w:val="000C6D22"/>
    <w:rsid w:val="000D166A"/>
    <w:rsid w:val="000F4167"/>
    <w:rsid w:val="000F5B56"/>
    <w:rsid w:val="0010084E"/>
    <w:rsid w:val="001217FD"/>
    <w:rsid w:val="00121AC3"/>
    <w:rsid w:val="001400B5"/>
    <w:rsid w:val="00141DF3"/>
    <w:rsid w:val="0015311B"/>
    <w:rsid w:val="00154D0F"/>
    <w:rsid w:val="00157905"/>
    <w:rsid w:val="00165D23"/>
    <w:rsid w:val="00166B83"/>
    <w:rsid w:val="00172F4C"/>
    <w:rsid w:val="00173CC3"/>
    <w:rsid w:val="00181A69"/>
    <w:rsid w:val="00185554"/>
    <w:rsid w:val="001B1EEF"/>
    <w:rsid w:val="001C367F"/>
    <w:rsid w:val="001C6B27"/>
    <w:rsid w:val="001D074C"/>
    <w:rsid w:val="001D71EA"/>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39F3"/>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062E"/>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B251B"/>
    <w:rsid w:val="004B2A69"/>
    <w:rsid w:val="004E363A"/>
    <w:rsid w:val="004F22A4"/>
    <w:rsid w:val="00512288"/>
    <w:rsid w:val="005140FB"/>
    <w:rsid w:val="005302A6"/>
    <w:rsid w:val="005363FE"/>
    <w:rsid w:val="005364B0"/>
    <w:rsid w:val="005419D3"/>
    <w:rsid w:val="00541CFE"/>
    <w:rsid w:val="005513E3"/>
    <w:rsid w:val="0055230D"/>
    <w:rsid w:val="00556BFF"/>
    <w:rsid w:val="00557BD7"/>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212"/>
    <w:rsid w:val="006F1BDC"/>
    <w:rsid w:val="00702A7E"/>
    <w:rsid w:val="00703A24"/>
    <w:rsid w:val="0071332A"/>
    <w:rsid w:val="00717DFA"/>
    <w:rsid w:val="00753EDE"/>
    <w:rsid w:val="00763457"/>
    <w:rsid w:val="00795C79"/>
    <w:rsid w:val="007A0692"/>
    <w:rsid w:val="007A3641"/>
    <w:rsid w:val="007C2A63"/>
    <w:rsid w:val="007C755A"/>
    <w:rsid w:val="007E550E"/>
    <w:rsid w:val="007F6FC1"/>
    <w:rsid w:val="00802E0D"/>
    <w:rsid w:val="00816ED8"/>
    <w:rsid w:val="00820E04"/>
    <w:rsid w:val="00825E70"/>
    <w:rsid w:val="0083144B"/>
    <w:rsid w:val="00831EF8"/>
    <w:rsid w:val="00832FEA"/>
    <w:rsid w:val="008422EE"/>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9489E"/>
    <w:rsid w:val="00AB0FB7"/>
    <w:rsid w:val="00AC147B"/>
    <w:rsid w:val="00AC4DCF"/>
    <w:rsid w:val="00AC6903"/>
    <w:rsid w:val="00AD1480"/>
    <w:rsid w:val="00AD4651"/>
    <w:rsid w:val="00AD516F"/>
    <w:rsid w:val="00AD5A94"/>
    <w:rsid w:val="00AF2941"/>
    <w:rsid w:val="00AF2AA3"/>
    <w:rsid w:val="00AF7BA9"/>
    <w:rsid w:val="00B12AB0"/>
    <w:rsid w:val="00B273A5"/>
    <w:rsid w:val="00B3408B"/>
    <w:rsid w:val="00B65D5E"/>
    <w:rsid w:val="00B70B7E"/>
    <w:rsid w:val="00B718D3"/>
    <w:rsid w:val="00B77573"/>
    <w:rsid w:val="00B84A54"/>
    <w:rsid w:val="00B95514"/>
    <w:rsid w:val="00BB2F10"/>
    <w:rsid w:val="00BD2727"/>
    <w:rsid w:val="00BD589F"/>
    <w:rsid w:val="00BD7EF3"/>
    <w:rsid w:val="00BE24D4"/>
    <w:rsid w:val="00BF0916"/>
    <w:rsid w:val="00C037ED"/>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EE4E91"/>
    <w:rsid w:val="00F02051"/>
    <w:rsid w:val="00F20553"/>
    <w:rsid w:val="00F26723"/>
    <w:rsid w:val="00F274DA"/>
    <w:rsid w:val="00F41F11"/>
    <w:rsid w:val="00F50670"/>
    <w:rsid w:val="00F6356A"/>
    <w:rsid w:val="00F65BA4"/>
    <w:rsid w:val="00F65ECA"/>
    <w:rsid w:val="00F678E5"/>
    <w:rsid w:val="00F7569E"/>
    <w:rsid w:val="00F77B80"/>
    <w:rsid w:val="00F8710D"/>
    <w:rsid w:val="00F901BB"/>
    <w:rsid w:val="00F9606E"/>
    <w:rsid w:val="00FD60D8"/>
    <w:rsid w:val="00FD70D5"/>
    <w:rsid w:val="00FE3258"/>
    <w:rsid w:val="00FF5FBE"/>
    <w:rsid w:val="01C75ADD"/>
    <w:rsid w:val="01DE00E2"/>
    <w:rsid w:val="02B73E03"/>
    <w:rsid w:val="04293179"/>
    <w:rsid w:val="058C0342"/>
    <w:rsid w:val="05B9111D"/>
    <w:rsid w:val="077E4B83"/>
    <w:rsid w:val="07852DBD"/>
    <w:rsid w:val="078A03D3"/>
    <w:rsid w:val="0B0F6AB5"/>
    <w:rsid w:val="148B578A"/>
    <w:rsid w:val="156F0C08"/>
    <w:rsid w:val="16E3365C"/>
    <w:rsid w:val="188800A2"/>
    <w:rsid w:val="1AF20311"/>
    <w:rsid w:val="1E4C5F8A"/>
    <w:rsid w:val="204722C9"/>
    <w:rsid w:val="220B7F0B"/>
    <w:rsid w:val="226E11DC"/>
    <w:rsid w:val="22FB7F7F"/>
    <w:rsid w:val="23177E2C"/>
    <w:rsid w:val="25C1100C"/>
    <w:rsid w:val="280E3973"/>
    <w:rsid w:val="2AFD309B"/>
    <w:rsid w:val="2E8E2FFF"/>
    <w:rsid w:val="34C77CC1"/>
    <w:rsid w:val="359E6C74"/>
    <w:rsid w:val="393833C3"/>
    <w:rsid w:val="3AFF2909"/>
    <w:rsid w:val="3B3C3C51"/>
    <w:rsid w:val="3B49068A"/>
    <w:rsid w:val="3C3814A4"/>
    <w:rsid w:val="3E1F0B6E"/>
    <w:rsid w:val="3FFF0FD4"/>
    <w:rsid w:val="42D068DB"/>
    <w:rsid w:val="436B0164"/>
    <w:rsid w:val="47C87B80"/>
    <w:rsid w:val="483B2FDA"/>
    <w:rsid w:val="4B001EE8"/>
    <w:rsid w:val="4B7A56C1"/>
    <w:rsid w:val="4D2515D1"/>
    <w:rsid w:val="4E2A50F1"/>
    <w:rsid w:val="4E4D0DDF"/>
    <w:rsid w:val="500D0826"/>
    <w:rsid w:val="501F67AB"/>
    <w:rsid w:val="50D6330E"/>
    <w:rsid w:val="526D37FE"/>
    <w:rsid w:val="53F35F85"/>
    <w:rsid w:val="543F741C"/>
    <w:rsid w:val="55344AA7"/>
    <w:rsid w:val="55A0259A"/>
    <w:rsid w:val="587A4EC7"/>
    <w:rsid w:val="59E36A9C"/>
    <w:rsid w:val="5B04316E"/>
    <w:rsid w:val="61475B62"/>
    <w:rsid w:val="617C414B"/>
    <w:rsid w:val="62EC69C1"/>
    <w:rsid w:val="63C94F54"/>
    <w:rsid w:val="64923598"/>
    <w:rsid w:val="66EA3E04"/>
    <w:rsid w:val="67172DB2"/>
    <w:rsid w:val="67F51E74"/>
    <w:rsid w:val="68896A60"/>
    <w:rsid w:val="68E02B24"/>
    <w:rsid w:val="6C1C0B53"/>
    <w:rsid w:val="6EA9410C"/>
    <w:rsid w:val="73B54BAD"/>
    <w:rsid w:val="774249AA"/>
    <w:rsid w:val="7840713B"/>
    <w:rsid w:val="7B62256C"/>
    <w:rsid w:val="7C7970C0"/>
    <w:rsid w:val="7CF642DA"/>
    <w:rsid w:val="7DBB54B6"/>
    <w:rsid w:val="7EFC7B34"/>
    <w:rsid w:val="C9FE2857"/>
    <w:rsid w:val="F7F7F1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3"/>
    <w:unhideWhenUsed/>
    <w:qFormat/>
    <w:uiPriority w:val="99"/>
    <w:rPr>
      <w:lang w:val="zh-CN" w:eastAsia="zh-CN"/>
    </w:rPr>
  </w:style>
  <w:style w:type="paragraph" w:styleId="5">
    <w:name w:val="Body Text"/>
    <w:basedOn w:val="1"/>
    <w:qFormat/>
    <w:uiPriority w:val="0"/>
    <w:pPr>
      <w:jc w:val="both"/>
    </w:pPr>
    <w:rPr>
      <w:b/>
    </w:rPr>
  </w:style>
  <w:style w:type="paragraph" w:styleId="6">
    <w:name w:val="Block Text"/>
    <w:basedOn w:val="1"/>
    <w:qFormat/>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qFormat/>
    <w:uiPriority w:val="0"/>
    <w:rPr>
      <w:rFonts w:ascii="Tahoma" w:hAnsi="Tahoma" w:cs="Tahoma"/>
      <w:sz w:val="16"/>
      <w:szCs w:val="16"/>
    </w:rPr>
  </w:style>
  <w:style w:type="paragraph" w:styleId="8">
    <w:name w:val="footer"/>
    <w:basedOn w:val="1"/>
    <w:link w:val="25"/>
    <w:qFormat/>
    <w:uiPriority w:val="99"/>
    <w:pPr>
      <w:tabs>
        <w:tab w:val="center" w:pos="4320"/>
        <w:tab w:val="right" w:pos="8640"/>
      </w:tabs>
    </w:pPr>
  </w:style>
  <w:style w:type="paragraph" w:styleId="9">
    <w:name w:val="header"/>
    <w:basedOn w:val="1"/>
    <w:qFormat/>
    <w:uiPriority w:val="0"/>
    <w:pPr>
      <w:tabs>
        <w:tab w:val="center" w:pos="4320"/>
        <w:tab w:val="right" w:pos="8640"/>
      </w:tabs>
    </w:pPr>
  </w:style>
  <w:style w:type="paragraph" w:styleId="10">
    <w:name w:val="footnote text"/>
    <w:basedOn w:val="1"/>
    <w:semiHidden/>
    <w:qFormat/>
    <w:uiPriority w:val="0"/>
  </w:style>
  <w:style w:type="paragraph" w:styleId="11">
    <w:name w:val="Normal (Web)"/>
    <w:basedOn w:val="1"/>
    <w:unhideWhenUsed/>
    <w:qFormat/>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4"/>
    <w:unhideWhenUsed/>
    <w:qFormat/>
    <w:uiPriority w:val="99"/>
    <w:rPr>
      <w:b/>
      <w:bCs/>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unhideWhenUsed/>
    <w:qFormat/>
    <w:uiPriority w:val="99"/>
    <w:rPr>
      <w:sz w:val="16"/>
      <w:szCs w:val="16"/>
    </w:rPr>
  </w:style>
  <w:style w:type="character" w:styleId="20">
    <w:name w:val="footnote reference"/>
    <w:semiHidden/>
    <w:qFormat/>
    <w:uiPriority w:val="0"/>
    <w:rPr>
      <w:vertAlign w:val="superscript"/>
    </w:rPr>
  </w:style>
  <w:style w:type="paragraph" w:customStyle="1" w:styleId="21">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2">
    <w:name w:val="Medium List 2 - Accent 21"/>
    <w:hidden/>
    <w:semiHidden/>
    <w:qFormat/>
    <w:uiPriority w:val="99"/>
    <w:rPr>
      <w:rFonts w:ascii="Arial" w:hAnsi="Arial" w:eastAsia="Times New Roman" w:cs="Times New Roman"/>
      <w:lang w:val="en-GB" w:eastAsia="en-GB" w:bidi="ar-SA"/>
    </w:rPr>
  </w:style>
  <w:style w:type="character" w:customStyle="1" w:styleId="23">
    <w:name w:val="Comment Text Char"/>
    <w:link w:val="4"/>
    <w:semiHidden/>
    <w:qFormat/>
    <w:uiPriority w:val="99"/>
    <w:rPr>
      <w:rFonts w:ascii="Arial" w:hAnsi="Arial"/>
    </w:rPr>
  </w:style>
  <w:style w:type="character" w:customStyle="1" w:styleId="24">
    <w:name w:val="Comment Subject Char"/>
    <w:link w:val="12"/>
    <w:semiHidden/>
    <w:qFormat/>
    <w:uiPriority w:val="99"/>
    <w:rPr>
      <w:rFonts w:ascii="Arial" w:hAnsi="Arial"/>
      <w:b/>
      <w:bCs/>
    </w:rPr>
  </w:style>
  <w:style w:type="character" w:customStyle="1" w:styleId="25">
    <w:name w:val="Footer Char"/>
    <w:link w:val="8"/>
    <w:qFormat/>
    <w:uiPriority w:val="99"/>
    <w:rPr>
      <w:rFonts w:ascii="Arial" w:hAnsi="Arial"/>
    </w:rPr>
  </w:style>
  <w:style w:type="paragraph" w:customStyle="1" w:styleId="26">
    <w:name w:val="List Paragraph1"/>
    <w:basedOn w:val="1"/>
    <w:qFormat/>
    <w:uiPriority w:val="99"/>
    <w:pPr>
      <w:ind w:left="720"/>
    </w:pPr>
  </w:style>
  <w:style w:type="paragraph" w:customStyle="1" w:styleId="27">
    <w:name w:val="Revision1"/>
    <w:hidden/>
    <w:semiHidden/>
    <w:qFormat/>
    <w:uiPriority w:val="99"/>
    <w:rPr>
      <w:rFonts w:ascii="Arial" w:hAnsi="Arial" w:eastAsia="Times New Roman" w:cs="Times New Roman"/>
      <w:lang w:val="en-GB" w:eastAsia="en-GB" w:bidi="ar-SA"/>
    </w:rPr>
  </w:style>
  <w:style w:type="paragraph" w:customStyle="1" w:styleId="28">
    <w:name w:val="No Spacing1"/>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29">
    <w:name w:val="Unresolved Mention1"/>
    <w:basedOn w:val="15"/>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UWTSD</Company>
  <Pages>13</Pages>
  <Words>4263</Words>
  <Characters>25588</Characters>
  <Lines>207</Lines>
  <Paragraphs>58</Paragraphs>
  <TotalTime>2</TotalTime>
  <ScaleCrop>false</ScaleCrop>
  <LinksUpToDate>false</LinksUpToDate>
  <CharactersWithSpaces>29783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2024-10-14T09:35:00Z</dcterms:created>
  <dc:creator>Academic Office</dc:creator>
  <cp:lastModifiedBy>somon</cp:lastModifiedBy>
  <cp:lastPrinted>2016-11-02T17:01:00Z</cp:lastPrinted>
  <dcterms:modified xsi:type="dcterms:W3CDTF">2024-12-26T17:00:13Z</dcterms:modified>
  <dc:title>PG1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KSOProductBuildVer">
    <vt:lpwstr>2052-12.1.0.19302</vt:lpwstr>
  </property>
  <property fmtid="{D5CDD505-2E9C-101B-9397-08002B2CF9AE}" pid="7" name="ICV">
    <vt:lpwstr>B9A4BAA12611468598046AFC3A4457CC_13</vt:lpwstr>
  </property>
  <property fmtid="{D5CDD505-2E9C-101B-9397-08002B2CF9AE}" pid="8" name="KSOTemplateDocerSaveRecord">
    <vt:lpwstr>eyJoZGlkIjoiZTBhMzQ3ZGUxY2E3ZDBlOWZiNmU4OTEwMTMwMTRiMjIiLCJ1c2VySWQiOiI1MDI3MjMxODUifQ==</vt:lpwstr>
  </property>
</Properties>
</file>