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dTable4"/>
        <w:tblpPr w:leftFromText="180" w:rightFromText="180" w:vertAnchor="text" w:horzAnchor="margin" w:tblpY="114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A74A3A" w14:paraId="7792CB26" w14:textId="77777777" w:rsidTr="00A74A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hideMark/>
          </w:tcPr>
          <w:p w14:paraId="7619AD52" w14:textId="77777777" w:rsidR="00A74A3A" w:rsidRDefault="00A74A3A" w:rsidP="00F0331D">
            <w:pPr>
              <w:rPr>
                <w:rFonts w:cs="Arial"/>
                <w:sz w:val="28"/>
                <w:szCs w:val="28"/>
              </w:rPr>
            </w:pPr>
            <w:r>
              <w:t>Programme:</w:t>
            </w:r>
          </w:p>
        </w:tc>
        <w:tc>
          <w:tcPr>
            <w:tcW w:w="6611" w:type="dxa"/>
            <w:hideMark/>
          </w:tcPr>
          <w:p w14:paraId="521B2CCE" w14:textId="77777777" w:rsidR="00A74A3A" w:rsidRDefault="00A74A3A" w:rsidP="00F0331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 w:val="0"/>
                <w:bCs w:val="0"/>
                <w:sz w:val="28"/>
                <w:szCs w:val="28"/>
              </w:rPr>
            </w:pPr>
            <w:r>
              <w:t xml:space="preserve">MSc Public Health and Social Care in Practice  </w:t>
            </w:r>
          </w:p>
        </w:tc>
      </w:tr>
      <w:tr w:rsidR="00A74A3A" w14:paraId="2D3CA78D" w14:textId="77777777" w:rsidTr="00A74A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hideMark/>
          </w:tcPr>
          <w:p w14:paraId="55887BB9" w14:textId="77777777" w:rsidR="00A74A3A" w:rsidRDefault="00A74A3A" w:rsidP="00F0331D">
            <w:pPr>
              <w:rPr>
                <w:rFonts w:cs="Arial"/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</w:rPr>
              <w:t>Module:</w:t>
            </w:r>
          </w:p>
        </w:tc>
        <w:tc>
          <w:tcPr>
            <w:tcW w:w="6611" w:type="dxa"/>
            <w:hideMark/>
          </w:tcPr>
          <w:p w14:paraId="6FFF390D" w14:textId="77777777" w:rsidR="00A74A3A" w:rsidRDefault="00A74A3A" w:rsidP="00F033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Population Health and Digital Health Promotion</w:t>
            </w:r>
          </w:p>
        </w:tc>
      </w:tr>
      <w:tr w:rsidR="00A74A3A" w14:paraId="6BF3EDFF" w14:textId="77777777" w:rsidTr="00A74A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hideMark/>
          </w:tcPr>
          <w:p w14:paraId="0AF4A192" w14:textId="77777777" w:rsidR="00A74A3A" w:rsidRDefault="00A74A3A" w:rsidP="00F0331D">
            <w:pPr>
              <w:rPr>
                <w:rFonts w:cs="Arial"/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</w:rPr>
              <w:t>Module code:</w:t>
            </w:r>
          </w:p>
        </w:tc>
        <w:tc>
          <w:tcPr>
            <w:tcW w:w="6611" w:type="dxa"/>
            <w:hideMark/>
          </w:tcPr>
          <w:p w14:paraId="65E70D3E" w14:textId="77777777" w:rsidR="00A74A3A" w:rsidRDefault="00A74A3A" w:rsidP="00F033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A32F5">
              <w:t>LCHS700</w:t>
            </w:r>
            <w:r>
              <w:t>9</w:t>
            </w:r>
          </w:p>
        </w:tc>
      </w:tr>
      <w:tr w:rsidR="00A74A3A" w14:paraId="22B5C36F" w14:textId="77777777" w:rsidTr="00A74A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hideMark/>
          </w:tcPr>
          <w:p w14:paraId="07FE2DC0" w14:textId="77777777" w:rsidR="00A74A3A" w:rsidRDefault="00A74A3A" w:rsidP="00F0331D">
            <w:pPr>
              <w:rPr>
                <w:rFonts w:cs="Arial"/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</w:rPr>
              <w:t>Lecturer:</w:t>
            </w:r>
          </w:p>
        </w:tc>
        <w:tc>
          <w:tcPr>
            <w:tcW w:w="6611" w:type="dxa"/>
            <w:hideMark/>
          </w:tcPr>
          <w:p w14:paraId="3D2DD79F" w14:textId="2CDE9579" w:rsidR="00A74A3A" w:rsidRDefault="00A74A3A" w:rsidP="00F033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Dr Ping Wu</w:t>
            </w:r>
          </w:p>
        </w:tc>
      </w:tr>
      <w:tr w:rsidR="00A74A3A" w14:paraId="2158FDF7" w14:textId="77777777" w:rsidTr="00A74A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hideMark/>
          </w:tcPr>
          <w:p w14:paraId="3217368B" w14:textId="77777777" w:rsidR="00A74A3A" w:rsidRDefault="00A74A3A" w:rsidP="00F0331D">
            <w:pPr>
              <w:rPr>
                <w:rFonts w:cs="Arial"/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</w:rPr>
              <w:t>Assignment Title:</w:t>
            </w:r>
          </w:p>
        </w:tc>
        <w:tc>
          <w:tcPr>
            <w:tcW w:w="6611" w:type="dxa"/>
            <w:hideMark/>
          </w:tcPr>
          <w:p w14:paraId="3F943555" w14:textId="77777777" w:rsidR="00A74A3A" w:rsidRDefault="00A74A3A" w:rsidP="00F033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Component 1: 2 Blogs</w:t>
            </w:r>
          </w:p>
          <w:p w14:paraId="33CED89E" w14:textId="77777777" w:rsidR="00A74A3A" w:rsidRDefault="00A74A3A" w:rsidP="00F033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74A3A" w14:paraId="07878C59" w14:textId="77777777" w:rsidTr="00A74A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hideMark/>
          </w:tcPr>
          <w:p w14:paraId="6E13BB07" w14:textId="77777777" w:rsidR="00A74A3A" w:rsidRDefault="00A74A3A" w:rsidP="00F0331D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Student Name:</w:t>
            </w:r>
          </w:p>
        </w:tc>
        <w:tc>
          <w:tcPr>
            <w:tcW w:w="6611" w:type="dxa"/>
          </w:tcPr>
          <w:p w14:paraId="05FAF4A2" w14:textId="15580EF3" w:rsidR="00A74A3A" w:rsidRDefault="00A27318" w:rsidP="00F033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27318">
              <w:t>Md Jewel Ahmad</w:t>
            </w:r>
          </w:p>
        </w:tc>
      </w:tr>
      <w:tr w:rsidR="00A74A3A" w14:paraId="4735C2A7" w14:textId="77777777" w:rsidTr="00A74A3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hideMark/>
          </w:tcPr>
          <w:p w14:paraId="761FED39" w14:textId="77777777" w:rsidR="00A74A3A" w:rsidRDefault="00A74A3A" w:rsidP="00F0331D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Student ID:</w:t>
            </w:r>
          </w:p>
        </w:tc>
        <w:tc>
          <w:tcPr>
            <w:tcW w:w="6611" w:type="dxa"/>
          </w:tcPr>
          <w:p w14:paraId="41DC9B11" w14:textId="47307DEC" w:rsidR="00A74A3A" w:rsidRDefault="00A27318" w:rsidP="00F0331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27318">
              <w:t>2504951</w:t>
            </w:r>
          </w:p>
        </w:tc>
      </w:tr>
    </w:tbl>
    <w:p w14:paraId="02F9EF4B" w14:textId="412651B7" w:rsidR="00955F96" w:rsidRDefault="00955F96"/>
    <w:p w14:paraId="39D525CC" w14:textId="631D1766" w:rsidR="00A74A3A" w:rsidRDefault="00A74A3A">
      <w:pPr>
        <w:spacing w:line="259" w:lineRule="auto"/>
        <w:jc w:val="left"/>
      </w:pPr>
      <w:r>
        <w:br w:type="page"/>
      </w:r>
    </w:p>
    <w:p w14:paraId="3C21DDFC" w14:textId="7B2AF28F" w:rsidR="00A74A3A" w:rsidRPr="000D2CCF" w:rsidRDefault="00A74A3A" w:rsidP="00A74A3A">
      <w:pPr>
        <w:jc w:val="center"/>
        <w:rPr>
          <w:b/>
          <w:bCs/>
          <w:sz w:val="24"/>
          <w:szCs w:val="24"/>
        </w:rPr>
      </w:pPr>
      <w:r w:rsidRPr="000D2CCF">
        <w:rPr>
          <w:b/>
          <w:bCs/>
          <w:sz w:val="24"/>
          <w:szCs w:val="24"/>
          <w:highlight w:val="cyan"/>
        </w:rPr>
        <w:lastRenderedPageBreak/>
        <w:t>Blog 1 – “Beyond Weight Tracking: Examining MyFitnessPal’s Influence on Global Obesity”</w:t>
      </w:r>
    </w:p>
    <w:p w14:paraId="39A84D36" w14:textId="51D61186" w:rsidR="00A74A3A" w:rsidRDefault="003B6A2C" w:rsidP="005F3F34">
      <w:pPr>
        <w:pStyle w:val="Heading2"/>
      </w:pPr>
      <w:r w:rsidRPr="003B6A2C">
        <w:t>The crisis of the growing waist</w:t>
      </w:r>
    </w:p>
    <w:p w14:paraId="1C6B12FB" w14:textId="6D0C693E" w:rsidR="003B6A2C" w:rsidRDefault="003B6A2C" w:rsidP="003B6A2C">
      <w:r w:rsidRPr="003B6A2C">
        <w:t>In 2022, 1 in 8 people in the world were living with obesity (</w:t>
      </w:r>
      <w:proofErr w:type="spellStart"/>
      <w:r w:rsidRPr="003B6A2C">
        <w:t>Janić</w:t>
      </w:r>
      <w:proofErr w:type="spellEnd"/>
      <w:r w:rsidRPr="003B6A2C">
        <w:t xml:space="preserve"> et al., 2025). The global prevalence of adult overweight increased from 25% in 1990 to 43% in 2022 (McDonough et al., 2021). Among children and adolescents aged 5–19 years, rates have increased fourfold throughout the same time, attaining 20%. The economic burden is anticipated to exceed US $4 trillion per year by 2035 (Salam et al., 2023).</w:t>
      </w:r>
    </w:p>
    <w:p w14:paraId="102E4F36" w14:textId="63BB5530" w:rsidR="00C65BA9" w:rsidRDefault="00C65BA9" w:rsidP="00C65BA9">
      <w:pPr>
        <w:jc w:val="center"/>
      </w:pPr>
      <w:r>
        <w:rPr>
          <w:noProof/>
        </w:rPr>
        <w:drawing>
          <wp:inline distT="0" distB="0" distL="0" distR="0" wp14:anchorId="6615662C" wp14:editId="5DFD9148">
            <wp:extent cx="4035425" cy="2690134"/>
            <wp:effectExtent l="0" t="0" r="3175" b="0"/>
            <wp:docPr id="1" name="Picture 1" descr="Figure 1. Global adult overweight prevalence rose from 25% in 1990 to 43% in 20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gure 1. Global adult overweight prevalence rose from 25% in 1990 to 43% in 202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4026" cy="2695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C01111" w14:textId="58C39E99" w:rsidR="00C65BA9" w:rsidRPr="00C65BA9" w:rsidRDefault="00C65BA9" w:rsidP="00C65BA9">
      <w:pPr>
        <w:jc w:val="center"/>
        <w:rPr>
          <w:i/>
          <w:iCs/>
          <w:sz w:val="20"/>
          <w:szCs w:val="20"/>
        </w:rPr>
      </w:pPr>
      <w:r w:rsidRPr="00C65BA9">
        <w:rPr>
          <w:i/>
          <w:iCs/>
          <w:sz w:val="20"/>
          <w:szCs w:val="20"/>
        </w:rPr>
        <w:t>Source: (WHO, 2025)</w:t>
      </w:r>
    </w:p>
    <w:p w14:paraId="0E7E01DB" w14:textId="368A2724" w:rsidR="003B6A2C" w:rsidRPr="005F3F34" w:rsidRDefault="00C65BA9" w:rsidP="005F3F34">
      <w:pPr>
        <w:pStyle w:val="Heading2"/>
      </w:pPr>
      <w:r w:rsidRPr="005F3F34">
        <w:t>Why factors leading to obesity?</w:t>
      </w:r>
    </w:p>
    <w:p w14:paraId="1E892A26" w14:textId="52EA7884" w:rsidR="003B6A2C" w:rsidRDefault="00C65BA9" w:rsidP="003B6A2C">
      <w:r>
        <w:rPr>
          <w:noProof/>
        </w:rPr>
        <w:drawing>
          <wp:anchor distT="0" distB="0" distL="114300" distR="114300" simplePos="0" relativeHeight="251658240" behindDoc="0" locked="0" layoutInCell="1" allowOverlap="1" wp14:anchorId="150981CE" wp14:editId="307C9A67">
            <wp:simplePos x="0" y="0"/>
            <wp:positionH relativeFrom="column">
              <wp:posOffset>3308350</wp:posOffset>
            </wp:positionH>
            <wp:positionV relativeFrom="paragraph">
              <wp:posOffset>203200</wp:posOffset>
            </wp:positionV>
            <wp:extent cx="2657135" cy="2038350"/>
            <wp:effectExtent l="0" t="0" r="0" b="0"/>
            <wp:wrapThrough wrapText="bothSides">
              <wp:wrapPolygon edited="0">
                <wp:start x="0" y="0"/>
                <wp:lineTo x="0" y="21398"/>
                <wp:lineTo x="21373" y="21398"/>
                <wp:lineTo x="21373" y="0"/>
                <wp:lineTo x="0" y="0"/>
              </wp:wrapPolygon>
            </wp:wrapThrough>
            <wp:docPr id="2" name="Picture 2" descr="Fig.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g.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13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B6A2C" w:rsidRPr="003B6A2C">
        <w:t>Obesity results from intricate interactions among genetic, behavioural, environmental, and socioeconomic variables, with fast urbanisation and globalisation intensifying the intake of high-calorie foods and promoting sedentary lifestyles.</w:t>
      </w:r>
    </w:p>
    <w:p w14:paraId="04A68B99" w14:textId="1B1BCF61" w:rsidR="00C65BA9" w:rsidRDefault="00C65BA9">
      <w:pPr>
        <w:spacing w:line="259" w:lineRule="auto"/>
        <w:jc w:val="left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0FDE857" wp14:editId="0596C2D0">
                <wp:simplePos x="0" y="0"/>
                <wp:positionH relativeFrom="column">
                  <wp:posOffset>3638550</wp:posOffset>
                </wp:positionH>
                <wp:positionV relativeFrom="paragraph">
                  <wp:posOffset>1207770</wp:posOffset>
                </wp:positionV>
                <wp:extent cx="2360930" cy="24765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FED423" w14:textId="7870F6F1" w:rsidR="00C65BA9" w:rsidRPr="00C65BA9" w:rsidRDefault="00C65BA9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C65BA9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Source: (Ahmed and Mohammed, 2025)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FDE85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6.5pt;margin-top:95.1pt;width:185.9pt;height:19.5pt;z-index:25166028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" stroked="f">
                <v:textbox>
                  <w:txbxContent>
                    <w:p w14:paraId="7EFED423" w14:textId="7870F6F1" w:rsidR="00C65BA9" w:rsidRPr="00C65BA9" w:rsidRDefault="00C65BA9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  <w:r w:rsidRPr="00C65BA9">
                        <w:rPr>
                          <w:i/>
                          <w:iCs/>
                          <w:sz w:val="18"/>
                          <w:szCs w:val="18"/>
                        </w:rPr>
                        <w:t>Source: (Ahmed and Mohammed, 2025)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br w:type="page"/>
      </w:r>
    </w:p>
    <w:p w14:paraId="60A393DA" w14:textId="03BC5CCA" w:rsidR="00A74A3A" w:rsidRDefault="00C65BA9" w:rsidP="005F3F34">
      <w:pPr>
        <w:pStyle w:val="Heading2"/>
      </w:pPr>
      <w:r w:rsidRPr="00C65BA9">
        <w:lastRenderedPageBreak/>
        <w:t>Introducing MyFitnessPal: a formidable calorie-tracking app</w:t>
      </w:r>
    </w:p>
    <w:p w14:paraId="6C405FD6" w14:textId="4E881D79" w:rsidR="00C65BA9" w:rsidRDefault="006B79BA">
      <w:r w:rsidRPr="006B79BA">
        <w:t>MyFitnessPal (MFP) is a complimentary mobile application established in 2005 that enables users to record their meals, scan barcodes, synchronise wearable devices, and discuss their progress socially. The application has a food database with 14-18 million items and personalised caloric targets, positioning it as a digital self-monitoring tool for weight management (WHO, 2025).</w:t>
      </w:r>
    </w:p>
    <w:p w14:paraId="56DF8D43" w14:textId="3A7161CA" w:rsidR="006B79BA" w:rsidRDefault="006B79BA" w:rsidP="006B79BA">
      <w:pPr>
        <w:jc w:val="right"/>
      </w:pPr>
      <w:r w:rsidRPr="006B79BA">
        <w:rPr>
          <w:noProof/>
        </w:rPr>
        <w:drawing>
          <wp:inline distT="0" distB="0" distL="0" distR="0" wp14:anchorId="2AC1509C" wp14:editId="784C5BFB">
            <wp:extent cx="2966257" cy="1621155"/>
            <wp:effectExtent l="0" t="0" r="571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69569" cy="1622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505B0C" w14:textId="3AE7356F" w:rsidR="006B79BA" w:rsidRDefault="00D33507">
      <w:pPr>
        <w:rPr>
          <w:noProof/>
        </w:rPr>
      </w:pPr>
      <w:hyperlink r:id="rId10" w:history="1">
        <w:r w:rsidR="006B79BA" w:rsidRPr="006B79BA">
          <w:rPr>
            <w:rStyle w:val="Hyperlink"/>
            <w:noProof/>
          </w:rPr>
          <w:t>11 Things You’ll Learn Using MyFitnessPal</w:t>
        </w:r>
      </w:hyperlink>
    </w:p>
    <w:p w14:paraId="2F137061" w14:textId="12F47069" w:rsidR="006B79BA" w:rsidRDefault="006B79BA" w:rsidP="006B79BA">
      <w:pPr>
        <w:jc w:val="center"/>
      </w:pPr>
      <w:r>
        <w:rPr>
          <w:noProof/>
        </w:rPr>
        <w:drawing>
          <wp:inline distT="0" distB="0" distL="0" distR="0" wp14:anchorId="6AD3B143" wp14:editId="24A61F28">
            <wp:extent cx="4012500" cy="2197100"/>
            <wp:effectExtent l="0" t="0" r="762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5371" t="34802" r="26878" b="24739"/>
                    <a:stretch/>
                  </pic:blipFill>
                  <pic:spPr bwMode="auto">
                    <a:xfrm>
                      <a:off x="0" y="0"/>
                      <a:ext cx="4015670" cy="21988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89325A" w14:textId="6FFAC7C3" w:rsidR="006B79BA" w:rsidRDefault="006B79BA" w:rsidP="005F3F34">
      <w:pPr>
        <w:pStyle w:val="Heading2"/>
      </w:pPr>
      <w:r w:rsidRPr="006B79BA">
        <w:t>What the app does for obesity</w:t>
      </w:r>
    </w:p>
    <w:p w14:paraId="02CE81B9" w14:textId="02D594C3" w:rsidR="006B79BA" w:rsidRDefault="006B79BA" w:rsidP="006B79BA">
      <w:r w:rsidRPr="006B79BA">
        <w:t>MyFitnessPal promotes obesity prevention via data-driven calorie monitoring, nutritional understanding, and responsibility. It creates a lasting energy deficit by setting daily calorie objectives based on weight, height, and activity level. Users register meals in a vast database and scan barcodes to track consumption versus objectives, promoting weight reduction via mindful eating.</w:t>
      </w:r>
    </w:p>
    <w:p w14:paraId="56B8AC58" w14:textId="1EE0B002" w:rsidR="006B79BA" w:rsidRDefault="006B79BA" w:rsidP="006B79BA">
      <w:pPr>
        <w:jc w:val="right"/>
      </w:pPr>
      <w:r>
        <w:rPr>
          <w:noProof/>
        </w:rPr>
        <w:lastRenderedPageBreak/>
        <w:drawing>
          <wp:inline distT="0" distB="0" distL="0" distR="0" wp14:anchorId="50C98E40" wp14:editId="3839DD04">
            <wp:extent cx="2302376" cy="2726724"/>
            <wp:effectExtent l="0" t="0" r="317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9714" cy="27354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32FB2E4" w14:textId="77777777" w:rsidR="005F3F34" w:rsidRDefault="005F3F34" w:rsidP="005F3F34">
      <w:pPr>
        <w:pStyle w:val="Heading2"/>
      </w:pPr>
      <w:r>
        <w:t>Effectiveness evidence</w:t>
      </w:r>
    </w:p>
    <w:p w14:paraId="39C6D245" w14:textId="516C7F34" w:rsidR="005F3F34" w:rsidRDefault="005F3F34" w:rsidP="005F3F34">
      <w:pPr>
        <w:pStyle w:val="ListParagraph"/>
        <w:numPr>
          <w:ilvl w:val="0"/>
          <w:numId w:val="1"/>
        </w:numPr>
      </w:pPr>
      <w:r>
        <w:t>According to a 2021 comprehensive review of health-wearable treatments, combining commercial devices with apps (e.g., Fitbit + MFP) resulted in significant BMI reductions (SMD –1.99) (</w:t>
      </w:r>
      <w:proofErr w:type="spellStart"/>
      <w:r>
        <w:t>Janić</w:t>
      </w:r>
      <w:proofErr w:type="spellEnd"/>
    </w:p>
    <w:p w14:paraId="3617DC84" w14:textId="01533A70" w:rsidR="005F3F34" w:rsidRDefault="005F3F34" w:rsidP="005F3F34">
      <w:pPr>
        <w:pStyle w:val="ListParagraph"/>
        <w:numPr>
          <w:ilvl w:val="0"/>
          <w:numId w:val="1"/>
        </w:numPr>
      </w:pPr>
      <w:r>
        <w:t>A 2016 mobile diabetes-prevention experiment found that an MFP-Fitbit hybrid resulted in 6.2 kg weight reduction over five months, compared to 0.3 kg increase in controls (p &lt;</w:t>
      </w:r>
    </w:p>
    <w:p w14:paraId="2CCCF021" w14:textId="0F2576DA" w:rsidR="006B79BA" w:rsidRDefault="005F3F34" w:rsidP="005F3F34">
      <w:pPr>
        <w:pStyle w:val="ListParagraph"/>
        <w:numPr>
          <w:ilvl w:val="0"/>
          <w:numId w:val="1"/>
        </w:numPr>
      </w:pPr>
      <w:r>
        <w:t>Fitbit users in workplace programs increased daily steps by ~1800 and decreased weight by ~1 kg (Salam et al., 2023).</w:t>
      </w:r>
    </w:p>
    <w:p w14:paraId="2B4D3182" w14:textId="19CD8834" w:rsidR="005F3F34" w:rsidRDefault="005F3F34" w:rsidP="005F3F34">
      <w:pPr>
        <w:pStyle w:val="Heading2"/>
      </w:pPr>
      <w:r w:rsidRPr="005F3F34">
        <w:t>Advantages</w:t>
      </w:r>
    </w:p>
    <w:p w14:paraId="1FC87B20" w14:textId="2A176170" w:rsidR="005F3F34" w:rsidRDefault="005F3F34" w:rsidP="005F3F34">
      <w:r w:rsidRPr="005F3F34">
        <w:rPr>
          <w:b/>
          <w:bCs/>
        </w:rPr>
        <w:t>Scalability &amp; affordability:</w:t>
      </w:r>
      <w:r>
        <w:t xml:space="preserve"> freemium model has reached 200 million global downloads with very low extra cost.</w:t>
      </w:r>
    </w:p>
    <w:p w14:paraId="69284135" w14:textId="6E264091" w:rsidR="005F3F34" w:rsidRDefault="005F3F34" w:rsidP="005F3F34">
      <w:r w:rsidRPr="005F3F34">
        <w:rPr>
          <w:b/>
          <w:bCs/>
        </w:rPr>
        <w:t>Detailed diet feedback:</w:t>
      </w:r>
      <w:r>
        <w:t xml:space="preserve"> breakdown of micro and macronutrients helps provides personalised advice.</w:t>
      </w:r>
    </w:p>
    <w:p w14:paraId="485A6C24" w14:textId="39E4BA59" w:rsidR="005F3F34" w:rsidRDefault="005F3F34" w:rsidP="005F3F34">
      <w:r w:rsidRPr="005F3F34">
        <w:rPr>
          <w:b/>
          <w:bCs/>
        </w:rPr>
        <w:t>Community support:</w:t>
      </w:r>
      <w:r>
        <w:t xml:space="preserve"> peer interaction improves adherence; PDA plus tailored feedback achieved 63% weight loss success compared to 46% with paper records (</w:t>
      </w:r>
      <w:proofErr w:type="spellStart"/>
      <w:r>
        <w:t>Ringeval</w:t>
      </w:r>
      <w:proofErr w:type="spellEnd"/>
      <w:r>
        <w:t xml:space="preserve"> et al., 2020).</w:t>
      </w:r>
    </w:p>
    <w:p w14:paraId="7CEF0529" w14:textId="37F92371" w:rsidR="005F3F34" w:rsidRDefault="005F3F34" w:rsidP="005F3F34">
      <w:r w:rsidRPr="005F3F34">
        <w:rPr>
          <w:b/>
          <w:bCs/>
        </w:rPr>
        <w:t>Interoperability:</w:t>
      </w:r>
      <w:r>
        <w:t xml:space="preserve"> open API supports integration with wearables, telehealth, and CGM devices.</w:t>
      </w:r>
    </w:p>
    <w:p w14:paraId="6E21AFAF" w14:textId="77777777" w:rsidR="005F3F34" w:rsidRDefault="005F3F34" w:rsidP="005F3F34">
      <w:pPr>
        <w:pStyle w:val="Heading2"/>
      </w:pPr>
      <w:r>
        <w:t>Limitations &amp; digital gaps</w:t>
      </w:r>
    </w:p>
    <w:p w14:paraId="1D5DB254" w14:textId="77777777" w:rsidR="005F3F34" w:rsidRDefault="005F3F34" w:rsidP="005F3F34">
      <w:r w:rsidRPr="005F3F34">
        <w:rPr>
          <w:b/>
          <w:bCs/>
        </w:rPr>
        <w:t>Data accuracy –</w:t>
      </w:r>
      <w:r>
        <w:t xml:space="preserve"> user-entered food data may miscalculate calories by 7–20%, reducing reliability (McDonough et al., 2021).</w:t>
      </w:r>
    </w:p>
    <w:p w14:paraId="2E8F0DC5" w14:textId="77777777" w:rsidR="005F3F34" w:rsidRDefault="005F3F34" w:rsidP="005F3F34">
      <w:r w:rsidRPr="005F3F34">
        <w:rPr>
          <w:b/>
          <w:bCs/>
        </w:rPr>
        <w:lastRenderedPageBreak/>
        <w:t>Sustainability –</w:t>
      </w:r>
      <w:r>
        <w:t xml:space="preserve"> progress often slows after 6–12 months due to tracking fatigue; many RCTs show little long-term benefit.</w:t>
      </w:r>
    </w:p>
    <w:p w14:paraId="7F24EF04" w14:textId="1D54EFB2" w:rsidR="005F3F34" w:rsidRDefault="005F3F34" w:rsidP="005F3F34">
      <w:r w:rsidRPr="005F3F34">
        <w:rPr>
          <w:b/>
          <w:bCs/>
        </w:rPr>
        <w:t>Privacy &amp; monetisation –</w:t>
      </w:r>
      <w:r>
        <w:t xml:space="preserve"> ads and premium features raise ethical issues about targeting vulnerable users.</w:t>
      </w:r>
    </w:p>
    <w:p w14:paraId="20520FDF" w14:textId="77777777" w:rsidR="005F3F34" w:rsidRDefault="005F3F34" w:rsidP="005F3F34">
      <w:pPr>
        <w:pStyle w:val="Heading2"/>
      </w:pPr>
      <w:r>
        <w:t>Addressing the gaps</w:t>
      </w:r>
    </w:p>
    <w:p w14:paraId="0737AF17" w14:textId="77777777" w:rsidR="005F3F34" w:rsidRDefault="005F3F34" w:rsidP="005F3F34">
      <w:pPr>
        <w:pStyle w:val="ListParagraph"/>
        <w:numPr>
          <w:ilvl w:val="0"/>
          <w:numId w:val="2"/>
        </w:numPr>
      </w:pPr>
      <w:r>
        <w:t>Use image recognition to reduce manual logging and improve accuracy.</w:t>
      </w:r>
    </w:p>
    <w:p w14:paraId="7E44A6FF" w14:textId="77777777" w:rsidR="005F3F34" w:rsidRDefault="005F3F34" w:rsidP="005F3F34">
      <w:pPr>
        <w:pStyle w:val="ListParagraph"/>
        <w:numPr>
          <w:ilvl w:val="0"/>
          <w:numId w:val="2"/>
        </w:numPr>
      </w:pPr>
      <w:r>
        <w:t>Apply smart reminders that adjust goals during holidays or lockdowns to prevent relapse.</w:t>
      </w:r>
    </w:p>
    <w:p w14:paraId="2AC773D5" w14:textId="77777777" w:rsidR="005F3F34" w:rsidRDefault="005F3F34" w:rsidP="005F3F34">
      <w:pPr>
        <w:pStyle w:val="ListParagraph"/>
        <w:numPr>
          <w:ilvl w:val="0"/>
          <w:numId w:val="2"/>
        </w:numPr>
      </w:pPr>
      <w:r>
        <w:t>Design offline-friendly systems with stored food databases for low-internet areas.</w:t>
      </w:r>
    </w:p>
    <w:p w14:paraId="5E7C3550" w14:textId="5436DAFC" w:rsidR="005F3F34" w:rsidRDefault="005F3F34" w:rsidP="005F3F34">
      <w:pPr>
        <w:pStyle w:val="ListParagraph"/>
        <w:numPr>
          <w:ilvl w:val="0"/>
          <w:numId w:val="2"/>
        </w:numPr>
      </w:pPr>
      <w:r>
        <w:t>Enable clinical use through EHR-compatible dashboards for remote monitoring and combining lifestyle with medical data.</w:t>
      </w:r>
    </w:p>
    <w:p w14:paraId="0CCE0356" w14:textId="77777777" w:rsidR="005F3F34" w:rsidRDefault="005F3F34">
      <w:pPr>
        <w:spacing w:line="259" w:lineRule="auto"/>
        <w:jc w:val="left"/>
      </w:pPr>
      <w:r>
        <w:br w:type="page"/>
      </w:r>
    </w:p>
    <w:p w14:paraId="548DA51E" w14:textId="0975F1E8" w:rsidR="005F3F34" w:rsidRDefault="005F3F34" w:rsidP="00C510B0">
      <w:pPr>
        <w:pStyle w:val="Heading1"/>
      </w:pPr>
      <w:r>
        <w:lastRenderedPageBreak/>
        <w:t>References</w:t>
      </w:r>
    </w:p>
    <w:p w14:paraId="4A5216F1" w14:textId="77777777" w:rsidR="005F3F34" w:rsidRDefault="005F3F34" w:rsidP="005F3F34">
      <w:pPr>
        <w:rPr>
          <w:rFonts w:ascii="Times New Roman" w:hAnsi="Times New Roman"/>
        </w:rPr>
      </w:pPr>
      <w:r>
        <w:t xml:space="preserve">Ahmed, S.K. and Mohammed, R.A. (2025). Obesity: Prevalence, causes, consequences, management, preventive strategies and future research directions. </w:t>
      </w:r>
      <w:r>
        <w:rPr>
          <w:i/>
          <w:iCs/>
        </w:rPr>
        <w:t>Metabolism Open</w:t>
      </w:r>
      <w:r>
        <w:t>, [online] 27, p.100375. doi: https://doi.org/10.1016/j.metop.2025.100375.</w:t>
      </w:r>
    </w:p>
    <w:p w14:paraId="4A470786" w14:textId="77777777" w:rsidR="005F3F34" w:rsidRDefault="005F3F34" w:rsidP="005F3F34">
      <w:proofErr w:type="spellStart"/>
      <w:r>
        <w:t>Janić</w:t>
      </w:r>
      <w:proofErr w:type="spellEnd"/>
      <w:r>
        <w:t xml:space="preserve">, M., </w:t>
      </w:r>
      <w:proofErr w:type="spellStart"/>
      <w:r>
        <w:t>Janež</w:t>
      </w:r>
      <w:proofErr w:type="spellEnd"/>
      <w:r>
        <w:t>, A., El-</w:t>
      </w:r>
      <w:proofErr w:type="spellStart"/>
      <w:r>
        <w:t>Tanani</w:t>
      </w:r>
      <w:proofErr w:type="spellEnd"/>
      <w:r>
        <w:t xml:space="preserve">, M. and Rizzo, M. (2025). Obesity: Recent Advances and Future Perspectives. </w:t>
      </w:r>
      <w:r>
        <w:rPr>
          <w:i/>
          <w:iCs/>
        </w:rPr>
        <w:t>Biomedicines</w:t>
      </w:r>
      <w:r>
        <w:t>, [online] 13(2), p.368. doi: https://doi.org/10.3390/biomedicines13020368.</w:t>
      </w:r>
    </w:p>
    <w:p w14:paraId="21F86FB5" w14:textId="77777777" w:rsidR="005F3F34" w:rsidRDefault="005F3F34" w:rsidP="005F3F34">
      <w:r>
        <w:t xml:space="preserve">McDonough, D.J., </w:t>
      </w:r>
      <w:proofErr w:type="spellStart"/>
      <w:r>
        <w:t>Su</w:t>
      </w:r>
      <w:proofErr w:type="spellEnd"/>
      <w:r>
        <w:t xml:space="preserve">, X. and Gao, Z. (2021). Health wearable devices for weight and BMI reduction in individuals with overweight/obesity and chronic comorbidities: systematic review and network meta-analysis. </w:t>
      </w:r>
      <w:r>
        <w:rPr>
          <w:i/>
          <w:iCs/>
        </w:rPr>
        <w:t>British Journal of Sports Medicine</w:t>
      </w:r>
      <w:r>
        <w:t>, 55(16), pp.917–925. doi: https://doi.org/10.1136/bjsports-2020-103594.</w:t>
      </w:r>
    </w:p>
    <w:p w14:paraId="52E225EE" w14:textId="77777777" w:rsidR="005F3F34" w:rsidRDefault="005F3F34" w:rsidP="005F3F34">
      <w:proofErr w:type="spellStart"/>
      <w:r>
        <w:t>O’neil</w:t>
      </w:r>
      <w:proofErr w:type="spellEnd"/>
      <w:r>
        <w:t xml:space="preserve">, I. (2019). </w:t>
      </w:r>
      <w:r>
        <w:rPr>
          <w:i/>
          <w:iCs/>
        </w:rPr>
        <w:t xml:space="preserve">Digital health </w:t>
      </w:r>
      <w:proofErr w:type="gramStart"/>
      <w:r>
        <w:rPr>
          <w:i/>
          <w:iCs/>
        </w:rPr>
        <w:t>promotion :</w:t>
      </w:r>
      <w:proofErr w:type="gramEnd"/>
      <w:r>
        <w:rPr>
          <w:i/>
          <w:iCs/>
        </w:rPr>
        <w:t xml:space="preserve"> a critical introduction</w:t>
      </w:r>
      <w:r>
        <w:t xml:space="preserve">. Cambridge, </w:t>
      </w:r>
      <w:proofErr w:type="spellStart"/>
      <w:proofErr w:type="gramStart"/>
      <w:r>
        <w:t>Uk</w:t>
      </w:r>
      <w:proofErr w:type="spellEnd"/>
      <w:r>
        <w:t xml:space="preserve"> ;</w:t>
      </w:r>
      <w:proofErr w:type="gramEnd"/>
      <w:r>
        <w:t xml:space="preserve"> Medford, Ma Polity.</w:t>
      </w:r>
    </w:p>
    <w:p w14:paraId="48D5F79F" w14:textId="77777777" w:rsidR="005F3F34" w:rsidRDefault="005F3F34" w:rsidP="005F3F34">
      <w:proofErr w:type="spellStart"/>
      <w:r>
        <w:t>Ringeval</w:t>
      </w:r>
      <w:proofErr w:type="spellEnd"/>
      <w:r>
        <w:t xml:space="preserve">, M., Wagner, G., </w:t>
      </w:r>
      <w:proofErr w:type="spellStart"/>
      <w:r>
        <w:t>Denford</w:t>
      </w:r>
      <w:proofErr w:type="spellEnd"/>
      <w:r>
        <w:t xml:space="preserve">, J., </w:t>
      </w:r>
      <w:proofErr w:type="spellStart"/>
      <w:r>
        <w:t>Paré</w:t>
      </w:r>
      <w:proofErr w:type="spellEnd"/>
      <w:r>
        <w:t xml:space="preserve">, G. and </w:t>
      </w:r>
      <w:proofErr w:type="spellStart"/>
      <w:r>
        <w:t>Kitsiou</w:t>
      </w:r>
      <w:proofErr w:type="spellEnd"/>
      <w:r>
        <w:t xml:space="preserve">, S. (2020). Fitbit-Based Interventions for Healthy Lifestyle Outcomes: Systematic Review and Meta-Analysis. </w:t>
      </w:r>
      <w:r>
        <w:rPr>
          <w:i/>
          <w:iCs/>
        </w:rPr>
        <w:t>Journal of Medical Internet Research</w:t>
      </w:r>
      <w:r>
        <w:t>, [online] 22(10), p.e23954. doi: https://doi.org/10.2196/23954.</w:t>
      </w:r>
    </w:p>
    <w:p w14:paraId="538978A2" w14:textId="77777777" w:rsidR="005F3F34" w:rsidRDefault="005F3F34" w:rsidP="005F3F34">
      <w:r>
        <w:t xml:space="preserve">Salam, M.M., Yousuf, R., Salam, M.W. and Haque, M. (2023). Obesity and Overweight: A Global Public Health Issue. </w:t>
      </w:r>
      <w:r>
        <w:rPr>
          <w:i/>
          <w:iCs/>
        </w:rPr>
        <w:t>Advances in Human Biology</w:t>
      </w:r>
      <w:r>
        <w:t>, [online] 13(1), p.154. doi: https://doi.org/10.4103/aihb.aihb_106_22.</w:t>
      </w:r>
    </w:p>
    <w:p w14:paraId="5BE5D1F1" w14:textId="77777777" w:rsidR="005F3F34" w:rsidRDefault="005F3F34" w:rsidP="005F3F34">
      <w:r>
        <w:t xml:space="preserve">World Health Organization (2025). </w:t>
      </w:r>
      <w:r>
        <w:rPr>
          <w:i/>
          <w:iCs/>
        </w:rPr>
        <w:t>Obesity and Overweight</w:t>
      </w:r>
      <w:r>
        <w:t>. [online] World Health Organization. Available at: https://www.who.int/news-room/fact-sheets/detail/obesity-and-overweight.</w:t>
      </w:r>
    </w:p>
    <w:p w14:paraId="577BD47B" w14:textId="3D03C447" w:rsidR="005F3F34" w:rsidRDefault="005F3F34">
      <w:pPr>
        <w:spacing w:line="259" w:lineRule="auto"/>
        <w:jc w:val="left"/>
      </w:pPr>
      <w:r>
        <w:br w:type="page"/>
      </w:r>
    </w:p>
    <w:p w14:paraId="6D98B057" w14:textId="4B370760" w:rsidR="005F3F34" w:rsidRPr="000D2CCF" w:rsidRDefault="005F3F34" w:rsidP="005F3F34">
      <w:pPr>
        <w:jc w:val="center"/>
        <w:rPr>
          <w:b/>
          <w:bCs/>
          <w:color w:val="FFFFFF" w:themeColor="background1"/>
          <w:sz w:val="24"/>
          <w:szCs w:val="24"/>
        </w:rPr>
      </w:pPr>
      <w:r w:rsidRPr="000D2CCF">
        <w:rPr>
          <w:b/>
          <w:bCs/>
          <w:color w:val="FFFFFF" w:themeColor="background1"/>
          <w:sz w:val="24"/>
          <w:szCs w:val="24"/>
          <w:highlight w:val="black"/>
        </w:rPr>
        <w:lastRenderedPageBreak/>
        <w:t>Blog 2 – “</w:t>
      </w:r>
      <w:proofErr w:type="spellStart"/>
      <w:r w:rsidR="000D2CCF" w:rsidRPr="000D2CCF">
        <w:rPr>
          <w:b/>
          <w:bCs/>
          <w:color w:val="FFFFFF" w:themeColor="background1"/>
          <w:sz w:val="24"/>
          <w:szCs w:val="24"/>
          <w:highlight w:val="black"/>
        </w:rPr>
        <w:t>NutriGuide</w:t>
      </w:r>
      <w:proofErr w:type="spellEnd"/>
      <w:r w:rsidR="000D2CCF" w:rsidRPr="000D2CCF">
        <w:rPr>
          <w:b/>
          <w:bCs/>
          <w:color w:val="FFFFFF" w:themeColor="background1"/>
          <w:sz w:val="24"/>
          <w:szCs w:val="24"/>
          <w:highlight w:val="black"/>
        </w:rPr>
        <w:t xml:space="preserve"> AI: A New Approach to Digital Health Promotion in Obesity Prevention</w:t>
      </w:r>
      <w:r w:rsidRPr="000D2CCF">
        <w:rPr>
          <w:b/>
          <w:bCs/>
          <w:color w:val="FFFFFF" w:themeColor="background1"/>
          <w:sz w:val="24"/>
          <w:szCs w:val="24"/>
          <w:highlight w:val="black"/>
        </w:rPr>
        <w:t>”</w:t>
      </w:r>
    </w:p>
    <w:p w14:paraId="38C1AC4C" w14:textId="404D29B8" w:rsidR="005F3F34" w:rsidRDefault="000D2CCF" w:rsidP="000D2CCF">
      <w:pPr>
        <w:pStyle w:val="Heading2"/>
      </w:pPr>
      <w:r w:rsidRPr="000D2CCF">
        <w:t xml:space="preserve">The reason why obesity continues to </w:t>
      </w:r>
      <w:proofErr w:type="spellStart"/>
      <w:r w:rsidRPr="000D2CCF">
        <w:t>necess</w:t>
      </w:r>
      <w:proofErr w:type="spellEnd"/>
    </w:p>
    <w:p w14:paraId="6B4647CA" w14:textId="1C809A37" w:rsidR="000D2CCF" w:rsidRDefault="000D2CCF" w:rsidP="005F3F34">
      <w:r w:rsidRPr="000D2CCF">
        <w:t>Obesity rates have increased thrice, with forecasts suggesting that by 2035, over 1.9 billion adults</w:t>
      </w:r>
      <w:r>
        <w:t xml:space="preserve"> </w:t>
      </w:r>
      <w:r w:rsidRPr="000D2CCF">
        <w:t>about 25% of the global population</w:t>
      </w:r>
      <w:r>
        <w:t xml:space="preserve"> </w:t>
      </w:r>
      <w:r w:rsidRPr="000D2CCF">
        <w:t>will be impacted</w:t>
      </w:r>
      <w:r w:rsidR="00E82624">
        <w:t xml:space="preserve"> </w:t>
      </w:r>
      <w:r w:rsidR="00E82624" w:rsidRPr="00E82624">
        <w:t>(World Obesity Atlas, 2024)</w:t>
      </w:r>
      <w:r w:rsidR="00E82624">
        <w:t xml:space="preserve">. </w:t>
      </w:r>
      <w:r w:rsidR="00E82624" w:rsidRPr="00E82624">
        <w:t>Conventional trackers exhibit suboptimal performance in fostering long-term engagement and adapting to various cultural contexts, leaving several high-risk groups inadequately serviced (Partridge et al., 2024).</w:t>
      </w:r>
    </w:p>
    <w:p w14:paraId="77110655" w14:textId="77777777" w:rsidR="005C0738" w:rsidRPr="0054082C" w:rsidRDefault="005C0738" w:rsidP="005C0738">
      <w:pPr>
        <w:jc w:val="center"/>
        <w:rPr>
          <w:b/>
          <w:bCs/>
          <w:i/>
          <w:iCs/>
          <w:szCs w:val="20"/>
        </w:rPr>
      </w:pPr>
      <w:r w:rsidRPr="0054082C">
        <w:rPr>
          <w:b/>
          <w:bCs/>
          <w:i/>
          <w:iCs/>
          <w:noProof/>
          <w:szCs w:val="20"/>
        </w:rPr>
        <w:drawing>
          <wp:inline distT="0" distB="0" distL="0" distR="0" wp14:anchorId="4B3B0DDC" wp14:editId="338F82E5">
            <wp:extent cx="4089400" cy="2622550"/>
            <wp:effectExtent l="0" t="0" r="635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097188" cy="2627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2CDD84" w14:textId="77777777" w:rsidR="005C0738" w:rsidRPr="005C0738" w:rsidRDefault="005C0738" w:rsidP="005C0738">
      <w:pPr>
        <w:jc w:val="center"/>
        <w:rPr>
          <w:i/>
          <w:iCs/>
          <w:sz w:val="20"/>
          <w:szCs w:val="18"/>
        </w:rPr>
      </w:pPr>
      <w:r w:rsidRPr="005C0738">
        <w:rPr>
          <w:i/>
          <w:iCs/>
          <w:sz w:val="20"/>
          <w:szCs w:val="18"/>
        </w:rPr>
        <w:t>Source: (Statista, 2025)</w:t>
      </w:r>
    </w:p>
    <w:p w14:paraId="5516504A" w14:textId="77777777" w:rsidR="005C0738" w:rsidRDefault="005C0738" w:rsidP="005C0738">
      <w:pPr>
        <w:pStyle w:val="Heading2"/>
      </w:pPr>
      <w:r w:rsidRPr="0054082C">
        <w:t xml:space="preserve">Introducing </w:t>
      </w:r>
      <w:proofErr w:type="spellStart"/>
      <w:r w:rsidRPr="0054082C">
        <w:t>NutriGuide</w:t>
      </w:r>
      <w:proofErr w:type="spellEnd"/>
      <w:r w:rsidRPr="0054082C">
        <w:t xml:space="preserve"> AI</w:t>
      </w:r>
    </w:p>
    <w:p w14:paraId="0A617C38" w14:textId="77777777" w:rsidR="005C0738" w:rsidRDefault="005C0738" w:rsidP="005C0738">
      <w:r>
        <w:t xml:space="preserve">The digital platform </w:t>
      </w:r>
      <w:proofErr w:type="spellStart"/>
      <w:r>
        <w:t>NutriGuide</w:t>
      </w:r>
      <w:proofErr w:type="spellEnd"/>
      <w:r>
        <w:t xml:space="preserve"> AI brings together a multilingual chatbot, photo-based meal tracking, and syncing with different wearable devices. The system is built on three main parts:</w:t>
      </w:r>
    </w:p>
    <w:p w14:paraId="58E72205" w14:textId="5AA59CA2" w:rsidR="005C0738" w:rsidRDefault="005C0738" w:rsidP="005C0738">
      <w:pPr>
        <w:pStyle w:val="ListParagraph"/>
        <w:numPr>
          <w:ilvl w:val="0"/>
          <w:numId w:val="3"/>
        </w:numPr>
      </w:pPr>
      <w:r w:rsidRPr="005C0738">
        <w:rPr>
          <w:b/>
          <w:bCs/>
        </w:rPr>
        <w:t>Instant food recognition –</w:t>
      </w:r>
      <w:r>
        <w:t xml:space="preserve"> users take a photo; a smart model estimates portion size and nutrients with about 92% accuracy</w:t>
      </w:r>
      <w:r w:rsidR="00C510B0">
        <w:t xml:space="preserve"> </w:t>
      </w:r>
      <w:r w:rsidR="00C510B0" w:rsidRPr="00C510B0">
        <w:t>(Gustafson et al., 2025)</w:t>
      </w:r>
      <w:r>
        <w:t>.</w:t>
      </w:r>
    </w:p>
    <w:p w14:paraId="36110411" w14:textId="0BC4907F" w:rsidR="005C0738" w:rsidRDefault="005C0738" w:rsidP="005C0738">
      <w:pPr>
        <w:pStyle w:val="ListParagraph"/>
        <w:numPr>
          <w:ilvl w:val="0"/>
          <w:numId w:val="3"/>
        </w:numPr>
      </w:pPr>
      <w:r w:rsidRPr="005C0738">
        <w:rPr>
          <w:b/>
          <w:bCs/>
        </w:rPr>
        <w:t>Adaptive coaching –</w:t>
      </w:r>
      <w:r>
        <w:t xml:space="preserve"> a chatbot provides evidence-based and culturally relevant advice (e.g., suggesting baked plantain instead of fried in West Africa) (Oh et al., 2021).</w:t>
      </w:r>
    </w:p>
    <w:p w14:paraId="359B79D6" w14:textId="74D65171" w:rsidR="005C0738" w:rsidRDefault="005C0738" w:rsidP="005C0738">
      <w:pPr>
        <w:pStyle w:val="ListParagraph"/>
        <w:numPr>
          <w:ilvl w:val="0"/>
          <w:numId w:val="3"/>
        </w:numPr>
      </w:pPr>
      <w:r w:rsidRPr="005C0738">
        <w:rPr>
          <w:b/>
          <w:bCs/>
        </w:rPr>
        <w:t>Closed-loop biofeedback –</w:t>
      </w:r>
      <w:r>
        <w:t xml:space="preserve"> combines heart rate, sleep, and glucose data to adjust daily calorie needs.</w:t>
      </w:r>
    </w:p>
    <w:p w14:paraId="289DDA4A" w14:textId="77777777" w:rsidR="005C0738" w:rsidRDefault="005C0738" w:rsidP="005C0738">
      <w:pPr>
        <w:pStyle w:val="Heading2"/>
      </w:pPr>
      <w:r>
        <w:t>Health-promotion pathway</w:t>
      </w:r>
    </w:p>
    <w:p w14:paraId="19F90C64" w14:textId="481CA97C" w:rsidR="005C0738" w:rsidRDefault="005C0738" w:rsidP="005C0738">
      <w:pPr>
        <w:pStyle w:val="ListParagraph"/>
        <w:numPr>
          <w:ilvl w:val="0"/>
          <w:numId w:val="5"/>
        </w:numPr>
      </w:pPr>
      <w:r>
        <w:t>Outreach by community health workers enables the functionality of smartphones via the application and an inexpensive Bluetooth waist-scale (Irvin et al., 2023).</w:t>
      </w:r>
    </w:p>
    <w:p w14:paraId="4A0D27CE" w14:textId="6A85ABE0" w:rsidR="005C0738" w:rsidRDefault="005C0738" w:rsidP="005C0738">
      <w:pPr>
        <w:pStyle w:val="ListParagraph"/>
        <w:numPr>
          <w:ilvl w:val="0"/>
          <w:numId w:val="5"/>
        </w:numPr>
      </w:pPr>
      <w:r>
        <w:lastRenderedPageBreak/>
        <w:t>Weekly gamified challenges, such as the 5-a-day Quest, establish a societal norm for the eating of fruits and vegetables.</w:t>
      </w:r>
    </w:p>
    <w:p w14:paraId="2CB0032D" w14:textId="251F929C" w:rsidR="005C0738" w:rsidRDefault="005C0738" w:rsidP="005C0738">
      <w:pPr>
        <w:pStyle w:val="ListParagraph"/>
        <w:numPr>
          <w:ilvl w:val="0"/>
          <w:numId w:val="5"/>
        </w:numPr>
      </w:pPr>
      <w:r>
        <w:t>The Tele-dietitian site recognises users whose weight trends deviate by more than 2 kg from the goal and initiates a series of virtual consultations.</w:t>
      </w:r>
    </w:p>
    <w:p w14:paraId="7356C29D" w14:textId="77777777" w:rsidR="005C0738" w:rsidRDefault="005C0738" w:rsidP="005C0738">
      <w:pPr>
        <w:pStyle w:val="Heading2"/>
      </w:pPr>
      <w:r>
        <w:t>Projected impact</w:t>
      </w:r>
    </w:p>
    <w:p w14:paraId="4748232B" w14:textId="3A05DDA4" w:rsidR="005C0738" w:rsidRDefault="005C0738" w:rsidP="005C0738">
      <w:r>
        <w:t>Early simulation using Fitbit and CGM data suggests an average 1.5 kg/m² BMI reduction after 12 months, about twice as effective as basic calorie trackers (Hinchliffe et al., 2022). Personalised algorithms may also lower dropout rates by 30% by making tracking easier and more engaging.</w:t>
      </w:r>
    </w:p>
    <w:p w14:paraId="5E580C7C" w14:textId="77777777" w:rsidR="005C0738" w:rsidRDefault="005C0738" w:rsidP="005C0738">
      <w:pPr>
        <w:pStyle w:val="Heading2"/>
      </w:pPr>
      <w:r w:rsidRPr="000722C8">
        <w:t>Advantages</w:t>
      </w:r>
    </w:p>
    <w:p w14:paraId="78D067A5" w14:textId="46A71D1A" w:rsidR="005C0738" w:rsidRDefault="005C0738" w:rsidP="005C0738">
      <w:r w:rsidRPr="005C0738">
        <w:rPr>
          <w:b/>
          <w:bCs/>
        </w:rPr>
        <w:t>Equity-focused design —</w:t>
      </w:r>
      <w:r>
        <w:t xml:space="preserve"> offline recording option and SMS-based chatbot broaden accessibility to 2G devices.</w:t>
      </w:r>
    </w:p>
    <w:p w14:paraId="6E250C57" w14:textId="77777777" w:rsidR="005C0738" w:rsidRDefault="005C0738" w:rsidP="005C0738">
      <w:r w:rsidRPr="005C0738">
        <w:rPr>
          <w:b/>
          <w:bCs/>
        </w:rPr>
        <w:t>Holistic measurements</w:t>
      </w:r>
      <w:r>
        <w:t xml:space="preserve"> extend beyond caloric intake to include sleep deprivation and stress indicators, recognising the multifaceted nature of obesity.</w:t>
      </w:r>
    </w:p>
    <w:p w14:paraId="17FB1E31" w14:textId="141451CE" w:rsidR="005C0738" w:rsidRDefault="005C0738" w:rsidP="005C0738">
      <w:r w:rsidRPr="005C0738">
        <w:rPr>
          <w:b/>
          <w:bCs/>
        </w:rPr>
        <w:t>Federated privacy —</w:t>
      </w:r>
      <w:r>
        <w:t xml:space="preserve"> on-device model training reduces personal data exposure.</w:t>
      </w:r>
    </w:p>
    <w:p w14:paraId="0E14A4F6" w14:textId="361276C7" w:rsidR="005C0738" w:rsidRDefault="005C0738" w:rsidP="005C0738">
      <w:r w:rsidRPr="005C0738">
        <w:rPr>
          <w:b/>
          <w:bCs/>
        </w:rPr>
        <w:t>The clinical validation loop</w:t>
      </w:r>
      <w:r>
        <w:t>, an open-science architecture, disseminates anonymised effectiveness dashboards.</w:t>
      </w:r>
    </w:p>
    <w:p w14:paraId="672CD0D7" w14:textId="0C8FF725" w:rsidR="00C510B0" w:rsidRDefault="00C510B0" w:rsidP="00C510B0">
      <w:pPr>
        <w:pStyle w:val="Heading2"/>
      </w:pPr>
      <w:r>
        <w:t>Possible disadvantages</w:t>
      </w:r>
    </w:p>
    <w:p w14:paraId="77BADA32" w14:textId="0A090C81" w:rsidR="00C510B0" w:rsidRDefault="00C510B0" w:rsidP="00C510B0">
      <w:r w:rsidRPr="00C510B0">
        <w:rPr>
          <w:b/>
          <w:bCs/>
        </w:rPr>
        <w:t>Algorithmic bias</w:t>
      </w:r>
      <w:r>
        <w:t xml:space="preserve"> in food identification may lead to the misclassification of regional foods, perhaps resulting in erroneous recommendations.</w:t>
      </w:r>
    </w:p>
    <w:p w14:paraId="17C80DD0" w14:textId="6AFEB85C" w:rsidR="00C510B0" w:rsidRDefault="00C510B0" w:rsidP="00C510B0">
      <w:r w:rsidRPr="00C510B0">
        <w:rPr>
          <w:b/>
          <w:bCs/>
        </w:rPr>
        <w:t>Device dependence</w:t>
      </w:r>
      <w:r>
        <w:t xml:space="preserve"> optional continuous glucose monitors or smartwatches incur additional expenses.</w:t>
      </w:r>
    </w:p>
    <w:p w14:paraId="7D638928" w14:textId="14716438" w:rsidR="005C0738" w:rsidRDefault="00C510B0" w:rsidP="00C510B0">
      <w:r w:rsidRPr="00C510B0">
        <w:rPr>
          <w:b/>
          <w:bCs/>
        </w:rPr>
        <w:t>Behavioural overload</w:t>
      </w:r>
      <w:r>
        <w:t xml:space="preserve"> an excess of notifications may lead to disengagement.</w:t>
      </w:r>
    </w:p>
    <w:p w14:paraId="25165F34" w14:textId="7B6A8DF9" w:rsidR="00C510B0" w:rsidRDefault="00C510B0" w:rsidP="00C510B0">
      <w:pPr>
        <w:pStyle w:val="Heading2"/>
      </w:pPr>
      <w:r>
        <w:t>Alleviating challenges</w:t>
      </w:r>
    </w:p>
    <w:p w14:paraId="0560A65C" w14:textId="793E4955" w:rsidR="00C510B0" w:rsidRDefault="00C510B0" w:rsidP="00C510B0">
      <w:pPr>
        <w:pStyle w:val="ListParagraph"/>
        <w:numPr>
          <w:ilvl w:val="0"/>
          <w:numId w:val="6"/>
        </w:numPr>
      </w:pPr>
      <w:r>
        <w:t xml:space="preserve">Collaborate with regional institutions to assemble food picture datasets and enhance model accuracy in under-represented cuisines </w:t>
      </w:r>
      <w:r w:rsidRPr="00C510B0">
        <w:t>(Gustafson et al., 2025)</w:t>
      </w:r>
      <w:r>
        <w:t>.</w:t>
      </w:r>
    </w:p>
    <w:p w14:paraId="503F045F" w14:textId="36BE9959" w:rsidR="00C510B0" w:rsidRDefault="00C510B0" w:rsidP="00C510B0">
      <w:pPr>
        <w:pStyle w:val="ListParagraph"/>
        <w:numPr>
          <w:ilvl w:val="0"/>
          <w:numId w:val="6"/>
        </w:numPr>
      </w:pPr>
      <w:r>
        <w:t>Implement alert-throttling algorithms that adapt to user preferences to mitigate notification fatigue.</w:t>
      </w:r>
    </w:p>
    <w:p w14:paraId="7E557CD6" w14:textId="490DC219" w:rsidR="00C510B0" w:rsidRDefault="00C510B0" w:rsidP="00C510B0">
      <w:pPr>
        <w:pStyle w:val="ListParagraph"/>
        <w:numPr>
          <w:ilvl w:val="0"/>
          <w:numId w:val="6"/>
        </w:numPr>
      </w:pPr>
      <w:r>
        <w:t>Offer tiered hardware options: basic (phone only), plus (phone + additional phone), pro (phone + additional phone + wearable) to accommodate various budgets.</w:t>
      </w:r>
    </w:p>
    <w:p w14:paraId="3E38677A" w14:textId="2FDC1FF6" w:rsidR="00C510B0" w:rsidRDefault="00C510B0" w:rsidP="00C510B0">
      <w:pPr>
        <w:pStyle w:val="ListParagraph"/>
        <w:numPr>
          <w:ilvl w:val="0"/>
          <w:numId w:val="6"/>
        </w:numPr>
      </w:pPr>
      <w:r>
        <w:t>Engage regulators promptly via sandbox pilots collaboratively created with health ministries to facilitate approval (Partridge et al., 2024).</w:t>
      </w:r>
    </w:p>
    <w:p w14:paraId="2AC2E2E8" w14:textId="78510831" w:rsidR="00C510B0" w:rsidRDefault="00C510B0" w:rsidP="00C510B0">
      <w:pPr>
        <w:pStyle w:val="Heading1"/>
      </w:pPr>
      <w:r>
        <w:lastRenderedPageBreak/>
        <w:t>References</w:t>
      </w:r>
    </w:p>
    <w:p w14:paraId="2593D1DD" w14:textId="77777777" w:rsidR="00C510B0" w:rsidRDefault="00C510B0" w:rsidP="00C510B0">
      <w:pPr>
        <w:rPr>
          <w:rFonts w:ascii="Times New Roman" w:hAnsi="Times New Roman"/>
        </w:rPr>
      </w:pPr>
      <w:r>
        <w:t xml:space="preserve">Gustafson, D., Rothenberg, E., </w:t>
      </w:r>
      <w:proofErr w:type="spellStart"/>
      <w:r>
        <w:t>Steingrimsson</w:t>
      </w:r>
      <w:proofErr w:type="spellEnd"/>
      <w:r>
        <w:t xml:space="preserve">, S., Carlsen, H.K., </w:t>
      </w:r>
      <w:proofErr w:type="spellStart"/>
      <w:r>
        <w:t>Belloni</w:t>
      </w:r>
      <w:proofErr w:type="spellEnd"/>
      <w:r>
        <w:t xml:space="preserve">, F., </w:t>
      </w:r>
      <w:proofErr w:type="spellStart"/>
      <w:r>
        <w:t>Eruvuri</w:t>
      </w:r>
      <w:proofErr w:type="spellEnd"/>
      <w:r>
        <w:t xml:space="preserve">, N., </w:t>
      </w:r>
      <w:proofErr w:type="spellStart"/>
      <w:r>
        <w:t>Knez</w:t>
      </w:r>
      <w:proofErr w:type="spellEnd"/>
      <w:r>
        <w:t xml:space="preserve">, R., Olsson, E., Burk, R.D., Cena, H., De Giuseppe, R. and </w:t>
      </w:r>
      <w:proofErr w:type="spellStart"/>
      <w:r>
        <w:t>Tognon</w:t>
      </w:r>
      <w:proofErr w:type="spellEnd"/>
      <w:r>
        <w:t xml:space="preserve">, G. (2025). Exploring the interplay between diet, obesity, mental health, and the gut microbiota: the MIND-GUT intervention study, study protocol. </w:t>
      </w:r>
      <w:r>
        <w:rPr>
          <w:i/>
          <w:iCs/>
        </w:rPr>
        <w:t>Frontiers in nutrition</w:t>
      </w:r>
      <w:r>
        <w:t>, [online] 12, p.1703255. doi: https://doi.org/10.3389/fnut.2025.1703255.</w:t>
      </w:r>
    </w:p>
    <w:p w14:paraId="32E6CE1F" w14:textId="77777777" w:rsidR="00C510B0" w:rsidRDefault="00C510B0" w:rsidP="00C510B0">
      <w:r w:rsidRPr="00A07935">
        <w:t xml:space="preserve">Hinchliffe, N., </w:t>
      </w:r>
      <w:proofErr w:type="spellStart"/>
      <w:r w:rsidRPr="00A07935">
        <w:t>Capehorn</w:t>
      </w:r>
      <w:proofErr w:type="spellEnd"/>
      <w:r w:rsidRPr="00A07935">
        <w:t xml:space="preserve">, M.S., </w:t>
      </w:r>
      <w:proofErr w:type="spellStart"/>
      <w:r w:rsidRPr="00A07935">
        <w:t>Bewick</w:t>
      </w:r>
      <w:proofErr w:type="spellEnd"/>
      <w:r w:rsidRPr="00A07935">
        <w:t xml:space="preserve">, M. and </w:t>
      </w:r>
      <w:proofErr w:type="spellStart"/>
      <w:r w:rsidRPr="00A07935">
        <w:t>Feenie</w:t>
      </w:r>
      <w:proofErr w:type="spellEnd"/>
      <w:r w:rsidRPr="00A07935">
        <w:t>, J.</w:t>
      </w:r>
      <w:r>
        <w:t xml:space="preserve"> (</w:t>
      </w:r>
      <w:r w:rsidRPr="00A07935">
        <w:t>2022</w:t>
      </w:r>
      <w:r>
        <w:t>)</w:t>
      </w:r>
      <w:r w:rsidRPr="00A07935">
        <w:t>. The potential role of digital health in obesity care. Advances in Therapy, 39(10), pp.4397-4412.</w:t>
      </w:r>
    </w:p>
    <w:p w14:paraId="5B7E5600" w14:textId="77777777" w:rsidR="00C510B0" w:rsidRDefault="00C510B0" w:rsidP="00C510B0">
      <w:r w:rsidRPr="00A07935">
        <w:t>Irvin, L., Madden, L.A., Marshall, P. and Vince, R.V.</w:t>
      </w:r>
      <w:r>
        <w:t xml:space="preserve"> (</w:t>
      </w:r>
      <w:r w:rsidRPr="00A07935">
        <w:t>2023</w:t>
      </w:r>
      <w:r>
        <w:t>)</w:t>
      </w:r>
      <w:r w:rsidRPr="00A07935">
        <w:t>. Digital health solutions for weight loss and obesity: A narrative review. Nutrients, 15(8), p.1858.</w:t>
      </w:r>
    </w:p>
    <w:p w14:paraId="18B61691" w14:textId="77777777" w:rsidR="00C510B0" w:rsidRDefault="00C510B0" w:rsidP="00C510B0">
      <w:r w:rsidRPr="00A07935">
        <w:t>Oh, Y.J., Zhang, J., Fang, M.L. and Fukuoka, Y.</w:t>
      </w:r>
      <w:r>
        <w:t xml:space="preserve"> (</w:t>
      </w:r>
      <w:r w:rsidRPr="00A07935">
        <w:t>2021</w:t>
      </w:r>
      <w:r>
        <w:t>)</w:t>
      </w:r>
      <w:r w:rsidRPr="00A07935">
        <w:t xml:space="preserve">. A systematic review of artificial intelligence chatbots for promoting physical activity, healthy diet, and weight loss. International Journal of </w:t>
      </w:r>
      <w:proofErr w:type="spellStart"/>
      <w:r w:rsidRPr="00A07935">
        <w:t>Behavioral</w:t>
      </w:r>
      <w:proofErr w:type="spellEnd"/>
      <w:r w:rsidRPr="00A07935">
        <w:t xml:space="preserve"> Nutrition and Physical Activity, 18(1), p.160.</w:t>
      </w:r>
    </w:p>
    <w:p w14:paraId="1C8C86FA" w14:textId="77777777" w:rsidR="00C510B0" w:rsidRDefault="00C510B0" w:rsidP="00C510B0">
      <w:r w:rsidRPr="00A07935">
        <w:t>Partridge, S.R., Knight, A., Todd, A., McGill, B., Wardak, S., Alston, L., Livingstone, K.M., Singleton, A., Thornton, L., Jia, S. and Redfern, J.</w:t>
      </w:r>
      <w:r>
        <w:t xml:space="preserve"> (</w:t>
      </w:r>
      <w:r w:rsidRPr="00A07935">
        <w:t>2024</w:t>
      </w:r>
      <w:r>
        <w:t>)</w:t>
      </w:r>
      <w:r w:rsidRPr="00A07935">
        <w:t>. Addressing disparities: A systematic review of digital health equity for adolescent obesity prevention and management interventions. Obesity Reviews, 25(12), p.e13821.</w:t>
      </w:r>
    </w:p>
    <w:p w14:paraId="5622F78A" w14:textId="77777777" w:rsidR="00C510B0" w:rsidRDefault="00C510B0" w:rsidP="00C510B0">
      <w:pPr>
        <w:rPr>
          <w:rFonts w:ascii="Times New Roman" w:hAnsi="Times New Roman"/>
        </w:rPr>
      </w:pPr>
      <w:r>
        <w:t xml:space="preserve">Statista (2025). </w:t>
      </w:r>
      <w:r>
        <w:rPr>
          <w:i/>
          <w:iCs/>
        </w:rPr>
        <w:t>Share of overweight or obese people forecasts worldwide 2035</w:t>
      </w:r>
      <w:r>
        <w:t>. [online] Statista. Available at: https://www.statista.com/statistics/1386143/percentage-of-overweight-or-obese-people-worldwide-forecasts/.</w:t>
      </w:r>
    </w:p>
    <w:p w14:paraId="167F575B" w14:textId="77777777" w:rsidR="00C510B0" w:rsidRDefault="00C510B0" w:rsidP="00C510B0">
      <w:r>
        <w:t xml:space="preserve">World Obesity Atlas (2024). </w:t>
      </w:r>
      <w:r>
        <w:rPr>
          <w:i/>
          <w:iCs/>
        </w:rPr>
        <w:t>World Obesity Atlas 2024: No area of the world is immune from the effects of obesity</w:t>
      </w:r>
      <w:r>
        <w:t>. [online] World Obesity Federation. Available at: https://www.worldobesity.org/news/world-obesity-atlas-2024.</w:t>
      </w:r>
    </w:p>
    <w:p w14:paraId="0904CE94" w14:textId="77777777" w:rsidR="00C510B0" w:rsidRDefault="00C510B0" w:rsidP="00C510B0"/>
    <w:p w14:paraId="2384BB4E" w14:textId="77777777" w:rsidR="005C0738" w:rsidRDefault="005C0738" w:rsidP="005C0738"/>
    <w:p w14:paraId="0C3A18B3" w14:textId="77777777" w:rsidR="000D2CCF" w:rsidRDefault="000D2CCF" w:rsidP="005F3F34"/>
    <w:sectPr w:rsidR="000D2CCF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4A6DDC" w14:textId="77777777" w:rsidR="00D33507" w:rsidRDefault="00D33507" w:rsidP="00C510B0">
      <w:pPr>
        <w:spacing w:after="0" w:line="240" w:lineRule="auto"/>
      </w:pPr>
      <w:r>
        <w:separator/>
      </w:r>
    </w:p>
  </w:endnote>
  <w:endnote w:type="continuationSeparator" w:id="0">
    <w:p w14:paraId="1A740072" w14:textId="77777777" w:rsidR="00D33507" w:rsidRDefault="00D33507" w:rsidP="00C510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2740398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70FA05AD" w14:textId="42EFDB06" w:rsidR="00C510B0" w:rsidRDefault="00C510B0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52050F5D" w14:textId="77777777" w:rsidR="00C510B0" w:rsidRDefault="00C510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87EE45" w14:textId="77777777" w:rsidR="00D33507" w:rsidRDefault="00D33507" w:rsidP="00C510B0">
      <w:pPr>
        <w:spacing w:after="0" w:line="240" w:lineRule="auto"/>
      </w:pPr>
      <w:r>
        <w:separator/>
      </w:r>
    </w:p>
  </w:footnote>
  <w:footnote w:type="continuationSeparator" w:id="0">
    <w:p w14:paraId="249CACF4" w14:textId="77777777" w:rsidR="00D33507" w:rsidRDefault="00D33507" w:rsidP="00C510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0.5pt;height:10.5pt" o:bullet="t">
        <v:imagedata r:id="rId1" o:title="msoA973"/>
      </v:shape>
    </w:pict>
  </w:numPicBullet>
  <w:abstractNum w:abstractNumId="0" w15:restartNumberingAfterBreak="0">
    <w:nsid w:val="02300AA6"/>
    <w:multiLevelType w:val="hybridMultilevel"/>
    <w:tmpl w:val="5ECC43D4"/>
    <w:lvl w:ilvl="0" w:tplc="4C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BB7361"/>
    <w:multiLevelType w:val="hybridMultilevel"/>
    <w:tmpl w:val="2EFE0B9C"/>
    <w:lvl w:ilvl="0" w:tplc="4C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B81757"/>
    <w:multiLevelType w:val="hybridMultilevel"/>
    <w:tmpl w:val="52109646"/>
    <w:lvl w:ilvl="0" w:tplc="4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DE3EDF"/>
    <w:multiLevelType w:val="hybridMultilevel"/>
    <w:tmpl w:val="76007CD4"/>
    <w:lvl w:ilvl="0" w:tplc="4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79247D"/>
    <w:multiLevelType w:val="hybridMultilevel"/>
    <w:tmpl w:val="20DCF45A"/>
    <w:lvl w:ilvl="0" w:tplc="4C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ED5CA1"/>
    <w:multiLevelType w:val="hybridMultilevel"/>
    <w:tmpl w:val="9306E446"/>
    <w:lvl w:ilvl="0" w:tplc="4C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A3A"/>
    <w:rsid w:val="000D2CCF"/>
    <w:rsid w:val="003B6A2C"/>
    <w:rsid w:val="005C0738"/>
    <w:rsid w:val="005F3F34"/>
    <w:rsid w:val="006B79BA"/>
    <w:rsid w:val="00763592"/>
    <w:rsid w:val="00815430"/>
    <w:rsid w:val="009109B0"/>
    <w:rsid w:val="00955F96"/>
    <w:rsid w:val="00A27318"/>
    <w:rsid w:val="00A74A3A"/>
    <w:rsid w:val="00C12E49"/>
    <w:rsid w:val="00C510B0"/>
    <w:rsid w:val="00C65BA9"/>
    <w:rsid w:val="00D33507"/>
    <w:rsid w:val="00E537C9"/>
    <w:rsid w:val="00E82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CB2F2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4A3A"/>
    <w:pPr>
      <w:spacing w:line="360" w:lineRule="auto"/>
      <w:jc w:val="both"/>
    </w:pPr>
    <w:rPr>
      <w:rFonts w:ascii="Arial" w:hAnsi="Arial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C510B0"/>
    <w:pPr>
      <w:keepNext/>
      <w:keepLines/>
      <w:spacing w:before="240" w:after="0"/>
      <w:outlineLvl w:val="0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5F3F34"/>
    <w:pPr>
      <w:keepNext/>
      <w:keepLines/>
      <w:spacing w:before="40" w:after="0"/>
      <w:outlineLvl w:val="1"/>
    </w:pPr>
    <w:rPr>
      <w:rFonts w:eastAsiaTheme="majorEastAsia" w:cstheme="majorBidi"/>
      <w:color w:val="ED7D31" w:themeColor="accent2"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F3F34"/>
    <w:rPr>
      <w:rFonts w:ascii="Arial" w:eastAsiaTheme="majorEastAsia" w:hAnsi="Arial" w:cstheme="majorBidi"/>
      <w:color w:val="ED7D31" w:themeColor="accent2"/>
      <w:sz w:val="28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C510B0"/>
    <w:rPr>
      <w:rFonts w:ascii="Arial" w:eastAsiaTheme="majorEastAsia" w:hAnsi="Arial" w:cstheme="majorBidi"/>
      <w:color w:val="2F5496" w:themeColor="accent1" w:themeShade="BF"/>
      <w:sz w:val="32"/>
      <w:szCs w:val="32"/>
    </w:rPr>
  </w:style>
  <w:style w:type="table" w:styleId="GridTable4-Accent6">
    <w:name w:val="Grid Table 4 Accent 6"/>
    <w:basedOn w:val="TableNormal"/>
    <w:uiPriority w:val="49"/>
    <w:rsid w:val="00A74A3A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">
    <w:name w:val="Grid Table 4"/>
    <w:basedOn w:val="TableNormal"/>
    <w:uiPriority w:val="49"/>
    <w:rsid w:val="00A74A3A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6B79B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79B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F3F3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F3F3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C510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10B0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C510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10B0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715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8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64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5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blog.myfitnesspal.com/11-things-youll-learn-start-counting-calories-mfp/?_gl=1*hriht*_ga*MjEzNzIxMDI5MS4xNzc0Nzc4NzAx*_ga_VG80VV73C6*czE3NzQ3Nzg3MDEkbzEkZzAkdDE3NzQ3Nzg3MDEkajYwJGwwJGgw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1578</Words>
  <Characters>8997</Characters>
  <Application>Microsoft Office Word</Application>
  <DocSecurity>0</DocSecurity>
  <Lines>74</Lines>
  <Paragraphs>21</Paragraphs>
  <ScaleCrop>false</ScaleCrop>
  <Company/>
  <LinksUpToDate>false</LinksUpToDate>
  <CharactersWithSpaces>10554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2026-03-30T14:57:00Z</dcterms:created>
  <dcterms:modified xsi:type="dcterms:W3CDTF">2026-03-30T14:57:00Z</dcterms:modified>
</cp:coreProperties>
</file>