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3728F3" w14:textId="555331A5" w:rsidR="00F71DA9" w:rsidRPr="00DC43B4" w:rsidRDefault="00763BA6" w:rsidP="00615932">
      <w:pPr>
        <w:spacing w:line="360" w:lineRule="auto"/>
        <w:jc w:val="both"/>
        <w:rPr>
          <w:rFonts w:ascii="Arial" w:hAnsi="Arial" w:cs="Arial"/>
        </w:rPr>
      </w:pPr>
      <w:r w:rsidRPr="00DC43B4">
        <w:rPr>
          <w:rFonts w:ascii="Arial" w:hAnsi="Arial" w:cs="Arial"/>
        </w:rPr>
        <w:t xml:space="preserve">Name: </w:t>
      </w:r>
      <w:r w:rsidR="005D1B64" w:rsidRPr="00DC43B4">
        <w:rPr>
          <w:rFonts w:ascii="Arial" w:hAnsi="Arial" w:cs="Arial"/>
        </w:rPr>
        <w:t>Maymunah Akhtar</w:t>
      </w:r>
    </w:p>
    <w:p w14:paraId="02D71934" w14:textId="4D429FA9" w:rsidR="005D1B64" w:rsidRPr="00DC43B4" w:rsidRDefault="005D1B64" w:rsidP="00615932">
      <w:pPr>
        <w:spacing w:line="360" w:lineRule="auto"/>
        <w:jc w:val="both"/>
        <w:rPr>
          <w:rFonts w:ascii="Arial" w:hAnsi="Arial" w:cs="Arial"/>
        </w:rPr>
      </w:pPr>
      <w:r w:rsidRPr="00DC43B4">
        <w:rPr>
          <w:rFonts w:ascii="Arial" w:hAnsi="Arial" w:cs="Arial"/>
        </w:rPr>
        <w:t xml:space="preserve">Student Number: </w:t>
      </w:r>
      <w:r w:rsidR="004C11C5" w:rsidRPr="00DC43B4">
        <w:rPr>
          <w:rFonts w:ascii="Arial" w:hAnsi="Arial" w:cs="Arial"/>
        </w:rPr>
        <w:t>2433756</w:t>
      </w:r>
    </w:p>
    <w:p w14:paraId="1FBAF849" w14:textId="716B6023" w:rsidR="004C11C5" w:rsidRPr="00DC43B4" w:rsidRDefault="005E4410" w:rsidP="00615932">
      <w:pPr>
        <w:spacing w:line="360" w:lineRule="auto"/>
        <w:jc w:val="both"/>
        <w:rPr>
          <w:rFonts w:ascii="Arial" w:hAnsi="Arial" w:cs="Arial"/>
        </w:rPr>
      </w:pPr>
      <w:r w:rsidRPr="00DC43B4">
        <w:rPr>
          <w:rFonts w:ascii="Arial" w:hAnsi="Arial" w:cs="Arial"/>
        </w:rPr>
        <w:t>Module</w:t>
      </w:r>
      <w:r w:rsidR="004C11C5" w:rsidRPr="00DC43B4">
        <w:rPr>
          <w:rFonts w:ascii="Arial" w:hAnsi="Arial" w:cs="Arial"/>
        </w:rPr>
        <w:t xml:space="preserve"> Tit</w:t>
      </w:r>
      <w:r w:rsidRPr="00DC43B4">
        <w:rPr>
          <w:rFonts w:ascii="Arial" w:hAnsi="Arial" w:cs="Arial"/>
        </w:rPr>
        <w:t>l</w:t>
      </w:r>
      <w:r w:rsidR="004C11C5" w:rsidRPr="00DC43B4">
        <w:rPr>
          <w:rFonts w:ascii="Arial" w:hAnsi="Arial" w:cs="Arial"/>
        </w:rPr>
        <w:t>e</w:t>
      </w:r>
      <w:r w:rsidRPr="00DC43B4">
        <w:rPr>
          <w:rFonts w:ascii="Arial" w:hAnsi="Arial" w:cs="Arial"/>
        </w:rPr>
        <w:t xml:space="preserve">: </w:t>
      </w:r>
      <w:r w:rsidR="00D76679" w:rsidRPr="00DC43B4">
        <w:rPr>
          <w:rFonts w:ascii="Arial" w:hAnsi="Arial" w:cs="Arial"/>
        </w:rPr>
        <w:t>Principles of Health and Social</w:t>
      </w:r>
      <w:r w:rsidR="008C35E9" w:rsidRPr="00DC43B4">
        <w:rPr>
          <w:rFonts w:ascii="Arial" w:hAnsi="Arial" w:cs="Arial"/>
        </w:rPr>
        <w:t xml:space="preserve"> Care Practice </w:t>
      </w:r>
    </w:p>
    <w:p w14:paraId="6128985A" w14:textId="5463606A" w:rsidR="00E20A4C" w:rsidRPr="00DC43B4" w:rsidRDefault="00E20A4C" w:rsidP="00615932">
      <w:pPr>
        <w:spacing w:line="360" w:lineRule="auto"/>
        <w:jc w:val="both"/>
        <w:rPr>
          <w:rFonts w:ascii="Arial" w:hAnsi="Arial" w:cs="Arial"/>
        </w:rPr>
      </w:pPr>
      <w:r w:rsidRPr="00DC43B4">
        <w:rPr>
          <w:rFonts w:ascii="Arial" w:hAnsi="Arial" w:cs="Arial"/>
        </w:rPr>
        <w:t>Module Code: B</w:t>
      </w:r>
      <w:r w:rsidR="00DB3FFB" w:rsidRPr="00DC43B4">
        <w:rPr>
          <w:rFonts w:ascii="Arial" w:hAnsi="Arial" w:cs="Arial"/>
        </w:rPr>
        <w:t>MHP5016</w:t>
      </w:r>
    </w:p>
    <w:p w14:paraId="0810E574" w14:textId="4F167522" w:rsidR="00E20A4C" w:rsidRPr="00DC43B4" w:rsidRDefault="00E20A4C" w:rsidP="00615932">
      <w:pPr>
        <w:spacing w:line="360" w:lineRule="auto"/>
        <w:jc w:val="both"/>
        <w:rPr>
          <w:rFonts w:ascii="Arial" w:hAnsi="Arial" w:cs="Arial"/>
        </w:rPr>
      </w:pPr>
      <w:r w:rsidRPr="00DC43B4">
        <w:rPr>
          <w:rFonts w:ascii="Arial" w:hAnsi="Arial" w:cs="Arial"/>
        </w:rPr>
        <w:t>Assignment Title:</w:t>
      </w:r>
      <w:r w:rsidR="00DB3FFB" w:rsidRPr="00DC43B4">
        <w:rPr>
          <w:rFonts w:ascii="Arial" w:hAnsi="Arial" w:cs="Arial"/>
        </w:rPr>
        <w:t xml:space="preserve"> </w:t>
      </w:r>
      <w:r w:rsidR="007B2EF0" w:rsidRPr="00DC43B4">
        <w:rPr>
          <w:rFonts w:ascii="Arial" w:hAnsi="Arial" w:cs="Arial"/>
        </w:rPr>
        <w:t>Component 2</w:t>
      </w:r>
      <w:r w:rsidR="00B5441E" w:rsidRPr="00DC43B4">
        <w:rPr>
          <w:rFonts w:ascii="Arial" w:hAnsi="Arial" w:cs="Arial"/>
        </w:rPr>
        <w:t xml:space="preserve"> </w:t>
      </w:r>
      <w:r w:rsidR="007B2EF0" w:rsidRPr="00DC43B4">
        <w:rPr>
          <w:rFonts w:ascii="Arial" w:hAnsi="Arial" w:cs="Arial"/>
        </w:rPr>
        <w:t xml:space="preserve">- Written Assignment </w:t>
      </w:r>
      <w:r w:rsidR="00B5441E" w:rsidRPr="00DC43B4">
        <w:rPr>
          <w:rFonts w:ascii="Arial" w:hAnsi="Arial" w:cs="Arial"/>
        </w:rPr>
        <w:t>(Report)</w:t>
      </w:r>
    </w:p>
    <w:p w14:paraId="10CD4464" w14:textId="77777777" w:rsidR="00B5441E" w:rsidRPr="00DC43B4" w:rsidRDefault="00B5441E" w:rsidP="00615932">
      <w:pPr>
        <w:spacing w:line="360" w:lineRule="auto"/>
        <w:jc w:val="both"/>
        <w:rPr>
          <w:rFonts w:ascii="Arial" w:hAnsi="Arial" w:cs="Arial"/>
        </w:rPr>
      </w:pPr>
    </w:p>
    <w:p w14:paraId="5F51F75A" w14:textId="77777777" w:rsidR="00E20A4C" w:rsidRPr="00DC43B4" w:rsidRDefault="00E20A4C" w:rsidP="00615932">
      <w:pPr>
        <w:spacing w:line="360" w:lineRule="auto"/>
        <w:jc w:val="both"/>
        <w:rPr>
          <w:rFonts w:ascii="Arial" w:hAnsi="Arial" w:cs="Arial"/>
        </w:rPr>
      </w:pPr>
    </w:p>
    <w:p w14:paraId="3B7A0A5C" w14:textId="77777777" w:rsidR="00C816BB" w:rsidRPr="00C816BB" w:rsidRDefault="00C816BB" w:rsidP="002667EA">
      <w:pPr>
        <w:spacing w:line="360" w:lineRule="auto"/>
        <w:jc w:val="both"/>
        <w:rPr>
          <w:rFonts w:ascii="Arial" w:hAnsi="Arial" w:cs="Arial"/>
          <w:sz w:val="22"/>
          <w:szCs w:val="22"/>
        </w:rPr>
      </w:pPr>
    </w:p>
    <w:p w14:paraId="592EAF6F" w14:textId="77777777" w:rsidR="00C816BB" w:rsidRPr="007229EE" w:rsidRDefault="00C816BB" w:rsidP="002667EA">
      <w:pPr>
        <w:spacing w:line="360" w:lineRule="auto"/>
        <w:jc w:val="both"/>
        <w:rPr>
          <w:rFonts w:ascii="Arial" w:hAnsi="Arial" w:cs="Arial"/>
          <w:sz w:val="22"/>
          <w:szCs w:val="22"/>
        </w:rPr>
      </w:pPr>
    </w:p>
    <w:p w14:paraId="301612B2" w14:textId="77777777" w:rsidR="002667EA" w:rsidRDefault="002667EA" w:rsidP="002667EA">
      <w:pPr>
        <w:spacing w:line="360" w:lineRule="auto"/>
        <w:jc w:val="both"/>
        <w:rPr>
          <w:rFonts w:ascii="Arial" w:hAnsi="Arial" w:cs="Arial"/>
          <w:sz w:val="22"/>
          <w:szCs w:val="22"/>
        </w:rPr>
      </w:pPr>
    </w:p>
    <w:p w14:paraId="501DC09F" w14:textId="77777777" w:rsidR="002667EA" w:rsidRPr="002667EA" w:rsidRDefault="002667EA" w:rsidP="002667EA">
      <w:pPr>
        <w:spacing w:line="360" w:lineRule="auto"/>
        <w:jc w:val="both"/>
        <w:rPr>
          <w:rFonts w:ascii="Arial" w:hAnsi="Arial" w:cs="Arial"/>
          <w:sz w:val="22"/>
          <w:szCs w:val="22"/>
        </w:rPr>
      </w:pPr>
    </w:p>
    <w:p w14:paraId="0B637A2F" w14:textId="77777777" w:rsidR="002667EA" w:rsidRDefault="002667EA" w:rsidP="00E03B60">
      <w:pPr>
        <w:spacing w:line="360" w:lineRule="auto"/>
        <w:jc w:val="both"/>
        <w:rPr>
          <w:rFonts w:ascii="Arial" w:hAnsi="Arial" w:cs="Arial"/>
          <w:sz w:val="22"/>
          <w:szCs w:val="22"/>
        </w:rPr>
      </w:pPr>
    </w:p>
    <w:p w14:paraId="582AA109" w14:textId="77777777" w:rsidR="007476D0" w:rsidRDefault="007476D0" w:rsidP="00E03B60">
      <w:pPr>
        <w:spacing w:line="360" w:lineRule="auto"/>
        <w:jc w:val="both"/>
        <w:rPr>
          <w:rFonts w:ascii="Arial" w:hAnsi="Arial" w:cs="Arial"/>
          <w:sz w:val="22"/>
          <w:szCs w:val="22"/>
        </w:rPr>
      </w:pPr>
    </w:p>
    <w:p w14:paraId="604E43BC" w14:textId="77777777" w:rsidR="007476D0" w:rsidRDefault="007476D0" w:rsidP="00E03B60">
      <w:pPr>
        <w:spacing w:line="360" w:lineRule="auto"/>
        <w:jc w:val="both"/>
        <w:rPr>
          <w:rFonts w:ascii="Arial" w:hAnsi="Arial" w:cs="Arial"/>
          <w:sz w:val="22"/>
          <w:szCs w:val="22"/>
        </w:rPr>
      </w:pPr>
    </w:p>
    <w:p w14:paraId="71F4D751" w14:textId="77777777" w:rsidR="007476D0" w:rsidRDefault="007476D0" w:rsidP="00E03B60">
      <w:pPr>
        <w:spacing w:line="360" w:lineRule="auto"/>
        <w:jc w:val="both"/>
        <w:rPr>
          <w:rFonts w:ascii="Arial" w:hAnsi="Arial" w:cs="Arial"/>
          <w:sz w:val="22"/>
          <w:szCs w:val="22"/>
        </w:rPr>
      </w:pPr>
    </w:p>
    <w:p w14:paraId="4F3D689A" w14:textId="77777777" w:rsidR="007476D0" w:rsidRDefault="007476D0" w:rsidP="00E03B60">
      <w:pPr>
        <w:spacing w:line="360" w:lineRule="auto"/>
        <w:jc w:val="both"/>
        <w:rPr>
          <w:rFonts w:ascii="Arial" w:hAnsi="Arial" w:cs="Arial"/>
          <w:sz w:val="22"/>
          <w:szCs w:val="22"/>
        </w:rPr>
      </w:pPr>
    </w:p>
    <w:p w14:paraId="73617ACC" w14:textId="77777777" w:rsidR="007476D0" w:rsidRDefault="007476D0" w:rsidP="00E03B60">
      <w:pPr>
        <w:spacing w:line="360" w:lineRule="auto"/>
        <w:jc w:val="both"/>
        <w:rPr>
          <w:rFonts w:ascii="Arial" w:hAnsi="Arial" w:cs="Arial"/>
          <w:sz w:val="22"/>
          <w:szCs w:val="22"/>
        </w:rPr>
      </w:pPr>
    </w:p>
    <w:p w14:paraId="060E5B7F" w14:textId="77777777" w:rsidR="007476D0" w:rsidRDefault="007476D0" w:rsidP="00E03B60">
      <w:pPr>
        <w:spacing w:line="360" w:lineRule="auto"/>
        <w:jc w:val="both"/>
        <w:rPr>
          <w:rFonts w:ascii="Arial" w:hAnsi="Arial" w:cs="Arial"/>
          <w:sz w:val="22"/>
          <w:szCs w:val="22"/>
        </w:rPr>
      </w:pPr>
    </w:p>
    <w:p w14:paraId="6CCA64B8" w14:textId="77777777" w:rsidR="007476D0" w:rsidRDefault="007476D0" w:rsidP="00E03B60">
      <w:pPr>
        <w:spacing w:line="360" w:lineRule="auto"/>
        <w:jc w:val="both"/>
        <w:rPr>
          <w:rFonts w:ascii="Arial" w:hAnsi="Arial" w:cs="Arial"/>
          <w:sz w:val="22"/>
          <w:szCs w:val="22"/>
        </w:rPr>
      </w:pPr>
    </w:p>
    <w:p w14:paraId="6FC81B36" w14:textId="77777777" w:rsidR="007476D0" w:rsidRDefault="007476D0" w:rsidP="00E03B60">
      <w:pPr>
        <w:spacing w:line="360" w:lineRule="auto"/>
        <w:jc w:val="both"/>
        <w:rPr>
          <w:rFonts w:ascii="Arial" w:hAnsi="Arial" w:cs="Arial"/>
          <w:sz w:val="22"/>
          <w:szCs w:val="22"/>
        </w:rPr>
      </w:pPr>
    </w:p>
    <w:p w14:paraId="33BFAC7D" w14:textId="77777777" w:rsidR="007476D0" w:rsidRDefault="007476D0" w:rsidP="00E03B60">
      <w:pPr>
        <w:spacing w:line="360" w:lineRule="auto"/>
        <w:jc w:val="both"/>
        <w:rPr>
          <w:rFonts w:ascii="Arial" w:hAnsi="Arial" w:cs="Arial"/>
          <w:sz w:val="22"/>
          <w:szCs w:val="22"/>
        </w:rPr>
      </w:pPr>
    </w:p>
    <w:p w14:paraId="1C589F3C" w14:textId="77777777" w:rsidR="007476D0" w:rsidRDefault="007476D0" w:rsidP="00E03B60">
      <w:pPr>
        <w:spacing w:line="360" w:lineRule="auto"/>
        <w:jc w:val="both"/>
        <w:rPr>
          <w:rFonts w:ascii="Arial" w:hAnsi="Arial" w:cs="Arial"/>
          <w:sz w:val="22"/>
          <w:szCs w:val="22"/>
        </w:rPr>
      </w:pPr>
    </w:p>
    <w:p w14:paraId="7E5E033F" w14:textId="77777777" w:rsidR="007476D0" w:rsidRDefault="007476D0" w:rsidP="00E03B60">
      <w:pPr>
        <w:spacing w:line="360" w:lineRule="auto"/>
        <w:jc w:val="both"/>
        <w:rPr>
          <w:rFonts w:ascii="Arial" w:hAnsi="Arial" w:cs="Arial"/>
          <w:sz w:val="22"/>
          <w:szCs w:val="22"/>
        </w:rPr>
      </w:pPr>
    </w:p>
    <w:p w14:paraId="25691C11" w14:textId="77777777" w:rsidR="007476D0" w:rsidRDefault="007476D0" w:rsidP="00E03B60">
      <w:pPr>
        <w:spacing w:line="360" w:lineRule="auto"/>
        <w:jc w:val="both"/>
        <w:rPr>
          <w:rFonts w:ascii="Arial" w:hAnsi="Arial" w:cs="Arial"/>
          <w:sz w:val="22"/>
          <w:szCs w:val="22"/>
        </w:rPr>
      </w:pPr>
    </w:p>
    <w:p w14:paraId="1521FEF5" w14:textId="77777777" w:rsidR="007476D0" w:rsidRDefault="007476D0" w:rsidP="00E03B60">
      <w:pPr>
        <w:spacing w:line="360" w:lineRule="auto"/>
        <w:jc w:val="both"/>
        <w:rPr>
          <w:rFonts w:ascii="Arial" w:hAnsi="Arial" w:cs="Arial"/>
          <w:sz w:val="22"/>
          <w:szCs w:val="22"/>
        </w:rPr>
      </w:pPr>
    </w:p>
    <w:p w14:paraId="62C7568C" w14:textId="77777777" w:rsidR="00E61FD3" w:rsidRDefault="00E61FD3" w:rsidP="007476D0">
      <w:pPr>
        <w:spacing w:line="360" w:lineRule="auto"/>
        <w:jc w:val="both"/>
        <w:rPr>
          <w:rFonts w:ascii="Arial" w:hAnsi="Arial" w:cs="Arial"/>
          <w:sz w:val="22"/>
          <w:szCs w:val="22"/>
        </w:rPr>
      </w:pPr>
    </w:p>
    <w:p w14:paraId="18468492" w14:textId="2216E120" w:rsidR="001D61B0" w:rsidRDefault="007476D0" w:rsidP="007476D0">
      <w:pPr>
        <w:spacing w:line="360" w:lineRule="auto"/>
        <w:jc w:val="both"/>
        <w:rPr>
          <w:rFonts w:ascii="Arial" w:hAnsi="Arial" w:cs="Arial"/>
          <w:b/>
          <w:bCs/>
          <w:sz w:val="22"/>
          <w:szCs w:val="22"/>
        </w:rPr>
      </w:pPr>
      <w:r w:rsidRPr="007476D0">
        <w:rPr>
          <w:rFonts w:ascii="Arial" w:hAnsi="Arial" w:cs="Arial"/>
          <w:b/>
          <w:bCs/>
          <w:sz w:val="22"/>
          <w:szCs w:val="22"/>
        </w:rPr>
        <w:t>Abstract</w:t>
      </w:r>
    </w:p>
    <w:p w14:paraId="658F915D" w14:textId="77777777" w:rsidR="00410DDD" w:rsidRPr="00410DDD" w:rsidRDefault="00410DDD" w:rsidP="00410DDD">
      <w:pPr>
        <w:spacing w:line="360" w:lineRule="auto"/>
        <w:jc w:val="both"/>
        <w:rPr>
          <w:rFonts w:ascii="Arial" w:hAnsi="Arial" w:cs="Arial"/>
          <w:sz w:val="22"/>
          <w:szCs w:val="22"/>
        </w:rPr>
      </w:pPr>
      <w:r w:rsidRPr="00410DDD">
        <w:rPr>
          <w:rFonts w:ascii="Arial" w:hAnsi="Arial" w:cs="Arial"/>
          <w:sz w:val="22"/>
          <w:szCs w:val="22"/>
        </w:rPr>
        <w:t>Person-centred care (PCC) and partnership working (PW) are essential approaches in UK health and social care, promoting collaboration between individuals, professionals and organisations to deliver personalised care (World Health Organization, 2016). This report critically examines PCC and PW within UK hospital settings, focusing on their benefits, limitations, theoretical foundations, ethical principles and legislative influences. Bronfenbrenner’s Ecological Systems Theory is explored to demonstrate how individual wellbeing is shaped by wider social, organisational and environmental factors (Bronfenbrenner, 1979). The report also evaluates partnership working through multidisciplinary teams and Integrated Care Systems (ICSs), highlighting their importance in improving continuity of care and patient outcomes (Health and Care Act 2022). Although PCC and PW can improve patient experiences and quality of care, challenges such as workforce pressures, communication barriers and fragmented services continue to affect implementation (World Health Organization, 2016). The report recommends strengthening staff training, improving digital information sharing and enhancing collaboration between healthcare services, patients and families to support person-centred and integrated care within UK hospitals.</w:t>
      </w:r>
    </w:p>
    <w:p w14:paraId="641FF2B1" w14:textId="77777777" w:rsidR="00E61FD3" w:rsidRDefault="00E61FD3" w:rsidP="00410DDD">
      <w:pPr>
        <w:spacing w:line="360" w:lineRule="auto"/>
        <w:jc w:val="both"/>
        <w:rPr>
          <w:rFonts w:ascii="Arial" w:hAnsi="Arial" w:cs="Arial"/>
          <w:b/>
          <w:bCs/>
          <w:sz w:val="22"/>
          <w:szCs w:val="22"/>
        </w:rPr>
      </w:pPr>
    </w:p>
    <w:p w14:paraId="4FC87D24" w14:textId="14503578" w:rsidR="00410DDD" w:rsidRPr="00410DDD" w:rsidRDefault="00410DDD" w:rsidP="00410DDD">
      <w:pPr>
        <w:spacing w:line="360" w:lineRule="auto"/>
        <w:jc w:val="both"/>
        <w:rPr>
          <w:rFonts w:ascii="Arial" w:hAnsi="Arial" w:cs="Arial"/>
          <w:b/>
          <w:bCs/>
          <w:sz w:val="22"/>
          <w:szCs w:val="22"/>
        </w:rPr>
      </w:pPr>
      <w:r w:rsidRPr="00410DDD">
        <w:rPr>
          <w:rFonts w:ascii="Arial" w:hAnsi="Arial" w:cs="Arial"/>
          <w:b/>
          <w:bCs/>
          <w:sz w:val="22"/>
          <w:szCs w:val="22"/>
        </w:rPr>
        <w:t>Introduction</w:t>
      </w:r>
    </w:p>
    <w:p w14:paraId="5975BE8B" w14:textId="77777777" w:rsidR="00410DDD" w:rsidRPr="00410DDD" w:rsidRDefault="00410DDD" w:rsidP="00410DDD">
      <w:pPr>
        <w:spacing w:line="360" w:lineRule="auto"/>
        <w:jc w:val="both"/>
        <w:rPr>
          <w:rFonts w:ascii="Arial" w:hAnsi="Arial" w:cs="Arial"/>
          <w:sz w:val="22"/>
          <w:szCs w:val="22"/>
        </w:rPr>
      </w:pPr>
      <w:r w:rsidRPr="00410DDD">
        <w:rPr>
          <w:rFonts w:ascii="Arial" w:hAnsi="Arial" w:cs="Arial"/>
          <w:sz w:val="22"/>
          <w:szCs w:val="22"/>
        </w:rPr>
        <w:t>Health and social care practice in the UK has increasingly shifted from professional-led models towards approaches that recognise individuals as active participants in decisions about their health and wellbeing. PCC and PW are central to this approach because they ensure care reflects individuals’ needs, preferences and values (World Health Organization, 2016).</w:t>
      </w:r>
    </w:p>
    <w:p w14:paraId="151BCCFD" w14:textId="77777777" w:rsidR="00410DDD" w:rsidRPr="00410DDD" w:rsidRDefault="00410DDD" w:rsidP="00410DDD">
      <w:pPr>
        <w:spacing w:line="360" w:lineRule="auto"/>
        <w:jc w:val="both"/>
        <w:rPr>
          <w:rFonts w:ascii="Arial" w:hAnsi="Arial" w:cs="Arial"/>
          <w:sz w:val="22"/>
          <w:szCs w:val="22"/>
        </w:rPr>
      </w:pPr>
      <w:r w:rsidRPr="00410DDD">
        <w:rPr>
          <w:rFonts w:ascii="Arial" w:hAnsi="Arial" w:cs="Arial"/>
          <w:sz w:val="22"/>
          <w:szCs w:val="22"/>
        </w:rPr>
        <w:t>Hospitals provide an appropriate setting to examine these approaches because patients often require support from multidisciplinary teams, including doctors, nurses, therapists and social workers. Effective collaboration between professionals improves communication, shared decision-making and continuity of care, contributing to better patient experiences and outcomes (National Institute for Health and Care Excellence, 2021).</w:t>
      </w:r>
    </w:p>
    <w:p w14:paraId="6693CE5D" w14:textId="77777777" w:rsidR="00410DDD" w:rsidRPr="00410DDD" w:rsidRDefault="00410DDD" w:rsidP="00410DDD">
      <w:pPr>
        <w:spacing w:line="360" w:lineRule="auto"/>
        <w:jc w:val="both"/>
        <w:rPr>
          <w:rFonts w:ascii="Arial" w:hAnsi="Arial" w:cs="Arial"/>
          <w:sz w:val="22"/>
          <w:szCs w:val="22"/>
        </w:rPr>
      </w:pPr>
      <w:r w:rsidRPr="00410DDD">
        <w:rPr>
          <w:rFonts w:ascii="Arial" w:hAnsi="Arial" w:cs="Arial"/>
          <w:sz w:val="22"/>
          <w:szCs w:val="22"/>
        </w:rPr>
        <w:t>This report critically evaluates PCC and PW within UK hospital settings. It will define PCC, examine its theoretical and ethical foundations, evaluate partnership working, discuss relevant legislation and provide recommendations for future development of person-centred and integrated healthcare.</w:t>
      </w:r>
    </w:p>
    <w:p w14:paraId="1233CF2F" w14:textId="77777777" w:rsidR="00E61FD3" w:rsidRDefault="00E61FD3" w:rsidP="00410DDD">
      <w:pPr>
        <w:spacing w:line="360" w:lineRule="auto"/>
        <w:jc w:val="both"/>
        <w:rPr>
          <w:rFonts w:ascii="Arial" w:hAnsi="Arial" w:cs="Arial"/>
          <w:b/>
          <w:bCs/>
          <w:sz w:val="22"/>
          <w:szCs w:val="22"/>
        </w:rPr>
      </w:pPr>
    </w:p>
    <w:p w14:paraId="4F60B86D" w14:textId="38AE4FAF" w:rsidR="00410DDD" w:rsidRPr="00410DDD" w:rsidRDefault="00410DDD" w:rsidP="00410DDD">
      <w:pPr>
        <w:spacing w:line="360" w:lineRule="auto"/>
        <w:jc w:val="both"/>
        <w:rPr>
          <w:rFonts w:ascii="Arial" w:hAnsi="Arial" w:cs="Arial"/>
          <w:b/>
          <w:bCs/>
          <w:sz w:val="22"/>
          <w:szCs w:val="22"/>
        </w:rPr>
      </w:pPr>
      <w:r w:rsidRPr="00410DDD">
        <w:rPr>
          <w:rFonts w:ascii="Arial" w:hAnsi="Arial" w:cs="Arial"/>
          <w:b/>
          <w:bCs/>
          <w:sz w:val="22"/>
          <w:szCs w:val="22"/>
        </w:rPr>
        <w:t>Definition of Person-Centred Care</w:t>
      </w:r>
    </w:p>
    <w:p w14:paraId="4C9003FD" w14:textId="77777777" w:rsidR="00410DDD" w:rsidRPr="00410DDD" w:rsidRDefault="00410DDD" w:rsidP="00410DDD">
      <w:pPr>
        <w:spacing w:line="360" w:lineRule="auto"/>
        <w:jc w:val="both"/>
        <w:rPr>
          <w:rFonts w:ascii="Arial" w:hAnsi="Arial" w:cs="Arial"/>
          <w:sz w:val="22"/>
          <w:szCs w:val="22"/>
        </w:rPr>
      </w:pPr>
      <w:r w:rsidRPr="00410DDD">
        <w:rPr>
          <w:rFonts w:ascii="Arial" w:hAnsi="Arial" w:cs="Arial"/>
          <w:sz w:val="22"/>
          <w:szCs w:val="22"/>
        </w:rPr>
        <w:t>PCC is an approach that recognises individuals as active partners in their healthcare rather than focusing solely on illness or diagnosis. It involves respecting patients’ values, preferences and experiences while supporting their involvement in decisions about their care (World Health Organization, 2016).</w:t>
      </w:r>
    </w:p>
    <w:p w14:paraId="02CB2CA7" w14:textId="77777777" w:rsidR="00965026" w:rsidRPr="00965026" w:rsidRDefault="00965026" w:rsidP="00965026">
      <w:pPr>
        <w:spacing w:line="360" w:lineRule="auto"/>
        <w:jc w:val="both"/>
        <w:rPr>
          <w:rFonts w:ascii="Arial" w:hAnsi="Arial" w:cs="Arial"/>
          <w:sz w:val="22"/>
          <w:szCs w:val="22"/>
        </w:rPr>
      </w:pPr>
      <w:r w:rsidRPr="00965026">
        <w:rPr>
          <w:rFonts w:ascii="Arial" w:hAnsi="Arial" w:cs="Arial"/>
          <w:sz w:val="22"/>
          <w:szCs w:val="22"/>
        </w:rPr>
        <w:t>Ekman et al. (2011) explain that PCC involves understanding the individual’s personal narrative, developing a partnership between the patient and professional, and creating a personalised care plan. This differs from traditional paternalistic models where healthcare professionals make decisions on behalf of patients. Instead, PCC promotes shared decision-making and recognises individuals as experts in their own lives (Coulter, 2012).</w:t>
      </w:r>
    </w:p>
    <w:p w14:paraId="34510CD8" w14:textId="7D14F2A5" w:rsidR="00410DDD" w:rsidRPr="00410DDD" w:rsidRDefault="00410DDD" w:rsidP="00410DDD">
      <w:pPr>
        <w:spacing w:line="360" w:lineRule="auto"/>
        <w:jc w:val="both"/>
        <w:rPr>
          <w:rFonts w:ascii="Arial" w:hAnsi="Arial" w:cs="Arial"/>
          <w:sz w:val="22"/>
          <w:szCs w:val="22"/>
        </w:rPr>
      </w:pPr>
      <w:r w:rsidRPr="00410DDD">
        <w:rPr>
          <w:rFonts w:ascii="Arial" w:hAnsi="Arial" w:cs="Arial"/>
          <w:sz w:val="22"/>
          <w:szCs w:val="22"/>
        </w:rPr>
        <w:t>Within hospital settings, PCC is important because illness and admission can affect a person’s independence, confidence and emotional wellbeing. Involving patients in treatment decisions and discharge planning can improve trust and ensure care reflects individual priorities.</w:t>
      </w:r>
    </w:p>
    <w:p w14:paraId="24667776" w14:textId="77777777" w:rsidR="00410DDD" w:rsidRPr="00410DDD" w:rsidRDefault="00410DDD" w:rsidP="00410DDD">
      <w:pPr>
        <w:spacing w:line="360" w:lineRule="auto"/>
        <w:jc w:val="both"/>
        <w:rPr>
          <w:rFonts w:ascii="Arial" w:hAnsi="Arial" w:cs="Arial"/>
          <w:sz w:val="22"/>
          <w:szCs w:val="22"/>
        </w:rPr>
      </w:pPr>
      <w:r w:rsidRPr="00410DDD">
        <w:rPr>
          <w:rFonts w:ascii="Arial" w:hAnsi="Arial" w:cs="Arial"/>
          <w:sz w:val="22"/>
          <w:szCs w:val="22"/>
        </w:rPr>
        <w:t>Evidence suggests that PCC improves patient satisfaction, self-management and health outcomes by strengthening communication and collaboration between patients and professionals (Gyllensten et al., 2025). However, implementing PCC remains challenging. Workforce shortages, increasing demand and limited consultation time may reduce opportunities for meaningful patient involvement (World Health Organization, 2016).</w:t>
      </w:r>
    </w:p>
    <w:p w14:paraId="0A01BE2A" w14:textId="77777777" w:rsidR="00410DDD" w:rsidRPr="00410DDD" w:rsidRDefault="00410DDD" w:rsidP="00410DDD">
      <w:pPr>
        <w:spacing w:line="360" w:lineRule="auto"/>
        <w:jc w:val="both"/>
        <w:rPr>
          <w:rFonts w:ascii="Arial" w:hAnsi="Arial" w:cs="Arial"/>
          <w:sz w:val="22"/>
          <w:szCs w:val="22"/>
        </w:rPr>
      </w:pPr>
      <w:r w:rsidRPr="00410DDD">
        <w:rPr>
          <w:rFonts w:ascii="Arial" w:hAnsi="Arial" w:cs="Arial"/>
          <w:sz w:val="22"/>
          <w:szCs w:val="22"/>
        </w:rPr>
        <w:t>Communication barriers, including language differences, cognitive impairment and limited health literacy, may also prevent individuals from participating fully in decisions about their care. Therefore, healthcare organisations must provide appropriate support, such as accessible information and interpreting services, to ensure equitable involvement.</w:t>
      </w:r>
    </w:p>
    <w:p w14:paraId="7FE911FE" w14:textId="77777777" w:rsidR="00410DDD" w:rsidRPr="00410DDD" w:rsidRDefault="00410DDD" w:rsidP="00410DDD">
      <w:pPr>
        <w:spacing w:line="360" w:lineRule="auto"/>
        <w:jc w:val="both"/>
        <w:rPr>
          <w:rFonts w:ascii="Arial" w:hAnsi="Arial" w:cs="Arial"/>
          <w:sz w:val="22"/>
          <w:szCs w:val="22"/>
        </w:rPr>
      </w:pPr>
      <w:r w:rsidRPr="00410DDD">
        <w:rPr>
          <w:rFonts w:ascii="Arial" w:hAnsi="Arial" w:cs="Arial"/>
          <w:sz w:val="22"/>
          <w:szCs w:val="22"/>
        </w:rPr>
        <w:t>Overall, PCC improves healthcare quality by promoting dignity, respect and patient involvement. However, successful implementation depends on sufficient resources, staff training and organisational commitment to ensure patients are treated as equal partners in care.</w:t>
      </w:r>
    </w:p>
    <w:p w14:paraId="4B305F69" w14:textId="77777777" w:rsidR="00E61FD3" w:rsidRDefault="00E61FD3" w:rsidP="00BE628C">
      <w:pPr>
        <w:spacing w:line="360" w:lineRule="auto"/>
        <w:jc w:val="both"/>
        <w:rPr>
          <w:rFonts w:ascii="Arial" w:hAnsi="Arial" w:cs="Arial"/>
          <w:sz w:val="22"/>
          <w:szCs w:val="22"/>
        </w:rPr>
      </w:pPr>
    </w:p>
    <w:p w14:paraId="7476FEEB" w14:textId="27719365" w:rsidR="00BE628C" w:rsidRPr="00BE628C" w:rsidRDefault="00BE628C" w:rsidP="00BE628C">
      <w:pPr>
        <w:spacing w:line="360" w:lineRule="auto"/>
        <w:jc w:val="both"/>
        <w:rPr>
          <w:rFonts w:ascii="Arial" w:hAnsi="Arial" w:cs="Arial"/>
          <w:b/>
          <w:bCs/>
          <w:sz w:val="22"/>
          <w:szCs w:val="22"/>
        </w:rPr>
      </w:pPr>
      <w:r w:rsidRPr="00BE628C">
        <w:rPr>
          <w:rFonts w:ascii="Arial" w:hAnsi="Arial" w:cs="Arial"/>
          <w:b/>
          <w:bCs/>
          <w:sz w:val="22"/>
          <w:szCs w:val="22"/>
        </w:rPr>
        <w:t>Relevant Theory Underpinning Person-Centred Care</w:t>
      </w:r>
    </w:p>
    <w:p w14:paraId="02D992BE" w14:textId="77777777" w:rsidR="003F7C24" w:rsidRPr="003F7C24" w:rsidRDefault="003F7C24" w:rsidP="003F7C24">
      <w:pPr>
        <w:spacing w:line="360" w:lineRule="auto"/>
        <w:jc w:val="both"/>
        <w:rPr>
          <w:rFonts w:ascii="Arial" w:hAnsi="Arial" w:cs="Arial"/>
          <w:sz w:val="22"/>
          <w:szCs w:val="22"/>
        </w:rPr>
      </w:pPr>
      <w:r w:rsidRPr="003F7C24">
        <w:rPr>
          <w:rFonts w:ascii="Arial" w:hAnsi="Arial" w:cs="Arial"/>
          <w:sz w:val="22"/>
          <w:szCs w:val="22"/>
        </w:rPr>
        <w:t xml:space="preserve">Bronfenbrenner’s Ecological Systems Theory provides a useful framework for understanding PCC because it explains how an individual’s health and wellbeing are influenced by interactions between personal, social and environmental systems (Bronfenbrenner, 1979). </w:t>
      </w:r>
      <w:r w:rsidRPr="003F7C24">
        <w:rPr>
          <w:rFonts w:ascii="Arial" w:hAnsi="Arial" w:cs="Arial"/>
          <w:sz w:val="22"/>
          <w:szCs w:val="22"/>
        </w:rPr>
        <w:lastRenderedPageBreak/>
        <w:t>The theory supports person-centred practice by encouraging healthcare professionals to consider factors beyond medical needs, including relationships, social circumstances and wider healthcare structures.</w:t>
      </w:r>
    </w:p>
    <w:p w14:paraId="6FDF318D" w14:textId="77777777" w:rsidR="003F7C24" w:rsidRPr="003F7C24" w:rsidRDefault="003F7C24" w:rsidP="003F7C24">
      <w:pPr>
        <w:spacing w:line="360" w:lineRule="auto"/>
        <w:jc w:val="both"/>
        <w:rPr>
          <w:rFonts w:ascii="Arial" w:hAnsi="Arial" w:cs="Arial"/>
          <w:sz w:val="22"/>
          <w:szCs w:val="22"/>
        </w:rPr>
      </w:pPr>
      <w:r w:rsidRPr="003F7C24">
        <w:rPr>
          <w:rFonts w:ascii="Arial" w:hAnsi="Arial" w:cs="Arial"/>
          <w:sz w:val="22"/>
          <w:szCs w:val="22"/>
        </w:rPr>
        <w:t>The microsystem represents the individual’s immediate environment, including relationships with healthcare professionals, family and carers. Within hospitals, effective communication between patients and professionals can develop trust and support shared decision-making. The mesosystem focuses on connections between services, such as hospitals, primary care and social care, highlighting the importance of partnership working for effective discharge planning and continuity of care.</w:t>
      </w:r>
    </w:p>
    <w:p w14:paraId="607CE6B5" w14:textId="77777777" w:rsidR="003F7C24" w:rsidRPr="003F7C24" w:rsidRDefault="003F7C24" w:rsidP="003F7C24">
      <w:pPr>
        <w:spacing w:line="360" w:lineRule="auto"/>
        <w:jc w:val="both"/>
        <w:rPr>
          <w:rFonts w:ascii="Arial" w:hAnsi="Arial" w:cs="Arial"/>
          <w:sz w:val="22"/>
          <w:szCs w:val="22"/>
        </w:rPr>
      </w:pPr>
      <w:r w:rsidRPr="003F7C24">
        <w:rPr>
          <w:rFonts w:ascii="Arial" w:hAnsi="Arial" w:cs="Arial"/>
          <w:sz w:val="22"/>
          <w:szCs w:val="22"/>
        </w:rPr>
        <w:t>The exosystem includes wider organisations and services that influence healthcare delivery, while the macrosystem represents policies, legislation and social values shaping practice. For example, the Care Act 2014 promotes involvement in care decisions, while the Health and Care Act 2022 supports integrated working through Integrated Care Systems (Care Act 2014; Health and Care Act 2022). The chronosystem recognises that people’s needs change over time, meaning care plans require regular review.</w:t>
      </w:r>
    </w:p>
    <w:p w14:paraId="32ABA1AB" w14:textId="77777777" w:rsidR="003F7C24" w:rsidRPr="003F7C24" w:rsidRDefault="003F7C24" w:rsidP="003F7C24">
      <w:pPr>
        <w:spacing w:line="360" w:lineRule="auto"/>
        <w:jc w:val="both"/>
        <w:rPr>
          <w:rFonts w:ascii="Arial" w:hAnsi="Arial" w:cs="Arial"/>
          <w:sz w:val="22"/>
          <w:szCs w:val="22"/>
        </w:rPr>
      </w:pPr>
      <w:r w:rsidRPr="003F7C24">
        <w:rPr>
          <w:rFonts w:ascii="Arial" w:hAnsi="Arial" w:cs="Arial"/>
          <w:sz w:val="22"/>
          <w:szCs w:val="22"/>
        </w:rPr>
        <w:t>A strength of Bronfenbrenner’s theory is that it encourages a holistic understanding of individuals by recognising the influence of social and environmental factors on health. This aligns with PCC because effective care requires professionals to understand the wider circumstances affecting a person’s wellbeing. However, a limitation is that the theory was not specifically designed for healthcare and therefore provides limited practical guidance for implementing PCC strategies. Despite this, it remains valuable because person-centred practice depends on cooperation between individuals, professionals and wider healthcare systems.</w:t>
      </w:r>
    </w:p>
    <w:p w14:paraId="51A55AAB" w14:textId="77777777" w:rsidR="00E61FD3" w:rsidRDefault="00E61FD3" w:rsidP="003F7C24">
      <w:pPr>
        <w:spacing w:line="360" w:lineRule="auto"/>
        <w:jc w:val="both"/>
        <w:rPr>
          <w:rFonts w:ascii="Arial" w:hAnsi="Arial" w:cs="Arial"/>
          <w:b/>
          <w:bCs/>
          <w:sz w:val="22"/>
          <w:szCs w:val="22"/>
        </w:rPr>
      </w:pPr>
    </w:p>
    <w:p w14:paraId="7D65F6E2" w14:textId="19C91132" w:rsidR="003F7C24" w:rsidRPr="003F7C24" w:rsidRDefault="003F7C24" w:rsidP="003F7C24">
      <w:pPr>
        <w:spacing w:line="360" w:lineRule="auto"/>
        <w:jc w:val="both"/>
        <w:rPr>
          <w:rFonts w:ascii="Arial" w:hAnsi="Arial" w:cs="Arial"/>
          <w:b/>
          <w:bCs/>
          <w:sz w:val="22"/>
          <w:szCs w:val="22"/>
        </w:rPr>
      </w:pPr>
      <w:r w:rsidRPr="003F7C24">
        <w:rPr>
          <w:rFonts w:ascii="Arial" w:hAnsi="Arial" w:cs="Arial"/>
          <w:b/>
          <w:bCs/>
          <w:sz w:val="22"/>
          <w:szCs w:val="22"/>
        </w:rPr>
        <w:t>Ethical Fundamentals of Health and Social Care</w:t>
      </w:r>
    </w:p>
    <w:p w14:paraId="4BBD2D2B" w14:textId="39E4CED0" w:rsidR="003F7C24" w:rsidRPr="003F7C24" w:rsidRDefault="003F7C24" w:rsidP="003F7C24">
      <w:pPr>
        <w:spacing w:line="360" w:lineRule="auto"/>
        <w:jc w:val="both"/>
        <w:rPr>
          <w:rFonts w:ascii="Arial" w:hAnsi="Arial" w:cs="Arial"/>
          <w:sz w:val="22"/>
          <w:szCs w:val="22"/>
        </w:rPr>
      </w:pPr>
      <w:r w:rsidRPr="003F7C24">
        <w:rPr>
          <w:rFonts w:ascii="Arial" w:hAnsi="Arial" w:cs="Arial"/>
          <w:sz w:val="22"/>
          <w:szCs w:val="22"/>
        </w:rPr>
        <w:t>Ethical principles underpin decision-making within health and social care and guide professionals in delivering safe and respectful care. Beauchamp and Childress (</w:t>
      </w:r>
      <w:r w:rsidR="0034441F">
        <w:rPr>
          <w:rFonts w:ascii="Arial" w:hAnsi="Arial" w:cs="Arial"/>
          <w:sz w:val="22"/>
          <w:szCs w:val="22"/>
        </w:rPr>
        <w:t>1994)</w:t>
      </w:r>
      <w:r w:rsidRPr="003F7C24">
        <w:rPr>
          <w:rFonts w:ascii="Arial" w:hAnsi="Arial" w:cs="Arial"/>
          <w:sz w:val="22"/>
          <w:szCs w:val="22"/>
        </w:rPr>
        <w:t xml:space="preserve"> identify four key principles: autonomy, beneficence, non-maleficence and justice. These principles help healthcare professionals balance individual rights, professional responsibilities and patient safety.</w:t>
      </w:r>
    </w:p>
    <w:p w14:paraId="337AA835" w14:textId="77777777" w:rsidR="003F7C24" w:rsidRPr="003F7C24" w:rsidRDefault="003F7C24" w:rsidP="003F7C24">
      <w:pPr>
        <w:spacing w:line="360" w:lineRule="auto"/>
        <w:jc w:val="both"/>
        <w:rPr>
          <w:rFonts w:ascii="Arial" w:hAnsi="Arial" w:cs="Arial"/>
          <w:sz w:val="22"/>
          <w:szCs w:val="22"/>
        </w:rPr>
      </w:pPr>
      <w:r w:rsidRPr="003F7C24">
        <w:rPr>
          <w:rFonts w:ascii="Arial" w:hAnsi="Arial" w:cs="Arial"/>
          <w:sz w:val="22"/>
          <w:szCs w:val="22"/>
        </w:rPr>
        <w:t xml:space="preserve">Autonomy refers to respecting an individual’s right to make informed decisions about their healthcare. This principle is central to PCC because it recognises patients as active participants in their care. For example, a patient with capacity may refuse recommended treatment after understanding the potential risks. Although this may conflict with professional </w:t>
      </w:r>
      <w:r w:rsidRPr="003F7C24">
        <w:rPr>
          <w:rFonts w:ascii="Arial" w:hAnsi="Arial" w:cs="Arial"/>
          <w:sz w:val="22"/>
          <w:szCs w:val="22"/>
        </w:rPr>
        <w:lastRenderedPageBreak/>
        <w:t>judgement, respecting autonomy is essential for ethical practice (Nursing and Midwifery Council, 2018).</w:t>
      </w:r>
    </w:p>
    <w:p w14:paraId="0393CE14" w14:textId="77777777" w:rsidR="003F7C24" w:rsidRPr="003F7C24" w:rsidRDefault="003F7C24" w:rsidP="003F7C24">
      <w:pPr>
        <w:spacing w:line="360" w:lineRule="auto"/>
        <w:jc w:val="both"/>
        <w:rPr>
          <w:rFonts w:ascii="Arial" w:hAnsi="Arial" w:cs="Arial"/>
          <w:sz w:val="22"/>
          <w:szCs w:val="22"/>
        </w:rPr>
      </w:pPr>
      <w:r w:rsidRPr="003F7C24">
        <w:rPr>
          <w:rFonts w:ascii="Arial" w:hAnsi="Arial" w:cs="Arial"/>
          <w:sz w:val="22"/>
          <w:szCs w:val="22"/>
        </w:rPr>
        <w:t>Beneficence requires professionals to act in ways that benefit patients, while non-maleficence requires them to avoid causing harm. Ethical difficulties can occur when healthcare professionals believe a treatment provides the best outcome, but a patient chooses an alternative option or refuses care. Shared decision-making helps address these situations by allowing patients and professionals to discuss options and agree appropriate care plans (National Institute for Health and Care Excellence, 2021).</w:t>
      </w:r>
    </w:p>
    <w:p w14:paraId="58557A0E" w14:textId="77777777" w:rsidR="003F7C24" w:rsidRPr="003F7C24" w:rsidRDefault="003F7C24" w:rsidP="003F7C24">
      <w:pPr>
        <w:spacing w:line="360" w:lineRule="auto"/>
        <w:jc w:val="both"/>
        <w:rPr>
          <w:rFonts w:ascii="Arial" w:hAnsi="Arial" w:cs="Arial"/>
          <w:sz w:val="22"/>
          <w:szCs w:val="22"/>
        </w:rPr>
      </w:pPr>
      <w:r w:rsidRPr="003F7C24">
        <w:rPr>
          <w:rFonts w:ascii="Arial" w:hAnsi="Arial" w:cs="Arial"/>
          <w:sz w:val="22"/>
          <w:szCs w:val="22"/>
        </w:rPr>
        <w:t>Justice focuses on fairness and equal access to healthcare. The Equality Act 2010 requires healthcare providers to prevent discrimination and make reasonable adjustments for individuals with protected characteristics, such as providing interpreters or accessible communication methods (Equality Act 2010). This supports equal involvement in decisions about care.</w:t>
      </w:r>
    </w:p>
    <w:p w14:paraId="62384C0B" w14:textId="77777777" w:rsidR="003F7C24" w:rsidRPr="003F7C24" w:rsidRDefault="003F7C24" w:rsidP="003F7C24">
      <w:pPr>
        <w:spacing w:line="360" w:lineRule="auto"/>
        <w:jc w:val="both"/>
        <w:rPr>
          <w:rFonts w:ascii="Arial" w:hAnsi="Arial" w:cs="Arial"/>
          <w:sz w:val="22"/>
          <w:szCs w:val="22"/>
        </w:rPr>
      </w:pPr>
      <w:r w:rsidRPr="003F7C24">
        <w:rPr>
          <w:rFonts w:ascii="Arial" w:hAnsi="Arial" w:cs="Arial"/>
          <w:sz w:val="22"/>
          <w:szCs w:val="22"/>
        </w:rPr>
        <w:t>However, ethical principles may sometimes conflict. For example, professionals may need to balance respecting autonomy with preventing harm when a patient makes decisions that may negatively affect their health. Therefore, ethical decision-making requires consideration of individual circumstances, legal requirements and professional responsibilities.</w:t>
      </w:r>
    </w:p>
    <w:p w14:paraId="24CA1D7C" w14:textId="61CFDD8B" w:rsidR="003F7C24" w:rsidRPr="003F7C24" w:rsidRDefault="003F7C24" w:rsidP="003F7C24">
      <w:pPr>
        <w:spacing w:line="360" w:lineRule="auto"/>
        <w:jc w:val="both"/>
        <w:rPr>
          <w:rFonts w:ascii="Arial" w:hAnsi="Arial" w:cs="Arial"/>
          <w:sz w:val="22"/>
          <w:szCs w:val="22"/>
        </w:rPr>
      </w:pPr>
      <w:r w:rsidRPr="003F7C24">
        <w:rPr>
          <w:rFonts w:ascii="Arial" w:hAnsi="Arial" w:cs="Arial"/>
          <w:sz w:val="22"/>
          <w:szCs w:val="22"/>
        </w:rPr>
        <w:t>Overall, ethical principles strengthen PCC and partnership working by promoting dignity, choice and equality. Collaboration between patients, families and multidisciplinary teams is essential for resolving ethical challenges and delivering safe, person-centred care.</w:t>
      </w:r>
      <w:r w:rsidR="00EF074F">
        <w:rPr>
          <w:rFonts w:ascii="Arial" w:hAnsi="Arial" w:cs="Arial"/>
          <w:sz w:val="22"/>
          <w:szCs w:val="22"/>
        </w:rPr>
        <w:t xml:space="preserve"> </w:t>
      </w:r>
    </w:p>
    <w:p w14:paraId="789DF808" w14:textId="77777777" w:rsidR="00E61FD3" w:rsidRDefault="00E61FD3" w:rsidP="00686BC4">
      <w:pPr>
        <w:spacing w:line="360" w:lineRule="auto"/>
        <w:jc w:val="both"/>
        <w:rPr>
          <w:rFonts w:ascii="Arial" w:hAnsi="Arial" w:cs="Arial"/>
          <w:b/>
          <w:bCs/>
          <w:sz w:val="22"/>
          <w:szCs w:val="22"/>
        </w:rPr>
      </w:pPr>
    </w:p>
    <w:p w14:paraId="00707DE7" w14:textId="22B79A0F" w:rsidR="00150CD6" w:rsidRDefault="00BE628C" w:rsidP="00686BC4">
      <w:pPr>
        <w:spacing w:line="360" w:lineRule="auto"/>
        <w:jc w:val="both"/>
        <w:rPr>
          <w:rFonts w:ascii="Arial" w:hAnsi="Arial" w:cs="Arial"/>
          <w:b/>
          <w:bCs/>
          <w:sz w:val="22"/>
          <w:szCs w:val="22"/>
        </w:rPr>
      </w:pPr>
      <w:r w:rsidRPr="00BE628C">
        <w:rPr>
          <w:rFonts w:ascii="Arial" w:hAnsi="Arial" w:cs="Arial"/>
          <w:b/>
          <w:bCs/>
          <w:sz w:val="22"/>
          <w:szCs w:val="22"/>
        </w:rPr>
        <w:t>Evaluation of Partnership Working in Health and Social Care</w:t>
      </w:r>
    </w:p>
    <w:p w14:paraId="307E713A" w14:textId="77777777" w:rsidR="00D83C47" w:rsidRPr="00D83C47" w:rsidRDefault="00D83C47" w:rsidP="00D83C47">
      <w:pPr>
        <w:spacing w:line="360" w:lineRule="auto"/>
        <w:jc w:val="both"/>
        <w:rPr>
          <w:rFonts w:ascii="Arial" w:hAnsi="Arial" w:cs="Arial"/>
          <w:sz w:val="22"/>
          <w:szCs w:val="22"/>
        </w:rPr>
      </w:pPr>
      <w:r w:rsidRPr="00D83C47">
        <w:rPr>
          <w:rFonts w:ascii="Arial" w:hAnsi="Arial" w:cs="Arial"/>
          <w:sz w:val="22"/>
          <w:szCs w:val="22"/>
        </w:rPr>
        <w:t>Partnership working refers to collaboration between healthcare professionals, organisations, patients, carers and communities to achieve shared goals and improve health outcomes. Within hospital settings, multidisciplinary teams (MDTs), including doctors, nurses, therapists, pharmacists and social workers, work together to provide coordinated care for individuals with complex needs.</w:t>
      </w:r>
    </w:p>
    <w:p w14:paraId="7DCA8C5E" w14:textId="77777777" w:rsidR="00D83C47" w:rsidRPr="00D83C47" w:rsidRDefault="00D83C47" w:rsidP="00D83C47">
      <w:pPr>
        <w:spacing w:line="360" w:lineRule="auto"/>
        <w:jc w:val="both"/>
        <w:rPr>
          <w:rFonts w:ascii="Arial" w:hAnsi="Arial" w:cs="Arial"/>
          <w:sz w:val="22"/>
          <w:szCs w:val="22"/>
        </w:rPr>
      </w:pPr>
      <w:r w:rsidRPr="00D83C47">
        <w:rPr>
          <w:rFonts w:ascii="Arial" w:hAnsi="Arial" w:cs="Arial"/>
          <w:sz w:val="22"/>
          <w:szCs w:val="22"/>
        </w:rPr>
        <w:t xml:space="preserve">The introduction of Integrated Care Systems (ICSs) through the Health and Care Act 2022 has strengthened partnership working by requiring NHS organisations, local authorities and voluntary sector providers to collaborate in planning and delivering services (Health and Care Act 2022). Within hospitals, effective partnership working supports communication between professionals and community services, improving discharge planning and continuity of care. </w:t>
      </w:r>
      <w:r w:rsidRPr="00D83C47">
        <w:rPr>
          <w:rFonts w:ascii="Arial" w:hAnsi="Arial" w:cs="Arial"/>
          <w:sz w:val="22"/>
          <w:szCs w:val="22"/>
        </w:rPr>
        <w:lastRenderedPageBreak/>
        <w:t>The King’s Fund (2022) suggests that ICSs provide opportunities for greater collaboration across health and social care, potentially improving patient experiences and outcomes.</w:t>
      </w:r>
    </w:p>
    <w:p w14:paraId="5E77EB3B" w14:textId="77777777" w:rsidR="00D83C47" w:rsidRPr="00D83C47" w:rsidRDefault="00D83C47" w:rsidP="00D83C47">
      <w:pPr>
        <w:spacing w:line="360" w:lineRule="auto"/>
        <w:jc w:val="both"/>
        <w:rPr>
          <w:rFonts w:ascii="Arial" w:hAnsi="Arial" w:cs="Arial"/>
          <w:sz w:val="22"/>
          <w:szCs w:val="22"/>
        </w:rPr>
      </w:pPr>
      <w:r w:rsidRPr="00D83C47">
        <w:rPr>
          <w:rFonts w:ascii="Arial" w:hAnsi="Arial" w:cs="Arial"/>
          <w:sz w:val="22"/>
          <w:szCs w:val="22"/>
        </w:rPr>
        <w:t>A major benefit of partnership working is that it reduces fragmented care by allowing professionals from different services to share knowledge and coordinate support. This is particularly important for patients with long-term conditions, disabilities or complex social needs. When professionals work collaboratively with patients and families, care decisions are more likely to reflect individual circumstances and preferences.</w:t>
      </w:r>
    </w:p>
    <w:p w14:paraId="398824A7" w14:textId="77777777" w:rsidR="00D83C47" w:rsidRPr="00D83C47" w:rsidRDefault="00D83C47" w:rsidP="00D83C47">
      <w:pPr>
        <w:spacing w:line="360" w:lineRule="auto"/>
        <w:jc w:val="both"/>
        <w:rPr>
          <w:rFonts w:ascii="Arial" w:hAnsi="Arial" w:cs="Arial"/>
          <w:sz w:val="22"/>
          <w:szCs w:val="22"/>
        </w:rPr>
      </w:pPr>
      <w:r w:rsidRPr="00D83C47">
        <w:rPr>
          <w:rFonts w:ascii="Arial" w:hAnsi="Arial" w:cs="Arial"/>
          <w:sz w:val="22"/>
          <w:szCs w:val="22"/>
        </w:rPr>
        <w:t>However, partnership working also presents challenges. Differences in professional roles, organisational priorities and communication systems can create barriers to effective collaboration. For example, incompatible digital systems may prevent professionals from accessing complete patient information, while workforce pressures may reduce opportunities for effective communication between services. These issues can delay treatment decisions and discharge planning, negatively affecting patient experiences.</w:t>
      </w:r>
    </w:p>
    <w:p w14:paraId="527BDBD7" w14:textId="77777777" w:rsidR="00E61FD3" w:rsidRDefault="00D83C47" w:rsidP="00D83C47">
      <w:pPr>
        <w:spacing w:line="360" w:lineRule="auto"/>
        <w:jc w:val="both"/>
        <w:rPr>
          <w:rFonts w:ascii="Arial" w:hAnsi="Arial" w:cs="Arial"/>
          <w:sz w:val="22"/>
          <w:szCs w:val="22"/>
        </w:rPr>
      </w:pPr>
      <w:r w:rsidRPr="00D83C47">
        <w:rPr>
          <w:rFonts w:ascii="Arial" w:hAnsi="Arial" w:cs="Arial"/>
          <w:sz w:val="22"/>
          <w:szCs w:val="22"/>
        </w:rPr>
        <w:t>Overall, partnership working has a positive impact on healthcare by improving coordination, reducing duplication and supporting person-centred outcomes. However, successful implementation depends on effective leadership, clear communication and sufficient resources to ensure collaboration occurs consistently across services.</w:t>
      </w:r>
    </w:p>
    <w:p w14:paraId="4288C6A8" w14:textId="77777777" w:rsidR="00E61FD3" w:rsidRDefault="00E61FD3" w:rsidP="00D83C47">
      <w:pPr>
        <w:spacing w:line="360" w:lineRule="auto"/>
        <w:jc w:val="both"/>
        <w:rPr>
          <w:rFonts w:ascii="Arial" w:hAnsi="Arial" w:cs="Arial"/>
          <w:sz w:val="22"/>
          <w:szCs w:val="22"/>
        </w:rPr>
      </w:pPr>
    </w:p>
    <w:p w14:paraId="22B78419" w14:textId="74AD970D" w:rsidR="00D83C47" w:rsidRPr="00E61FD3" w:rsidRDefault="00D83C47" w:rsidP="00D83C47">
      <w:pPr>
        <w:spacing w:line="360" w:lineRule="auto"/>
        <w:jc w:val="both"/>
        <w:rPr>
          <w:rFonts w:ascii="Arial" w:hAnsi="Arial" w:cs="Arial"/>
          <w:sz w:val="22"/>
          <w:szCs w:val="22"/>
        </w:rPr>
      </w:pPr>
      <w:r w:rsidRPr="00D83C47">
        <w:rPr>
          <w:rFonts w:ascii="Arial" w:hAnsi="Arial" w:cs="Arial"/>
          <w:b/>
          <w:bCs/>
          <w:sz w:val="22"/>
          <w:szCs w:val="22"/>
        </w:rPr>
        <w:t>Policy and Legislation</w:t>
      </w:r>
    </w:p>
    <w:p w14:paraId="7553741E" w14:textId="77777777" w:rsidR="00D83C47" w:rsidRPr="00D83C47" w:rsidRDefault="00D83C47" w:rsidP="00D83C47">
      <w:pPr>
        <w:spacing w:line="360" w:lineRule="auto"/>
        <w:jc w:val="both"/>
        <w:rPr>
          <w:rFonts w:ascii="Arial" w:hAnsi="Arial" w:cs="Arial"/>
          <w:sz w:val="22"/>
          <w:szCs w:val="22"/>
        </w:rPr>
      </w:pPr>
      <w:r w:rsidRPr="00D83C47">
        <w:rPr>
          <w:rFonts w:ascii="Arial" w:hAnsi="Arial" w:cs="Arial"/>
          <w:sz w:val="22"/>
          <w:szCs w:val="22"/>
        </w:rPr>
        <w:t>UK legislation provides an important framework for supporting PCC and partnership working within health and social care. The Care Act 2014 places emphasis on individual wellbeing, involvement and choice by requiring services to consider people’s needs, preferences and desired outcomes (Care Act 2014). Within hospital settings, this supports person-centred assessment, discharge planning and collaboration with community services.</w:t>
      </w:r>
    </w:p>
    <w:p w14:paraId="1D9A9637" w14:textId="77777777" w:rsidR="00D83C47" w:rsidRPr="00D83C47" w:rsidRDefault="00D83C47" w:rsidP="00D83C47">
      <w:pPr>
        <w:spacing w:line="360" w:lineRule="auto"/>
        <w:jc w:val="both"/>
        <w:rPr>
          <w:rFonts w:ascii="Arial" w:hAnsi="Arial" w:cs="Arial"/>
          <w:sz w:val="22"/>
          <w:szCs w:val="22"/>
        </w:rPr>
      </w:pPr>
      <w:r w:rsidRPr="00D83C47">
        <w:rPr>
          <w:rFonts w:ascii="Arial" w:hAnsi="Arial" w:cs="Arial"/>
          <w:sz w:val="22"/>
          <w:szCs w:val="22"/>
        </w:rPr>
        <w:t>The Health and Social Care Act 2012 encouraged greater integration within healthcare services and strengthened the focus on patient involvement (Health and Social Care Act 2012). Building on this, the Health and Care Act 2022 introduced Integrated Care Systems, requiring NHS organisations, local authorities and other partners to work together to improve health outcomes and reduce inequalities (Health and Care Act 2022). These policies support partnership working by encouraging organisations to move away from isolated service delivery towards coordinated care.</w:t>
      </w:r>
    </w:p>
    <w:p w14:paraId="4E818470" w14:textId="77777777" w:rsidR="00D83C47" w:rsidRPr="00D83C47" w:rsidRDefault="00D83C47" w:rsidP="00D83C47">
      <w:pPr>
        <w:spacing w:line="360" w:lineRule="auto"/>
        <w:jc w:val="both"/>
        <w:rPr>
          <w:rFonts w:ascii="Arial" w:hAnsi="Arial" w:cs="Arial"/>
          <w:sz w:val="22"/>
          <w:szCs w:val="22"/>
        </w:rPr>
      </w:pPr>
      <w:r w:rsidRPr="00D83C47">
        <w:rPr>
          <w:rFonts w:ascii="Arial" w:hAnsi="Arial" w:cs="Arial"/>
          <w:sz w:val="22"/>
          <w:szCs w:val="22"/>
        </w:rPr>
        <w:t xml:space="preserve">The Equality Act 2010 requires healthcare providers to prevent discrimination and make reasonable adjustments for people with protected characteristics (Equality Act 2010). This </w:t>
      </w:r>
      <w:r w:rsidRPr="00D83C47">
        <w:rPr>
          <w:rFonts w:ascii="Arial" w:hAnsi="Arial" w:cs="Arial"/>
          <w:sz w:val="22"/>
          <w:szCs w:val="22"/>
        </w:rPr>
        <w:lastRenderedPageBreak/>
        <w:t>supports PCC by ensuring individuals have equal opportunities to access services and participate in decisions about their care. The Human Rights Act 1998 also protects rights relating to dignity, privacy and autonomy, which are fundamental principles of person-centred practice (Human Rights Act 1998).</w:t>
      </w:r>
    </w:p>
    <w:p w14:paraId="44BE0176" w14:textId="77777777" w:rsidR="008E65B0" w:rsidRDefault="00D83C47" w:rsidP="00686BC4">
      <w:pPr>
        <w:spacing w:line="360" w:lineRule="auto"/>
        <w:jc w:val="both"/>
        <w:rPr>
          <w:rFonts w:ascii="Arial" w:hAnsi="Arial" w:cs="Arial"/>
          <w:sz w:val="22"/>
          <w:szCs w:val="22"/>
        </w:rPr>
      </w:pPr>
      <w:r w:rsidRPr="00D83C47">
        <w:rPr>
          <w:rFonts w:ascii="Arial" w:hAnsi="Arial" w:cs="Arial"/>
          <w:sz w:val="22"/>
          <w:szCs w:val="22"/>
        </w:rPr>
        <w:t>Although legislation provides a strong foundation for PCC and partnership working, implementation can be difficult. Workforce shortages, financial pressures and differences between organisations may limit the ability of services to achieve the level of integration expected by policy. Therefore, successful implementation requires not only legal frameworks but also effective leadership, investment and commitment from healthcare organisations.</w:t>
      </w:r>
    </w:p>
    <w:p w14:paraId="0F70D54E" w14:textId="77777777" w:rsidR="00E61FD3" w:rsidRDefault="00E61FD3" w:rsidP="00686BC4">
      <w:pPr>
        <w:spacing w:line="360" w:lineRule="auto"/>
        <w:jc w:val="both"/>
        <w:rPr>
          <w:rFonts w:ascii="Arial" w:hAnsi="Arial" w:cs="Arial"/>
          <w:b/>
          <w:bCs/>
          <w:sz w:val="22"/>
          <w:szCs w:val="22"/>
        </w:rPr>
      </w:pPr>
    </w:p>
    <w:p w14:paraId="425C5255" w14:textId="1439FB78" w:rsidR="00686BC4" w:rsidRPr="00241E79" w:rsidRDefault="00686BC4" w:rsidP="00686BC4">
      <w:pPr>
        <w:spacing w:line="360" w:lineRule="auto"/>
        <w:jc w:val="both"/>
        <w:rPr>
          <w:rFonts w:ascii="Arial" w:hAnsi="Arial" w:cs="Arial"/>
          <w:sz w:val="22"/>
          <w:szCs w:val="22"/>
        </w:rPr>
      </w:pPr>
      <w:r w:rsidRPr="00686BC4">
        <w:rPr>
          <w:rFonts w:ascii="Arial" w:hAnsi="Arial" w:cs="Arial"/>
          <w:b/>
          <w:bCs/>
          <w:sz w:val="22"/>
          <w:szCs w:val="22"/>
        </w:rPr>
        <w:t>Recommendations for Future Development of PCC and Partnership Working</w:t>
      </w:r>
    </w:p>
    <w:p w14:paraId="06637E35" w14:textId="77777777" w:rsidR="0047036D" w:rsidRPr="00535CB9" w:rsidRDefault="0047036D" w:rsidP="0047036D">
      <w:pPr>
        <w:spacing w:line="360" w:lineRule="auto"/>
        <w:jc w:val="both"/>
        <w:rPr>
          <w:rFonts w:ascii="Arial" w:hAnsi="Arial" w:cs="Arial"/>
          <w:sz w:val="22"/>
          <w:szCs w:val="22"/>
        </w:rPr>
      </w:pPr>
      <w:r w:rsidRPr="00535CB9">
        <w:rPr>
          <w:rFonts w:ascii="Arial" w:hAnsi="Arial" w:cs="Arial"/>
          <w:sz w:val="22"/>
          <w:szCs w:val="22"/>
        </w:rPr>
        <w:t>Although UK policies and legislation support PCC and partnership working, challenges remain in ensuring consistent implementation across hospital services. Communication difficulties between multidisciplinary teams, patients and community services can affect discharge planning and continuity of care. The Care Quality Commission (2024) identified concerns regarding hospital discharge experiences, highlighting the need for improved communication and coordination between services.</w:t>
      </w:r>
    </w:p>
    <w:p w14:paraId="31ED6ACE" w14:textId="77777777" w:rsidR="0047036D" w:rsidRPr="00535CB9" w:rsidRDefault="0047036D" w:rsidP="0047036D">
      <w:pPr>
        <w:spacing w:line="360" w:lineRule="auto"/>
        <w:jc w:val="both"/>
        <w:rPr>
          <w:rFonts w:ascii="Arial" w:hAnsi="Arial" w:cs="Arial"/>
          <w:sz w:val="22"/>
          <w:szCs w:val="22"/>
        </w:rPr>
      </w:pPr>
      <w:r w:rsidRPr="00535CB9">
        <w:rPr>
          <w:rFonts w:ascii="Arial" w:hAnsi="Arial" w:cs="Arial"/>
          <w:sz w:val="22"/>
          <w:szCs w:val="22"/>
        </w:rPr>
        <w:t>A key recommendation is that NHS hospitals should provide ongoing training in person-centred communication, shared decision-making and interprofessional collaboration. Effective communication enables professionals to understand patients’ preferences and work effectively with colleagues across different disciplines. Tierney et al. (2024) found that person-centred communication training improved shared decision-making and patient outcomes within an acute hospital setting. However, implementation may be limited by workforce shortages, financial pressures and reduced protected learning time for staff (NHS England, 2023).</w:t>
      </w:r>
    </w:p>
    <w:p w14:paraId="7C273979" w14:textId="77777777" w:rsidR="0047036D" w:rsidRPr="00535CB9" w:rsidRDefault="0047036D" w:rsidP="0047036D">
      <w:pPr>
        <w:spacing w:line="360" w:lineRule="auto"/>
        <w:jc w:val="both"/>
        <w:rPr>
          <w:rFonts w:ascii="Arial" w:hAnsi="Arial" w:cs="Arial"/>
          <w:sz w:val="22"/>
          <w:szCs w:val="22"/>
        </w:rPr>
      </w:pPr>
      <w:r w:rsidRPr="00535CB9">
        <w:rPr>
          <w:rFonts w:ascii="Arial" w:hAnsi="Arial" w:cs="Arial"/>
          <w:sz w:val="22"/>
          <w:szCs w:val="22"/>
        </w:rPr>
        <w:t>A further recommendation is improving digital integration between hospitals, primary care and social care services. Fragmented information systems can result in delays, repeated assessments and poor coordination between professionals. NHS England (2023) highlights that integrated digital systems are important for supporting personalised and coordinated care. However, investment costs, staff training requirements and cybersecurity concerns may create barriers to implementation.</w:t>
      </w:r>
    </w:p>
    <w:p w14:paraId="07D4D298" w14:textId="77777777" w:rsidR="0047036D" w:rsidRPr="00535CB9" w:rsidRDefault="0047036D" w:rsidP="0047036D">
      <w:pPr>
        <w:spacing w:line="360" w:lineRule="auto"/>
        <w:jc w:val="both"/>
        <w:rPr>
          <w:rFonts w:ascii="Arial" w:hAnsi="Arial" w:cs="Arial"/>
          <w:sz w:val="22"/>
          <w:szCs w:val="22"/>
        </w:rPr>
      </w:pPr>
      <w:r w:rsidRPr="00535CB9">
        <w:rPr>
          <w:rFonts w:ascii="Arial" w:hAnsi="Arial" w:cs="Arial"/>
          <w:sz w:val="22"/>
          <w:szCs w:val="22"/>
        </w:rPr>
        <w:t xml:space="preserve">Hospitals should also strengthen collaboration between patients, families, carers and community services throughout assessment, treatment and discharge planning. Early involvement of all relevant partners can improve continuity of care, reduce avoidable readmissions and ensure decisions reflect individual needs. The King’s Fund (2022) suggests </w:t>
      </w:r>
      <w:r w:rsidRPr="00535CB9">
        <w:rPr>
          <w:rFonts w:ascii="Arial" w:hAnsi="Arial" w:cs="Arial"/>
          <w:sz w:val="22"/>
          <w:szCs w:val="22"/>
        </w:rPr>
        <w:lastRenderedPageBreak/>
        <w:t>that Integrated Care Systems provide opportunities to improve collaboration between organisations, although continued leadership and adequate resources are required to achieve sustainable improvements.</w:t>
      </w:r>
    </w:p>
    <w:p w14:paraId="0A9FB99C" w14:textId="77777777" w:rsidR="0047036D" w:rsidRPr="00535CB9" w:rsidRDefault="0047036D" w:rsidP="0047036D">
      <w:pPr>
        <w:spacing w:line="360" w:lineRule="auto"/>
        <w:jc w:val="both"/>
        <w:rPr>
          <w:rFonts w:ascii="Arial" w:hAnsi="Arial" w:cs="Arial"/>
          <w:sz w:val="22"/>
          <w:szCs w:val="22"/>
        </w:rPr>
      </w:pPr>
      <w:r w:rsidRPr="00535CB9">
        <w:rPr>
          <w:rFonts w:ascii="Arial" w:hAnsi="Arial" w:cs="Arial"/>
          <w:sz w:val="22"/>
          <w:szCs w:val="22"/>
        </w:rPr>
        <w:t>Overall, future development of PCC and partnership working requires a combination of workforce development, improved technology and stronger relationships between health and social care services. Although challenges exist, these improvements could support more consistent delivery of safe, effective and person-centred healthcare across the UK.</w:t>
      </w:r>
    </w:p>
    <w:p w14:paraId="18906B4C" w14:textId="77777777" w:rsidR="00E61FD3" w:rsidRDefault="00E61FD3" w:rsidP="00616A9D">
      <w:pPr>
        <w:spacing w:line="360" w:lineRule="auto"/>
        <w:jc w:val="both"/>
        <w:rPr>
          <w:rFonts w:ascii="Arial" w:hAnsi="Arial" w:cs="Arial"/>
          <w:b/>
          <w:bCs/>
          <w:sz w:val="22"/>
          <w:szCs w:val="22"/>
        </w:rPr>
      </w:pPr>
    </w:p>
    <w:p w14:paraId="044BE1F6" w14:textId="2FD4FA3B" w:rsidR="00DD20E1" w:rsidRDefault="00686BC4" w:rsidP="00616A9D">
      <w:pPr>
        <w:spacing w:line="360" w:lineRule="auto"/>
        <w:jc w:val="both"/>
        <w:rPr>
          <w:rFonts w:ascii="Arial" w:hAnsi="Arial" w:cs="Arial"/>
          <w:b/>
          <w:bCs/>
          <w:sz w:val="22"/>
          <w:szCs w:val="22"/>
        </w:rPr>
      </w:pPr>
      <w:r w:rsidRPr="00686BC4">
        <w:rPr>
          <w:rFonts w:ascii="Arial" w:hAnsi="Arial" w:cs="Arial"/>
          <w:b/>
          <w:bCs/>
          <w:sz w:val="22"/>
          <w:szCs w:val="22"/>
        </w:rPr>
        <w:t>Conclusion</w:t>
      </w:r>
    </w:p>
    <w:p w14:paraId="5E048B30" w14:textId="3281E3E4" w:rsidR="00265880" w:rsidRDefault="00265880" w:rsidP="00616A9D">
      <w:pPr>
        <w:spacing w:line="360" w:lineRule="auto"/>
        <w:jc w:val="both"/>
        <w:rPr>
          <w:rFonts w:ascii="Arial" w:hAnsi="Arial" w:cs="Arial"/>
          <w:sz w:val="22"/>
          <w:szCs w:val="22"/>
        </w:rPr>
      </w:pPr>
      <w:r>
        <w:rPr>
          <w:rFonts w:ascii="Arial" w:hAnsi="Arial" w:cs="Arial"/>
          <w:sz w:val="22"/>
          <w:szCs w:val="22"/>
        </w:rPr>
        <w:t>T</w:t>
      </w:r>
      <w:r w:rsidRPr="00265880">
        <w:rPr>
          <w:rFonts w:ascii="Arial" w:hAnsi="Arial" w:cs="Arial"/>
          <w:sz w:val="22"/>
          <w:szCs w:val="22"/>
        </w:rPr>
        <w:t>his report has demonstrated that person-centred care (PCC) and partnership working (PW) are fundamental to delivering safe, effective and high-quality healthcare within UK hospital settings. Bronfenbrenner's Ecological Systems Theory, ethical principles and UK legislation all support collaborative, person-centred practice by promoting patient involvement, multidisciplinary working and coordinated care. However, challenges such as workforce shortages, communication barriers and fragmented services continue to affect implementation. To address these issues, the report recommends improving staff training, strengthening integrated digital systems and enhancing multidisciplinary collaboration. Implementing these recommendations would support more consistent person-centred care, improve partnership working and ultimately lead to better patient experiences and health outcomes.</w:t>
      </w:r>
    </w:p>
    <w:p w14:paraId="772A6453" w14:textId="77777777" w:rsidR="00265880" w:rsidRPr="00265880" w:rsidRDefault="00265880" w:rsidP="00616A9D">
      <w:pPr>
        <w:spacing w:line="360" w:lineRule="auto"/>
        <w:jc w:val="both"/>
        <w:rPr>
          <w:rFonts w:ascii="Arial" w:hAnsi="Arial" w:cs="Arial"/>
          <w:sz w:val="22"/>
          <w:szCs w:val="22"/>
        </w:rPr>
      </w:pPr>
    </w:p>
    <w:p w14:paraId="1C365E05" w14:textId="77777777" w:rsidR="00DD20E1" w:rsidRDefault="00DD20E1" w:rsidP="00616A9D">
      <w:pPr>
        <w:spacing w:line="360" w:lineRule="auto"/>
        <w:jc w:val="both"/>
        <w:rPr>
          <w:rFonts w:ascii="Arial" w:hAnsi="Arial" w:cs="Arial"/>
          <w:sz w:val="22"/>
          <w:szCs w:val="22"/>
        </w:rPr>
      </w:pPr>
    </w:p>
    <w:p w14:paraId="5E727241" w14:textId="77777777" w:rsidR="00DD20E1" w:rsidRDefault="00DD20E1" w:rsidP="00616A9D">
      <w:pPr>
        <w:spacing w:line="360" w:lineRule="auto"/>
        <w:jc w:val="both"/>
        <w:rPr>
          <w:rFonts w:ascii="Arial" w:hAnsi="Arial" w:cs="Arial"/>
          <w:sz w:val="22"/>
          <w:szCs w:val="22"/>
        </w:rPr>
      </w:pPr>
    </w:p>
    <w:p w14:paraId="0506DFAC" w14:textId="77777777" w:rsidR="00DD20E1" w:rsidRDefault="00DD20E1" w:rsidP="00616A9D">
      <w:pPr>
        <w:spacing w:line="360" w:lineRule="auto"/>
        <w:jc w:val="both"/>
        <w:rPr>
          <w:rFonts w:ascii="Arial" w:hAnsi="Arial" w:cs="Arial"/>
          <w:sz w:val="22"/>
          <w:szCs w:val="22"/>
        </w:rPr>
      </w:pPr>
    </w:p>
    <w:p w14:paraId="1520EFEC" w14:textId="77777777" w:rsidR="00DD20E1" w:rsidRDefault="00DD20E1" w:rsidP="00616A9D">
      <w:pPr>
        <w:spacing w:line="360" w:lineRule="auto"/>
        <w:jc w:val="both"/>
        <w:rPr>
          <w:rFonts w:ascii="Arial" w:hAnsi="Arial" w:cs="Arial"/>
          <w:sz w:val="22"/>
          <w:szCs w:val="22"/>
        </w:rPr>
      </w:pPr>
    </w:p>
    <w:p w14:paraId="54EFCDD7" w14:textId="77777777" w:rsidR="00DD20E1" w:rsidRDefault="00DD20E1" w:rsidP="00616A9D">
      <w:pPr>
        <w:spacing w:line="360" w:lineRule="auto"/>
        <w:jc w:val="both"/>
        <w:rPr>
          <w:rFonts w:ascii="Arial" w:hAnsi="Arial" w:cs="Arial"/>
          <w:sz w:val="22"/>
          <w:szCs w:val="22"/>
        </w:rPr>
      </w:pPr>
    </w:p>
    <w:p w14:paraId="5CF5C6B3" w14:textId="77777777" w:rsidR="00DD20E1" w:rsidRDefault="00DD20E1" w:rsidP="00616A9D">
      <w:pPr>
        <w:spacing w:line="360" w:lineRule="auto"/>
        <w:jc w:val="both"/>
        <w:rPr>
          <w:rFonts w:ascii="Arial" w:hAnsi="Arial" w:cs="Arial"/>
          <w:sz w:val="22"/>
          <w:szCs w:val="22"/>
        </w:rPr>
      </w:pPr>
    </w:p>
    <w:p w14:paraId="08796EFA" w14:textId="77777777" w:rsidR="00DD20E1" w:rsidRDefault="00DD20E1" w:rsidP="00616A9D">
      <w:pPr>
        <w:spacing w:line="360" w:lineRule="auto"/>
        <w:jc w:val="both"/>
        <w:rPr>
          <w:rFonts w:ascii="Arial" w:hAnsi="Arial" w:cs="Arial"/>
          <w:sz w:val="22"/>
          <w:szCs w:val="22"/>
        </w:rPr>
      </w:pPr>
    </w:p>
    <w:p w14:paraId="5EDDFE18" w14:textId="77777777" w:rsidR="00E61FD3" w:rsidRDefault="00E61FD3" w:rsidP="00616A9D">
      <w:pPr>
        <w:spacing w:line="360" w:lineRule="auto"/>
        <w:jc w:val="both"/>
        <w:rPr>
          <w:rFonts w:ascii="Arial" w:hAnsi="Arial" w:cs="Arial"/>
          <w:sz w:val="22"/>
          <w:szCs w:val="22"/>
        </w:rPr>
      </w:pPr>
    </w:p>
    <w:p w14:paraId="47CDEA19" w14:textId="77777777" w:rsidR="00E61FD3" w:rsidRDefault="00E61FD3" w:rsidP="00616A9D">
      <w:pPr>
        <w:spacing w:line="360" w:lineRule="auto"/>
        <w:jc w:val="both"/>
        <w:rPr>
          <w:rFonts w:ascii="Arial" w:hAnsi="Arial" w:cs="Arial"/>
          <w:sz w:val="22"/>
          <w:szCs w:val="22"/>
        </w:rPr>
      </w:pPr>
    </w:p>
    <w:p w14:paraId="2F966623" w14:textId="0DD34CC2" w:rsidR="001E6F29" w:rsidRDefault="001E6F29" w:rsidP="00616A9D">
      <w:pPr>
        <w:spacing w:line="360" w:lineRule="auto"/>
        <w:jc w:val="both"/>
        <w:rPr>
          <w:rFonts w:ascii="Arial" w:hAnsi="Arial" w:cs="Arial"/>
          <w:sz w:val="22"/>
          <w:szCs w:val="22"/>
        </w:rPr>
      </w:pPr>
      <w:r w:rsidRPr="001E6F29">
        <w:rPr>
          <w:rFonts w:ascii="Arial" w:hAnsi="Arial" w:cs="Arial"/>
          <w:sz w:val="22"/>
          <w:szCs w:val="22"/>
        </w:rPr>
        <w:lastRenderedPageBreak/>
        <w:t xml:space="preserve">Beauchamp, T.L. and Childress, J.F. (1994) </w:t>
      </w:r>
      <w:r w:rsidRPr="001E6F29">
        <w:rPr>
          <w:rFonts w:ascii="Arial" w:hAnsi="Arial" w:cs="Arial"/>
          <w:i/>
          <w:iCs/>
          <w:sz w:val="22"/>
          <w:szCs w:val="22"/>
        </w:rPr>
        <w:t>Principles of Biomedical Ethics</w:t>
      </w:r>
      <w:r w:rsidRPr="001E6F29">
        <w:rPr>
          <w:rFonts w:ascii="Arial" w:hAnsi="Arial" w:cs="Arial"/>
          <w:sz w:val="22"/>
          <w:szCs w:val="22"/>
        </w:rPr>
        <w:t>. 4th edn. Oxford University Press.</w:t>
      </w:r>
    </w:p>
    <w:p w14:paraId="0BD2B529" w14:textId="7B881B90" w:rsidR="00153284" w:rsidRDefault="00153284" w:rsidP="00616A9D">
      <w:pPr>
        <w:spacing w:line="360" w:lineRule="auto"/>
        <w:jc w:val="both"/>
        <w:rPr>
          <w:rFonts w:ascii="Arial" w:hAnsi="Arial" w:cs="Arial"/>
          <w:sz w:val="22"/>
          <w:szCs w:val="22"/>
        </w:rPr>
      </w:pPr>
      <w:r w:rsidRPr="00153284">
        <w:rPr>
          <w:rFonts w:ascii="Arial" w:hAnsi="Arial" w:cs="Arial"/>
          <w:sz w:val="22"/>
          <w:szCs w:val="22"/>
        </w:rPr>
        <w:t xml:space="preserve">Bronfenbrenner, U. (1979) </w:t>
      </w:r>
      <w:r w:rsidRPr="00153284">
        <w:rPr>
          <w:rFonts w:ascii="Arial" w:hAnsi="Arial" w:cs="Arial"/>
          <w:i/>
          <w:iCs/>
          <w:sz w:val="22"/>
          <w:szCs w:val="22"/>
        </w:rPr>
        <w:t>The Ecology of Human Development: Experiments by Nature and Design</w:t>
      </w:r>
      <w:r w:rsidRPr="00153284">
        <w:rPr>
          <w:rFonts w:ascii="Arial" w:hAnsi="Arial" w:cs="Arial"/>
          <w:sz w:val="22"/>
          <w:szCs w:val="22"/>
        </w:rPr>
        <w:t>. Harvard University Press.</w:t>
      </w:r>
    </w:p>
    <w:p w14:paraId="745FB79F" w14:textId="5D65481D" w:rsidR="00616A9D" w:rsidRPr="00616A9D" w:rsidRDefault="00616A9D" w:rsidP="00616A9D">
      <w:pPr>
        <w:spacing w:line="360" w:lineRule="auto"/>
        <w:jc w:val="both"/>
        <w:rPr>
          <w:rFonts w:ascii="Arial" w:hAnsi="Arial" w:cs="Arial"/>
          <w:sz w:val="22"/>
          <w:szCs w:val="22"/>
        </w:rPr>
      </w:pPr>
      <w:r w:rsidRPr="00616A9D">
        <w:rPr>
          <w:rFonts w:ascii="Arial" w:hAnsi="Arial" w:cs="Arial"/>
          <w:sz w:val="22"/>
          <w:szCs w:val="22"/>
        </w:rPr>
        <w:t xml:space="preserve">Care Act 2014, c.23. Available at: </w:t>
      </w:r>
      <w:hyperlink r:id="rId5" w:tgtFrame="_new" w:history="1">
        <w:r w:rsidRPr="00616A9D">
          <w:rPr>
            <w:rStyle w:val="Hyperlink"/>
            <w:rFonts w:ascii="Arial" w:hAnsi="Arial" w:cs="Arial"/>
            <w:sz w:val="22"/>
            <w:szCs w:val="22"/>
          </w:rPr>
          <w:t>https://www.legislation.gov.uk/ukpga/2014/23/contents</w:t>
        </w:r>
      </w:hyperlink>
      <w:r w:rsidRPr="00616A9D">
        <w:rPr>
          <w:rFonts w:ascii="Arial" w:hAnsi="Arial" w:cs="Arial"/>
          <w:sz w:val="22"/>
          <w:szCs w:val="22"/>
        </w:rPr>
        <w:t xml:space="preserve"> (Accessed: 9 July 2026).</w:t>
      </w:r>
    </w:p>
    <w:p w14:paraId="17145017" w14:textId="3853E615" w:rsidR="00616A9D" w:rsidRPr="00616A9D" w:rsidRDefault="0054695C" w:rsidP="00616A9D">
      <w:pPr>
        <w:spacing w:line="360" w:lineRule="auto"/>
        <w:jc w:val="both"/>
        <w:rPr>
          <w:rFonts w:ascii="Arial" w:hAnsi="Arial" w:cs="Arial"/>
          <w:sz w:val="22"/>
          <w:szCs w:val="22"/>
        </w:rPr>
      </w:pPr>
      <w:r w:rsidRPr="0054695C">
        <w:rPr>
          <w:rFonts w:ascii="Arial" w:hAnsi="Arial" w:cs="Arial"/>
          <w:sz w:val="22"/>
          <w:szCs w:val="22"/>
        </w:rPr>
        <w:t xml:space="preserve">Coulter, A. (2012) </w:t>
      </w:r>
      <w:r w:rsidRPr="0054695C">
        <w:rPr>
          <w:rFonts w:ascii="Arial" w:hAnsi="Arial" w:cs="Arial"/>
          <w:i/>
          <w:iCs/>
          <w:sz w:val="22"/>
          <w:szCs w:val="22"/>
        </w:rPr>
        <w:t>Engaging Patients in Healthcare</w:t>
      </w:r>
      <w:r w:rsidRPr="0054695C">
        <w:rPr>
          <w:rFonts w:ascii="Arial" w:hAnsi="Arial" w:cs="Arial"/>
          <w:sz w:val="22"/>
          <w:szCs w:val="22"/>
        </w:rPr>
        <w:t>. Open University Press</w:t>
      </w:r>
      <w:r w:rsidR="00616A9D" w:rsidRPr="00616A9D">
        <w:rPr>
          <w:rFonts w:ascii="Arial" w:hAnsi="Arial" w:cs="Arial"/>
          <w:sz w:val="22"/>
          <w:szCs w:val="22"/>
        </w:rPr>
        <w:t>.</w:t>
      </w:r>
    </w:p>
    <w:p w14:paraId="00AACAEA" w14:textId="526F9AC2" w:rsidR="004A741F" w:rsidRDefault="00DA16C4" w:rsidP="00616A9D">
      <w:pPr>
        <w:spacing w:line="360" w:lineRule="auto"/>
        <w:jc w:val="both"/>
        <w:rPr>
          <w:rFonts w:ascii="Arial" w:hAnsi="Arial" w:cs="Arial"/>
          <w:sz w:val="22"/>
          <w:szCs w:val="22"/>
        </w:rPr>
      </w:pPr>
      <w:r w:rsidRPr="00DA16C4">
        <w:rPr>
          <w:rFonts w:ascii="Arial" w:hAnsi="Arial" w:cs="Arial"/>
          <w:sz w:val="22"/>
          <w:szCs w:val="22"/>
        </w:rPr>
        <w:t>Care Quality Commission (2024</w:t>
      </w:r>
      <w:r w:rsidRPr="00DA16C4">
        <w:rPr>
          <w:rFonts w:ascii="Arial" w:hAnsi="Arial" w:cs="Arial"/>
          <w:b/>
          <w:bCs/>
          <w:sz w:val="22"/>
          <w:szCs w:val="22"/>
        </w:rPr>
        <w:t>)</w:t>
      </w:r>
      <w:r w:rsidRPr="00DA16C4">
        <w:rPr>
          <w:rFonts w:ascii="Arial" w:hAnsi="Arial" w:cs="Arial"/>
          <w:sz w:val="22"/>
          <w:szCs w:val="22"/>
        </w:rPr>
        <w:t xml:space="preserve"> </w:t>
      </w:r>
      <w:r w:rsidRPr="00DA16C4">
        <w:rPr>
          <w:rFonts w:ascii="Arial" w:hAnsi="Arial" w:cs="Arial"/>
          <w:i/>
          <w:iCs/>
          <w:sz w:val="22"/>
          <w:szCs w:val="22"/>
        </w:rPr>
        <w:t>2024 Adult Inpatient Survey: Press release and findings.</w:t>
      </w:r>
      <w:r w:rsidRPr="00DA16C4">
        <w:rPr>
          <w:rFonts w:ascii="Arial" w:hAnsi="Arial" w:cs="Arial"/>
          <w:sz w:val="22"/>
          <w:szCs w:val="22"/>
        </w:rPr>
        <w:t xml:space="preserve"> Available at: </w:t>
      </w:r>
      <w:hyperlink r:id="rId6" w:tgtFrame="_new" w:history="1">
        <w:r w:rsidRPr="00DA16C4">
          <w:rPr>
            <w:rStyle w:val="Hyperlink"/>
            <w:rFonts w:ascii="Arial" w:hAnsi="Arial" w:cs="Arial"/>
            <w:sz w:val="22"/>
            <w:szCs w:val="22"/>
          </w:rPr>
          <w:t>https://www.cqc.org.uk/press-release/more-people-report-poor-discharge-experiences-and-deterioration-health-while-waiting</w:t>
        </w:r>
      </w:hyperlink>
      <w:r w:rsidRPr="00DA16C4">
        <w:rPr>
          <w:rFonts w:ascii="Arial" w:hAnsi="Arial" w:cs="Arial"/>
          <w:sz w:val="22"/>
          <w:szCs w:val="22"/>
        </w:rPr>
        <w:t xml:space="preserve"> (Accessed: 22 July 2026).</w:t>
      </w:r>
    </w:p>
    <w:p w14:paraId="377A018C" w14:textId="64DD06A7" w:rsidR="00B27236" w:rsidRDefault="00B27236" w:rsidP="00616A9D">
      <w:pPr>
        <w:spacing w:line="360" w:lineRule="auto"/>
        <w:jc w:val="both"/>
        <w:rPr>
          <w:rFonts w:ascii="Arial" w:hAnsi="Arial" w:cs="Arial"/>
          <w:sz w:val="22"/>
          <w:szCs w:val="22"/>
        </w:rPr>
      </w:pPr>
      <w:r w:rsidRPr="00B27236">
        <w:rPr>
          <w:rFonts w:ascii="Arial" w:hAnsi="Arial" w:cs="Arial"/>
          <w:sz w:val="22"/>
          <w:szCs w:val="22"/>
        </w:rPr>
        <w:t xml:space="preserve">Ekman, I., Swedberg, K., Taft, C., Lindseth, A., Norberg, A., Brink, E., Carlsson, J., Dahlin-Ivanoff, S., Johansson, I.L., Kjellgren, K. and Lidén, E. (2011) 'Person-centered care—ready for prime time', </w:t>
      </w:r>
      <w:r w:rsidRPr="00B27236">
        <w:rPr>
          <w:rFonts w:ascii="Arial" w:hAnsi="Arial" w:cs="Arial"/>
          <w:i/>
          <w:iCs/>
          <w:sz w:val="22"/>
          <w:szCs w:val="22"/>
        </w:rPr>
        <w:t>European Journal of Cardiovascular Nursing</w:t>
      </w:r>
      <w:r w:rsidRPr="00B27236">
        <w:rPr>
          <w:rFonts w:ascii="Arial" w:hAnsi="Arial" w:cs="Arial"/>
          <w:sz w:val="22"/>
          <w:szCs w:val="22"/>
        </w:rPr>
        <w:t>, 10(4), pp.248–251</w:t>
      </w:r>
      <w:r w:rsidR="00677DDB">
        <w:rPr>
          <w:rFonts w:ascii="Arial" w:hAnsi="Arial" w:cs="Arial"/>
          <w:sz w:val="22"/>
          <w:szCs w:val="22"/>
        </w:rPr>
        <w:t>.</w:t>
      </w:r>
    </w:p>
    <w:p w14:paraId="2681DBE9" w14:textId="2EFB5D08" w:rsidR="00616A9D" w:rsidRPr="00616A9D" w:rsidRDefault="00616A9D" w:rsidP="00616A9D">
      <w:pPr>
        <w:spacing w:line="360" w:lineRule="auto"/>
        <w:jc w:val="both"/>
        <w:rPr>
          <w:rFonts w:ascii="Arial" w:hAnsi="Arial" w:cs="Arial"/>
          <w:sz w:val="22"/>
          <w:szCs w:val="22"/>
        </w:rPr>
      </w:pPr>
      <w:r w:rsidRPr="00616A9D">
        <w:rPr>
          <w:rFonts w:ascii="Arial" w:hAnsi="Arial" w:cs="Arial"/>
          <w:sz w:val="22"/>
          <w:szCs w:val="22"/>
        </w:rPr>
        <w:t xml:space="preserve">Equality Act 2010, c.15. Available at: </w:t>
      </w:r>
      <w:hyperlink r:id="rId7" w:tgtFrame="_new" w:history="1">
        <w:r w:rsidRPr="00616A9D">
          <w:rPr>
            <w:rStyle w:val="Hyperlink"/>
            <w:rFonts w:ascii="Arial" w:hAnsi="Arial" w:cs="Arial"/>
            <w:sz w:val="22"/>
            <w:szCs w:val="22"/>
          </w:rPr>
          <w:t>https://www.legislation.gov.uk/ukpga/2010/15/contents</w:t>
        </w:r>
      </w:hyperlink>
      <w:r w:rsidRPr="00616A9D">
        <w:rPr>
          <w:rFonts w:ascii="Arial" w:hAnsi="Arial" w:cs="Arial"/>
          <w:sz w:val="22"/>
          <w:szCs w:val="22"/>
        </w:rPr>
        <w:t xml:space="preserve"> (Accessed: 9 July 2026).</w:t>
      </w:r>
    </w:p>
    <w:p w14:paraId="5EDE453F" w14:textId="3D8B1380" w:rsidR="00616A9D" w:rsidRPr="00616A9D" w:rsidRDefault="00616A9D" w:rsidP="00616A9D">
      <w:pPr>
        <w:spacing w:line="360" w:lineRule="auto"/>
        <w:jc w:val="both"/>
        <w:rPr>
          <w:rFonts w:ascii="Arial" w:hAnsi="Arial" w:cs="Arial"/>
          <w:sz w:val="22"/>
          <w:szCs w:val="22"/>
        </w:rPr>
      </w:pPr>
      <w:r w:rsidRPr="00616A9D">
        <w:rPr>
          <w:rFonts w:ascii="Arial" w:hAnsi="Arial" w:cs="Arial"/>
          <w:sz w:val="22"/>
          <w:szCs w:val="22"/>
        </w:rPr>
        <w:t xml:space="preserve">Gyllensten, H., Cederberg, M., Fors, A., Hedman, H., Pirhonen Nørmark, L., Alsén, S., Blanck, E., Ali, L. and Ekman, I. (2025) ‘Person-centred care: State-of-the-art and future perspectives’, </w:t>
      </w:r>
      <w:r w:rsidRPr="00616A9D">
        <w:rPr>
          <w:rFonts w:ascii="Arial" w:hAnsi="Arial" w:cs="Arial"/>
          <w:i/>
          <w:iCs/>
          <w:sz w:val="22"/>
          <w:szCs w:val="22"/>
        </w:rPr>
        <w:t>Current Heart Failure Reports</w:t>
      </w:r>
      <w:r w:rsidRPr="00616A9D">
        <w:rPr>
          <w:rFonts w:ascii="Arial" w:hAnsi="Arial" w:cs="Arial"/>
          <w:sz w:val="22"/>
          <w:szCs w:val="22"/>
        </w:rPr>
        <w:t>, 22</w:t>
      </w:r>
      <w:r w:rsidR="00421733">
        <w:rPr>
          <w:rFonts w:ascii="Arial" w:hAnsi="Arial" w:cs="Arial"/>
          <w:sz w:val="22"/>
          <w:szCs w:val="22"/>
        </w:rPr>
        <w:t>(1)</w:t>
      </w:r>
      <w:r w:rsidRPr="00616A9D">
        <w:rPr>
          <w:rFonts w:ascii="Arial" w:hAnsi="Arial" w:cs="Arial"/>
          <w:sz w:val="22"/>
          <w:szCs w:val="22"/>
        </w:rPr>
        <w:t>, pp.</w:t>
      </w:r>
      <w:r w:rsidR="004662E5">
        <w:rPr>
          <w:rFonts w:ascii="Arial" w:hAnsi="Arial" w:cs="Arial"/>
          <w:sz w:val="22"/>
          <w:szCs w:val="22"/>
        </w:rPr>
        <w:t xml:space="preserve"> </w:t>
      </w:r>
      <w:r w:rsidRPr="00616A9D">
        <w:rPr>
          <w:rFonts w:ascii="Arial" w:hAnsi="Arial" w:cs="Arial"/>
          <w:sz w:val="22"/>
          <w:szCs w:val="22"/>
        </w:rPr>
        <w:t>15–25.</w:t>
      </w:r>
      <w:r w:rsidR="00AD2327" w:rsidRPr="00AD2327">
        <w:t xml:space="preserve"> </w:t>
      </w:r>
      <w:r w:rsidR="00AD2327" w:rsidRPr="00AD2327">
        <w:rPr>
          <w:rFonts w:ascii="Arial" w:hAnsi="Arial" w:cs="Arial"/>
          <w:sz w:val="22"/>
          <w:szCs w:val="22"/>
        </w:rPr>
        <w:t xml:space="preserve">Available at: </w:t>
      </w:r>
      <w:hyperlink r:id="rId8" w:history="1">
        <w:r w:rsidR="00AD2327" w:rsidRPr="00173A35">
          <w:rPr>
            <w:rStyle w:val="Hyperlink"/>
            <w:rFonts w:ascii="Arial" w:hAnsi="Arial" w:cs="Arial"/>
            <w:sz w:val="22"/>
            <w:szCs w:val="22"/>
          </w:rPr>
          <w:t>https://doi.org/10.10</w:t>
        </w:r>
        <w:r w:rsidR="00AD2327" w:rsidRPr="00173A35">
          <w:rPr>
            <w:rStyle w:val="Hyperlink"/>
            <w:rFonts w:ascii="Arial" w:hAnsi="Arial" w:cs="Arial"/>
            <w:sz w:val="22"/>
            <w:szCs w:val="22"/>
          </w:rPr>
          <w:t>07/s11897-025-00702-3</w:t>
        </w:r>
      </w:hyperlink>
      <w:r w:rsidR="00AD2327" w:rsidRPr="00AD2327">
        <w:rPr>
          <w:rFonts w:ascii="Arial" w:hAnsi="Arial" w:cs="Arial"/>
          <w:sz w:val="22"/>
          <w:szCs w:val="22"/>
        </w:rPr>
        <w:t>.</w:t>
      </w:r>
      <w:r w:rsidR="00AD2327">
        <w:rPr>
          <w:rFonts w:ascii="Arial" w:hAnsi="Arial" w:cs="Arial"/>
          <w:sz w:val="22"/>
          <w:szCs w:val="22"/>
        </w:rPr>
        <w:t xml:space="preserve"> </w:t>
      </w:r>
    </w:p>
    <w:p w14:paraId="101371CC" w14:textId="77777777" w:rsidR="00616A9D" w:rsidRPr="00616A9D" w:rsidRDefault="00616A9D" w:rsidP="00616A9D">
      <w:pPr>
        <w:spacing w:line="360" w:lineRule="auto"/>
        <w:jc w:val="both"/>
        <w:rPr>
          <w:rFonts w:ascii="Arial" w:hAnsi="Arial" w:cs="Arial"/>
          <w:sz w:val="22"/>
          <w:szCs w:val="22"/>
        </w:rPr>
      </w:pPr>
      <w:r w:rsidRPr="00616A9D">
        <w:rPr>
          <w:rFonts w:ascii="Arial" w:hAnsi="Arial" w:cs="Arial"/>
          <w:sz w:val="22"/>
          <w:szCs w:val="22"/>
        </w:rPr>
        <w:t xml:space="preserve">Health and Care Act 2022, c.31. Available at: </w:t>
      </w:r>
      <w:hyperlink r:id="rId9" w:tgtFrame="_new" w:history="1">
        <w:r w:rsidRPr="00616A9D">
          <w:rPr>
            <w:rStyle w:val="Hyperlink"/>
            <w:rFonts w:ascii="Arial" w:hAnsi="Arial" w:cs="Arial"/>
            <w:sz w:val="22"/>
            <w:szCs w:val="22"/>
          </w:rPr>
          <w:t>https://www.legislation.gov.uk/ukpga/2022/31/contents</w:t>
        </w:r>
      </w:hyperlink>
      <w:r w:rsidRPr="00616A9D">
        <w:rPr>
          <w:rFonts w:ascii="Arial" w:hAnsi="Arial" w:cs="Arial"/>
          <w:sz w:val="22"/>
          <w:szCs w:val="22"/>
        </w:rPr>
        <w:t xml:space="preserve"> (Accessed: 9 July 2026).</w:t>
      </w:r>
    </w:p>
    <w:p w14:paraId="55014A1E" w14:textId="77777777" w:rsidR="00616A9D" w:rsidRPr="00616A9D" w:rsidRDefault="00616A9D" w:rsidP="00616A9D">
      <w:pPr>
        <w:spacing w:line="360" w:lineRule="auto"/>
        <w:jc w:val="both"/>
        <w:rPr>
          <w:rFonts w:ascii="Arial" w:hAnsi="Arial" w:cs="Arial"/>
          <w:sz w:val="22"/>
          <w:szCs w:val="22"/>
        </w:rPr>
      </w:pPr>
      <w:r w:rsidRPr="00616A9D">
        <w:rPr>
          <w:rFonts w:ascii="Arial" w:hAnsi="Arial" w:cs="Arial"/>
          <w:sz w:val="22"/>
          <w:szCs w:val="22"/>
        </w:rPr>
        <w:t xml:space="preserve">Health and Social Care Act 2012, c.7. Available at: </w:t>
      </w:r>
      <w:hyperlink r:id="rId10" w:tgtFrame="_new" w:history="1">
        <w:r w:rsidRPr="00616A9D">
          <w:rPr>
            <w:rStyle w:val="Hyperlink"/>
            <w:rFonts w:ascii="Arial" w:hAnsi="Arial" w:cs="Arial"/>
            <w:sz w:val="22"/>
            <w:szCs w:val="22"/>
          </w:rPr>
          <w:t>https://www.legislation.gov.uk/ukpga/2012/7/contents</w:t>
        </w:r>
      </w:hyperlink>
      <w:r w:rsidRPr="00616A9D">
        <w:rPr>
          <w:rFonts w:ascii="Arial" w:hAnsi="Arial" w:cs="Arial"/>
          <w:sz w:val="22"/>
          <w:szCs w:val="22"/>
        </w:rPr>
        <w:t xml:space="preserve"> (Accessed: 9 July 2026).</w:t>
      </w:r>
    </w:p>
    <w:p w14:paraId="6CAC6500" w14:textId="01101A3A" w:rsidR="00616A9D" w:rsidRPr="00616A9D" w:rsidRDefault="00616A9D" w:rsidP="00DD20E1">
      <w:pPr>
        <w:spacing w:line="360" w:lineRule="auto"/>
        <w:jc w:val="both"/>
        <w:rPr>
          <w:rFonts w:ascii="Arial" w:hAnsi="Arial" w:cs="Arial"/>
          <w:sz w:val="22"/>
          <w:szCs w:val="22"/>
        </w:rPr>
      </w:pPr>
      <w:r w:rsidRPr="00616A9D">
        <w:rPr>
          <w:rFonts w:ascii="Arial" w:hAnsi="Arial" w:cs="Arial"/>
          <w:sz w:val="22"/>
          <w:szCs w:val="22"/>
        </w:rPr>
        <w:t xml:space="preserve">Human Rights Act 1998, c.42. Available at: </w:t>
      </w:r>
      <w:hyperlink r:id="rId11" w:tgtFrame="_new" w:history="1">
        <w:r w:rsidRPr="00616A9D">
          <w:rPr>
            <w:rStyle w:val="Hyperlink"/>
            <w:rFonts w:ascii="Arial" w:hAnsi="Arial" w:cs="Arial"/>
            <w:sz w:val="22"/>
            <w:szCs w:val="22"/>
          </w:rPr>
          <w:t>https://www.legislation.gov.uk/ukpga/1998/42/contents</w:t>
        </w:r>
      </w:hyperlink>
      <w:r w:rsidRPr="00616A9D">
        <w:rPr>
          <w:rFonts w:ascii="Arial" w:hAnsi="Arial" w:cs="Arial"/>
          <w:sz w:val="22"/>
          <w:szCs w:val="22"/>
        </w:rPr>
        <w:t xml:space="preserve"> (Accessed: 9 July 2026).</w:t>
      </w:r>
    </w:p>
    <w:p w14:paraId="2CABA19E" w14:textId="77777777" w:rsidR="00616A9D" w:rsidRDefault="00616A9D" w:rsidP="00616A9D">
      <w:pPr>
        <w:spacing w:line="360" w:lineRule="auto"/>
        <w:jc w:val="both"/>
        <w:rPr>
          <w:rFonts w:ascii="Arial" w:hAnsi="Arial" w:cs="Arial"/>
          <w:sz w:val="22"/>
          <w:szCs w:val="22"/>
        </w:rPr>
      </w:pPr>
      <w:r w:rsidRPr="00616A9D">
        <w:rPr>
          <w:rFonts w:ascii="Arial" w:hAnsi="Arial" w:cs="Arial"/>
          <w:sz w:val="22"/>
          <w:szCs w:val="22"/>
        </w:rPr>
        <w:t xml:space="preserve">National Institute for Health and Care Excellence (2021) </w:t>
      </w:r>
      <w:r w:rsidRPr="00616A9D">
        <w:rPr>
          <w:rFonts w:ascii="Arial" w:hAnsi="Arial" w:cs="Arial"/>
          <w:i/>
          <w:iCs/>
          <w:sz w:val="22"/>
          <w:szCs w:val="22"/>
        </w:rPr>
        <w:t>Shared decision making (NG197)</w:t>
      </w:r>
      <w:r w:rsidRPr="00616A9D">
        <w:rPr>
          <w:rFonts w:ascii="Arial" w:hAnsi="Arial" w:cs="Arial"/>
          <w:sz w:val="22"/>
          <w:szCs w:val="22"/>
        </w:rPr>
        <w:t xml:space="preserve">. Available at: </w:t>
      </w:r>
      <w:hyperlink r:id="rId12" w:tgtFrame="_new" w:history="1">
        <w:r w:rsidRPr="00616A9D">
          <w:rPr>
            <w:rStyle w:val="Hyperlink"/>
            <w:rFonts w:ascii="Arial" w:hAnsi="Arial" w:cs="Arial"/>
            <w:sz w:val="22"/>
            <w:szCs w:val="22"/>
          </w:rPr>
          <w:t>https://www.nice.org.uk/guidance/ng197</w:t>
        </w:r>
      </w:hyperlink>
      <w:r w:rsidRPr="00616A9D">
        <w:rPr>
          <w:rFonts w:ascii="Arial" w:hAnsi="Arial" w:cs="Arial"/>
          <w:sz w:val="22"/>
          <w:szCs w:val="22"/>
        </w:rPr>
        <w:t xml:space="preserve"> (Accessed: 9 July 2026).</w:t>
      </w:r>
    </w:p>
    <w:p w14:paraId="7D59728D" w14:textId="563CC397" w:rsidR="00190D36" w:rsidRPr="00616A9D" w:rsidRDefault="00873492" w:rsidP="00616A9D">
      <w:pPr>
        <w:spacing w:line="360" w:lineRule="auto"/>
        <w:jc w:val="both"/>
        <w:rPr>
          <w:rFonts w:ascii="Arial" w:hAnsi="Arial" w:cs="Arial"/>
          <w:sz w:val="22"/>
          <w:szCs w:val="22"/>
        </w:rPr>
      </w:pPr>
      <w:r w:rsidRPr="00873492">
        <w:rPr>
          <w:rFonts w:ascii="Arial" w:hAnsi="Arial" w:cs="Arial"/>
          <w:sz w:val="22"/>
          <w:szCs w:val="22"/>
        </w:rPr>
        <w:t xml:space="preserve">NHS England (2023) </w:t>
      </w:r>
      <w:r w:rsidRPr="00873492">
        <w:rPr>
          <w:rFonts w:ascii="Arial" w:hAnsi="Arial" w:cs="Arial"/>
          <w:i/>
          <w:iCs/>
          <w:sz w:val="22"/>
          <w:szCs w:val="22"/>
        </w:rPr>
        <w:t>Comprehensive Model for Personalised Care</w:t>
      </w:r>
      <w:r w:rsidRPr="00873492">
        <w:rPr>
          <w:rFonts w:ascii="Arial" w:hAnsi="Arial" w:cs="Arial"/>
          <w:sz w:val="22"/>
          <w:szCs w:val="22"/>
        </w:rPr>
        <w:t xml:space="preserve">. Available at: </w:t>
      </w:r>
      <w:hyperlink r:id="rId13" w:tgtFrame="_new" w:history="1">
        <w:r w:rsidRPr="00873492">
          <w:rPr>
            <w:rStyle w:val="Hyperlink"/>
            <w:rFonts w:ascii="Arial" w:hAnsi="Arial" w:cs="Arial"/>
            <w:sz w:val="22"/>
            <w:szCs w:val="22"/>
          </w:rPr>
          <w:t>https://www.england.nhs.uk/personalisedcare/</w:t>
        </w:r>
      </w:hyperlink>
      <w:r w:rsidRPr="00873492">
        <w:rPr>
          <w:rFonts w:ascii="Arial" w:hAnsi="Arial" w:cs="Arial"/>
          <w:sz w:val="22"/>
          <w:szCs w:val="22"/>
        </w:rPr>
        <w:t xml:space="preserve"> (Accessed: 9 July 2026).</w:t>
      </w:r>
    </w:p>
    <w:p w14:paraId="4B0EE950" w14:textId="43985C01" w:rsidR="00616A9D" w:rsidRPr="00616A9D" w:rsidRDefault="00616A9D" w:rsidP="00616A9D">
      <w:pPr>
        <w:spacing w:line="360" w:lineRule="auto"/>
        <w:jc w:val="both"/>
        <w:rPr>
          <w:rFonts w:ascii="Arial" w:hAnsi="Arial" w:cs="Arial"/>
          <w:sz w:val="22"/>
          <w:szCs w:val="22"/>
        </w:rPr>
      </w:pPr>
      <w:r w:rsidRPr="00616A9D">
        <w:rPr>
          <w:rFonts w:ascii="Arial" w:hAnsi="Arial" w:cs="Arial"/>
          <w:sz w:val="22"/>
          <w:szCs w:val="22"/>
        </w:rPr>
        <w:lastRenderedPageBreak/>
        <w:t xml:space="preserve">Nursing and Midwifery Council (2018) </w:t>
      </w:r>
      <w:r w:rsidRPr="00616A9D">
        <w:rPr>
          <w:rFonts w:ascii="Arial" w:hAnsi="Arial" w:cs="Arial"/>
          <w:i/>
          <w:iCs/>
          <w:sz w:val="22"/>
          <w:szCs w:val="22"/>
        </w:rPr>
        <w:t>The Code: Professional standards of practice and behaviour for nurses, midwives and nursing associates</w:t>
      </w:r>
      <w:r w:rsidRPr="00616A9D">
        <w:rPr>
          <w:rFonts w:ascii="Arial" w:hAnsi="Arial" w:cs="Arial"/>
          <w:sz w:val="22"/>
          <w:szCs w:val="22"/>
        </w:rPr>
        <w:t xml:space="preserve">. Available at: </w:t>
      </w:r>
      <w:hyperlink r:id="rId14" w:tgtFrame="_new" w:history="1">
        <w:r w:rsidRPr="00616A9D">
          <w:rPr>
            <w:rStyle w:val="Hyperlink"/>
            <w:rFonts w:ascii="Arial" w:hAnsi="Arial" w:cs="Arial"/>
            <w:sz w:val="22"/>
            <w:szCs w:val="22"/>
          </w:rPr>
          <w:t>https://www.nmc.org.uk/standards/code/</w:t>
        </w:r>
      </w:hyperlink>
      <w:r w:rsidRPr="00616A9D">
        <w:rPr>
          <w:rFonts w:ascii="Arial" w:hAnsi="Arial" w:cs="Arial"/>
          <w:sz w:val="22"/>
          <w:szCs w:val="22"/>
        </w:rPr>
        <w:t xml:space="preserve"> (Accessed: 9 July 2026).</w:t>
      </w:r>
    </w:p>
    <w:p w14:paraId="16199155" w14:textId="77777777" w:rsidR="00616A9D" w:rsidRDefault="00616A9D" w:rsidP="00616A9D">
      <w:pPr>
        <w:spacing w:line="360" w:lineRule="auto"/>
        <w:jc w:val="both"/>
        <w:rPr>
          <w:rFonts w:ascii="Arial" w:hAnsi="Arial" w:cs="Arial"/>
          <w:sz w:val="22"/>
          <w:szCs w:val="22"/>
        </w:rPr>
      </w:pPr>
      <w:r w:rsidRPr="00616A9D">
        <w:rPr>
          <w:rFonts w:ascii="Arial" w:hAnsi="Arial" w:cs="Arial"/>
          <w:sz w:val="22"/>
          <w:szCs w:val="22"/>
        </w:rPr>
        <w:t xml:space="preserve">The King’s Fund (2022) </w:t>
      </w:r>
      <w:r w:rsidRPr="00616A9D">
        <w:rPr>
          <w:rFonts w:ascii="Arial" w:hAnsi="Arial" w:cs="Arial"/>
          <w:i/>
          <w:iCs/>
          <w:sz w:val="22"/>
          <w:szCs w:val="22"/>
        </w:rPr>
        <w:t>Integrated care systems explained</w:t>
      </w:r>
      <w:r w:rsidRPr="00616A9D">
        <w:rPr>
          <w:rFonts w:ascii="Arial" w:hAnsi="Arial" w:cs="Arial"/>
          <w:sz w:val="22"/>
          <w:szCs w:val="22"/>
        </w:rPr>
        <w:t xml:space="preserve">. Available at: </w:t>
      </w:r>
      <w:hyperlink r:id="rId15" w:tgtFrame="_new" w:history="1">
        <w:r w:rsidRPr="00616A9D">
          <w:rPr>
            <w:rStyle w:val="Hyperlink"/>
            <w:rFonts w:ascii="Arial" w:hAnsi="Arial" w:cs="Arial"/>
            <w:sz w:val="22"/>
            <w:szCs w:val="22"/>
          </w:rPr>
          <w:t>https://www.kingsfund.org.uk/publications/integrated-care-systems-explained</w:t>
        </w:r>
      </w:hyperlink>
      <w:r w:rsidRPr="00616A9D">
        <w:rPr>
          <w:rFonts w:ascii="Arial" w:hAnsi="Arial" w:cs="Arial"/>
          <w:sz w:val="22"/>
          <w:szCs w:val="22"/>
        </w:rPr>
        <w:t xml:space="preserve"> (Accessed: 9 July 2026).</w:t>
      </w:r>
    </w:p>
    <w:p w14:paraId="57855E32" w14:textId="329B54DA" w:rsidR="006577B5" w:rsidRPr="00616A9D" w:rsidRDefault="006577B5" w:rsidP="00616A9D">
      <w:pPr>
        <w:spacing w:line="360" w:lineRule="auto"/>
        <w:jc w:val="both"/>
        <w:rPr>
          <w:rFonts w:ascii="Arial" w:hAnsi="Arial" w:cs="Arial"/>
          <w:sz w:val="22"/>
          <w:szCs w:val="22"/>
        </w:rPr>
      </w:pPr>
      <w:r w:rsidRPr="006577B5">
        <w:rPr>
          <w:rFonts w:ascii="Arial" w:hAnsi="Arial" w:cs="Arial"/>
          <w:sz w:val="22"/>
          <w:szCs w:val="22"/>
        </w:rPr>
        <w:t xml:space="preserve">Tierney, A.P., Milnes, S., Phillips, A., Simpson, N., Bailey, M., Corke, C. and Orford, N.R. (2024) ‘Effect of a person-centred goals-of-care form and clinical communication training on shared decision-making and outcomes in an acute hospital: a prospective longitudinal interventional study’, </w:t>
      </w:r>
      <w:r w:rsidRPr="006577B5">
        <w:rPr>
          <w:rFonts w:ascii="Arial" w:hAnsi="Arial" w:cs="Arial"/>
          <w:i/>
          <w:iCs/>
          <w:sz w:val="22"/>
          <w:szCs w:val="22"/>
        </w:rPr>
        <w:t>Internal Medicine Journal</w:t>
      </w:r>
      <w:r w:rsidRPr="006577B5">
        <w:rPr>
          <w:rFonts w:ascii="Arial" w:hAnsi="Arial" w:cs="Arial"/>
          <w:sz w:val="22"/>
          <w:szCs w:val="22"/>
        </w:rPr>
        <w:t xml:space="preserve">, 54(7), pp. 1197–1204. Available at: </w:t>
      </w:r>
      <w:hyperlink r:id="rId16" w:history="1">
        <w:r w:rsidRPr="00173A35">
          <w:rPr>
            <w:rStyle w:val="Hyperlink"/>
            <w:rFonts w:ascii="Arial" w:hAnsi="Arial" w:cs="Arial"/>
            <w:sz w:val="22"/>
            <w:szCs w:val="22"/>
          </w:rPr>
          <w:t>https://doi.org/10.1111/imj.16381</w:t>
        </w:r>
      </w:hyperlink>
      <w:r w:rsidR="004662E5">
        <w:rPr>
          <w:rFonts w:ascii="Arial" w:hAnsi="Arial" w:cs="Arial"/>
          <w:sz w:val="22"/>
          <w:szCs w:val="22"/>
        </w:rPr>
        <w:t xml:space="preserve">. </w:t>
      </w:r>
    </w:p>
    <w:p w14:paraId="1CBC5214" w14:textId="778768EC" w:rsidR="00616A9D" w:rsidRPr="00D443E6" w:rsidRDefault="00364ED4" w:rsidP="00E62BD4">
      <w:pPr>
        <w:spacing w:line="360" w:lineRule="auto"/>
        <w:jc w:val="both"/>
        <w:rPr>
          <w:rFonts w:ascii="Arial" w:hAnsi="Arial" w:cs="Arial"/>
          <w:sz w:val="22"/>
          <w:szCs w:val="22"/>
        </w:rPr>
      </w:pPr>
      <w:r w:rsidRPr="00364ED4">
        <w:rPr>
          <w:rFonts w:ascii="Arial" w:hAnsi="Arial" w:cs="Arial"/>
          <w:sz w:val="22"/>
          <w:szCs w:val="22"/>
        </w:rPr>
        <w:t xml:space="preserve">World Health Organization (2016) </w:t>
      </w:r>
      <w:r w:rsidRPr="00364ED4">
        <w:rPr>
          <w:rFonts w:ascii="Arial" w:hAnsi="Arial" w:cs="Arial"/>
          <w:i/>
          <w:iCs/>
          <w:sz w:val="22"/>
          <w:szCs w:val="22"/>
        </w:rPr>
        <w:t>Framework on integrated, people-centred health services</w:t>
      </w:r>
      <w:r w:rsidRPr="00364ED4">
        <w:rPr>
          <w:rFonts w:ascii="Arial" w:hAnsi="Arial" w:cs="Arial"/>
          <w:sz w:val="22"/>
          <w:szCs w:val="22"/>
        </w:rPr>
        <w:t xml:space="preserve">. Available at: </w:t>
      </w:r>
      <w:hyperlink r:id="rId17" w:tgtFrame="_new" w:history="1">
        <w:r w:rsidRPr="00364ED4">
          <w:rPr>
            <w:rStyle w:val="Hyperlink"/>
            <w:rFonts w:ascii="Arial" w:hAnsi="Arial" w:cs="Arial"/>
            <w:sz w:val="22"/>
            <w:szCs w:val="22"/>
          </w:rPr>
          <w:t>https://www.who.int/publications/i/item/WHO-HIS-SDS-2016.4</w:t>
        </w:r>
      </w:hyperlink>
      <w:r w:rsidRPr="00364ED4">
        <w:rPr>
          <w:rFonts w:ascii="Arial" w:hAnsi="Arial" w:cs="Arial"/>
          <w:sz w:val="22"/>
          <w:szCs w:val="22"/>
        </w:rPr>
        <w:t xml:space="preserve"> (Accessed: 9 July 2026).</w:t>
      </w:r>
    </w:p>
    <w:p w14:paraId="1A4B177D" w14:textId="77777777" w:rsidR="00ED6A0C" w:rsidRPr="00BE628C" w:rsidRDefault="00ED6A0C" w:rsidP="00BE628C">
      <w:pPr>
        <w:spacing w:line="360" w:lineRule="auto"/>
        <w:jc w:val="both"/>
        <w:rPr>
          <w:rFonts w:ascii="Arial" w:hAnsi="Arial" w:cs="Arial"/>
          <w:sz w:val="22"/>
          <w:szCs w:val="22"/>
        </w:rPr>
      </w:pPr>
    </w:p>
    <w:p w14:paraId="5CA56000" w14:textId="77777777" w:rsidR="007476D0" w:rsidRPr="007476D0" w:rsidRDefault="007476D0" w:rsidP="007476D0">
      <w:pPr>
        <w:spacing w:line="360" w:lineRule="auto"/>
        <w:jc w:val="both"/>
        <w:rPr>
          <w:rFonts w:ascii="Arial" w:hAnsi="Arial" w:cs="Arial"/>
          <w:sz w:val="22"/>
          <w:szCs w:val="22"/>
        </w:rPr>
      </w:pPr>
    </w:p>
    <w:p w14:paraId="6FD0761E" w14:textId="77777777" w:rsidR="007476D0" w:rsidRPr="002667EA" w:rsidRDefault="007476D0" w:rsidP="00E03B60">
      <w:pPr>
        <w:spacing w:line="360" w:lineRule="auto"/>
        <w:jc w:val="both"/>
        <w:rPr>
          <w:rFonts w:ascii="Arial" w:hAnsi="Arial" w:cs="Arial"/>
          <w:sz w:val="22"/>
          <w:szCs w:val="22"/>
        </w:rPr>
      </w:pPr>
    </w:p>
    <w:sectPr w:rsidR="007476D0" w:rsidRPr="002667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6D55C9"/>
    <w:multiLevelType w:val="multilevel"/>
    <w:tmpl w:val="AF56E7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51582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48C"/>
    <w:rsid w:val="00093AD6"/>
    <w:rsid w:val="000A50A5"/>
    <w:rsid w:val="000B36A4"/>
    <w:rsid w:val="000B6149"/>
    <w:rsid w:val="000C2518"/>
    <w:rsid w:val="000E6248"/>
    <w:rsid w:val="001376AE"/>
    <w:rsid w:val="00150CD6"/>
    <w:rsid w:val="00153284"/>
    <w:rsid w:val="00160715"/>
    <w:rsid w:val="00177A29"/>
    <w:rsid w:val="00190D36"/>
    <w:rsid w:val="001B041F"/>
    <w:rsid w:val="001D1B7E"/>
    <w:rsid w:val="001D61B0"/>
    <w:rsid w:val="001E2413"/>
    <w:rsid w:val="001E6F29"/>
    <w:rsid w:val="001F6263"/>
    <w:rsid w:val="00203971"/>
    <w:rsid w:val="00205D63"/>
    <w:rsid w:val="0023363A"/>
    <w:rsid w:val="00241E79"/>
    <w:rsid w:val="00265880"/>
    <w:rsid w:val="002667EA"/>
    <w:rsid w:val="002A57BC"/>
    <w:rsid w:val="002B4101"/>
    <w:rsid w:val="002E1130"/>
    <w:rsid w:val="0030008D"/>
    <w:rsid w:val="003311D3"/>
    <w:rsid w:val="00334487"/>
    <w:rsid w:val="0034441F"/>
    <w:rsid w:val="003466D9"/>
    <w:rsid w:val="00355DB6"/>
    <w:rsid w:val="0036370A"/>
    <w:rsid w:val="00363746"/>
    <w:rsid w:val="00364ED4"/>
    <w:rsid w:val="00365576"/>
    <w:rsid w:val="0036622B"/>
    <w:rsid w:val="00367010"/>
    <w:rsid w:val="003729B6"/>
    <w:rsid w:val="00380BDA"/>
    <w:rsid w:val="0038640C"/>
    <w:rsid w:val="003F5EAD"/>
    <w:rsid w:val="003F79BD"/>
    <w:rsid w:val="003F7C24"/>
    <w:rsid w:val="00406835"/>
    <w:rsid w:val="00410DDD"/>
    <w:rsid w:val="00421733"/>
    <w:rsid w:val="004662E5"/>
    <w:rsid w:val="0047036D"/>
    <w:rsid w:val="0047348C"/>
    <w:rsid w:val="00492069"/>
    <w:rsid w:val="004A741F"/>
    <w:rsid w:val="004C11C5"/>
    <w:rsid w:val="004E4A53"/>
    <w:rsid w:val="00535CB9"/>
    <w:rsid w:val="005371EE"/>
    <w:rsid w:val="0054695C"/>
    <w:rsid w:val="005A302B"/>
    <w:rsid w:val="005A53BE"/>
    <w:rsid w:val="005B4C61"/>
    <w:rsid w:val="005B575C"/>
    <w:rsid w:val="005C7AE6"/>
    <w:rsid w:val="005D1B64"/>
    <w:rsid w:val="005D73C0"/>
    <w:rsid w:val="005E4410"/>
    <w:rsid w:val="006142EA"/>
    <w:rsid w:val="00615932"/>
    <w:rsid w:val="00616A9D"/>
    <w:rsid w:val="0065113C"/>
    <w:rsid w:val="00651B3D"/>
    <w:rsid w:val="006577B5"/>
    <w:rsid w:val="00665B9A"/>
    <w:rsid w:val="006709B4"/>
    <w:rsid w:val="00677DDB"/>
    <w:rsid w:val="00686BC4"/>
    <w:rsid w:val="006A448E"/>
    <w:rsid w:val="006F3140"/>
    <w:rsid w:val="007154DA"/>
    <w:rsid w:val="007229EE"/>
    <w:rsid w:val="0074078B"/>
    <w:rsid w:val="007476D0"/>
    <w:rsid w:val="00763BA6"/>
    <w:rsid w:val="00773CBA"/>
    <w:rsid w:val="00794162"/>
    <w:rsid w:val="007B15E7"/>
    <w:rsid w:val="007B1BB4"/>
    <w:rsid w:val="007B2EF0"/>
    <w:rsid w:val="007C2CF2"/>
    <w:rsid w:val="008267BA"/>
    <w:rsid w:val="00830F89"/>
    <w:rsid w:val="0083435F"/>
    <w:rsid w:val="008406D6"/>
    <w:rsid w:val="00873492"/>
    <w:rsid w:val="008869D3"/>
    <w:rsid w:val="008B74D4"/>
    <w:rsid w:val="008C35E9"/>
    <w:rsid w:val="008E1C21"/>
    <w:rsid w:val="008E65B0"/>
    <w:rsid w:val="008F1A10"/>
    <w:rsid w:val="0091568B"/>
    <w:rsid w:val="00922DD5"/>
    <w:rsid w:val="00962E0F"/>
    <w:rsid w:val="00965026"/>
    <w:rsid w:val="009653BB"/>
    <w:rsid w:val="009660F3"/>
    <w:rsid w:val="009738D1"/>
    <w:rsid w:val="00987DAC"/>
    <w:rsid w:val="009D1A30"/>
    <w:rsid w:val="009D3907"/>
    <w:rsid w:val="009E7422"/>
    <w:rsid w:val="00A0071D"/>
    <w:rsid w:val="00A073DC"/>
    <w:rsid w:val="00A100B7"/>
    <w:rsid w:val="00A33D54"/>
    <w:rsid w:val="00A356C4"/>
    <w:rsid w:val="00A4348C"/>
    <w:rsid w:val="00A45BE0"/>
    <w:rsid w:val="00A530BB"/>
    <w:rsid w:val="00A62CA4"/>
    <w:rsid w:val="00AC4881"/>
    <w:rsid w:val="00AD2327"/>
    <w:rsid w:val="00AE091D"/>
    <w:rsid w:val="00AF034F"/>
    <w:rsid w:val="00AF6CD0"/>
    <w:rsid w:val="00AF7B34"/>
    <w:rsid w:val="00B2417F"/>
    <w:rsid w:val="00B24625"/>
    <w:rsid w:val="00B26C07"/>
    <w:rsid w:val="00B27236"/>
    <w:rsid w:val="00B27353"/>
    <w:rsid w:val="00B5441E"/>
    <w:rsid w:val="00B61C41"/>
    <w:rsid w:val="00B83827"/>
    <w:rsid w:val="00B92E86"/>
    <w:rsid w:val="00BC492A"/>
    <w:rsid w:val="00BE3EFA"/>
    <w:rsid w:val="00BE628C"/>
    <w:rsid w:val="00BF5A28"/>
    <w:rsid w:val="00C052A5"/>
    <w:rsid w:val="00C7652D"/>
    <w:rsid w:val="00C80221"/>
    <w:rsid w:val="00C816BB"/>
    <w:rsid w:val="00D2242A"/>
    <w:rsid w:val="00D443E6"/>
    <w:rsid w:val="00D50B73"/>
    <w:rsid w:val="00D67C94"/>
    <w:rsid w:val="00D76679"/>
    <w:rsid w:val="00D82992"/>
    <w:rsid w:val="00D83C47"/>
    <w:rsid w:val="00DA16C4"/>
    <w:rsid w:val="00DB39E1"/>
    <w:rsid w:val="00DB3FFB"/>
    <w:rsid w:val="00DB5364"/>
    <w:rsid w:val="00DC43B4"/>
    <w:rsid w:val="00DD20E1"/>
    <w:rsid w:val="00DE0793"/>
    <w:rsid w:val="00E03B60"/>
    <w:rsid w:val="00E1065C"/>
    <w:rsid w:val="00E20A4C"/>
    <w:rsid w:val="00E26AA4"/>
    <w:rsid w:val="00E533C0"/>
    <w:rsid w:val="00E61FD3"/>
    <w:rsid w:val="00E62BD4"/>
    <w:rsid w:val="00E726A3"/>
    <w:rsid w:val="00EB6C1E"/>
    <w:rsid w:val="00ED4A15"/>
    <w:rsid w:val="00ED6A0C"/>
    <w:rsid w:val="00EE2900"/>
    <w:rsid w:val="00EE7585"/>
    <w:rsid w:val="00EF074F"/>
    <w:rsid w:val="00EF17B2"/>
    <w:rsid w:val="00F40572"/>
    <w:rsid w:val="00F71DA9"/>
    <w:rsid w:val="00F9193A"/>
    <w:rsid w:val="00FA03F7"/>
    <w:rsid w:val="00FA2E2C"/>
    <w:rsid w:val="00FE47D7"/>
    <w:rsid w:val="00FF30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9DE40"/>
  <w15:chartTrackingRefBased/>
  <w15:docId w15:val="{E30F3D79-5CC0-43B8-9C73-278A40974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34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34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34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34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34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34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34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34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34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4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34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34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34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34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34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34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34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348C"/>
    <w:rPr>
      <w:rFonts w:eastAsiaTheme="majorEastAsia" w:cstheme="majorBidi"/>
      <w:color w:val="272727" w:themeColor="text1" w:themeTint="D8"/>
    </w:rPr>
  </w:style>
  <w:style w:type="paragraph" w:styleId="Title">
    <w:name w:val="Title"/>
    <w:basedOn w:val="Normal"/>
    <w:next w:val="Normal"/>
    <w:link w:val="TitleChar"/>
    <w:uiPriority w:val="10"/>
    <w:qFormat/>
    <w:rsid w:val="004734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4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34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34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348C"/>
    <w:pPr>
      <w:spacing w:before="160"/>
      <w:jc w:val="center"/>
    </w:pPr>
    <w:rPr>
      <w:i/>
      <w:iCs/>
      <w:color w:val="404040" w:themeColor="text1" w:themeTint="BF"/>
    </w:rPr>
  </w:style>
  <w:style w:type="character" w:customStyle="1" w:styleId="QuoteChar">
    <w:name w:val="Quote Char"/>
    <w:basedOn w:val="DefaultParagraphFont"/>
    <w:link w:val="Quote"/>
    <w:uiPriority w:val="29"/>
    <w:rsid w:val="0047348C"/>
    <w:rPr>
      <w:i/>
      <w:iCs/>
      <w:color w:val="404040" w:themeColor="text1" w:themeTint="BF"/>
    </w:rPr>
  </w:style>
  <w:style w:type="paragraph" w:styleId="ListParagraph">
    <w:name w:val="List Paragraph"/>
    <w:basedOn w:val="Normal"/>
    <w:uiPriority w:val="34"/>
    <w:qFormat/>
    <w:rsid w:val="0047348C"/>
    <w:pPr>
      <w:ind w:left="720"/>
      <w:contextualSpacing/>
    </w:pPr>
  </w:style>
  <w:style w:type="character" w:styleId="IntenseEmphasis">
    <w:name w:val="Intense Emphasis"/>
    <w:basedOn w:val="DefaultParagraphFont"/>
    <w:uiPriority w:val="21"/>
    <w:qFormat/>
    <w:rsid w:val="0047348C"/>
    <w:rPr>
      <w:i/>
      <w:iCs/>
      <w:color w:val="0F4761" w:themeColor="accent1" w:themeShade="BF"/>
    </w:rPr>
  </w:style>
  <w:style w:type="paragraph" w:styleId="IntenseQuote">
    <w:name w:val="Intense Quote"/>
    <w:basedOn w:val="Normal"/>
    <w:next w:val="Normal"/>
    <w:link w:val="IntenseQuoteChar"/>
    <w:uiPriority w:val="30"/>
    <w:qFormat/>
    <w:rsid w:val="004734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348C"/>
    <w:rPr>
      <w:i/>
      <w:iCs/>
      <w:color w:val="0F4761" w:themeColor="accent1" w:themeShade="BF"/>
    </w:rPr>
  </w:style>
  <w:style w:type="character" w:styleId="IntenseReference">
    <w:name w:val="Intense Reference"/>
    <w:basedOn w:val="DefaultParagraphFont"/>
    <w:uiPriority w:val="32"/>
    <w:qFormat/>
    <w:rsid w:val="0047348C"/>
    <w:rPr>
      <w:b/>
      <w:bCs/>
      <w:smallCaps/>
      <w:color w:val="0F4761" w:themeColor="accent1" w:themeShade="BF"/>
      <w:spacing w:val="5"/>
    </w:rPr>
  </w:style>
  <w:style w:type="character" w:styleId="Hyperlink">
    <w:name w:val="Hyperlink"/>
    <w:basedOn w:val="DefaultParagraphFont"/>
    <w:uiPriority w:val="99"/>
    <w:unhideWhenUsed/>
    <w:rsid w:val="00B26C07"/>
    <w:rPr>
      <w:color w:val="467886" w:themeColor="hyperlink"/>
      <w:u w:val="single"/>
    </w:rPr>
  </w:style>
  <w:style w:type="character" w:styleId="UnresolvedMention">
    <w:name w:val="Unresolved Mention"/>
    <w:basedOn w:val="DefaultParagraphFont"/>
    <w:uiPriority w:val="99"/>
    <w:semiHidden/>
    <w:unhideWhenUsed/>
    <w:rsid w:val="00B26C07"/>
    <w:rPr>
      <w:color w:val="605E5C"/>
      <w:shd w:val="clear" w:color="auto" w:fill="E1DFDD"/>
    </w:rPr>
  </w:style>
  <w:style w:type="character" w:styleId="FollowedHyperlink">
    <w:name w:val="FollowedHyperlink"/>
    <w:basedOn w:val="DefaultParagraphFont"/>
    <w:uiPriority w:val="99"/>
    <w:semiHidden/>
    <w:unhideWhenUsed/>
    <w:rsid w:val="00B26C0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897-025-00702-3" TargetMode="External"/><Relationship Id="rId13" Type="http://schemas.openxmlformats.org/officeDocument/2006/relationships/hyperlink" Target="https://www.england.nhs.uk/personalisedcar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pga/2010/15/contents" TargetMode="External"/><Relationship Id="rId12" Type="http://schemas.openxmlformats.org/officeDocument/2006/relationships/hyperlink" Target="https://www.nice.org.uk/guidance/ng197" TargetMode="External"/><Relationship Id="rId17" Type="http://schemas.openxmlformats.org/officeDocument/2006/relationships/hyperlink" Target="https://www.who.int/publications/i/item/WHO-HIS-SDS-2016.4" TargetMode="External"/><Relationship Id="rId2" Type="http://schemas.openxmlformats.org/officeDocument/2006/relationships/styles" Target="styles.xml"/><Relationship Id="rId16" Type="http://schemas.openxmlformats.org/officeDocument/2006/relationships/hyperlink" Target="https://doi.org/10.1111/imj.16381" TargetMode="External"/><Relationship Id="rId1" Type="http://schemas.openxmlformats.org/officeDocument/2006/relationships/numbering" Target="numbering.xml"/><Relationship Id="rId6" Type="http://schemas.openxmlformats.org/officeDocument/2006/relationships/hyperlink" Target="https://www.cqc.org.uk/press-release/more-people-report-poor-discharge-experiences-and-deterioration-health-while-waiting" TargetMode="External"/><Relationship Id="rId11" Type="http://schemas.openxmlformats.org/officeDocument/2006/relationships/hyperlink" Target="https://www.legislation.gov.uk/ukpga/1998/42/contents" TargetMode="External"/><Relationship Id="rId5" Type="http://schemas.openxmlformats.org/officeDocument/2006/relationships/hyperlink" Target="https://www.legislation.gov.uk/ukpga/2014/23/contents" TargetMode="External"/><Relationship Id="rId15" Type="http://schemas.openxmlformats.org/officeDocument/2006/relationships/hyperlink" Target="https://www.kingsfund.org.uk/publications/integrated-care-systems-explained" TargetMode="External"/><Relationship Id="rId10" Type="http://schemas.openxmlformats.org/officeDocument/2006/relationships/hyperlink" Target="https://www.legislation.gov.uk/ukpga/2012/7/content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egislation.gov.uk/ukpga/2022/31/contents" TargetMode="External"/><Relationship Id="rId14" Type="http://schemas.openxmlformats.org/officeDocument/2006/relationships/hyperlink" Target="https://www.nmc.org.uk/standar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3140</Words>
  <Characters>17901</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Maymunah akhtar</dc:creator>
  <cp:keywords/>
  <dc:description/>
  <cp:lastModifiedBy>Maymunah akhtar</cp:lastModifiedBy>
  <cp:revision>172</cp:revision>
  <dcterms:created xsi:type="dcterms:W3CDTF">2026-07-08T23:28:00Z</dcterms:created>
  <dcterms:modified xsi:type="dcterms:W3CDTF">2026-07-23T03:32:00Z</dcterms:modified>
</cp:coreProperties>
</file>