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87364297"/>
        <w:docPartObj>
          <w:docPartGallery w:val="Cover Pages"/>
          <w:docPartUnique/>
        </w:docPartObj>
      </w:sdtPr>
      <w:sdtContent>
        <w:p w14:paraId="4FFDF2CB" w14:textId="51FED507" w:rsidR="001170B3" w:rsidRDefault="001170B3">
          <w:r>
            <w:rPr>
              <w:noProof/>
            </w:rPr>
            <mc:AlternateContent>
              <mc:Choice Requires="wpg">
                <w:drawing>
                  <wp:anchor distT="0" distB="0" distL="114300" distR="114300" simplePos="0" relativeHeight="251659264" behindDoc="1" locked="0" layoutInCell="1" allowOverlap="1" wp14:anchorId="5C5844DD" wp14:editId="0FB7804A">
                    <wp:simplePos x="0" y="0"/>
                    <wp:positionH relativeFrom="page">
                      <wp:posOffset>304800</wp:posOffset>
                    </wp:positionH>
                    <wp:positionV relativeFrom="page">
                      <wp:posOffset>487680</wp:posOffset>
                    </wp:positionV>
                    <wp:extent cx="690372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903720" cy="9123528"/>
                              <a:chOff x="-45720" y="0"/>
                              <a:chExt cx="690372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FE0D47" w14:textId="4DC52A93" w:rsidR="001170B3" w:rsidRDefault="001170B3" w:rsidP="001170B3">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45720" y="1729539"/>
                                <a:ext cx="6667501" cy="236936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inorHAnsi" w:hAnsi="Times New Roman" w:cs="Times New Roman"/>
                                      <w:sz w:val="24"/>
                                      <w:szCs w:val="2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B8C10B" w14:textId="567817DA" w:rsidR="001170B3" w:rsidRDefault="001170B3" w:rsidP="001170B3">
                                      <w:pPr>
                                        <w:pStyle w:val="NoSpacing"/>
                                        <w:jc w:val="center"/>
                                        <w:rPr>
                                          <w:rFonts w:asciiTheme="majorHAnsi" w:eastAsiaTheme="majorEastAsia" w:hAnsiTheme="majorHAnsi" w:cstheme="majorBidi"/>
                                          <w:caps/>
                                          <w:color w:val="4472C4" w:themeColor="accent1"/>
                                          <w:sz w:val="72"/>
                                          <w:szCs w:val="72"/>
                                        </w:rPr>
                                      </w:pPr>
                                      <w:r w:rsidRPr="001170B3">
                                        <w:rPr>
                                          <w:rFonts w:ascii="Times New Roman" w:eastAsiaTheme="minorHAnsi" w:hAnsi="Times New Roman" w:cs="Times New Roman"/>
                                          <w:sz w:val="24"/>
                                          <w:szCs w:val="24"/>
                                        </w:rPr>
                                        <w:t>How Idea Generators Juggle Between the Pros and Cons of Teamwork</w:t>
                                      </w:r>
                                      <w:r>
                                        <w:rPr>
                                          <w:rFonts w:ascii="Times New Roman" w:eastAsiaTheme="minorHAnsi" w:hAnsi="Times New Roman" w:cs="Times New Roman"/>
                                          <w:sz w:val="24"/>
                                          <w:szCs w:val="24"/>
                                        </w:rPr>
                                        <w:t xml:space="preserve">. Article Review By Habib Ayodeji Sunday </w:t>
                                      </w:r>
                                      <w:proofErr w:type="gramStart"/>
                                      <w:r>
                                        <w:rPr>
                                          <w:rFonts w:ascii="Times New Roman" w:eastAsiaTheme="minorHAnsi" w:hAnsi="Times New Roman" w:cs="Times New Roman"/>
                                          <w:sz w:val="24"/>
                                          <w:szCs w:val="24"/>
                                        </w:rPr>
                                        <w:t>ID :</w:t>
                                      </w:r>
                                      <w:proofErr w:type="gramEnd"/>
                                      <w:r>
                                        <w:rPr>
                                          <w:rFonts w:ascii="Times New Roman" w:eastAsiaTheme="minorHAnsi" w:hAnsi="Times New Roman" w:cs="Times New Roman"/>
                                          <w:sz w:val="24"/>
                                          <w:szCs w:val="24"/>
                                        </w:rPr>
                                        <w:t xml:space="preserve"> 1812672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C5844DD" id="Group 193" o:spid="_x0000_s1026" style="position:absolute;margin-left:24pt;margin-top:38.4pt;width:543.6pt;height:718.4pt;z-index:-251657216;mso-height-percent:909;mso-position-horizontal-relative:page;mso-position-vertical-relative:page;mso-height-percent:909" coordorigin="-457" coordsize="69037,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9FE0D47" w14:textId="4DC52A93" w:rsidR="001170B3" w:rsidRDefault="001170B3" w:rsidP="001170B3">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457;top:17295;width:66674;height:23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inorHAnsi" w:hAnsi="Times New Roman" w:cs="Times New Roman"/>
                                <w:sz w:val="24"/>
                                <w:szCs w:val="2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B8C10B" w14:textId="567817DA" w:rsidR="001170B3" w:rsidRDefault="001170B3" w:rsidP="001170B3">
                                <w:pPr>
                                  <w:pStyle w:val="NoSpacing"/>
                                  <w:jc w:val="center"/>
                                  <w:rPr>
                                    <w:rFonts w:asciiTheme="majorHAnsi" w:eastAsiaTheme="majorEastAsia" w:hAnsiTheme="majorHAnsi" w:cstheme="majorBidi"/>
                                    <w:caps/>
                                    <w:color w:val="4472C4" w:themeColor="accent1"/>
                                    <w:sz w:val="72"/>
                                    <w:szCs w:val="72"/>
                                  </w:rPr>
                                </w:pPr>
                                <w:r w:rsidRPr="001170B3">
                                  <w:rPr>
                                    <w:rFonts w:ascii="Times New Roman" w:eastAsiaTheme="minorHAnsi" w:hAnsi="Times New Roman" w:cs="Times New Roman"/>
                                    <w:sz w:val="24"/>
                                    <w:szCs w:val="24"/>
                                  </w:rPr>
                                  <w:t>How Idea Generators Juggle Between the Pros and Cons of Teamwork</w:t>
                                </w:r>
                                <w:r>
                                  <w:rPr>
                                    <w:rFonts w:ascii="Times New Roman" w:eastAsiaTheme="minorHAnsi" w:hAnsi="Times New Roman" w:cs="Times New Roman"/>
                                    <w:sz w:val="24"/>
                                    <w:szCs w:val="24"/>
                                  </w:rPr>
                                  <w:t xml:space="preserve">. Article Review By Habib Ayodeji Sunday </w:t>
                                </w:r>
                                <w:proofErr w:type="gramStart"/>
                                <w:r>
                                  <w:rPr>
                                    <w:rFonts w:ascii="Times New Roman" w:eastAsiaTheme="minorHAnsi" w:hAnsi="Times New Roman" w:cs="Times New Roman"/>
                                    <w:sz w:val="24"/>
                                    <w:szCs w:val="24"/>
                                  </w:rPr>
                                  <w:t>ID :</w:t>
                                </w:r>
                                <w:proofErr w:type="gramEnd"/>
                                <w:r>
                                  <w:rPr>
                                    <w:rFonts w:ascii="Times New Roman" w:eastAsiaTheme="minorHAnsi" w:hAnsi="Times New Roman" w:cs="Times New Roman"/>
                                    <w:sz w:val="24"/>
                                    <w:szCs w:val="24"/>
                                  </w:rPr>
                                  <w:t xml:space="preserve"> 1812672</w:t>
                                </w:r>
                              </w:p>
                            </w:sdtContent>
                          </w:sdt>
                        </w:txbxContent>
                      </v:textbox>
                    </v:shape>
                    <w10:wrap anchorx="page" anchory="page"/>
                  </v:group>
                </w:pict>
              </mc:Fallback>
            </mc:AlternateContent>
          </w:r>
        </w:p>
        <w:p w14:paraId="1A686A5F" w14:textId="373B2099" w:rsidR="001170B3" w:rsidRDefault="001170B3">
          <w:r>
            <w:br w:type="page"/>
          </w:r>
        </w:p>
      </w:sdtContent>
    </w:sdt>
    <w:p w14:paraId="1D0931A9" w14:textId="78DEE79D"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lastRenderedPageBreak/>
        <w:t>How Idea Generators Juggle Between the Pros and Cons of Teamwork</w:t>
      </w:r>
    </w:p>
    <w:p w14:paraId="04C2E1BC" w14:textId="77777777" w:rsidR="00485407" w:rsidRPr="00FC4166" w:rsidRDefault="00485407" w:rsidP="00485407">
      <w:pPr>
        <w:spacing w:after="0" w:line="480" w:lineRule="auto"/>
        <w:jc w:val="both"/>
        <w:rPr>
          <w:rFonts w:ascii="Times New Roman" w:hAnsi="Times New Roman" w:cs="Times New Roman"/>
          <w:sz w:val="24"/>
          <w:szCs w:val="24"/>
        </w:rPr>
      </w:pPr>
    </w:p>
    <w:p w14:paraId="435AABC2"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1. What kind of article is it (for example does </w:t>
      </w:r>
      <w:proofErr w:type="gramStart"/>
      <w:r w:rsidRPr="00FC4166">
        <w:rPr>
          <w:rFonts w:ascii="Times New Roman" w:hAnsi="Times New Roman" w:cs="Times New Roman"/>
          <w:sz w:val="24"/>
          <w:szCs w:val="24"/>
        </w:rPr>
        <w:t>it</w:t>
      </w:r>
      <w:proofErr w:type="gramEnd"/>
      <w:r w:rsidRPr="00FC4166">
        <w:rPr>
          <w:rFonts w:ascii="Times New Roman" w:hAnsi="Times New Roman" w:cs="Times New Roman"/>
          <w:sz w:val="24"/>
          <w:szCs w:val="24"/>
        </w:rPr>
        <w:t xml:space="preserve"> present data or does it present purely theoretical arguments)? </w:t>
      </w:r>
    </w:p>
    <w:p w14:paraId="087C0FBD"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This article is based on pros and cross teamwork and how the organization or an individual generate new ideas and performance of teamwork. The groups make you feel like you have a place, a sense of self-worth, a pride, and they also reduce any pressure or tension that may exist between the workers. Cooperation has many preferences, but also some potential disadvantages. When groups become successful, they improve profitability, ingenuity, employee involvement and even employer stability </w:t>
      </w:r>
      <w:r w:rsidRPr="00FC4166">
        <w:rPr>
          <w:rStyle w:val="FootnoteReference"/>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{"citationItems":[{"id":"ITEM-1","itemData":{"DOI":"10.1002/smj.2696","ISSN":"10970266","abstract":"Research summary: The advantages of working with a team to develop an idea are well established, but surprisingly, little is known about why some idea generators ignore these advantages by developing their ideas alone. To answer this question, we study two important trade-offs. First, working with a team provides access to additional resources but also leads to increased coordination costs. Second, sharing the risks and costs of developing an idea necessitates sharing the potential rewards of a successful idea. We use unique data on idea generators and their submission of ideas to an innovation program in a large European company between 1996 and 2008 to show how the two different trade-offs affect the decision of idea generators to collaborate with a team. Managerial summary: Organizations usually form teams to develop and execute innovative ideas. When people have the choice, however, will they also form a team or will they develop ideas alone? By studying idea generators and their voluntary submissions of breakthrough ideas to an innovation program, we find that the success rate is much higher for team ideas. Although teamwork has important benefits, idea generators will often develop incremental ideas alone and only accept increased coordination costs for developing radical ideas—this is even more so when they have prior team experiences. Moreover, only when idea generators were successful before and—even more so—when they developed that idea alone, will they be more open to sharing the rewards and risks of developing another idea with a team.","author":[{"dropping-particle":"","family":"Deichmann","given":"Dirk","non-dropping-particle":"","parse-names":false,"suffix":""},{"dropping-particle":"","family":"Jensen","given":"Michael","non-dropping-particle":"","parse-names":false,"suffix":""}],"container-title":"Strategic Management Journal","id":"ITEM-1","issued":{"date-parts":[["2018"]]},"title":"I can do that alone…or not? How idea generators juggle between the pros and cons of teamwork","type":"article-journal"},"uris":["http://www.mendeley.com/documents/?uuid=708c31f6-dfa3-4e21-b0f1-5a47ae4c0795","http://www.mendeley.com/documents/?uuid=76da8f5e-88af-4819-8c04-3e55c50ace26"]}],"mendeley":{"formattedCitation":"(Deichmann and Jensen, 2018)","plainTextFormattedCitation":"(Deichmann and Jensen, 2018)","previouslyFormattedCitation":"(Deichmann and Jensen, 2018)"},"properties":{"noteIndex":0},"schema":"https://github.com/citation-style-language/schema/raw/master/csl-citation.json"}</w:instrText>
      </w:r>
      <w:r w:rsidRPr="00FC4166">
        <w:rPr>
          <w:rStyle w:val="FootnoteReference"/>
          <w:rFonts w:ascii="Times New Roman" w:hAnsi="Times New Roman" w:cs="Times New Roman"/>
          <w:sz w:val="24"/>
          <w:szCs w:val="24"/>
        </w:rPr>
        <w:fldChar w:fldCharType="separate"/>
      </w:r>
      <w:r w:rsidRPr="00FC4166">
        <w:rPr>
          <w:rFonts w:ascii="Times New Roman" w:hAnsi="Times New Roman" w:cs="Times New Roman"/>
          <w:noProof/>
          <w:sz w:val="24"/>
          <w:szCs w:val="24"/>
        </w:rPr>
        <w:t>(Deichmann and Jensen, 2018)</w:t>
      </w:r>
      <w:r w:rsidRPr="00FC4166">
        <w:rPr>
          <w:rStyle w:val="FootnoteReference"/>
          <w:rFonts w:ascii="Times New Roman" w:hAnsi="Times New Roman" w:cs="Times New Roman"/>
          <w:sz w:val="24"/>
          <w:szCs w:val="24"/>
        </w:rPr>
        <w:fldChar w:fldCharType="end"/>
      </w:r>
      <w:r w:rsidRPr="00FC4166">
        <w:rPr>
          <w:rFonts w:ascii="Times New Roman" w:hAnsi="Times New Roman" w:cs="Times New Roman"/>
          <w:sz w:val="24"/>
          <w:szCs w:val="24"/>
        </w:rPr>
        <w:t>.</w:t>
      </w:r>
      <w:r w:rsidRPr="00FC4166">
        <w:rPr>
          <w:rFonts w:ascii="Times New Roman" w:hAnsi="Times New Roman" w:cs="Times New Roman"/>
          <w:sz w:val="24"/>
          <w:szCs w:val="24"/>
        </w:rPr>
        <w:tab/>
      </w:r>
    </w:p>
    <w:p w14:paraId="1A748C78" w14:textId="77777777" w:rsidR="00485407" w:rsidRPr="00FC4166" w:rsidRDefault="00485407" w:rsidP="00485407">
      <w:pPr>
        <w:spacing w:after="0" w:line="480" w:lineRule="auto"/>
        <w:jc w:val="both"/>
        <w:rPr>
          <w:rFonts w:ascii="Times New Roman" w:hAnsi="Times New Roman" w:cs="Times New Roman"/>
          <w:sz w:val="24"/>
          <w:szCs w:val="24"/>
        </w:rPr>
      </w:pPr>
      <w:bookmarkStart w:id="0" w:name="_GoBack"/>
      <w:bookmarkEnd w:id="0"/>
    </w:p>
    <w:p w14:paraId="043DA406"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2. What is the main area under discussion? </w:t>
      </w:r>
    </w:p>
    <w:p w14:paraId="4BCA3825"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Certain areas of an organization provide a dynamic group's contribution to as much data as possible. Broader recognition of an answer: People who are happy with a choice are probably the best to support and promise others to recognize the choice, and higher levels of achievement: working in groups and conception can really lead to </w:t>
      </w:r>
      <w:proofErr w:type="gramStart"/>
      <w:r w:rsidRPr="00FC4166">
        <w:rPr>
          <w:rFonts w:ascii="Times New Roman" w:hAnsi="Times New Roman" w:cs="Times New Roman"/>
          <w:sz w:val="24"/>
          <w:szCs w:val="24"/>
        </w:rPr>
        <w:t>one person</w:t>
      </w:r>
      <w:proofErr w:type="gramEnd"/>
      <w:r w:rsidRPr="00FC4166">
        <w:rPr>
          <w:rFonts w:ascii="Times New Roman" w:hAnsi="Times New Roman" w:cs="Times New Roman"/>
          <w:sz w:val="24"/>
          <w:szCs w:val="24"/>
        </w:rPr>
        <w:t xml:space="preserve"> Check container carefully. The groups make you feel like you have a place, a sense of self-worth, a pride, and they also reduce any pressure or tension that may exist between the workers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{"citationItems":[{"id":"ITEM-1","itemData":{"DOI":"10.1080/08959285.2013.795573","ISSN":"08959285","abstract":"Jehn (e.g., 1997) offered three distinct types of team conflict, namely, task conflict, relationship conflict, and process conflict. Despite existing meta-analyses, there remain important and ongoing issues that warrant further meta-analytic investigation. Our contribution is threefold. First, we report novel meta-analytic findings involving moderators of the conflict-team performance relationship. Second, we report on meta-analytic correlations involving all three conflict types and team innovation. Third, we report on the relations involving task conflict and relationship conflict with previously unexamined, but critical, teamwork variables: team potency, cooperative behaviors, competitive behaviors, and avoidance behaviors. Input for the current meta-analysis included 89 independent samples, 6,122 teams, and approximately 28,000 team members. © 2013 Copyright Taylor and Francis Group, LLC.","author":[{"dropping-particle":"","family":"O'Neill","given":"Thomas A.","non-dropping-particle":"","parse-names":false,"suffix":""},{"dropping-particle":"","family":"Allen","given":"Natalie J.","non-dropping-particle":"","parse-names":false,"suffix":""},{"dropping-particle":"","family":"Hastings","given":"Stephanie E.","non-dropping-particle":"","parse-names":false,"suffix":""}],"container-title":"Human Performance","id":"ITEM-1","issued":{"date-parts":[["2013"]]},"title":"Examining the \"Pros\" and \"Cons\" of Team Conflict: A Team-Level Meta-Analysis of Task, Relationship, and Process Conflict","type":"article-journal"},"uris":["http://www.mendeley.com/documents/?uuid=1cf49eb8-b648-46ce-9d10-e8f6bdca120f","http://www.mendeley.com/documents/?uuid=cbb9e839-9d85-40f7-b6a3-ba2c50ab8f07"]}],"mendeley":{"formattedCitation":"(O’Neill, Allen and Hastings, 2013)","plainTextFormattedCitation":"(O’Neill, Allen and Hastings, 2013)","previouslyFormattedCitation":"(O’Neill, Allen and Hastings, 2013)"},"properties":{"noteIndex":0},"schema":"https://github.com/citation-style-language/schema/raw/master/csl-citation.json"}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(O’Neill, Allen and Hastings, 2013)</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27D8C599" w14:textId="77777777" w:rsidR="00485407" w:rsidRPr="00FC4166" w:rsidRDefault="00485407" w:rsidP="00485407">
      <w:pPr>
        <w:spacing w:after="0" w:line="480" w:lineRule="auto"/>
        <w:jc w:val="both"/>
        <w:rPr>
          <w:rFonts w:ascii="Times New Roman" w:hAnsi="Times New Roman" w:cs="Times New Roman"/>
          <w:sz w:val="24"/>
          <w:szCs w:val="24"/>
        </w:rPr>
      </w:pPr>
    </w:p>
    <w:p w14:paraId="42215679"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3. What are the main findings? </w:t>
      </w:r>
    </w:p>
    <w:p w14:paraId="13FF3C46"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The results also showed the administrative control framework that was implemented with the help of groups, for example using quality confirmations and isolated rest areas, to ensure that there was little chance of collaboration between groups. The groups were officially classified according to a post structure and there were regular group meetings where the group </w:t>
      </w:r>
      <w:r w:rsidRPr="00FC4166">
        <w:rPr>
          <w:rFonts w:ascii="Times New Roman" w:hAnsi="Times New Roman" w:cs="Times New Roman"/>
          <w:sz w:val="24"/>
          <w:szCs w:val="24"/>
        </w:rPr>
        <w:lastRenderedPageBreak/>
        <w:t xml:space="preserve">leader emphasized the duty, improved indicators and quality. This created a feeling of group reliability and additional social control. Therefore, managers implicitly used groups to control workers. The social control discovered highlighted the new weights that existed among colleagues because they did not want to disappoint their individual colleagues and had to respect similar principles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{"citationItems":[{"id":"ITEM-1","itemData":{"abstract":"Do you have what it takes to be a good team member? Which role would you feel most comfortable in when working with others? Although there are a variety of roles you can adopt when working on a team, each has their pros and cons. In addition, each member must possess certain competencies, such as good communication skills and the ability to monitor progress. The revised Team Roles Test will not only provide you with information about the role(s) that would suit you best, but it will also assess whether you possess the skills and abilities necessary for productive teamwork.","author":[{"dropping-particle":"","family":"PsychologyToday","given":"","non-dropping-particle":"","parse-names":false,"suffix":""}],"container-title":"Psychology Today","id":"ITEM-1","issued":{"date-parts":[["2019"]]},"title":"Team Roles Test","type":"webpage"},"uris":["http://www.mendeley.com/documents/?uuid=283aed08-bd6d-4628-83e7-8c0d3e9f84c0","http://www.mendeley.com/documents/?uuid=c8c7b721-58fb-4b99-9ece-14df55b239d1"]}],"mendeley":{"formattedCitation":"(PsychologyToday, 2019)","plainTextFormattedCitation":"(PsychologyToday, 2019)","previouslyFormattedCitation":"(PsychologyToday, 2019)"},"properties":{"noteIndex":0},"schema":"https://github.com/citation-style-language/schema/raw/master/csl-citation.json"}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(PsychologyToday, 2019)</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41B7F484" w14:textId="77777777" w:rsidR="00485407" w:rsidRPr="00FC4166" w:rsidRDefault="00485407" w:rsidP="00485407">
      <w:pPr>
        <w:spacing w:after="0" w:line="480" w:lineRule="auto"/>
        <w:jc w:val="both"/>
        <w:rPr>
          <w:rFonts w:ascii="Times New Roman" w:hAnsi="Times New Roman" w:cs="Times New Roman"/>
          <w:sz w:val="24"/>
          <w:szCs w:val="24"/>
        </w:rPr>
      </w:pPr>
    </w:p>
    <w:p w14:paraId="492C3070"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4. What are the stated limitations? </w:t>
      </w:r>
    </w:p>
    <w:p w14:paraId="3F4B1347"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Council activities are "increasingly restricted and controlled by fans, although they are more valuable than experts recognize". It's practically difficult to determine if groups are used as another strategy to enforce control of the board because the board's goals and results are so confusing and variable. The discussion above shows that collaboration is being used for the benefit of the entire organization, and one of the benefits that this brings is the ability of the board to exercise more control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{"citationItems":[{"id":"ITEM-1","itemData":{"DOI":"10.5772/17046","abstract":"30.5.2015 Business Information Technology Author Maurizio Casarini Group or year of entry 2015 Title of report Cloud security pros and cons for business entities Number of pages and appendices 18 + 7 Teachers Olavi Korhonen This report analyses the most significant security pros and cons, in relation to Cloud com-puting adoption. Cloud computing is an IT trend under consistent development, with a spending increase over five times higher than the traditional in-house model (Mather, Kumaraswamy &amp; Latif 2009, 10). Nonetheless, public concern in relation to cloud security exploitation is relevant. In fact, it is one of the most significant reasons restraining cloud services adoption by Eu-ropean enterprises (Giannakouris &amp; Smihily 2014). Nonetheless, the Cloud inherently holds consistent potential, e.g. in providing increased deployment and usage agility, and increased productivity. Hence, it is deemed valuable by the author to assess the cloud security landscape, in or-der to hopefully enable better judgement of such a controversial subject. Accordingly, at first an overview of the Cloud landscape id provided, to enable understanding of the tech-nical and business domain. Secondly, the most significant pros and cons of cloud security are analyzed, in relation to the key features of the Cloud. The purpose is to ground conclu-sion in objective evidence.","author":[{"dropping-particle":"","family":"Juhasz","given":"Marta","non-dropping-particle":"","parse-names":false,"suffix":""},{"dropping-particle":"","family":"Katalin","given":"Julianna","non-dropping-particle":"","parse-names":false,"suffix":""}],"container-title":"Nuclear Power - Control, Reliability and Human Factors","id":"ITEM-1","issued":{"date-parts":[["2011"]]},"title":"Human Aspects of NPP Operator Teamwork","type":"chapter"},"uris":["http://www.mendeley.com/documents/?uuid=28c68ff8-7465-4d62-9ae9-daa6e6a0b29c","http://www.mendeley.com/documents/?uuid=5667a711-0d53-4b9d-8a61-17b245a2436f"]}],"mendeley":{"formattedCitation":"(Juhasz and Katalin, 2011)","plainTextFormattedCitation":"(Juhasz and Katalin, 2011)","previouslyFormattedCitation":"(Juhasz and Katalin, 2011)"},"properties":{"noteIndex":0},"schema":"https://github.com/citation-style-language/schema/raw/master/csl-citation.json"}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(Juhasz and Katalin, 2011)</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3E2F556C" w14:textId="77777777" w:rsidR="00485407" w:rsidRPr="00FC4166" w:rsidRDefault="00485407" w:rsidP="00485407">
      <w:pPr>
        <w:spacing w:after="0" w:line="480" w:lineRule="auto"/>
        <w:jc w:val="both"/>
        <w:rPr>
          <w:rFonts w:ascii="Times New Roman" w:hAnsi="Times New Roman" w:cs="Times New Roman"/>
          <w:sz w:val="24"/>
          <w:szCs w:val="24"/>
        </w:rPr>
      </w:pPr>
    </w:p>
    <w:p w14:paraId="38ECE6C7"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5. Where does the author’s data and evidence come from? Are they </w:t>
      </w:r>
      <w:proofErr w:type="gramStart"/>
      <w:r w:rsidRPr="00FC4166">
        <w:rPr>
          <w:rFonts w:ascii="Times New Roman" w:hAnsi="Times New Roman" w:cs="Times New Roman"/>
          <w:sz w:val="24"/>
          <w:szCs w:val="24"/>
        </w:rPr>
        <w:t>appropriate / sufficient</w:t>
      </w:r>
      <w:proofErr w:type="gramEnd"/>
      <w:r w:rsidRPr="00FC4166">
        <w:rPr>
          <w:rFonts w:ascii="Times New Roman" w:hAnsi="Times New Roman" w:cs="Times New Roman"/>
          <w:sz w:val="24"/>
          <w:szCs w:val="24"/>
        </w:rPr>
        <w:t xml:space="preserve">? </w:t>
      </w:r>
    </w:p>
    <w:p w14:paraId="735E3243"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The presentation of groups within this organization had several benefits for workers, and many felt empowered and paid even though their efforts and weight escalated. This investigation then offers a legitimate analysis of the claim that groups are only updated as a control tool, as the new hierarchical structure obviously benefited the representatives. The culture of collaboration within associations gives workers more control and enables them to take on roles that have recently taken a place with employers. They appropriate for the organization and it’s also improve the teamwork performance of the company or an individual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{"citationItems":[{"id":"ITEM-1","itemData":{"DOI":"10.7591/9780801465802-005","abstract":"Medical competence is a hot topic surrounded by much controversy about how to define competency, how to teach it, and how to measure it. While some debate the pros and cons of competence-based medical education and others explain how to achieve various competencies, the authors of the seven chapters in The Question of Competence offer something very different. They critique the very notion of competence itself and attend to how it has shaped what we pay attention to-and what we ignore-in the education and assessment of medical trainees.Two leading figures in the field of medical education, Brian D. Hodges and Lorelei Lingard, draw together colleagues from the United States, Canada, and the Netherlands to explore competency from different perspectives, in order to spark thoughtful discussion and debate on the subject. The critical analyses included in the book's chapters cover the role of emotion, the implications of teamwork, interprofessional frameworks, the construction of expertise, new directions for assessment, models of self-regulation, and the concept of mindful practice. The authors juxtapose the idea of competence with other highly valued ideas in medical education such as emotion, cognition and teamwork, drawing new insights about their intersections and implications for one another.","author":[{"dropping-particle":"","family":"Hodges","given":"Brian D.","non-dropping-particle":"","parse-names":false,"suffix":""}],"container-title":"The Question of Competence","id":"ITEM-1","issued":{"date-parts":[["2018"]]},"title":"1. The Shifting Discourses of Competence","type":"chapter"},"uris":["http://www.mendeley.com/documents/?uuid=df61dbaa-a542-4e60-9105-661881769e33","http://www.mendeley.com/documents/?uuid=79be8ad3-d6df-41ad-8c02-e7fabd39c32a"]}],"mendeley":{"formattedCitation":"(Hodges, 2018)","plainTextFormattedCitation":"(Hodges, 2018)","previouslyFormattedCitation":"(Hodges, 2018)"},"properties":{"noteIndex":0},"schema":"https://github.com/citation-style-language/schema/raw/master/csl-citation.json"}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(Hodges, 2018)</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7FBB2999" w14:textId="77777777" w:rsidR="00485407" w:rsidRPr="00FC4166" w:rsidRDefault="00485407" w:rsidP="00485407">
      <w:pPr>
        <w:spacing w:after="0" w:line="480" w:lineRule="auto"/>
        <w:jc w:val="both"/>
        <w:rPr>
          <w:rFonts w:ascii="Times New Roman" w:hAnsi="Times New Roman" w:cs="Times New Roman"/>
          <w:sz w:val="24"/>
          <w:szCs w:val="24"/>
        </w:rPr>
      </w:pPr>
    </w:p>
    <w:p w14:paraId="71E6026D" w14:textId="77777777" w:rsidR="00485407" w:rsidRDefault="00485407" w:rsidP="00485407">
      <w:pPr>
        <w:spacing w:after="0" w:line="480" w:lineRule="auto"/>
        <w:jc w:val="both"/>
        <w:rPr>
          <w:rFonts w:ascii="Times New Roman" w:hAnsi="Times New Roman" w:cs="Times New Roman"/>
          <w:sz w:val="24"/>
          <w:szCs w:val="24"/>
        </w:rPr>
      </w:pPr>
    </w:p>
    <w:p w14:paraId="4A37DD20" w14:textId="523FBA9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lastRenderedPageBreak/>
        <w:t xml:space="preserve">6. What are the main issues and questions raised by the author? </w:t>
      </w:r>
    </w:p>
    <w:p w14:paraId="5C2AE8EB"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The options for "quickly completing tasks" and for general control "cover the broader question of linking specialist responsibility with points in the company". Quality circles, which are small meetings that meet constantly to talk about certain issues in the work environment, such as quality issues. Repentance brings out all emotions, and then you can solve the main problem nearby. Research is the need to know the realities of the problem before deciding on an answer to the problem. Adaptability </w:t>
      </w:r>
      <w:proofErr w:type="gramStart"/>
      <w:r w:rsidRPr="00FC4166">
        <w:rPr>
          <w:rFonts w:ascii="Times New Roman" w:hAnsi="Times New Roman" w:cs="Times New Roman"/>
          <w:sz w:val="24"/>
          <w:szCs w:val="24"/>
        </w:rPr>
        <w:t>has the ability to</w:t>
      </w:r>
      <w:proofErr w:type="gramEnd"/>
      <w:r w:rsidRPr="00FC4166">
        <w:rPr>
          <w:rFonts w:ascii="Times New Roman" w:hAnsi="Times New Roman" w:cs="Times New Roman"/>
          <w:sz w:val="24"/>
          <w:szCs w:val="24"/>
        </w:rPr>
        <w:t xml:space="preserve"> be liberal. Try not to let the stubbornness stop you from thinking about different answers to the problem. Fair play does not allow anyone to hide behind the guidelines in order not to reach a reasonable agreement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{"citationItems":[{"id":"ITEM-1","itemData":{"ISSN":"1835-9132","abstract":"The purpose of this paper is to provide examples for the use of teams in college courses and provides a team project process developed over five years of experience with students at a small, regional, commuter campus. Teamwork is important in management curriculum, but it should also be included across business disciplines. The effective use of teams can be tedious and time-consuming, but instructors can now reduce the burden of team formation and peer evaluation, and even get support to help students manage team experiences. This paper adds to the conversation surrounding team use in academic settings by combining the entire team project process, with examples of activities and technology, into one teaching note, which also discusses the pros and cons of this practice.","author":[{"dropping-particle":"","family":"Smith","given":"Adam","non-dropping-particle":"","parse-names":false,"suffix":""}],"container-title":"e-Journal of Business Education and Scholarship of Teaching","id":"ITEM-1","issued":{"date-parts":[["2018"]]},"title":"Managing the Team Project Process: Helpful Hints and Tools to Ease the Workload without Sacrificing Learning Objectives.","type":"article-journal"},"uris":["http://www.mendeley.com/documents/?uuid=65a9a262-ca91-4bdf-9530-b33d674aaaf2","http://www.mendeley.com/documents/?uuid=6a93e76d-dc93-4f2a-a4c5-e2030989afb8"]}],"mendeley":{"formattedCitation":"(Smith, 2018)","plainTextFormattedCitation":"(Smith, 2018)","previouslyFormattedCitation":"(Smith, 2018)"},"properties":{"noteIndex":0},"schema":"https://github.com/citation-style-language/schema/raw/master/csl-citation.json"}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(Smith, 2018)</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75366678" w14:textId="77777777" w:rsidR="00485407" w:rsidRPr="00FC4166" w:rsidRDefault="00485407" w:rsidP="00485407">
      <w:pPr>
        <w:spacing w:after="0" w:line="480" w:lineRule="auto"/>
        <w:jc w:val="both"/>
        <w:rPr>
          <w:rFonts w:ascii="Times New Roman" w:hAnsi="Times New Roman" w:cs="Times New Roman"/>
          <w:sz w:val="24"/>
          <w:szCs w:val="24"/>
        </w:rPr>
      </w:pPr>
    </w:p>
    <w:p w14:paraId="43060766"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7. How well are the above addressed? </w:t>
      </w:r>
    </w:p>
    <w:p w14:paraId="5956ACFE"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Proponents of the collaboration argue that groups can offer more satisfactory and compensatory working conditions that benefit both the representatives and the </w:t>
      </w:r>
      <w:proofErr w:type="gramStart"/>
      <w:r w:rsidRPr="00FC4166">
        <w:rPr>
          <w:rFonts w:ascii="Times New Roman" w:hAnsi="Times New Roman" w:cs="Times New Roman"/>
          <w:sz w:val="24"/>
          <w:szCs w:val="24"/>
        </w:rPr>
        <w:t>association as a whole</w:t>
      </w:r>
      <w:proofErr w:type="gramEnd"/>
      <w:r w:rsidRPr="00FC4166">
        <w:rPr>
          <w:rFonts w:ascii="Times New Roman" w:hAnsi="Times New Roman" w:cs="Times New Roman"/>
          <w:sz w:val="24"/>
          <w:szCs w:val="24"/>
        </w:rPr>
        <w:t>. There will be a variety of skills and encounters within groups that are required to overcome everyone, which inevitably leads to movement and improves work techniques, frameworks and procedures, efficiency, management and quality</w:t>
      </w:r>
      <w:proofErr w:type="gramStart"/>
      <w:r w:rsidRPr="00FC4166">
        <w:rPr>
          <w:rFonts w:ascii="Times New Roman" w:hAnsi="Times New Roman" w:cs="Times New Roman"/>
          <w:sz w:val="24"/>
          <w:szCs w:val="24"/>
        </w:rPr>
        <w:t>. .</w:t>
      </w:r>
      <w:proofErr w:type="gramEnd"/>
      <w:r w:rsidRPr="00FC4166">
        <w:rPr>
          <w:rFonts w:ascii="Times New Roman" w:hAnsi="Times New Roman" w:cs="Times New Roman"/>
          <w:sz w:val="24"/>
          <w:szCs w:val="24"/>
        </w:rPr>
        <w:t xml:space="preserve"> As the conversation and discussion show, the board is likely to promote new types of partnership and explicitly collaborative execution for a lonely reason. Teamwork within an association has several points and advantages for both the representative and the manager, one of which is to carry out the control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{"citationItems":[{"id":"ITEM-1","itemData":{"DOI":"10.1109/IPCC.2014.7020346","ISBN":"9781479937493","ISSN":"21581002","abstract":"Although team projects are increasingly common in the engineering curriculum, faculty and students often lack effective strategies for handling problems that arise on these projects. This paper attempts to discover effective practices for handling 'slacker' teammates-one of the most common problems reported on student teams-by completing discourse completion interviews with professionals, faculty, and students. Participants were given written scenarios and asked to comment on the pros and cons of different responses and specify what they thought was the ideal response. Professionals' responses often differed from those of students and faculty, suggesting particular areas in which teamwork training is needed. Specifically, students need to be coached to avoid the temptation to simply do slackers' work for them and to instead provide constructive, non-accusatory criticism grounded in clear criteria and focused on future steps. We also found that professionals used the team infrastructure to solve problems by assigning earlier deadlines, breaking the project into smaller chunks, reassigning responsibilities and confirming team members' buy-in for tasks and criteria. We end by recommending that team members be prompted at the end of the project to describe what steps they took to motivate and coach under-performing teammates.","author":[{"dropping-particle":"","family":"Wolfe","given":"Joanna","non-dropping-particle":"","parse-names":false,"suffix":""},{"dropping-particle":"","family":"Powell","given":"Elizabeth","non-dropping-particle":"","parse-names":false,"suffix":""}],"container-title":"IEEE International Professional Communication Conference","id":"ITEM-1","issued":{"date-parts":[["2015"]]},"title":"Strategies for dealing with slacker and underperforming teammates in class projects","type":"paper-conference"},"uris":["http://www.mendeley.com/documents/?uuid=f94d74ab-b64e-4ffc-9543-18a5767963f4","http://www.mendeley.com/documents/?uuid=50b68565-a1ff-46e4-9d73-2479838c7d92"]}],"mendeley":{"formattedCitation":"(Wolfe and Powell, 2015)","plainTextFormattedCitation":"(Wolfe and Powell, 2015)","previouslyFormattedCitation":"(Wolfe and Powell, 2015)"},"properties":{"noteIndex":0},"schema":"https://github.com/citation-style-language/schema/raw/master/csl-citation.json"}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(Wolfe and Powell, 2015)</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6D377D6A" w14:textId="77777777" w:rsidR="00485407" w:rsidRPr="00FC4166" w:rsidRDefault="00485407" w:rsidP="00485407">
      <w:pPr>
        <w:spacing w:after="0" w:line="480" w:lineRule="auto"/>
        <w:jc w:val="both"/>
        <w:rPr>
          <w:rFonts w:ascii="Times New Roman" w:hAnsi="Times New Roman" w:cs="Times New Roman"/>
          <w:sz w:val="24"/>
          <w:szCs w:val="24"/>
        </w:rPr>
      </w:pPr>
    </w:p>
    <w:p w14:paraId="04D32FFE"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8. What are the major points/interpretations made by the author in terms of the issues/questions raised? </w:t>
      </w:r>
    </w:p>
    <w:p w14:paraId="34E4C6B7"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lastRenderedPageBreak/>
        <w:tab/>
        <w:t xml:space="preserve">I agree that the collaboration will not work for the primary role of expanding or continuously monitoring the Board of Directors. There are many priorities and stresses in a teamwork framework, including balanced work feelings and common goals, but in addition to "wiped out work group feelings and undefined positions". </w:t>
      </w:r>
      <w:proofErr w:type="gramStart"/>
      <w:r w:rsidRPr="00FC4166">
        <w:rPr>
          <w:rFonts w:ascii="Times New Roman" w:hAnsi="Times New Roman" w:cs="Times New Roman"/>
          <w:sz w:val="24"/>
          <w:szCs w:val="24"/>
        </w:rPr>
        <w:t>As long as</w:t>
      </w:r>
      <w:proofErr w:type="gramEnd"/>
      <w:r w:rsidRPr="00FC4166">
        <w:rPr>
          <w:rFonts w:ascii="Times New Roman" w:hAnsi="Times New Roman" w:cs="Times New Roman"/>
          <w:sz w:val="24"/>
          <w:szCs w:val="24"/>
        </w:rPr>
        <w:t xml:space="preserve"> the groups are active insufficient, there is a vulnerability to commitments and obligations. I agree that the board's activities "are becoming increasingly limited and fan-oriented, but more useful than the experts realize"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{"citationItems":[{"id":"ITEM-1","itemData":{"DOI":"10.11120/jebe.2010.05020025","ISSN":"1747-4205","abstract":"Planning education does not exist as an independent professional education in Finland. The educational background of the majority of practising urban planners (approximately 50-60%) is architectural education. Because of this national particularity, this paper concentrates on architect-planners as a professional group, and presents findings from a national survey the authors conducted in Finland in January 2009. The key question in this paper is how Finnish architectural education prepares urban planning professionals for their work, and how architect-planners perceive the strengths and weaknesses of architectural education with respect to the competence demands they face. The conclusions of the study point to certain inner contradictions inside the architectural profession. Architectural education passes on a somewhat narrow conception of art which translates into an emphasis on individual creativity, questioning and problem solving skills. Striving for excellence in the art of architecture, perceived in this way, seems to work against developing the students’ skills in negotiation, conflict management, interdisciplinary teamwork and leadership, all of which are indispensable for practising architects. Resolution to the contradiction is sought from the work of Dana Cuff (1991) and Kristina Nilsson (2003), who associate artistry with the social ability to manage complex problems creatively and reflexively, in cooperation with other professionals and actors from other fields. Such a redefinition of art and artistry in architectural education might help settle the tensions the authors have identified in the survey analysis.","author":[{"dropping-particle":"","family":"Kangasoja","given":"Jonna","non-dropping-particle":"","parse-names":false,"suffix":""},{"dropping-particle":"","family":"Mälkki","given":"Mikko","non-dropping-particle":"","parse-names":false,"suffix":""},{"dropping-particle":"","family":"Puustinen","given":"Sari","non-dropping-particle":"","parse-names":false,"suffix":""},{"dropping-particle":"","family":"Hirvonen","given":"Jukka","non-dropping-particle":"","parse-names":false,"suffix":""},{"dropping-particle":"","family":"Mäntysalo","given":"Raine","non-dropping-particle":"","parse-names":false,"suffix":""}],"container-title":"Journal for Education in the Built Environment","id":"ITEM-1","issued":{"date-parts":[["2010"]]},"title":"Architectural Education as a Basis for Planning Work — The Pros and Cons of Professional Enculturation","type":"article-journal"},"uris":["http://www.mendeley.com/documents/?uuid=35970644-8736-4bb1-af62-e04e311d622c","http://www.mendeley.com/documents/?uuid=6b008ce3-b36d-43cf-808d-1a4cddd9fa25"]}],"mendeley":{"formattedCitation":"(Kangasoja &lt;i&gt;et al.&lt;/i&gt;, 2010)","plainTextFormattedCitation":"(Kangasoja et al., 2010)","previouslyFormattedCitation":"(Kangasoja &lt;i&gt;et al.&lt;/i&gt;, 2010)"},"properties":{"noteIndex":0},"schema":"https://github.com/citation-style-language/schema/raw/master/csl-citation.json"}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 xml:space="preserve">(Kangasoja </w:t>
      </w:r>
      <w:r w:rsidRPr="00FC4166">
        <w:rPr>
          <w:rFonts w:ascii="Times New Roman" w:hAnsi="Times New Roman" w:cs="Times New Roman"/>
          <w:i/>
          <w:noProof/>
          <w:sz w:val="24"/>
          <w:szCs w:val="24"/>
        </w:rPr>
        <w:t>et al.</w:t>
      </w:r>
      <w:r w:rsidRPr="00FC4166">
        <w:rPr>
          <w:rFonts w:ascii="Times New Roman" w:hAnsi="Times New Roman" w:cs="Times New Roman"/>
          <w:noProof/>
          <w:sz w:val="24"/>
          <w:szCs w:val="24"/>
        </w:rPr>
        <w:t>, 2010)</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47A83119" w14:textId="77777777" w:rsidR="00485407" w:rsidRPr="00FC4166" w:rsidRDefault="00485407" w:rsidP="00485407">
      <w:pPr>
        <w:spacing w:after="0" w:line="480" w:lineRule="auto"/>
        <w:jc w:val="both"/>
        <w:rPr>
          <w:rFonts w:ascii="Times New Roman" w:hAnsi="Times New Roman" w:cs="Times New Roman"/>
          <w:sz w:val="24"/>
          <w:szCs w:val="24"/>
        </w:rPr>
      </w:pPr>
    </w:p>
    <w:p w14:paraId="1A706506"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 xml:space="preserve">9. Is the text balanced? Is it fair / biased? </w:t>
      </w:r>
    </w:p>
    <w:p w14:paraId="64E061F5"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 Yes, the text is balanced, it is practically difficult to determine whether groups are used as another strategy for enforcing executive control because the goals and results of the meeting are so unpredictable and variable. The discussion above shows that collaboration is being used for the benefit of the entire organization, and one of the benefits that this brings is the ability of managers to exercise more control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{"citationItems":[{"id":"ITEM-1","itemData":{"DOI":"10.1097/ACM.0b013e31824d4237","ISSN":"10402446","abstract":"In the Point-Counterpoint section of this issue, Kastor discusses the pros and cons of a new, institute-based administrative structure that was developed at the Cleveland Clinic in 2008, ostensibly to improve the quality and efficiency of patient care. The real issue underlying this organizational transformation is not whether the institute model is better than the traditional model; instead, the issue is whether the traditional academic health center (AHC) structure is viable or whether it must evolve. The traditional academic model, in which the department and chair retain a great deal of autonomy and authority, and in which decision-making processes are legislative in nature, is too tedious and laborious to effectively compete in today's health care market. The current health care market is demanding greater efficiencies, lower costs, and thus greater integration, as well as more transparency and accountability. Improvements in both quality and efficiency will demand coordination and integration. Focusing on quality and efficiency requires organizational structures that facilitate cohesion and teamwork, and traditional organizational models will not suffice. These new structures must and will replace the loose amalgamation of the traditional AHC to develop the focus and cohesion to address the pressures of an evolving health care system. Because these new structures should lead to more successful clinical enterprises, they will, in fact, support the traditional academic missions of research and education more successfully than traditional organizational models can.","author":[{"dropping-particle":"","family":"Karpf","given":"Michael","non-dropping-particle":"","parse-names":false,"suffix":""},{"dropping-particle":"","family":"Lofgren","given":"Richard","non-dropping-particle":"","parse-names":false,"suffix":""}],"container-title":"Academic Medicine","id":"ITEM-1","issued":{"date-parts":[["2012"]]},"title":"Commentary: Institutes versus traditional administrative academic health center structures","type":"article"},"uris":["http://www.mendeley.com/documents/?uuid=2082afb4-784d-4685-a22b-99d2d01092ec","http://www.mendeley.com/documents/?uuid=44f24a6d-d599-4c04-b29c-c590cefac556"]}],"mendeley":{"formattedCitation":"(Karpf and Lofgren, 2012)","plainTextFormattedCitation":"(Karpf and Lofgren, 2012)","previouslyFormattedCitation":"(Karpf and Lofgren, 2012)"},"properties":{"noteIndex":0},"schema":"https://github.com/citation-style-language/schema/raw/master/csl-citation.json"}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(Karpf and Lofgren, 2012)</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0F1AD87C" w14:textId="77777777" w:rsidR="00485407" w:rsidRPr="00FC4166" w:rsidRDefault="00485407" w:rsidP="00485407">
      <w:pPr>
        <w:spacing w:after="0" w:line="480" w:lineRule="auto"/>
        <w:jc w:val="both"/>
        <w:rPr>
          <w:rFonts w:ascii="Times New Roman" w:hAnsi="Times New Roman" w:cs="Times New Roman"/>
          <w:sz w:val="24"/>
          <w:szCs w:val="24"/>
        </w:rPr>
      </w:pPr>
    </w:p>
    <w:p w14:paraId="13EFD6C8"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10. Does the author make original contribution to the topic with this article? How?</w:t>
      </w:r>
    </w:p>
    <w:p w14:paraId="730F5FF0"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tab/>
        <w:t xml:space="preserve"> Yes, the author </w:t>
      </w:r>
      <w:proofErr w:type="gramStart"/>
      <w:r w:rsidRPr="00FC4166">
        <w:rPr>
          <w:rFonts w:ascii="Times New Roman" w:hAnsi="Times New Roman" w:cs="Times New Roman"/>
          <w:sz w:val="24"/>
          <w:szCs w:val="24"/>
        </w:rPr>
        <w:t>make</w:t>
      </w:r>
      <w:proofErr w:type="gramEnd"/>
      <w:r w:rsidRPr="00FC4166">
        <w:rPr>
          <w:rFonts w:ascii="Times New Roman" w:hAnsi="Times New Roman" w:cs="Times New Roman"/>
          <w:sz w:val="24"/>
          <w:szCs w:val="24"/>
        </w:rPr>
        <w:t xml:space="preserve"> original contribution to the topic with this article, one could say that the groups represent a surprising cooperation agreement between their individuals. These connections are managed by certain standards, structures and group forms. Despite some key weaknesses such as peer fights or minor compliance, groups today still have an overwhelming burden of conscience among managers for some of their positive attitudes, essentially better execution, lower spending and employee advancement. In this way, the expression "the whole is more important than the parts" remains constant for groups and cooperation </w:t>
      </w: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ADDIN CSL_CITATION {"citationItems":[{"id":"ITEM-1","itemData":{"DOI":"10.1108/IJQRM-03-2014-0038","ISSN":"0265671X","abstract":"Purpose – The purpose of this paper is to understand what are the benefits in terms of improvement of performances that a local government organization (LGO) can achieve embracing ISO 9001 certification as a strategy. This research is aimed at contributing to the answering of this question by exploring the Italian situation, in particular organizations linked to Italian local government which provide services to the citizens. Design/methodology/approach – This research is based on mixed methodologies. First, a qualitative interview based on a semi-structured interview guide was administered to ten LGO quality managers. From this first qualitative inquiry 11 hypotheses to be validated have been stated. A survey has been carried out to validate the hypotheses. By means of two distinct questionnaires each hypothesis has been transformed into a specific question. The question is based on the Likert scale which allows using a χ2-test and non-parametric test such as Cramer’s V. The results from the scale were augmented by the interviewees’ annotations, which comprised suggestions and comments, to each question. The questionnaires have been administered over the last five years to 201 LGOs. Findings – From the findings it seems that ISO 9001 could improve performances in terms of effectiveness, such as citizens’ satisfaction, reduction of defectiveness and claims, as well as staff awareness of citizens’ needs. Moreover, ISO 9001 seems to have a negative effect on citizens’ participation, internal communication and teamwork as well as cost reduction. Controversial issues related to the bureaucracy of documentation and the external auditing process emerged. Research limitations/implications – The findings are linked to Italian LGOs therefore they need further validation in other European countries where LGOs are managed in a similar way. Practical implications – The implications of this research are useful for consultants and managers who want to understand what the benefits and limitations of the ISO 9001 certification are in the LGOs. The results are also useful for local government managers and practitioners who are weighing the pros and cons of ISO 9001 certification. Originality/value – The paper discusses in a quantitative way the benefits of ISO 9001 certification process on the performances of LGOs opening an interesting debate on the topic.","author":[{"dropping-particle":"","family":"Chiarini","given":"Andrea","non-dropping-particle":"","parse-names":false,"suffix":""}],"container-title":"International Journal of Quality and Reliability Management","id":"ITEM-1","issued":{"date-parts":[["2016"]]},"title":"Strategies for improving performance in the Italian local government organizations: Can ISO 9001 really help?","type":"article-journal"},"uris":["http://www.mendeley.com/documents/?uuid=8324c04b-8dca-4b9f-a754-9045a34e3910","http://www.mendeley.com/documents/?uuid=cb270c86-07d8-4d1e-8d45-fe426470b035"]}],"mendeley":{"formattedCitation":"(Chiarini, 2016)","plainTextFormattedCitation":"(Chiarini, 2016)","previouslyFormattedCitation":"(Chiarini, 2016)"},"properties":{"noteIndex":0},"schema":"https://github.com/citation-style-language/schema/raw/master/csl-citation.json"}</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(Chiarini, 2016)</w:t>
      </w:r>
      <w:r w:rsidRPr="00FC4166">
        <w:rPr>
          <w:rFonts w:ascii="Times New Roman" w:hAnsi="Times New Roman" w:cs="Times New Roman"/>
          <w:sz w:val="24"/>
          <w:szCs w:val="24"/>
        </w:rPr>
        <w:fldChar w:fldCharType="end"/>
      </w:r>
      <w:r w:rsidRPr="00FC4166">
        <w:rPr>
          <w:rFonts w:ascii="Times New Roman" w:hAnsi="Times New Roman" w:cs="Times New Roman"/>
          <w:sz w:val="24"/>
          <w:szCs w:val="24"/>
        </w:rPr>
        <w:t>.</w:t>
      </w:r>
    </w:p>
    <w:p w14:paraId="2FE07D9D" w14:textId="77777777" w:rsidR="00485407" w:rsidRPr="00FC4166" w:rsidRDefault="00485407" w:rsidP="00485407">
      <w:pPr>
        <w:spacing w:after="0" w:line="480" w:lineRule="auto"/>
        <w:jc w:val="both"/>
        <w:rPr>
          <w:rFonts w:ascii="Times New Roman" w:hAnsi="Times New Roman" w:cs="Times New Roman"/>
          <w:sz w:val="24"/>
          <w:szCs w:val="24"/>
        </w:rPr>
      </w:pPr>
      <w:r w:rsidRPr="00FC4166">
        <w:rPr>
          <w:rFonts w:ascii="Times New Roman" w:hAnsi="Times New Roman" w:cs="Times New Roman"/>
          <w:sz w:val="24"/>
          <w:szCs w:val="24"/>
        </w:rPr>
        <w:br w:type="page"/>
      </w:r>
    </w:p>
    <w:p w14:paraId="7BDDB4B3" w14:textId="77777777" w:rsidR="00485407" w:rsidRPr="00FC4166" w:rsidRDefault="00485407" w:rsidP="00485407">
      <w:pPr>
        <w:spacing w:after="0" w:line="480" w:lineRule="auto"/>
        <w:jc w:val="center"/>
        <w:rPr>
          <w:rFonts w:ascii="Times New Roman" w:hAnsi="Times New Roman" w:cs="Times New Roman"/>
          <w:sz w:val="24"/>
          <w:szCs w:val="24"/>
        </w:rPr>
      </w:pPr>
      <w:r w:rsidRPr="00FC4166">
        <w:rPr>
          <w:rFonts w:ascii="Times New Roman" w:hAnsi="Times New Roman" w:cs="Times New Roman"/>
          <w:sz w:val="24"/>
          <w:szCs w:val="24"/>
        </w:rPr>
        <w:lastRenderedPageBreak/>
        <w:t>References</w:t>
      </w:r>
    </w:p>
    <w:p w14:paraId="036A34B0"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sz w:val="24"/>
          <w:szCs w:val="24"/>
        </w:rPr>
        <w:fldChar w:fldCharType="begin" w:fldLock="1"/>
      </w:r>
      <w:r w:rsidRPr="00FC4166">
        <w:rPr>
          <w:rFonts w:ascii="Times New Roman" w:hAnsi="Times New Roman" w:cs="Times New Roman"/>
          <w:sz w:val="24"/>
          <w:szCs w:val="24"/>
        </w:rPr>
        <w:instrText xml:space="preserve">ADDIN Mendeley Bibliography CSL_BIBLIOGRAPHY </w:instrText>
      </w:r>
      <w:r w:rsidRPr="00FC4166">
        <w:rPr>
          <w:rFonts w:ascii="Times New Roman" w:hAnsi="Times New Roman" w:cs="Times New Roman"/>
          <w:sz w:val="24"/>
          <w:szCs w:val="24"/>
        </w:rPr>
        <w:fldChar w:fldCharType="separate"/>
      </w:r>
      <w:r w:rsidRPr="00FC4166">
        <w:rPr>
          <w:rFonts w:ascii="Times New Roman" w:hAnsi="Times New Roman" w:cs="Times New Roman"/>
          <w:noProof/>
          <w:sz w:val="24"/>
          <w:szCs w:val="24"/>
        </w:rPr>
        <w:t xml:space="preserve">Chiarini, A. (2016) ‘Strategies for improving performance in the Italian local government organizations: Can ISO 9001 really help?’, </w:t>
      </w:r>
      <w:r w:rsidRPr="00FC4166">
        <w:rPr>
          <w:rFonts w:ascii="Times New Roman" w:hAnsi="Times New Roman" w:cs="Times New Roman"/>
          <w:i/>
          <w:iCs/>
          <w:noProof/>
          <w:sz w:val="24"/>
          <w:szCs w:val="24"/>
        </w:rPr>
        <w:t>International Journal of Quality and Reliability Management</w:t>
      </w:r>
      <w:r w:rsidRPr="00FC4166">
        <w:rPr>
          <w:rFonts w:ascii="Times New Roman" w:hAnsi="Times New Roman" w:cs="Times New Roman"/>
          <w:noProof/>
          <w:sz w:val="24"/>
          <w:szCs w:val="24"/>
        </w:rPr>
        <w:t>. doi: 10.1108/IJQRM-03-2014-0038.</w:t>
      </w:r>
    </w:p>
    <w:p w14:paraId="1C73E894"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Deichmann, D. and Jensen, M. (2018) ‘I can do that alone…or not? How idea generators juggle between the pros and cons of teamwork’, </w:t>
      </w:r>
      <w:r w:rsidRPr="00FC4166">
        <w:rPr>
          <w:rFonts w:ascii="Times New Roman" w:hAnsi="Times New Roman" w:cs="Times New Roman"/>
          <w:i/>
          <w:iCs/>
          <w:noProof/>
          <w:sz w:val="24"/>
          <w:szCs w:val="24"/>
        </w:rPr>
        <w:t>Strategic Management Journal</w:t>
      </w:r>
      <w:r w:rsidRPr="00FC4166">
        <w:rPr>
          <w:rFonts w:ascii="Times New Roman" w:hAnsi="Times New Roman" w:cs="Times New Roman"/>
          <w:noProof/>
          <w:sz w:val="24"/>
          <w:szCs w:val="24"/>
        </w:rPr>
        <w:t>. doi: 10.1002/smj.2696.</w:t>
      </w:r>
    </w:p>
    <w:p w14:paraId="25AE48CA"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Hodges, B. D. (2018) ‘1. The Shifting Discourses of Competence’, in </w:t>
      </w:r>
      <w:r w:rsidRPr="00FC4166">
        <w:rPr>
          <w:rFonts w:ascii="Times New Roman" w:hAnsi="Times New Roman" w:cs="Times New Roman"/>
          <w:i/>
          <w:iCs/>
          <w:noProof/>
          <w:sz w:val="24"/>
          <w:szCs w:val="24"/>
        </w:rPr>
        <w:t>The Question of Competence</w:t>
      </w:r>
      <w:r w:rsidRPr="00FC4166">
        <w:rPr>
          <w:rFonts w:ascii="Times New Roman" w:hAnsi="Times New Roman" w:cs="Times New Roman"/>
          <w:noProof/>
          <w:sz w:val="24"/>
          <w:szCs w:val="24"/>
        </w:rPr>
        <w:t>. doi: 10.7591/9780801465802-005.</w:t>
      </w:r>
    </w:p>
    <w:p w14:paraId="2A2B2AC0"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Juhasz, M. and Katalin, J. (2011) ‘Human Aspects of NPP Operator Teamwork’, in </w:t>
      </w:r>
      <w:r w:rsidRPr="00FC4166">
        <w:rPr>
          <w:rFonts w:ascii="Times New Roman" w:hAnsi="Times New Roman" w:cs="Times New Roman"/>
          <w:i/>
          <w:iCs/>
          <w:noProof/>
          <w:sz w:val="24"/>
          <w:szCs w:val="24"/>
        </w:rPr>
        <w:t>Nuclear Power - Control, Reliability and Human Factors</w:t>
      </w:r>
      <w:r w:rsidRPr="00FC4166">
        <w:rPr>
          <w:rFonts w:ascii="Times New Roman" w:hAnsi="Times New Roman" w:cs="Times New Roman"/>
          <w:noProof/>
          <w:sz w:val="24"/>
          <w:szCs w:val="24"/>
        </w:rPr>
        <w:t>. doi: 10.5772/17046.</w:t>
      </w:r>
    </w:p>
    <w:p w14:paraId="5513D886"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Kangasoja, J. </w:t>
      </w:r>
      <w:r w:rsidRPr="00FC4166">
        <w:rPr>
          <w:rFonts w:ascii="Times New Roman" w:hAnsi="Times New Roman" w:cs="Times New Roman"/>
          <w:i/>
          <w:iCs/>
          <w:noProof/>
          <w:sz w:val="24"/>
          <w:szCs w:val="24"/>
        </w:rPr>
        <w:t>et al.</w:t>
      </w:r>
      <w:r w:rsidRPr="00FC4166">
        <w:rPr>
          <w:rFonts w:ascii="Times New Roman" w:hAnsi="Times New Roman" w:cs="Times New Roman"/>
          <w:noProof/>
          <w:sz w:val="24"/>
          <w:szCs w:val="24"/>
        </w:rPr>
        <w:t xml:space="preserve"> (2010) ‘Architectural Education as a Basis for Planning Work — The Pros and Cons of Professional Enculturation’, </w:t>
      </w:r>
      <w:r w:rsidRPr="00FC4166">
        <w:rPr>
          <w:rFonts w:ascii="Times New Roman" w:hAnsi="Times New Roman" w:cs="Times New Roman"/>
          <w:i/>
          <w:iCs/>
          <w:noProof/>
          <w:sz w:val="24"/>
          <w:szCs w:val="24"/>
        </w:rPr>
        <w:t>Journal for Education in the Built Environment</w:t>
      </w:r>
      <w:r w:rsidRPr="00FC4166">
        <w:rPr>
          <w:rFonts w:ascii="Times New Roman" w:hAnsi="Times New Roman" w:cs="Times New Roman"/>
          <w:noProof/>
          <w:sz w:val="24"/>
          <w:szCs w:val="24"/>
        </w:rPr>
        <w:t>. doi: 10.11120/jebe.2010.05020025.</w:t>
      </w:r>
    </w:p>
    <w:p w14:paraId="75665F2C"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Karpf, M. and Lofgren, R. (2012) ‘Commentary: Institutes versus traditional administrative academic health center structures’, </w:t>
      </w:r>
      <w:r w:rsidRPr="00FC4166">
        <w:rPr>
          <w:rFonts w:ascii="Times New Roman" w:hAnsi="Times New Roman" w:cs="Times New Roman"/>
          <w:i/>
          <w:iCs/>
          <w:noProof/>
          <w:sz w:val="24"/>
          <w:szCs w:val="24"/>
        </w:rPr>
        <w:t>Academic Medicine</w:t>
      </w:r>
      <w:r w:rsidRPr="00FC4166">
        <w:rPr>
          <w:rFonts w:ascii="Times New Roman" w:hAnsi="Times New Roman" w:cs="Times New Roman"/>
          <w:noProof/>
          <w:sz w:val="24"/>
          <w:szCs w:val="24"/>
        </w:rPr>
        <w:t>. doi: 10.1097/ACM.0b013e31824d4237.</w:t>
      </w:r>
    </w:p>
    <w:p w14:paraId="735E1AA9"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O’Neill, T. A., Allen, N. J. and Hastings, S. E. (2013) ‘Examining the “Pros” and “Cons” of Team Conflict: A Team-Level Meta-Analysis of Task, Relationship, and Process Conflict’, </w:t>
      </w:r>
      <w:r w:rsidRPr="00FC4166">
        <w:rPr>
          <w:rFonts w:ascii="Times New Roman" w:hAnsi="Times New Roman" w:cs="Times New Roman"/>
          <w:i/>
          <w:iCs/>
          <w:noProof/>
          <w:sz w:val="24"/>
          <w:szCs w:val="24"/>
        </w:rPr>
        <w:t>Human Performance</w:t>
      </w:r>
      <w:r w:rsidRPr="00FC4166">
        <w:rPr>
          <w:rFonts w:ascii="Times New Roman" w:hAnsi="Times New Roman" w:cs="Times New Roman"/>
          <w:noProof/>
          <w:sz w:val="24"/>
          <w:szCs w:val="24"/>
        </w:rPr>
        <w:t>. doi: 10.1080/08959285.2013.795573.</w:t>
      </w:r>
    </w:p>
    <w:p w14:paraId="7C31B303"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PsychologyToday (2019) </w:t>
      </w:r>
      <w:r w:rsidRPr="00FC4166">
        <w:rPr>
          <w:rFonts w:ascii="Times New Roman" w:hAnsi="Times New Roman" w:cs="Times New Roman"/>
          <w:i/>
          <w:iCs/>
          <w:noProof/>
          <w:sz w:val="24"/>
          <w:szCs w:val="24"/>
        </w:rPr>
        <w:t>Team Roles Test</w:t>
      </w:r>
      <w:r w:rsidRPr="00FC4166">
        <w:rPr>
          <w:rFonts w:ascii="Times New Roman" w:hAnsi="Times New Roman" w:cs="Times New Roman"/>
          <w:noProof/>
          <w:sz w:val="24"/>
          <w:szCs w:val="24"/>
        </w:rPr>
        <w:t xml:space="preserve">, </w:t>
      </w:r>
      <w:r w:rsidRPr="00FC4166">
        <w:rPr>
          <w:rFonts w:ascii="Times New Roman" w:hAnsi="Times New Roman" w:cs="Times New Roman"/>
          <w:i/>
          <w:iCs/>
          <w:noProof/>
          <w:sz w:val="24"/>
          <w:szCs w:val="24"/>
        </w:rPr>
        <w:t>Psychology Today</w:t>
      </w:r>
      <w:r w:rsidRPr="00FC4166">
        <w:rPr>
          <w:rFonts w:ascii="Times New Roman" w:hAnsi="Times New Roman" w:cs="Times New Roman"/>
          <w:noProof/>
          <w:sz w:val="24"/>
          <w:szCs w:val="24"/>
        </w:rPr>
        <w:t>.</w:t>
      </w:r>
    </w:p>
    <w:p w14:paraId="19AD7067"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Smith, A. (2018) ‘Managing the Team Project Process: Helpful Hints and Tools to Ease the Workload without Sacrificing Learning Objectives.’, </w:t>
      </w:r>
      <w:r w:rsidRPr="00FC4166">
        <w:rPr>
          <w:rFonts w:ascii="Times New Roman" w:hAnsi="Times New Roman" w:cs="Times New Roman"/>
          <w:i/>
          <w:iCs/>
          <w:noProof/>
          <w:sz w:val="24"/>
          <w:szCs w:val="24"/>
        </w:rPr>
        <w:t>e-Journal of Business Education and Scholarship of Teaching</w:t>
      </w:r>
      <w:r w:rsidRPr="00FC4166">
        <w:rPr>
          <w:rFonts w:ascii="Times New Roman" w:hAnsi="Times New Roman" w:cs="Times New Roman"/>
          <w:noProof/>
          <w:sz w:val="24"/>
          <w:szCs w:val="24"/>
        </w:rPr>
        <w:t>.</w:t>
      </w:r>
    </w:p>
    <w:p w14:paraId="2DBDF211" w14:textId="77777777" w:rsidR="00485407" w:rsidRPr="00FC4166" w:rsidRDefault="00485407" w:rsidP="00485407">
      <w:pPr>
        <w:widowControl w:val="0"/>
        <w:autoSpaceDE w:val="0"/>
        <w:autoSpaceDN w:val="0"/>
        <w:adjustRightInd w:val="0"/>
        <w:spacing w:after="0" w:line="480" w:lineRule="auto"/>
        <w:ind w:left="720" w:hanging="720"/>
        <w:rPr>
          <w:rFonts w:ascii="Times New Roman" w:hAnsi="Times New Roman" w:cs="Times New Roman"/>
          <w:noProof/>
          <w:sz w:val="24"/>
          <w:szCs w:val="24"/>
        </w:rPr>
      </w:pPr>
      <w:r w:rsidRPr="00FC4166">
        <w:rPr>
          <w:rFonts w:ascii="Times New Roman" w:hAnsi="Times New Roman" w:cs="Times New Roman"/>
          <w:noProof/>
          <w:sz w:val="24"/>
          <w:szCs w:val="24"/>
        </w:rPr>
        <w:t xml:space="preserve">Wolfe, J. and Powell, E. (2015) ‘Strategies for dealing with slacker and underperforming </w:t>
      </w:r>
      <w:r w:rsidRPr="00FC4166">
        <w:rPr>
          <w:rFonts w:ascii="Times New Roman" w:hAnsi="Times New Roman" w:cs="Times New Roman"/>
          <w:noProof/>
          <w:sz w:val="24"/>
          <w:szCs w:val="24"/>
        </w:rPr>
        <w:lastRenderedPageBreak/>
        <w:t xml:space="preserve">teammates in class projects’, in </w:t>
      </w:r>
      <w:r w:rsidRPr="00FC4166">
        <w:rPr>
          <w:rFonts w:ascii="Times New Roman" w:hAnsi="Times New Roman" w:cs="Times New Roman"/>
          <w:i/>
          <w:iCs/>
          <w:noProof/>
          <w:sz w:val="24"/>
          <w:szCs w:val="24"/>
        </w:rPr>
        <w:t>IEEE International Professional Communication Conference</w:t>
      </w:r>
      <w:r w:rsidRPr="00FC4166">
        <w:rPr>
          <w:rFonts w:ascii="Times New Roman" w:hAnsi="Times New Roman" w:cs="Times New Roman"/>
          <w:noProof/>
          <w:sz w:val="24"/>
          <w:szCs w:val="24"/>
        </w:rPr>
        <w:t>. doi: 10.1109/IPCC.2014.7020346.</w:t>
      </w:r>
    </w:p>
    <w:p w14:paraId="6AFC3710" w14:textId="77777777" w:rsidR="00485407" w:rsidRPr="00FC4166" w:rsidRDefault="00485407" w:rsidP="00485407">
      <w:pPr>
        <w:spacing w:after="0" w:line="480" w:lineRule="auto"/>
        <w:ind w:left="720" w:hanging="720"/>
        <w:rPr>
          <w:rFonts w:ascii="Times New Roman" w:hAnsi="Times New Roman" w:cs="Times New Roman"/>
          <w:sz w:val="24"/>
          <w:szCs w:val="24"/>
        </w:rPr>
      </w:pPr>
      <w:r w:rsidRPr="00FC4166">
        <w:rPr>
          <w:rFonts w:ascii="Times New Roman" w:hAnsi="Times New Roman" w:cs="Times New Roman"/>
          <w:sz w:val="24"/>
          <w:szCs w:val="24"/>
        </w:rPr>
        <w:fldChar w:fldCharType="end"/>
      </w:r>
    </w:p>
    <w:p w14:paraId="68D94630" w14:textId="77777777" w:rsidR="00485407" w:rsidRPr="00FC4166" w:rsidRDefault="00485407" w:rsidP="00485407">
      <w:pPr>
        <w:spacing w:after="0" w:line="480" w:lineRule="auto"/>
        <w:jc w:val="center"/>
        <w:rPr>
          <w:rFonts w:ascii="Times New Roman" w:hAnsi="Times New Roman" w:cs="Times New Roman"/>
          <w:sz w:val="24"/>
          <w:szCs w:val="24"/>
        </w:rPr>
      </w:pPr>
    </w:p>
    <w:p w14:paraId="5E875D0B" w14:textId="77777777" w:rsidR="00316039" w:rsidRDefault="00316039"/>
    <w:sectPr w:rsidR="00316039" w:rsidSect="001170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407"/>
    <w:rsid w:val="001170B3"/>
    <w:rsid w:val="002C1FC8"/>
    <w:rsid w:val="00316039"/>
    <w:rsid w:val="00446CA6"/>
    <w:rsid w:val="00485407"/>
    <w:rsid w:val="005C2B1B"/>
    <w:rsid w:val="007A7F62"/>
    <w:rsid w:val="007F4CA8"/>
    <w:rsid w:val="008A234E"/>
    <w:rsid w:val="009852A4"/>
    <w:rsid w:val="00A95EBC"/>
    <w:rsid w:val="00D36D75"/>
    <w:rsid w:val="00D40E92"/>
    <w:rsid w:val="00D75913"/>
    <w:rsid w:val="00F76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AAB16"/>
  <w15:chartTrackingRefBased/>
  <w15:docId w15:val="{8715EECE-1D49-46E4-8D24-7D0C3108A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0B3"/>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485407"/>
    <w:rPr>
      <w:vertAlign w:val="superscript"/>
    </w:rPr>
  </w:style>
  <w:style w:type="paragraph" w:styleId="NoSpacing">
    <w:name w:val="No Spacing"/>
    <w:link w:val="NoSpacingChar"/>
    <w:uiPriority w:val="1"/>
    <w:qFormat/>
    <w:rsid w:val="001170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70B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4910</Words>
  <Characters>27991</Characters>
  <Application>Microsoft Office Word</Application>
  <DocSecurity>0</DocSecurity>
  <Lines>233</Lines>
  <Paragraphs>65</Paragraphs>
  <ScaleCrop>false</ScaleCrop>
  <Company/>
  <LinksUpToDate>false</LinksUpToDate>
  <CharactersWithSpaces>32836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Idea Generators Juggle Between the Pros and Cons of Teamwork. Article Review By Habib Ayodeji Sunday ID : 1812672</dc:title>
  <dc:subject/>
  <dc:creator>0</dc:creator>
  <cp:keywords/>
  <dc:description/>
  <cp:lastModifiedBy>DEJI</cp:lastModifiedBy>
  <cp:revision>2</cp:revision>
  <dcterms:created xsi:type="dcterms:W3CDTF">2020-05-01T15:02:00Z</dcterms:created>
  <dcterms:modified xsi:type="dcterms:W3CDTF">2020-05-01T15:10:00Z</dcterms:modified>
</cp:coreProperties>
</file>