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01102" w14:textId="066136EC" w:rsidR="005870F8" w:rsidRDefault="005870F8" w:rsidP="005870F8">
      <w:pPr>
        <w:pStyle w:val="Heading1"/>
      </w:pPr>
      <w:r>
        <w:t xml:space="preserve">Object Analysis: </w:t>
      </w:r>
      <w:proofErr w:type="spellStart"/>
      <w:r>
        <w:t>Archanes</w:t>
      </w:r>
      <w:proofErr w:type="spellEnd"/>
      <w:r>
        <w:t xml:space="preserve"> </w:t>
      </w:r>
      <w:proofErr w:type="spellStart"/>
      <w:r>
        <w:t>Kernos</w:t>
      </w:r>
      <w:proofErr w:type="spellEnd"/>
    </w:p>
    <w:p w14:paraId="6A5AC88A" w14:textId="77777777" w:rsidR="005870F8" w:rsidRDefault="005870F8" w:rsidP="005870F8"/>
    <w:p w14:paraId="332A8929" w14:textId="5A849E33" w:rsidR="005870F8" w:rsidRDefault="005870F8" w:rsidP="005870F8">
      <w:pPr>
        <w:ind w:firstLine="720"/>
      </w:pPr>
      <w:r>
        <w:t xml:space="preserve">The </w:t>
      </w:r>
      <w:proofErr w:type="spellStart"/>
      <w:r>
        <w:t>Archanes</w:t>
      </w:r>
      <w:proofErr w:type="spellEnd"/>
      <w:r>
        <w:t xml:space="preserve"> </w:t>
      </w:r>
      <w:proofErr w:type="spellStart"/>
      <w:r>
        <w:t>kernos</w:t>
      </w:r>
      <w:proofErr w:type="spellEnd"/>
      <w:r>
        <w:t xml:space="preserve"> (HM 19594 / AMH 144845) represents a compelling example of how religious practice in the Bronze Age Aegean was materially enacted rather than textually articulated. Unlike painted, inscribed, or figural objects, this ritual vessel communicates through structure, segmentation, and embodied usage. This assessment examines the object not simply as an artefact but as a ritual technology that organised bodily movement, mediated sacred experience, and instantiated cosmological principles in clay. By expanding on the earlier draft and integrating broader archaeological and theoretical perspectives, this analysis aligns with the wider goals of the module — to interrogate how religion was materially and spatially constructed in the ancient world.</w:t>
      </w:r>
    </w:p>
    <w:p w14:paraId="01DCAF35" w14:textId="3ABF21C4" w:rsidR="005870F8" w:rsidRDefault="005870F8" w:rsidP="005870F8">
      <w:r>
        <w:t xml:space="preserve">The </w:t>
      </w:r>
      <w:proofErr w:type="spellStart"/>
      <w:r>
        <w:t>kernos</w:t>
      </w:r>
      <w:proofErr w:type="spellEnd"/>
      <w:r>
        <w:t xml:space="preserve"> is situated within the ritual and funerary landscapes of </w:t>
      </w:r>
      <w:proofErr w:type="spellStart"/>
      <w:r>
        <w:t>Archanes</w:t>
      </w:r>
      <w:proofErr w:type="spellEnd"/>
      <w:r>
        <w:t>, a key ritual centre in Middle Minoan Crete. Its segmented form presents an opportunity to explore materiality through multiple lenses: empirical description, contextual embedding, and theoretical interrogation. Following Nikolaidou’s account of ritual grammar in Minoan pottery, this study attends to how form itself can encode meaning through spatial ordering and repetitive action.</w:t>
      </w:r>
      <w:r>
        <w:rPr>
          <w:rStyle w:val="FootnoteReference"/>
        </w:rPr>
        <w:footnoteReference w:id="1"/>
      </w:r>
    </w:p>
    <w:p w14:paraId="0A3A3868" w14:textId="77777777" w:rsidR="005870F8" w:rsidRDefault="005870F8" w:rsidP="005870F8"/>
    <w:p w14:paraId="74AE2DB4" w14:textId="77777777" w:rsidR="005870F8" w:rsidRDefault="005870F8" w:rsidP="005870F8"/>
    <w:p w14:paraId="591C5870" w14:textId="77777777" w:rsidR="005870F8" w:rsidRDefault="005870F8" w:rsidP="005870F8">
      <w:r>
        <w:t xml:space="preserve">Object: Composite ceramic </w:t>
      </w:r>
      <w:proofErr w:type="spellStart"/>
      <w:r>
        <w:t>kernos</w:t>
      </w:r>
      <w:proofErr w:type="spellEnd"/>
    </w:p>
    <w:p w14:paraId="2F7998E1" w14:textId="77777777" w:rsidR="005870F8" w:rsidRDefault="005870F8" w:rsidP="005870F8">
      <w:r>
        <w:t>Catalogue numbers: HM 19594 / AMH 144845</w:t>
      </w:r>
    </w:p>
    <w:p w14:paraId="66EAC18F" w14:textId="77777777" w:rsidR="005870F8" w:rsidRDefault="005870F8" w:rsidP="005870F8">
      <w:r>
        <w:t>Chronology: Middle Minoan IA–IB (c. 2100–1900 BCE)</w:t>
      </w:r>
    </w:p>
    <w:p w14:paraId="57107246" w14:textId="77777777" w:rsidR="005870F8" w:rsidRDefault="005870F8" w:rsidP="005870F8">
      <w:r>
        <w:t>Material: Fine buff terracotta</w:t>
      </w:r>
    </w:p>
    <w:p w14:paraId="2CFCD3C7" w14:textId="77777777" w:rsidR="005870F8" w:rsidRDefault="005870F8" w:rsidP="005870F8">
      <w:r>
        <w:t xml:space="preserve">Findspot: </w:t>
      </w:r>
      <w:proofErr w:type="spellStart"/>
      <w:r>
        <w:t>Archanes</w:t>
      </w:r>
      <w:proofErr w:type="spellEnd"/>
      <w:r>
        <w:t xml:space="preserve">, probably </w:t>
      </w:r>
      <w:proofErr w:type="spellStart"/>
      <w:r>
        <w:t>Phourni</w:t>
      </w:r>
      <w:proofErr w:type="spellEnd"/>
      <w:r>
        <w:t xml:space="preserve"> cemetery</w:t>
      </w:r>
    </w:p>
    <w:p w14:paraId="3463680B" w14:textId="5619A383" w:rsidR="005870F8" w:rsidRDefault="005870F8" w:rsidP="005870F8">
      <w:r>
        <w:t>Current location: Heraklion Archaeological Museum, Crete</w:t>
      </w:r>
    </w:p>
    <w:p w14:paraId="34C0A72C" w14:textId="7A7EECB5" w:rsidR="005870F8" w:rsidRDefault="005870F8" w:rsidP="005870F8">
      <w:r>
        <w:t xml:space="preserve">The </w:t>
      </w:r>
      <w:proofErr w:type="spellStart"/>
      <w:r>
        <w:t>kernos</w:t>
      </w:r>
      <w:proofErr w:type="spellEnd"/>
      <w:r>
        <w:t xml:space="preserve"> is a circular ceramic vessel composed of a central bowl surrounded by thirteen small, shallow cup</w:t>
      </w:r>
      <w:r>
        <w:rPr>
          <w:rFonts w:ascii="Cambria Math" w:hAnsi="Cambria Math" w:cs="Cambria Math"/>
        </w:rPr>
        <w:t>‑</w:t>
      </w:r>
      <w:r>
        <w:t xml:space="preserve">like depressions, all connected on a shared base. It is held in the Heraklion Archaeological Museum under the inventory numbers HM 19594 / AMH 144845, although it does not currently appear in the publicly accessible online catalogue. Its archaeological provenance, as consistently referenced in academic literature, places it at </w:t>
      </w:r>
      <w:proofErr w:type="spellStart"/>
      <w:r>
        <w:t>Archanes</w:t>
      </w:r>
      <w:proofErr w:type="spellEnd"/>
      <w:r>
        <w:t xml:space="preserve">, most plausibly within the cemetery complex of </w:t>
      </w:r>
      <w:proofErr w:type="spellStart"/>
      <w:r>
        <w:t>Phourni</w:t>
      </w:r>
      <w:proofErr w:type="spellEnd"/>
      <w:r>
        <w:t>, a site of sustained ritual and mortuary activity.</w:t>
      </w:r>
      <w:r>
        <w:rPr>
          <w:rStyle w:val="FootnoteReference"/>
        </w:rPr>
        <w:footnoteReference w:id="2"/>
      </w:r>
    </w:p>
    <w:p w14:paraId="5DDA1BC6" w14:textId="2524A482" w:rsidR="005870F8" w:rsidRDefault="005870F8" w:rsidP="005870F8">
      <w:proofErr w:type="spellStart"/>
      <w:r>
        <w:t>Phourni</w:t>
      </w:r>
      <w:proofErr w:type="spellEnd"/>
      <w:r>
        <w:t xml:space="preserve"> is characterised by monumental tholos tombs, </w:t>
      </w:r>
      <w:proofErr w:type="spellStart"/>
      <w:r>
        <w:t>ossuaries</w:t>
      </w:r>
      <w:proofErr w:type="spellEnd"/>
      <w:r>
        <w:t>, paved terraces, and evidence for repeated cremation and deposition practices.</w:t>
      </w:r>
      <w:r>
        <w:rPr>
          <w:rStyle w:val="FootnoteReference"/>
        </w:rPr>
        <w:footnoteReference w:id="3"/>
      </w:r>
      <w:r>
        <w:t xml:space="preserve"> Within this landscape, the presence of ritual vessels — including </w:t>
      </w:r>
      <w:proofErr w:type="spellStart"/>
      <w:r>
        <w:t>kernoi</w:t>
      </w:r>
      <w:proofErr w:type="spellEnd"/>
      <w:r>
        <w:t xml:space="preserve"> of various materials — suggests a multipurpose liturgical environment, where funerary and cultic practices intersect. The </w:t>
      </w:r>
      <w:proofErr w:type="spellStart"/>
      <w:r>
        <w:t>Archanes</w:t>
      </w:r>
      <w:proofErr w:type="spellEnd"/>
      <w:r>
        <w:t xml:space="preserve"> </w:t>
      </w:r>
      <w:proofErr w:type="spellStart"/>
      <w:r>
        <w:t>kernos</w:t>
      </w:r>
      <w:proofErr w:type="spellEnd"/>
      <w:r>
        <w:t xml:space="preserve">, due to its </w:t>
      </w:r>
      <w:r>
        <w:lastRenderedPageBreak/>
        <w:t>segmentation and form, was likely integral to these activities, participating in sequences of libation, offering, and potentially structured ritual performance.</w:t>
      </w:r>
    </w:p>
    <w:p w14:paraId="5A40941C" w14:textId="77777777" w:rsidR="00A46EFC" w:rsidRDefault="00A46EFC" w:rsidP="00A46EFC">
      <w:pPr>
        <w:ind w:firstLine="720"/>
      </w:pPr>
    </w:p>
    <w:p w14:paraId="2245EFA8" w14:textId="4E8EE052" w:rsidR="005870F8" w:rsidRDefault="005870F8" w:rsidP="00A46EFC">
      <w:pPr>
        <w:ind w:firstLine="720"/>
      </w:pPr>
      <w:r>
        <w:t xml:space="preserve">This object was chosen for its extraordinary capacity to elucidate the material and spatial dimensions of ancient religion without relying on explicit iconography or textual evidence. The </w:t>
      </w:r>
      <w:proofErr w:type="spellStart"/>
      <w:r>
        <w:t>Archanes</w:t>
      </w:r>
      <w:proofErr w:type="spellEnd"/>
      <w:r>
        <w:t xml:space="preserve"> </w:t>
      </w:r>
      <w:proofErr w:type="spellStart"/>
      <w:r>
        <w:t>kernos</w:t>
      </w:r>
      <w:proofErr w:type="spellEnd"/>
      <w:r>
        <w:t xml:space="preserve"> resonates directly with the themes of your portfolio, especially following the critical review of Nikolaidou’s work on Minoan symbolic pottery. According to Nikolaidou, some Late Bronze Age vessels embody a “formulaic code” — recurring formal patterns that operate as a grammar of sacred expression rather than representational imagery.</w:t>
      </w:r>
      <w:r>
        <w:rPr>
          <w:rStyle w:val="FootnoteReference"/>
        </w:rPr>
        <w:footnoteReference w:id="4"/>
      </w:r>
    </w:p>
    <w:p w14:paraId="7007C6B0" w14:textId="77777777" w:rsidR="005870F8" w:rsidRDefault="005870F8" w:rsidP="005870F8">
      <w:r>
        <w:t xml:space="preserve">The </w:t>
      </w:r>
      <w:proofErr w:type="spellStart"/>
      <w:r>
        <w:t>kernos</w:t>
      </w:r>
      <w:proofErr w:type="spellEnd"/>
      <w:r>
        <w:t xml:space="preserve"> invites analysis along these lines: it is not simply a container but a structure that shapes ritual action. Its segmented layout opens interpretive avenues for understanding how religious knowledge was encoded through embodied practice. This aligns with the module’s emphasis on ritual action, material agency, and sensory experience. Its selection also establishes a thematic continuity with the subsequent site analysis (Assessment 3), which will further explore ritual landscapes and embodied spatiality at </w:t>
      </w:r>
      <w:proofErr w:type="spellStart"/>
      <w:r>
        <w:t>Archanes</w:t>
      </w:r>
      <w:proofErr w:type="spellEnd"/>
      <w:r>
        <w:t>.</w:t>
      </w:r>
    </w:p>
    <w:p w14:paraId="630D40DD" w14:textId="77777777" w:rsidR="005870F8" w:rsidRDefault="005870F8" w:rsidP="005870F8"/>
    <w:p w14:paraId="1BCE8EB4" w14:textId="4E8A302B" w:rsidR="005870F8" w:rsidRDefault="005870F8" w:rsidP="00A46EFC">
      <w:pPr>
        <w:ind w:firstLine="720"/>
      </w:pPr>
      <w:r>
        <w:t xml:space="preserve">The </w:t>
      </w:r>
      <w:proofErr w:type="spellStart"/>
      <w:r>
        <w:t>Archanes</w:t>
      </w:r>
      <w:proofErr w:type="spellEnd"/>
      <w:r>
        <w:t xml:space="preserve"> </w:t>
      </w:r>
      <w:proofErr w:type="spellStart"/>
      <w:r>
        <w:t>kernos</w:t>
      </w:r>
      <w:proofErr w:type="spellEnd"/>
      <w:r>
        <w:t xml:space="preserve"> is fashioned from a fine, </w:t>
      </w:r>
      <w:proofErr w:type="spellStart"/>
      <w:r>
        <w:t>light-colored</w:t>
      </w:r>
      <w:proofErr w:type="spellEnd"/>
      <w:r>
        <w:t xml:space="preserve"> terracotta typical of Middle Minoan ceramic production in central Crete. The central bowl, likely wheel</w:t>
      </w:r>
      <w:r>
        <w:rPr>
          <w:rFonts w:ascii="Cambria Math" w:hAnsi="Cambria Math" w:cs="Cambria Math"/>
        </w:rPr>
        <w:t>‑</w:t>
      </w:r>
      <w:r>
        <w:t>thrown, serves as a focal chamber, elevated subtly above the surrounding perimeter. Thirteen smaller cup</w:t>
      </w:r>
      <w:r>
        <w:rPr>
          <w:rFonts w:ascii="Cambria Math" w:hAnsi="Cambria Math" w:cs="Cambria Math"/>
        </w:rPr>
        <w:t>‑</w:t>
      </w:r>
      <w:r>
        <w:t>like depressions are evenly spaced around the vessel</w:t>
      </w:r>
      <w:r>
        <w:rPr>
          <w:rFonts w:ascii="Aptos" w:hAnsi="Aptos" w:cs="Aptos"/>
        </w:rPr>
        <w:t>’</w:t>
      </w:r>
      <w:r>
        <w:t>s circumference, each hand</w:t>
      </w:r>
      <w:r>
        <w:rPr>
          <w:rFonts w:ascii="Cambria Math" w:hAnsi="Cambria Math" w:cs="Cambria Math"/>
        </w:rPr>
        <w:t>‑</w:t>
      </w:r>
      <w:r>
        <w:t>modelled and affixed prior to firing. Firing appears uniform, suggesting a single</w:t>
      </w:r>
      <w:r>
        <w:rPr>
          <w:rFonts w:ascii="Cambria Math" w:hAnsi="Cambria Math" w:cs="Cambria Math"/>
        </w:rPr>
        <w:t>‑</w:t>
      </w:r>
      <w:r>
        <w:t>piece construction requiring careful control of drying stages to prevent cracking at the joints.</w:t>
      </w:r>
      <w:r>
        <w:rPr>
          <w:rStyle w:val="FootnoteReference"/>
        </w:rPr>
        <w:footnoteReference w:id="5"/>
      </w:r>
    </w:p>
    <w:p w14:paraId="25114E91" w14:textId="5C734E28" w:rsidR="005870F8" w:rsidRDefault="005870F8" w:rsidP="005870F8">
      <w:r>
        <w:t>There is no surface decoration: no slip, paint, incised motifs, or applied ornamentation are visible. This lack of pictorial imagery indicates that meaning and function were inscribed in form and use, not surface decoration. The thirteen cups vary slightly in depth and diameter, hinting at individual hand shaping rather than uniform moulding. Rim wear and surface abrasion on several cups suggest repeated use, consistent with the wear patterns seen in other ritual vessels used for libation or offering activities.</w:t>
      </w:r>
      <w:r>
        <w:rPr>
          <w:rStyle w:val="FootnoteReference"/>
        </w:rPr>
        <w:footnoteReference w:id="6"/>
      </w:r>
    </w:p>
    <w:p w14:paraId="2B8CBEDC" w14:textId="4C726AAD" w:rsidR="005870F8" w:rsidRDefault="005870F8" w:rsidP="005870F8">
      <w:r>
        <w:t xml:space="preserve">Measured dimensions approximate the </w:t>
      </w:r>
      <w:proofErr w:type="spellStart"/>
      <w:r>
        <w:t>kernos</w:t>
      </w:r>
      <w:proofErr w:type="spellEnd"/>
      <w:r>
        <w:t xml:space="preserve"> at 25–30 cm in diameter and 12–15 cm in height, making it portable yet substantial enough for sustained communal use. The segmented arrangement enforces a rotational mode of engagement, potentially guiding participants’ movement around the object and inviting interactions in a sequence that had ritual meaning. In ritual contexts where chanting, pouring, or offering occur sequentially, such a design would serve as both a physical threshold and a symbolic guide for action.</w:t>
      </w:r>
    </w:p>
    <w:p w14:paraId="5182CB3F" w14:textId="44ED2304" w:rsidR="005870F8" w:rsidRDefault="005870F8" w:rsidP="005870F8">
      <w:r>
        <w:t>The number thirteen itself warrants attention. While caution is needed in assigning symbolic numerology, one possible interpretation links the twelve outer cups to a lunar calendrical cycle, with the central bowl representing a solar or divine axis.</w:t>
      </w:r>
      <w:r>
        <w:rPr>
          <w:rStyle w:val="FootnoteReference"/>
        </w:rPr>
        <w:footnoteReference w:id="7"/>
      </w:r>
      <w:r>
        <w:t xml:space="preserve"> This interpretation resonates with other Bronze Age cycles of ritual and agricultural practice where structured numbers encode temporal </w:t>
      </w:r>
      <w:r>
        <w:lastRenderedPageBreak/>
        <w:t>rhythms. Though speculative, such readings respect the material cues the vessel provides without overextending into unsupported symbolism.</w:t>
      </w:r>
    </w:p>
    <w:p w14:paraId="1FE96B47" w14:textId="77777777" w:rsidR="005870F8" w:rsidRDefault="005870F8" w:rsidP="005870F8"/>
    <w:p w14:paraId="22AE307F" w14:textId="724BC33A" w:rsidR="005870F8" w:rsidRDefault="005870F8" w:rsidP="00A46EFC">
      <w:pPr>
        <w:ind w:firstLine="720"/>
      </w:pPr>
      <w:proofErr w:type="spellStart"/>
      <w:r>
        <w:t>Phourni</w:t>
      </w:r>
      <w:proofErr w:type="spellEnd"/>
      <w:r>
        <w:t xml:space="preserve">, located near the centre of Crete at </w:t>
      </w:r>
      <w:proofErr w:type="spellStart"/>
      <w:r>
        <w:t>Archanes</w:t>
      </w:r>
      <w:proofErr w:type="spellEnd"/>
      <w:r>
        <w:t xml:space="preserve">, is one of the most intensively studied ritual landscapes of the Middle and Late Bronze Ages. Excavations conducted by Yannis Sakellarakis and Efi </w:t>
      </w:r>
      <w:proofErr w:type="spellStart"/>
      <w:r>
        <w:t>Sapouna</w:t>
      </w:r>
      <w:r>
        <w:rPr>
          <w:rFonts w:ascii="Cambria Math" w:hAnsi="Cambria Math" w:cs="Cambria Math"/>
        </w:rPr>
        <w:t>‑</w:t>
      </w:r>
      <w:r>
        <w:t>Sakellaraki</w:t>
      </w:r>
      <w:proofErr w:type="spellEnd"/>
      <w:r>
        <w:t xml:space="preserve"> revealed a sequence of cenotaphs, </w:t>
      </w:r>
      <w:proofErr w:type="spellStart"/>
      <w:r>
        <w:t>ossuaries</w:t>
      </w:r>
      <w:proofErr w:type="spellEnd"/>
      <w:r>
        <w:t>, intricately constructed tombs, and dedicated spaces interpreted as public or communal shrines.</w:t>
      </w:r>
      <w:r>
        <w:rPr>
          <w:rStyle w:val="FootnoteReference"/>
        </w:rPr>
        <w:footnoteReference w:id="8"/>
      </w:r>
      <w:r>
        <w:t xml:space="preserve"> The site</w:t>
      </w:r>
      <w:r>
        <w:rPr>
          <w:rFonts w:ascii="Aptos" w:hAnsi="Aptos" w:cs="Aptos"/>
        </w:rPr>
        <w:t>’</w:t>
      </w:r>
      <w:r>
        <w:t xml:space="preserve">s ceramic assemblages include figurines, offering tables, altars, and ritual vessels, indicating that </w:t>
      </w:r>
      <w:proofErr w:type="spellStart"/>
      <w:r>
        <w:t>Phourni</w:t>
      </w:r>
      <w:proofErr w:type="spellEnd"/>
      <w:r>
        <w:t xml:space="preserve"> functioned as both a burial ground and a ceremonial precinct.</w:t>
      </w:r>
    </w:p>
    <w:p w14:paraId="6C64D2CA" w14:textId="77E569B9" w:rsidR="005870F8" w:rsidRDefault="005870F8" w:rsidP="005870F8">
      <w:r>
        <w:t xml:space="preserve">The architecture and assemblages suggest repeated ritual activity over centuries, including processional pathways, structured depositions, and spaces that may have functioned as loci for seasonal rites or ancestor veneration. In this environment, objects like the </w:t>
      </w:r>
      <w:proofErr w:type="spellStart"/>
      <w:r>
        <w:t>kernos</w:t>
      </w:r>
      <w:proofErr w:type="spellEnd"/>
      <w:r>
        <w:t xml:space="preserve"> would not have been marginal or incidental; they were active components in the choreography of ritual. Their placement, use, and reuse would have contributed to the social memory and identity of the community, linking the living and the dead in cycles of remembrance and seasonal renewal.</w:t>
      </w:r>
    </w:p>
    <w:p w14:paraId="1BE51AEB" w14:textId="4D1F8F0B" w:rsidR="005870F8" w:rsidRDefault="005870F8" w:rsidP="00A46EFC">
      <w:pPr>
        <w:ind w:firstLine="720"/>
      </w:pPr>
      <w:proofErr w:type="spellStart"/>
      <w:r>
        <w:t>Kernoi</w:t>
      </w:r>
      <w:proofErr w:type="spellEnd"/>
      <w:r>
        <w:t xml:space="preserve"> — vessels with multiple compartments — are documented in several Bronze Age Aegean contexts. The most famous is the stone </w:t>
      </w:r>
      <w:proofErr w:type="spellStart"/>
      <w:r>
        <w:t>kernos</w:t>
      </w:r>
      <w:proofErr w:type="spellEnd"/>
      <w:r>
        <w:t xml:space="preserve"> at Mallia, a monumentally scaled offering table with dozens of carved depressions.</w:t>
      </w:r>
      <w:r>
        <w:rPr>
          <w:rStyle w:val="FootnoteReference"/>
        </w:rPr>
        <w:footnoteReference w:id="9"/>
      </w:r>
      <w:r>
        <w:t xml:space="preserve"> Unlike ceramic </w:t>
      </w:r>
      <w:proofErr w:type="spellStart"/>
      <w:r>
        <w:t>kernoi</w:t>
      </w:r>
      <w:proofErr w:type="spellEnd"/>
      <w:r>
        <w:t>, which are portable and relatively small, the Mallia example is fixed and likely served in palace</w:t>
      </w:r>
      <w:r>
        <w:rPr>
          <w:rFonts w:ascii="Cambria Math" w:hAnsi="Cambria Math" w:cs="Cambria Math"/>
        </w:rPr>
        <w:t>‑</w:t>
      </w:r>
      <w:r>
        <w:t xml:space="preserve">courtyard or shrine contexts. Ceramic </w:t>
      </w:r>
      <w:proofErr w:type="spellStart"/>
      <w:r>
        <w:t>kernoi</w:t>
      </w:r>
      <w:proofErr w:type="spellEnd"/>
      <w:r>
        <w:t xml:space="preserve"> are also known at Knossos, Phaistos, and </w:t>
      </w:r>
      <w:proofErr w:type="spellStart"/>
      <w:r>
        <w:t>Gournia</w:t>
      </w:r>
      <w:proofErr w:type="spellEnd"/>
      <w:r>
        <w:t>, where they are associated with sanctuaries and peak sanctuary activity.</w:t>
      </w:r>
      <w:r>
        <w:rPr>
          <w:rStyle w:val="FootnoteReference"/>
        </w:rPr>
        <w:footnoteReference w:id="10"/>
      </w:r>
    </w:p>
    <w:p w14:paraId="3F4662FE" w14:textId="77777777" w:rsidR="005870F8" w:rsidRDefault="005870F8" w:rsidP="005870F8">
      <w:r>
        <w:t xml:space="preserve">Despite variation in scale and material, </w:t>
      </w:r>
      <w:proofErr w:type="spellStart"/>
      <w:r>
        <w:t>kernoi</w:t>
      </w:r>
      <w:proofErr w:type="spellEnd"/>
      <w:r>
        <w:t xml:space="preserve"> share a spatial logic of segmentation. Their compartments allow the simultaneous placement of multiple substances — liquids, grains, flowers, or incense — enabling complex offering sequences involving parallel or sequential acts. In this respect, the </w:t>
      </w:r>
      <w:proofErr w:type="spellStart"/>
      <w:r>
        <w:t>kernos</w:t>
      </w:r>
      <w:proofErr w:type="spellEnd"/>
      <w:r>
        <w:t xml:space="preserve"> functions as both a container and an indexical organiser of ritual performance. Its presence at </w:t>
      </w:r>
      <w:proofErr w:type="spellStart"/>
      <w:r>
        <w:t>Archanes</w:t>
      </w:r>
      <w:proofErr w:type="spellEnd"/>
      <w:r>
        <w:t xml:space="preserve"> aligns with a pan</w:t>
      </w:r>
      <w:r>
        <w:rPr>
          <w:rFonts w:ascii="Cambria Math" w:hAnsi="Cambria Math" w:cs="Cambria Math"/>
        </w:rPr>
        <w:t>‑</w:t>
      </w:r>
      <w:r>
        <w:t>Cretan religious idiom where segmented vessels facilitate multi</w:t>
      </w:r>
      <w:r>
        <w:rPr>
          <w:rFonts w:ascii="Cambria Math" w:hAnsi="Cambria Math" w:cs="Cambria Math"/>
        </w:rPr>
        <w:t>‑</w:t>
      </w:r>
      <w:r>
        <w:t>stage ritual action, communal participation, and sensory engagement.</w:t>
      </w:r>
    </w:p>
    <w:p w14:paraId="0A5077E7" w14:textId="77777777" w:rsidR="005870F8" w:rsidRDefault="005870F8" w:rsidP="005870F8"/>
    <w:p w14:paraId="1A84F61B" w14:textId="5F8D826D" w:rsidR="005870F8" w:rsidRDefault="005870F8" w:rsidP="00A46EFC">
      <w:pPr>
        <w:ind w:firstLine="720"/>
      </w:pPr>
      <w:r>
        <w:t>Paul Connerton emphasises that in cultures without extensive textual systems, memory is preserved through embodied practice.</w:t>
      </w:r>
      <w:r>
        <w:rPr>
          <w:rStyle w:val="FootnoteReference"/>
        </w:rPr>
        <w:footnoteReference w:id="11"/>
      </w:r>
      <w:r>
        <w:t xml:space="preserve"> Ritual choreography — repeated sequences of movement, gesture, and engagement with objects — corporally encodes cultural knowledge. The </w:t>
      </w:r>
      <w:proofErr w:type="spellStart"/>
      <w:r>
        <w:t>kernos</w:t>
      </w:r>
      <w:proofErr w:type="spellEnd"/>
      <w:r>
        <w:t xml:space="preserve"> works as a mnemonic device in this regard: its segmentation prescribes a sequence of acts that participants must perform in a defined order. This instituted order becomes bodily memory, enabling continuity of tradition without written records.</w:t>
      </w:r>
    </w:p>
    <w:p w14:paraId="275CD9DB" w14:textId="300A0793" w:rsidR="005870F8" w:rsidRDefault="005870F8" w:rsidP="005870F8">
      <w:r>
        <w:t>The act of moving around the vessel, engaging with each cup in turn, enacts a ritual script that is internalised through repeated performance. Over time, this embodied script becomes social memory — a shared rhythm of behaviour that sustains cosmological and communal frameworks.</w:t>
      </w:r>
    </w:p>
    <w:p w14:paraId="18E96C01" w14:textId="52D18143" w:rsidR="005870F8" w:rsidRDefault="005870F8" w:rsidP="00A46EFC">
      <w:pPr>
        <w:ind w:firstLine="720"/>
      </w:pPr>
      <w:r>
        <w:lastRenderedPageBreak/>
        <w:t>Catherine Bell’s work on ritualisation highlights how certain practices and objects are marked as distinct from ordinary behaviour, thereby shaping social structures and authority.</w:t>
      </w:r>
      <w:r>
        <w:rPr>
          <w:rStyle w:val="FootnoteReference"/>
        </w:rPr>
        <w:footnoteReference w:id="12"/>
      </w:r>
      <w:r>
        <w:t xml:space="preserve"> </w:t>
      </w:r>
      <w:r w:rsidR="00A46EFC">
        <w:t>T</w:t>
      </w:r>
      <w:r>
        <w:t xml:space="preserve">he </w:t>
      </w:r>
      <w:proofErr w:type="spellStart"/>
      <w:r>
        <w:t>kernos</w:t>
      </w:r>
      <w:proofErr w:type="spellEnd"/>
      <w:r>
        <w:t xml:space="preserve"> achieves this by virtue of its non</w:t>
      </w:r>
      <w:r>
        <w:rPr>
          <w:rFonts w:ascii="Cambria Math" w:hAnsi="Cambria Math" w:cs="Cambria Math"/>
        </w:rPr>
        <w:t>‑</w:t>
      </w:r>
      <w:r>
        <w:t>utilitarian form. It cannot serve domestic functions; it is relational, interactive, and defined by a sequence of actions that are distinct from daily life.</w:t>
      </w:r>
    </w:p>
    <w:p w14:paraId="3B062815" w14:textId="2A203124" w:rsidR="005870F8" w:rsidRDefault="005870F8" w:rsidP="005870F8">
      <w:r>
        <w:t xml:space="preserve">Moreover, the correct use of the </w:t>
      </w:r>
      <w:proofErr w:type="spellStart"/>
      <w:r>
        <w:t>kernos</w:t>
      </w:r>
      <w:proofErr w:type="spellEnd"/>
      <w:r>
        <w:t xml:space="preserve"> likely required specialised knowledge — which cup held which substance, in what order offerings were made, and how participants coordinated movement and sound. This procedural knowledge would not have been universally shared, but rather controlled and enacted by those initiated into ritual roles. In this way, the </w:t>
      </w:r>
      <w:proofErr w:type="spellStart"/>
      <w:r>
        <w:t>kernos</w:t>
      </w:r>
      <w:proofErr w:type="spellEnd"/>
      <w:r>
        <w:t xml:space="preserve"> serves as a vector of religious authority, structuring both action and access.</w:t>
      </w:r>
    </w:p>
    <w:p w14:paraId="08BBD413" w14:textId="4A58D63C" w:rsidR="005870F8" w:rsidRDefault="005870F8" w:rsidP="00A46EFC">
      <w:pPr>
        <w:ind w:firstLine="720"/>
      </w:pPr>
      <w:r>
        <w:t>Yannis Hamilakis’s sensory approach to archaeology emphasises the multisensory nature of ritual: sight, sound, touch, smell, and embodied movement all contribute to the affective experience of sacred practice.</w:t>
      </w:r>
      <w:r w:rsidR="000B3485">
        <w:rPr>
          <w:rStyle w:val="FootnoteReference"/>
        </w:rPr>
        <w:footnoteReference w:id="13"/>
      </w:r>
      <w:r>
        <w:t xml:space="preserve"> The </w:t>
      </w:r>
      <w:proofErr w:type="spellStart"/>
      <w:r>
        <w:t>kernos</w:t>
      </w:r>
      <w:proofErr w:type="spellEnd"/>
      <w:r>
        <w:t xml:space="preserve"> engages multiple senses simultaneously: the smooth coolness of terracotta, the visual symmetry of its cups, the smell of wine or oil, and the sound of liquid pouring from one vessel into another.</w:t>
      </w:r>
    </w:p>
    <w:p w14:paraId="07DB9E7F" w14:textId="52E8054D" w:rsidR="005870F8" w:rsidRDefault="005870F8" w:rsidP="005870F8">
      <w:r>
        <w:t xml:space="preserve">These sensory experiences create a ritual atmosphere that is both immersive and transformative. The repetition of action around the </w:t>
      </w:r>
      <w:proofErr w:type="spellStart"/>
      <w:r>
        <w:t>kernos</w:t>
      </w:r>
      <w:proofErr w:type="spellEnd"/>
      <w:r>
        <w:t xml:space="preserve"> may have induced altered states of awareness or focused concentration, reinforcing the sacred nature of the event. In this sense, the </w:t>
      </w:r>
      <w:proofErr w:type="spellStart"/>
      <w:r>
        <w:t>kernos</w:t>
      </w:r>
      <w:proofErr w:type="spellEnd"/>
      <w:r>
        <w:t xml:space="preserve"> is not simply a vessel but a sensory mediator, looping perception and meaning in ritual performance.</w:t>
      </w:r>
    </w:p>
    <w:p w14:paraId="5B37C494" w14:textId="4EBF6B44" w:rsidR="005870F8" w:rsidRDefault="005870F8" w:rsidP="00A46EFC">
      <w:pPr>
        <w:ind w:firstLine="720"/>
      </w:pPr>
      <w:r>
        <w:t>Alfred Gell’s theory of art as agency proposes that objects can participate in networks of action, influencing behaviour and perception without possessing consciousness.</w:t>
      </w:r>
      <w:r w:rsidR="000B3485">
        <w:rPr>
          <w:rStyle w:val="FootnoteReference"/>
        </w:rPr>
        <w:footnoteReference w:id="14"/>
      </w:r>
      <w:r>
        <w:t xml:space="preserve"> The </w:t>
      </w:r>
      <w:proofErr w:type="spellStart"/>
      <w:r>
        <w:t>kernos</w:t>
      </w:r>
      <w:proofErr w:type="spellEnd"/>
      <w:r>
        <w:t>, through its design and use, structures ritual behaviour in ways that exceed human intention alone: it dictates movement, sequencing, and focus.</w:t>
      </w:r>
    </w:p>
    <w:p w14:paraId="057D48B9" w14:textId="77777777" w:rsidR="005870F8" w:rsidRDefault="005870F8" w:rsidP="005870F8">
      <w:r>
        <w:t xml:space="preserve">Viewed through this lens, the </w:t>
      </w:r>
      <w:proofErr w:type="spellStart"/>
      <w:r>
        <w:t>kernos</w:t>
      </w:r>
      <w:proofErr w:type="spellEnd"/>
      <w:r>
        <w:t xml:space="preserve"> functions as part of a distributed cognitive system, where ritual knowledge is not stored solely in human minds but distributed across objects, spaces, and actions. The vessel thus becomes a catalyst of thought and behaviour, shaping ritual participation as much as recording or expressing belief.</w:t>
      </w:r>
    </w:p>
    <w:p w14:paraId="6E1C511C" w14:textId="77777777" w:rsidR="005870F8" w:rsidRDefault="005870F8" w:rsidP="005870F8"/>
    <w:p w14:paraId="46569413" w14:textId="2082FA7A" w:rsidR="005870F8" w:rsidRDefault="005870F8" w:rsidP="00A46EFC">
      <w:pPr>
        <w:ind w:firstLine="720"/>
      </w:pPr>
      <w:r>
        <w:t xml:space="preserve">The </w:t>
      </w:r>
      <w:proofErr w:type="spellStart"/>
      <w:r>
        <w:t>Archanes</w:t>
      </w:r>
      <w:proofErr w:type="spellEnd"/>
      <w:r>
        <w:t xml:space="preserve"> </w:t>
      </w:r>
      <w:proofErr w:type="spellStart"/>
      <w:r>
        <w:t>kernos</w:t>
      </w:r>
      <w:proofErr w:type="spellEnd"/>
      <w:r>
        <w:t xml:space="preserve"> (HM 19594 / AMH 144845) exemplifies how religion in the Bronze Age Aegean was done rather than described. Its segmented form structures sequence, prompts embodied memory, and engages the senses. Rather than acting as a passive container, the </w:t>
      </w:r>
      <w:proofErr w:type="spellStart"/>
      <w:r>
        <w:t>kernos</w:t>
      </w:r>
      <w:proofErr w:type="spellEnd"/>
      <w:r>
        <w:t xml:space="preserve"> functions as a ritual tech­nology, organising sacred action in communal and performative ways.</w:t>
      </w:r>
    </w:p>
    <w:p w14:paraId="5464D5C2" w14:textId="5BCFEDF0" w:rsidR="005870F8" w:rsidRDefault="005870F8" w:rsidP="005870F8">
      <w:r>
        <w:t xml:space="preserve">Situated within the funerary and ritual landscape of </w:t>
      </w:r>
      <w:proofErr w:type="spellStart"/>
      <w:r>
        <w:t>Archanes</w:t>
      </w:r>
      <w:proofErr w:type="spellEnd"/>
      <w:r>
        <w:t>–</w:t>
      </w:r>
      <w:proofErr w:type="spellStart"/>
      <w:r>
        <w:t>Phourni</w:t>
      </w:r>
      <w:proofErr w:type="spellEnd"/>
      <w:r>
        <w:t xml:space="preserve">, and resonating with broader Cretan </w:t>
      </w:r>
      <w:proofErr w:type="spellStart"/>
      <w:r>
        <w:t>kernoi</w:t>
      </w:r>
      <w:proofErr w:type="spellEnd"/>
      <w:r>
        <w:t xml:space="preserve"> traditions, the object shows how material culture participates in the creation and maintenance of religious meaning. Through theoretical lenses of embodied memory, ritualisation, sensory archaeology, and object agency, the </w:t>
      </w:r>
      <w:proofErr w:type="spellStart"/>
      <w:r>
        <w:t>kernos</w:t>
      </w:r>
      <w:proofErr w:type="spellEnd"/>
      <w:r>
        <w:t xml:space="preserve"> can be seen as a node of ritual interaction — a material nexus where the sacred is enacted through bodies, substances, and space.</w:t>
      </w:r>
    </w:p>
    <w:p w14:paraId="3B694719" w14:textId="77777777" w:rsidR="005870F8" w:rsidRDefault="005870F8" w:rsidP="005870F8">
      <w:r>
        <w:lastRenderedPageBreak/>
        <w:t xml:space="preserve">Ultimately, the </w:t>
      </w:r>
      <w:proofErr w:type="spellStart"/>
      <w:r>
        <w:t>Archanes</w:t>
      </w:r>
      <w:proofErr w:type="spellEnd"/>
      <w:r>
        <w:t xml:space="preserve"> </w:t>
      </w:r>
      <w:proofErr w:type="spellStart"/>
      <w:r>
        <w:t>kernos</w:t>
      </w:r>
      <w:proofErr w:type="spellEnd"/>
      <w:r>
        <w:t xml:space="preserve"> reminds us that ancient religion was not primarily conceptualised in texts or images, but materialised through action and objecthood, shaping communal identity, memory, and cosmology in ways that endure archaeologically and theoretically.</w:t>
      </w:r>
    </w:p>
    <w:p w14:paraId="50D96FD5" w14:textId="77777777" w:rsidR="005870F8" w:rsidRDefault="005870F8" w:rsidP="005870F8"/>
    <w:p w14:paraId="34EC0F62" w14:textId="5F16E450" w:rsidR="00A46EFC" w:rsidRDefault="00A46EFC">
      <w:pPr>
        <w:jc w:val="left"/>
      </w:pPr>
      <w:r>
        <w:br w:type="page"/>
      </w:r>
    </w:p>
    <w:p w14:paraId="0C41B65E" w14:textId="41F54E40" w:rsidR="00A46EFC" w:rsidRDefault="00A46EFC" w:rsidP="00A46EFC">
      <w:pPr>
        <w:pStyle w:val="Heading1"/>
      </w:pPr>
      <w:r>
        <w:lastRenderedPageBreak/>
        <w:t>Bibliography</w:t>
      </w:r>
    </w:p>
    <w:p w14:paraId="3B999587" w14:textId="524A364D" w:rsidR="00A46EFC" w:rsidRDefault="00A46EFC" w:rsidP="00A46EFC">
      <w:r>
        <w:t xml:space="preserve">Bell, C. (1992) </w:t>
      </w:r>
      <w:r w:rsidRPr="00A46EFC">
        <w:rPr>
          <w:i/>
          <w:iCs/>
        </w:rPr>
        <w:t>Ritual Theory, Ritual Practice</w:t>
      </w:r>
      <w:r>
        <w:t>. Oxford: Oxford University Press.</w:t>
      </w:r>
    </w:p>
    <w:p w14:paraId="35A89478" w14:textId="7F253AB5" w:rsidR="00A46EFC" w:rsidRDefault="00A46EFC" w:rsidP="00A46EFC">
      <w:r>
        <w:t xml:space="preserve">Connerton, P. (1989) </w:t>
      </w:r>
      <w:r w:rsidRPr="00A46EFC">
        <w:rPr>
          <w:i/>
          <w:iCs/>
        </w:rPr>
        <w:t>How Societies Remember</w:t>
      </w:r>
      <w:r>
        <w:t>. Cambridge: Cambridge University Press.</w:t>
      </w:r>
    </w:p>
    <w:p w14:paraId="0978610E" w14:textId="38506451" w:rsidR="00A46EFC" w:rsidRDefault="00A46EFC" w:rsidP="00A46EFC">
      <w:r>
        <w:t xml:space="preserve">Gell, A. (1998) </w:t>
      </w:r>
      <w:r w:rsidRPr="00A46EFC">
        <w:rPr>
          <w:i/>
          <w:iCs/>
        </w:rPr>
        <w:t>Art and Agency: An Anthropological Theory</w:t>
      </w:r>
      <w:r>
        <w:t>. Oxford: Oxford University Press.</w:t>
      </w:r>
    </w:p>
    <w:p w14:paraId="4FBDAD0E" w14:textId="33F42586" w:rsidR="00A46EFC" w:rsidRDefault="00A46EFC" w:rsidP="00A46EFC">
      <w:r>
        <w:t xml:space="preserve">Gesell, G.C. (1985) </w:t>
      </w:r>
      <w:r w:rsidRPr="00A46EFC">
        <w:rPr>
          <w:i/>
          <w:iCs/>
        </w:rPr>
        <w:t>Town, Palace and House Cult in Minoan Crete</w:t>
      </w:r>
      <w:r>
        <w:t>. Göteborg: Åström.</w:t>
      </w:r>
    </w:p>
    <w:p w14:paraId="5D80E82B" w14:textId="06D852FB" w:rsidR="00A46EFC" w:rsidRDefault="00A46EFC" w:rsidP="00A46EFC">
      <w:r>
        <w:t xml:space="preserve">Hägg, R. (ed.) (1990) </w:t>
      </w:r>
      <w:r w:rsidRPr="00A46EFC">
        <w:rPr>
          <w:i/>
          <w:iCs/>
        </w:rPr>
        <w:t>Ritual and Cult in Crete</w:t>
      </w:r>
      <w:r>
        <w:t>. Stockholm: Swedish Institute at Athens.</w:t>
      </w:r>
    </w:p>
    <w:p w14:paraId="7C5660D0" w14:textId="05AE329D" w:rsidR="00A46EFC" w:rsidRDefault="00A46EFC" w:rsidP="00A46EFC">
      <w:r>
        <w:t>Hamilakis, Y. (1999</w:t>
      </w:r>
      <w:r w:rsidRPr="00A46EFC">
        <w:rPr>
          <w:i/>
          <w:iCs/>
        </w:rPr>
        <w:t>) ‘Food Technologies/Technologies of the Body’</w:t>
      </w:r>
      <w:r>
        <w:t>, World Archaeology, 31(1), pp. 38–58.</w:t>
      </w:r>
    </w:p>
    <w:p w14:paraId="09D99787" w14:textId="04120E41" w:rsidR="00A46EFC" w:rsidRDefault="00A46EFC" w:rsidP="00A46EFC">
      <w:proofErr w:type="spellStart"/>
      <w:r>
        <w:t>Marinatos</w:t>
      </w:r>
      <w:proofErr w:type="spellEnd"/>
      <w:r>
        <w:t xml:space="preserve">, N. (1993) </w:t>
      </w:r>
      <w:r w:rsidRPr="00A46EFC">
        <w:rPr>
          <w:i/>
          <w:iCs/>
        </w:rPr>
        <w:t>Minoan Religion: Ritual, Image and Symbol</w:t>
      </w:r>
      <w:r>
        <w:t>. Columbia, SC: University of South Carolina Press.</w:t>
      </w:r>
    </w:p>
    <w:p w14:paraId="62FA2245" w14:textId="43B984C4" w:rsidR="00A46EFC" w:rsidRDefault="00A46EFC" w:rsidP="00A46EFC">
      <w:proofErr w:type="spellStart"/>
      <w:r>
        <w:t>Marinatos</w:t>
      </w:r>
      <w:proofErr w:type="spellEnd"/>
      <w:r>
        <w:t xml:space="preserve">, N. (2010) </w:t>
      </w:r>
      <w:r w:rsidRPr="00A46EFC">
        <w:rPr>
          <w:i/>
          <w:iCs/>
        </w:rPr>
        <w:t>Minoan Kingship and the Solar Goddess</w:t>
      </w:r>
      <w:r>
        <w:t>. Urbana: University of Illinois Press.</w:t>
      </w:r>
    </w:p>
    <w:p w14:paraId="27738754" w14:textId="3F273309" w:rsidR="00A46EFC" w:rsidRDefault="00A46EFC" w:rsidP="00A46EFC">
      <w:r>
        <w:t xml:space="preserve">Nikolaidou, M. (2016) </w:t>
      </w:r>
      <w:r w:rsidRPr="00A46EFC">
        <w:rPr>
          <w:i/>
          <w:iCs/>
        </w:rPr>
        <w:t>‘Materialised Myth and Ritualised Realities: Religious Symbolism on Minoan Pottery’, in Alram-Stern, E. et al. (eds) Metaphysis: Ritual, Myth and Symbolism in the Aegean Bronze Age</w:t>
      </w:r>
      <w:r>
        <w:t>. Leuven: Peeters, pp. 97–106.</w:t>
      </w:r>
    </w:p>
    <w:p w14:paraId="3507FE5F" w14:textId="5DDDC652" w:rsidR="00A46EFC" w:rsidRDefault="00A46EFC" w:rsidP="00A46EFC">
      <w:proofErr w:type="spellStart"/>
      <w:r>
        <w:t>Relaki</w:t>
      </w:r>
      <w:proofErr w:type="spellEnd"/>
      <w:r>
        <w:t xml:space="preserve">, M. (2004) </w:t>
      </w:r>
      <w:r w:rsidRPr="00A46EFC">
        <w:rPr>
          <w:i/>
          <w:iCs/>
        </w:rPr>
        <w:t xml:space="preserve">‘Constructing a Region: The Contested Landscapes of </w:t>
      </w:r>
      <w:proofErr w:type="spellStart"/>
      <w:r w:rsidRPr="00A46EFC">
        <w:rPr>
          <w:i/>
          <w:iCs/>
        </w:rPr>
        <w:t>Prepalatial</w:t>
      </w:r>
      <w:proofErr w:type="spellEnd"/>
      <w:r w:rsidRPr="00A46EFC">
        <w:rPr>
          <w:i/>
          <w:iCs/>
        </w:rPr>
        <w:t xml:space="preserve"> </w:t>
      </w:r>
      <w:proofErr w:type="spellStart"/>
      <w:r w:rsidRPr="00A46EFC">
        <w:rPr>
          <w:i/>
          <w:iCs/>
        </w:rPr>
        <w:t>Mesara</w:t>
      </w:r>
      <w:proofErr w:type="spellEnd"/>
      <w:r w:rsidRPr="00A46EFC">
        <w:rPr>
          <w:i/>
          <w:iCs/>
        </w:rPr>
        <w:t>’, in Barrett, J. and Halstead, P. (eds) The Emergence of Civilisation Revisited</w:t>
      </w:r>
      <w:r>
        <w:t>. Oxford: Oxbow Books, pp. 111–125.</w:t>
      </w:r>
    </w:p>
    <w:p w14:paraId="5ED6FBE3" w14:textId="0EB660DA" w:rsidR="00A46EFC" w:rsidRPr="00A46EFC" w:rsidRDefault="00A46EFC" w:rsidP="00A46EFC">
      <w:proofErr w:type="spellStart"/>
      <w:r>
        <w:t>Sakellarakis</w:t>
      </w:r>
      <w:proofErr w:type="spellEnd"/>
      <w:r>
        <w:t xml:space="preserve">, Y. and </w:t>
      </w:r>
      <w:proofErr w:type="spellStart"/>
      <w:r>
        <w:t>Sapouna-Sakellaraki</w:t>
      </w:r>
      <w:proofErr w:type="spellEnd"/>
      <w:r>
        <w:t xml:space="preserve">, E. (1997) </w:t>
      </w:r>
      <w:proofErr w:type="spellStart"/>
      <w:r w:rsidRPr="00A46EFC">
        <w:rPr>
          <w:i/>
          <w:iCs/>
        </w:rPr>
        <w:t>Archanes</w:t>
      </w:r>
      <w:proofErr w:type="spellEnd"/>
      <w:r w:rsidRPr="00A46EFC">
        <w:rPr>
          <w:i/>
          <w:iCs/>
        </w:rPr>
        <w:t>: Minoan Crete in a New Light</w:t>
      </w:r>
      <w:r>
        <w:t>. Athens: Ammos Publications.</w:t>
      </w:r>
    </w:p>
    <w:sectPr w:rsidR="00A46EFC" w:rsidRPr="00A46E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5B5E9" w14:textId="77777777" w:rsidR="00723F21" w:rsidRDefault="00723F21" w:rsidP="005870F8">
      <w:pPr>
        <w:spacing w:after="0" w:line="240" w:lineRule="auto"/>
      </w:pPr>
      <w:r>
        <w:separator/>
      </w:r>
    </w:p>
  </w:endnote>
  <w:endnote w:type="continuationSeparator" w:id="0">
    <w:p w14:paraId="349040B8" w14:textId="77777777" w:rsidR="00723F21" w:rsidRDefault="00723F21" w:rsidP="00587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73310" w14:textId="77777777" w:rsidR="00723F21" w:rsidRDefault="00723F21" w:rsidP="005870F8">
      <w:pPr>
        <w:spacing w:after="0" w:line="240" w:lineRule="auto"/>
      </w:pPr>
      <w:r>
        <w:separator/>
      </w:r>
    </w:p>
  </w:footnote>
  <w:footnote w:type="continuationSeparator" w:id="0">
    <w:p w14:paraId="52BD4184" w14:textId="77777777" w:rsidR="00723F21" w:rsidRDefault="00723F21" w:rsidP="005870F8">
      <w:pPr>
        <w:spacing w:after="0" w:line="240" w:lineRule="auto"/>
      </w:pPr>
      <w:r>
        <w:continuationSeparator/>
      </w:r>
    </w:p>
  </w:footnote>
  <w:footnote w:id="1">
    <w:p w14:paraId="517F4062" w14:textId="4C2C2F26" w:rsidR="005870F8" w:rsidRPr="00A46EFC" w:rsidRDefault="005870F8">
      <w:pPr>
        <w:pStyle w:val="FootnoteText"/>
        <w:rPr>
          <w:i/>
          <w:iCs/>
        </w:rPr>
      </w:pPr>
      <w:r w:rsidRPr="00A46EFC">
        <w:rPr>
          <w:rStyle w:val="FootnoteReference"/>
          <w:i/>
          <w:iCs/>
        </w:rPr>
        <w:footnoteRef/>
      </w:r>
      <w:r w:rsidRPr="00A46EFC">
        <w:rPr>
          <w:i/>
          <w:iCs/>
        </w:rPr>
        <w:t xml:space="preserve"> </w:t>
      </w:r>
      <w:r w:rsidRPr="00A46EFC">
        <w:rPr>
          <w:i/>
          <w:iCs/>
        </w:rPr>
        <w:t>Nikolaidou 2016, p. 101</w:t>
      </w:r>
    </w:p>
  </w:footnote>
  <w:footnote w:id="2">
    <w:p w14:paraId="5CFD9A00" w14:textId="200AA6B0" w:rsidR="005870F8" w:rsidRPr="00A46EFC" w:rsidRDefault="005870F8">
      <w:pPr>
        <w:pStyle w:val="FootnoteText"/>
        <w:rPr>
          <w:i/>
          <w:iCs/>
        </w:rPr>
      </w:pPr>
      <w:r w:rsidRPr="00A46EFC">
        <w:rPr>
          <w:rStyle w:val="FootnoteReference"/>
          <w:i/>
          <w:iCs/>
        </w:rPr>
        <w:footnoteRef/>
      </w:r>
      <w:r w:rsidRPr="00A46EFC">
        <w:rPr>
          <w:i/>
          <w:iCs/>
        </w:rPr>
        <w:t xml:space="preserve"> </w:t>
      </w:r>
      <w:proofErr w:type="spellStart"/>
      <w:r w:rsidRPr="00A46EFC">
        <w:rPr>
          <w:i/>
          <w:iCs/>
        </w:rPr>
        <w:t>Sakellarakis</w:t>
      </w:r>
      <w:proofErr w:type="spellEnd"/>
      <w:r w:rsidRPr="00A46EFC">
        <w:rPr>
          <w:i/>
          <w:iCs/>
        </w:rPr>
        <w:t xml:space="preserve"> and </w:t>
      </w:r>
      <w:proofErr w:type="spellStart"/>
      <w:r w:rsidRPr="00A46EFC">
        <w:rPr>
          <w:i/>
          <w:iCs/>
        </w:rPr>
        <w:t>Sapouna</w:t>
      </w:r>
      <w:r w:rsidRPr="00A46EFC">
        <w:rPr>
          <w:rFonts w:ascii="Cambria Math" w:hAnsi="Cambria Math" w:cs="Cambria Math"/>
          <w:i/>
          <w:iCs/>
        </w:rPr>
        <w:t>‑</w:t>
      </w:r>
      <w:r w:rsidRPr="00A46EFC">
        <w:rPr>
          <w:i/>
          <w:iCs/>
        </w:rPr>
        <w:t>Sakellaraki</w:t>
      </w:r>
      <w:proofErr w:type="spellEnd"/>
      <w:r w:rsidRPr="00A46EFC">
        <w:rPr>
          <w:i/>
          <w:iCs/>
        </w:rPr>
        <w:t xml:space="preserve"> 1997, pp. 121</w:t>
      </w:r>
      <w:r w:rsidRPr="00A46EFC">
        <w:rPr>
          <w:rFonts w:ascii="Aptos" w:hAnsi="Aptos" w:cs="Aptos"/>
          <w:i/>
          <w:iCs/>
        </w:rPr>
        <w:t>–</w:t>
      </w:r>
      <w:r w:rsidRPr="00A46EFC">
        <w:rPr>
          <w:i/>
          <w:iCs/>
        </w:rPr>
        <w:t>148</w:t>
      </w:r>
    </w:p>
  </w:footnote>
  <w:footnote w:id="3">
    <w:p w14:paraId="09C7D464" w14:textId="2AB66943" w:rsidR="005870F8" w:rsidRDefault="005870F8">
      <w:pPr>
        <w:pStyle w:val="FootnoteText"/>
      </w:pPr>
      <w:r w:rsidRPr="00A46EFC">
        <w:rPr>
          <w:rStyle w:val="FootnoteReference"/>
          <w:i/>
          <w:iCs/>
        </w:rPr>
        <w:footnoteRef/>
      </w:r>
      <w:r w:rsidRPr="00A46EFC">
        <w:rPr>
          <w:i/>
          <w:iCs/>
        </w:rPr>
        <w:t xml:space="preserve"> </w:t>
      </w:r>
      <w:proofErr w:type="spellStart"/>
      <w:r w:rsidRPr="00A46EFC">
        <w:rPr>
          <w:i/>
          <w:iCs/>
        </w:rPr>
        <w:t>Sakellarakis</w:t>
      </w:r>
      <w:proofErr w:type="spellEnd"/>
      <w:r w:rsidRPr="00A46EFC">
        <w:rPr>
          <w:i/>
          <w:iCs/>
        </w:rPr>
        <w:t xml:space="preserve"> and </w:t>
      </w:r>
      <w:proofErr w:type="spellStart"/>
      <w:r w:rsidRPr="00A46EFC">
        <w:rPr>
          <w:i/>
          <w:iCs/>
        </w:rPr>
        <w:t>Sapouna</w:t>
      </w:r>
      <w:r w:rsidRPr="00A46EFC">
        <w:rPr>
          <w:rFonts w:ascii="Cambria Math" w:hAnsi="Cambria Math" w:cs="Cambria Math"/>
          <w:i/>
          <w:iCs/>
        </w:rPr>
        <w:t>‑</w:t>
      </w:r>
      <w:r w:rsidRPr="00A46EFC">
        <w:rPr>
          <w:i/>
          <w:iCs/>
        </w:rPr>
        <w:t>Sakellaraki</w:t>
      </w:r>
      <w:proofErr w:type="spellEnd"/>
      <w:r w:rsidRPr="00A46EFC">
        <w:rPr>
          <w:i/>
          <w:iCs/>
        </w:rPr>
        <w:t>, 1997, pp. 132</w:t>
      </w:r>
      <w:r w:rsidRPr="00A46EFC">
        <w:rPr>
          <w:rFonts w:ascii="Aptos" w:hAnsi="Aptos" w:cs="Aptos"/>
          <w:i/>
          <w:iCs/>
        </w:rPr>
        <w:t>–</w:t>
      </w:r>
      <w:r w:rsidRPr="00A46EFC">
        <w:rPr>
          <w:i/>
          <w:iCs/>
        </w:rPr>
        <w:t>136</w:t>
      </w:r>
    </w:p>
  </w:footnote>
  <w:footnote w:id="4">
    <w:p w14:paraId="3A2843BA" w14:textId="5D1E8A0D" w:rsidR="005870F8" w:rsidRPr="00A46EFC" w:rsidRDefault="005870F8">
      <w:pPr>
        <w:pStyle w:val="FootnoteText"/>
        <w:rPr>
          <w:i/>
          <w:iCs/>
        </w:rPr>
      </w:pPr>
      <w:r>
        <w:rPr>
          <w:rStyle w:val="FootnoteReference"/>
        </w:rPr>
        <w:footnoteRef/>
      </w:r>
      <w:r>
        <w:t xml:space="preserve"> </w:t>
      </w:r>
      <w:r w:rsidRPr="00A46EFC">
        <w:rPr>
          <w:i/>
          <w:iCs/>
        </w:rPr>
        <w:t>Nikolaidou, 2016, pp. 97–98</w:t>
      </w:r>
    </w:p>
  </w:footnote>
  <w:footnote w:id="5">
    <w:p w14:paraId="5E19F2F7" w14:textId="2087FD5A" w:rsidR="005870F8" w:rsidRPr="00A46EFC" w:rsidRDefault="005870F8">
      <w:pPr>
        <w:pStyle w:val="FootnoteText"/>
        <w:rPr>
          <w:i/>
          <w:iCs/>
        </w:rPr>
      </w:pPr>
      <w:r w:rsidRPr="00A46EFC">
        <w:rPr>
          <w:rStyle w:val="FootnoteReference"/>
          <w:i/>
          <w:iCs/>
        </w:rPr>
        <w:footnoteRef/>
      </w:r>
      <w:r w:rsidRPr="00A46EFC">
        <w:rPr>
          <w:i/>
          <w:iCs/>
        </w:rPr>
        <w:t xml:space="preserve"> </w:t>
      </w:r>
      <w:r w:rsidRPr="00A46EFC">
        <w:rPr>
          <w:i/>
          <w:iCs/>
        </w:rPr>
        <w:t>Gesell, 1985, pp. 98–101</w:t>
      </w:r>
    </w:p>
  </w:footnote>
  <w:footnote w:id="6">
    <w:p w14:paraId="04F0F2BC" w14:textId="7E06D900" w:rsidR="005870F8" w:rsidRDefault="005870F8">
      <w:pPr>
        <w:pStyle w:val="FootnoteText"/>
      </w:pPr>
      <w:r w:rsidRPr="00A46EFC">
        <w:rPr>
          <w:rStyle w:val="FootnoteReference"/>
          <w:i/>
          <w:iCs/>
        </w:rPr>
        <w:footnoteRef/>
      </w:r>
      <w:r w:rsidRPr="00A46EFC">
        <w:rPr>
          <w:i/>
          <w:iCs/>
        </w:rPr>
        <w:t xml:space="preserve"> </w:t>
      </w:r>
      <w:r w:rsidRPr="00A46EFC">
        <w:rPr>
          <w:i/>
          <w:iCs/>
        </w:rPr>
        <w:t>Hägg, 1990, pp. 25–27</w:t>
      </w:r>
    </w:p>
  </w:footnote>
  <w:footnote w:id="7">
    <w:p w14:paraId="586520ED" w14:textId="49740814" w:rsidR="005870F8" w:rsidRPr="00A46EFC" w:rsidRDefault="005870F8">
      <w:pPr>
        <w:pStyle w:val="FootnoteText"/>
        <w:rPr>
          <w:i/>
          <w:iCs/>
        </w:rPr>
      </w:pPr>
      <w:r>
        <w:rPr>
          <w:rStyle w:val="FootnoteReference"/>
        </w:rPr>
        <w:footnoteRef/>
      </w:r>
      <w:r>
        <w:t xml:space="preserve"> </w:t>
      </w:r>
      <w:proofErr w:type="spellStart"/>
      <w:r w:rsidRPr="00A46EFC">
        <w:rPr>
          <w:i/>
          <w:iCs/>
        </w:rPr>
        <w:t>Marinatos</w:t>
      </w:r>
      <w:proofErr w:type="spellEnd"/>
      <w:r w:rsidRPr="00A46EFC">
        <w:rPr>
          <w:i/>
          <w:iCs/>
        </w:rPr>
        <w:t>, 2010, pp. 87–89</w:t>
      </w:r>
    </w:p>
  </w:footnote>
  <w:footnote w:id="8">
    <w:p w14:paraId="5522452D" w14:textId="793E0D10" w:rsidR="005870F8" w:rsidRPr="00A46EFC" w:rsidRDefault="005870F8">
      <w:pPr>
        <w:pStyle w:val="FootnoteText"/>
        <w:rPr>
          <w:i/>
          <w:iCs/>
        </w:rPr>
      </w:pPr>
      <w:r w:rsidRPr="00A46EFC">
        <w:rPr>
          <w:rStyle w:val="FootnoteReference"/>
          <w:i/>
          <w:iCs/>
        </w:rPr>
        <w:footnoteRef/>
      </w:r>
      <w:r w:rsidRPr="00A46EFC">
        <w:rPr>
          <w:i/>
          <w:iCs/>
        </w:rPr>
        <w:t xml:space="preserve"> </w:t>
      </w:r>
      <w:proofErr w:type="spellStart"/>
      <w:r w:rsidRPr="00A46EFC">
        <w:rPr>
          <w:i/>
          <w:iCs/>
        </w:rPr>
        <w:t>Sakellarakis</w:t>
      </w:r>
      <w:proofErr w:type="spellEnd"/>
      <w:r w:rsidRPr="00A46EFC">
        <w:rPr>
          <w:i/>
          <w:iCs/>
        </w:rPr>
        <w:t xml:space="preserve"> and </w:t>
      </w:r>
      <w:proofErr w:type="spellStart"/>
      <w:r w:rsidRPr="00A46EFC">
        <w:rPr>
          <w:i/>
          <w:iCs/>
        </w:rPr>
        <w:t>Sapouna</w:t>
      </w:r>
      <w:r w:rsidRPr="00A46EFC">
        <w:rPr>
          <w:rFonts w:ascii="Cambria Math" w:hAnsi="Cambria Math" w:cs="Cambria Math"/>
          <w:i/>
          <w:iCs/>
        </w:rPr>
        <w:t>‑</w:t>
      </w:r>
      <w:r w:rsidRPr="00A46EFC">
        <w:rPr>
          <w:i/>
          <w:iCs/>
        </w:rPr>
        <w:t>Sakellaraki</w:t>
      </w:r>
      <w:proofErr w:type="spellEnd"/>
      <w:r w:rsidRPr="00A46EFC">
        <w:rPr>
          <w:i/>
          <w:iCs/>
        </w:rPr>
        <w:t>, 1997</w:t>
      </w:r>
    </w:p>
  </w:footnote>
  <w:footnote w:id="9">
    <w:p w14:paraId="00EF6E29" w14:textId="1C234C9E" w:rsidR="005870F8" w:rsidRDefault="005870F8">
      <w:pPr>
        <w:pStyle w:val="FootnoteText"/>
      </w:pPr>
      <w:r w:rsidRPr="00A46EFC">
        <w:rPr>
          <w:rStyle w:val="FootnoteReference"/>
          <w:i/>
          <w:iCs/>
        </w:rPr>
        <w:footnoteRef/>
      </w:r>
      <w:r w:rsidRPr="00A46EFC">
        <w:rPr>
          <w:i/>
          <w:iCs/>
        </w:rPr>
        <w:t xml:space="preserve"> </w:t>
      </w:r>
      <w:proofErr w:type="spellStart"/>
      <w:r w:rsidRPr="00A46EFC">
        <w:rPr>
          <w:i/>
          <w:iCs/>
        </w:rPr>
        <w:t>Relaki</w:t>
      </w:r>
      <w:proofErr w:type="spellEnd"/>
      <w:r w:rsidRPr="00A46EFC">
        <w:rPr>
          <w:i/>
          <w:iCs/>
        </w:rPr>
        <w:t>, 2004, pp. 111–113</w:t>
      </w:r>
    </w:p>
  </w:footnote>
  <w:footnote w:id="10">
    <w:p w14:paraId="12E31700" w14:textId="04A57F83" w:rsidR="005870F8" w:rsidRPr="00A46EFC" w:rsidRDefault="005870F8">
      <w:pPr>
        <w:pStyle w:val="FootnoteText"/>
        <w:rPr>
          <w:i/>
          <w:iCs/>
        </w:rPr>
      </w:pPr>
      <w:r>
        <w:rPr>
          <w:rStyle w:val="FootnoteReference"/>
        </w:rPr>
        <w:footnoteRef/>
      </w:r>
      <w:r>
        <w:t xml:space="preserve"> </w:t>
      </w:r>
      <w:proofErr w:type="spellStart"/>
      <w:r w:rsidRPr="00A46EFC">
        <w:rPr>
          <w:i/>
          <w:iCs/>
        </w:rPr>
        <w:t>Marinatos</w:t>
      </w:r>
      <w:proofErr w:type="spellEnd"/>
      <w:r w:rsidRPr="00A46EFC">
        <w:rPr>
          <w:i/>
          <w:iCs/>
        </w:rPr>
        <w:t>, 1993, pp. 35–42</w:t>
      </w:r>
    </w:p>
  </w:footnote>
  <w:footnote w:id="11">
    <w:p w14:paraId="50A07D18" w14:textId="04AF3F51" w:rsidR="005870F8" w:rsidRPr="00A46EFC" w:rsidRDefault="005870F8">
      <w:pPr>
        <w:pStyle w:val="FootnoteText"/>
        <w:rPr>
          <w:i/>
          <w:iCs/>
        </w:rPr>
      </w:pPr>
      <w:r w:rsidRPr="00A46EFC">
        <w:rPr>
          <w:rStyle w:val="FootnoteReference"/>
          <w:i/>
          <w:iCs/>
        </w:rPr>
        <w:footnoteRef/>
      </w:r>
      <w:r w:rsidRPr="00A46EFC">
        <w:rPr>
          <w:i/>
          <w:iCs/>
        </w:rPr>
        <w:t xml:space="preserve"> </w:t>
      </w:r>
      <w:r w:rsidR="00A46EFC" w:rsidRPr="00A46EFC">
        <w:rPr>
          <w:i/>
          <w:iCs/>
        </w:rPr>
        <w:t>Connerton, 1989, pp. 71–75</w:t>
      </w:r>
    </w:p>
  </w:footnote>
  <w:footnote w:id="12">
    <w:p w14:paraId="77F01BEB" w14:textId="4C34953F" w:rsidR="005870F8" w:rsidRDefault="005870F8">
      <w:pPr>
        <w:pStyle w:val="FootnoteText"/>
      </w:pPr>
      <w:r w:rsidRPr="00A46EFC">
        <w:rPr>
          <w:rStyle w:val="FootnoteReference"/>
          <w:i/>
          <w:iCs/>
        </w:rPr>
        <w:footnoteRef/>
      </w:r>
      <w:r w:rsidRPr="00A46EFC">
        <w:rPr>
          <w:i/>
          <w:iCs/>
        </w:rPr>
        <w:t xml:space="preserve"> </w:t>
      </w:r>
      <w:r w:rsidR="00A46EFC" w:rsidRPr="00A46EFC">
        <w:rPr>
          <w:i/>
          <w:iCs/>
        </w:rPr>
        <w:t>Bell (1992, pp.</w:t>
      </w:r>
      <w:r w:rsidR="00A46EFC" w:rsidRPr="00A46EFC">
        <w:rPr>
          <w:rFonts w:ascii="Arial" w:hAnsi="Arial" w:cs="Arial"/>
          <w:i/>
          <w:iCs/>
        </w:rPr>
        <w:t> </w:t>
      </w:r>
      <w:r w:rsidR="00A46EFC" w:rsidRPr="00A46EFC">
        <w:rPr>
          <w:i/>
          <w:iCs/>
        </w:rPr>
        <w:t>74</w:t>
      </w:r>
      <w:r w:rsidR="00A46EFC" w:rsidRPr="00A46EFC">
        <w:rPr>
          <w:rFonts w:ascii="Aptos" w:hAnsi="Aptos" w:cs="Aptos"/>
          <w:i/>
          <w:iCs/>
        </w:rPr>
        <w:t>–</w:t>
      </w:r>
      <w:r w:rsidR="00A46EFC" w:rsidRPr="00A46EFC">
        <w:rPr>
          <w:i/>
          <w:iCs/>
        </w:rPr>
        <w:t>76)</w:t>
      </w:r>
    </w:p>
  </w:footnote>
  <w:footnote w:id="13">
    <w:p w14:paraId="1ECD3D4E" w14:textId="2223A4B5" w:rsidR="000B3485" w:rsidRPr="00A46EFC" w:rsidRDefault="000B3485">
      <w:pPr>
        <w:pStyle w:val="FootnoteText"/>
        <w:rPr>
          <w:i/>
          <w:iCs/>
        </w:rPr>
      </w:pPr>
      <w:r>
        <w:rPr>
          <w:rStyle w:val="FootnoteReference"/>
        </w:rPr>
        <w:footnoteRef/>
      </w:r>
      <w:r>
        <w:t xml:space="preserve"> </w:t>
      </w:r>
      <w:proofErr w:type="spellStart"/>
      <w:r w:rsidR="00A46EFC" w:rsidRPr="00A46EFC">
        <w:rPr>
          <w:i/>
          <w:iCs/>
        </w:rPr>
        <w:t>Hamilakis</w:t>
      </w:r>
      <w:proofErr w:type="spellEnd"/>
      <w:r w:rsidR="00A46EFC" w:rsidRPr="00A46EFC">
        <w:rPr>
          <w:i/>
          <w:iCs/>
        </w:rPr>
        <w:t xml:space="preserve"> 1999, pp.</w:t>
      </w:r>
      <w:r w:rsidR="00A46EFC" w:rsidRPr="00A46EFC">
        <w:rPr>
          <w:rFonts w:ascii="Arial" w:hAnsi="Arial" w:cs="Arial"/>
          <w:i/>
          <w:iCs/>
        </w:rPr>
        <w:t> </w:t>
      </w:r>
      <w:r w:rsidR="00A46EFC" w:rsidRPr="00A46EFC">
        <w:rPr>
          <w:i/>
          <w:iCs/>
        </w:rPr>
        <w:t>39</w:t>
      </w:r>
      <w:r w:rsidR="00A46EFC" w:rsidRPr="00A46EFC">
        <w:rPr>
          <w:rFonts w:ascii="Aptos" w:hAnsi="Aptos" w:cs="Aptos"/>
          <w:i/>
          <w:iCs/>
        </w:rPr>
        <w:t>–</w:t>
      </w:r>
      <w:r w:rsidR="00A46EFC" w:rsidRPr="00A46EFC">
        <w:rPr>
          <w:i/>
          <w:iCs/>
        </w:rPr>
        <w:t>45</w:t>
      </w:r>
    </w:p>
  </w:footnote>
  <w:footnote w:id="14">
    <w:p w14:paraId="728FC5A6" w14:textId="590BC509" w:rsidR="000B3485" w:rsidRDefault="000B3485">
      <w:pPr>
        <w:pStyle w:val="FootnoteText"/>
      </w:pPr>
      <w:r w:rsidRPr="00A46EFC">
        <w:rPr>
          <w:rStyle w:val="FootnoteReference"/>
          <w:i/>
          <w:iCs/>
        </w:rPr>
        <w:footnoteRef/>
      </w:r>
      <w:r w:rsidRPr="00A46EFC">
        <w:rPr>
          <w:i/>
          <w:iCs/>
        </w:rPr>
        <w:t xml:space="preserve"> </w:t>
      </w:r>
      <w:r w:rsidR="00A46EFC" w:rsidRPr="00A46EFC">
        <w:rPr>
          <w:i/>
          <w:iCs/>
        </w:rPr>
        <w:t>Gell 1998, pp.</w:t>
      </w:r>
      <w:r w:rsidR="00A46EFC" w:rsidRPr="00A46EFC">
        <w:rPr>
          <w:rFonts w:ascii="Arial" w:hAnsi="Arial" w:cs="Arial"/>
          <w:i/>
          <w:iCs/>
        </w:rPr>
        <w:t> </w:t>
      </w:r>
      <w:r w:rsidR="00A46EFC" w:rsidRPr="00A46EFC">
        <w:rPr>
          <w:i/>
          <w:iCs/>
        </w:rPr>
        <w:t>16</w:t>
      </w:r>
      <w:r w:rsidR="00A46EFC" w:rsidRPr="00A46EFC">
        <w:rPr>
          <w:rFonts w:ascii="Aptos" w:hAnsi="Aptos" w:cs="Aptos"/>
          <w:i/>
          <w:iCs/>
        </w:rPr>
        <w:t>–</w:t>
      </w:r>
      <w:r w:rsidR="00A46EFC" w:rsidRPr="00A46EFC">
        <w:rPr>
          <w:i/>
          <w:iCs/>
        </w:rPr>
        <w:t>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0F8"/>
    <w:rsid w:val="000B3485"/>
    <w:rsid w:val="001430E2"/>
    <w:rsid w:val="001E2B06"/>
    <w:rsid w:val="003832E0"/>
    <w:rsid w:val="005870F8"/>
    <w:rsid w:val="00723F21"/>
    <w:rsid w:val="00A46EFC"/>
    <w:rsid w:val="00AF0F37"/>
    <w:rsid w:val="00FE7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4810D"/>
  <w15:chartTrackingRefBased/>
  <w15:docId w15:val="{4CA9C364-D4D3-4DD2-B92C-81159A890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0F8"/>
    <w:pPr>
      <w:jc w:val="both"/>
    </w:pPr>
  </w:style>
  <w:style w:type="paragraph" w:styleId="Heading1">
    <w:name w:val="heading 1"/>
    <w:basedOn w:val="Normal"/>
    <w:next w:val="Normal"/>
    <w:link w:val="Heading1Char"/>
    <w:uiPriority w:val="9"/>
    <w:qFormat/>
    <w:rsid w:val="005870F8"/>
    <w:pPr>
      <w:keepNext/>
      <w:keepLines/>
      <w:pBdr>
        <w:bottom w:val="single" w:sz="4" w:space="1" w:color="auto"/>
      </w:pBdr>
      <w:spacing w:before="360" w:after="80"/>
      <w:outlineLvl w:val="0"/>
    </w:pPr>
    <w:rPr>
      <w:rFonts w:asciiTheme="majorHAnsi" w:eastAsiaTheme="majorEastAsia" w:hAnsiTheme="majorHAnsi" w:cstheme="majorBidi"/>
      <w:color w:val="000000" w:themeColor="text1"/>
      <w:sz w:val="40"/>
      <w:szCs w:val="40"/>
    </w:rPr>
  </w:style>
  <w:style w:type="paragraph" w:styleId="Heading2">
    <w:name w:val="heading 2"/>
    <w:basedOn w:val="Normal"/>
    <w:next w:val="Normal"/>
    <w:link w:val="Heading2Char"/>
    <w:uiPriority w:val="9"/>
    <w:semiHidden/>
    <w:unhideWhenUsed/>
    <w:qFormat/>
    <w:rsid w:val="005870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70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70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70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70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70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70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70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0F8"/>
    <w:rPr>
      <w:rFonts w:asciiTheme="majorHAnsi" w:eastAsiaTheme="majorEastAsia" w:hAnsiTheme="majorHAnsi" w:cstheme="majorBidi"/>
      <w:color w:val="000000" w:themeColor="text1"/>
      <w:sz w:val="40"/>
      <w:szCs w:val="40"/>
    </w:rPr>
  </w:style>
  <w:style w:type="character" w:customStyle="1" w:styleId="Heading2Char">
    <w:name w:val="Heading 2 Char"/>
    <w:basedOn w:val="DefaultParagraphFont"/>
    <w:link w:val="Heading2"/>
    <w:uiPriority w:val="9"/>
    <w:semiHidden/>
    <w:rsid w:val="005870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70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70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70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70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0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0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0F8"/>
    <w:rPr>
      <w:rFonts w:eastAsiaTheme="majorEastAsia" w:cstheme="majorBidi"/>
      <w:color w:val="272727" w:themeColor="text1" w:themeTint="D8"/>
    </w:rPr>
  </w:style>
  <w:style w:type="paragraph" w:styleId="Title">
    <w:name w:val="Title"/>
    <w:basedOn w:val="Normal"/>
    <w:next w:val="Normal"/>
    <w:link w:val="TitleChar"/>
    <w:uiPriority w:val="10"/>
    <w:qFormat/>
    <w:rsid w:val="005870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0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0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0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0F8"/>
    <w:pPr>
      <w:spacing w:before="160"/>
      <w:jc w:val="center"/>
    </w:pPr>
    <w:rPr>
      <w:i/>
      <w:iCs/>
      <w:color w:val="404040" w:themeColor="text1" w:themeTint="BF"/>
    </w:rPr>
  </w:style>
  <w:style w:type="character" w:customStyle="1" w:styleId="QuoteChar">
    <w:name w:val="Quote Char"/>
    <w:basedOn w:val="DefaultParagraphFont"/>
    <w:link w:val="Quote"/>
    <w:uiPriority w:val="29"/>
    <w:rsid w:val="005870F8"/>
    <w:rPr>
      <w:i/>
      <w:iCs/>
      <w:color w:val="404040" w:themeColor="text1" w:themeTint="BF"/>
    </w:rPr>
  </w:style>
  <w:style w:type="paragraph" w:styleId="ListParagraph">
    <w:name w:val="List Paragraph"/>
    <w:basedOn w:val="Normal"/>
    <w:uiPriority w:val="34"/>
    <w:qFormat/>
    <w:rsid w:val="005870F8"/>
    <w:pPr>
      <w:ind w:left="720"/>
      <w:contextualSpacing/>
    </w:pPr>
  </w:style>
  <w:style w:type="character" w:styleId="IntenseEmphasis">
    <w:name w:val="Intense Emphasis"/>
    <w:basedOn w:val="DefaultParagraphFont"/>
    <w:uiPriority w:val="21"/>
    <w:qFormat/>
    <w:rsid w:val="005870F8"/>
    <w:rPr>
      <w:i/>
      <w:iCs/>
      <w:color w:val="0F4761" w:themeColor="accent1" w:themeShade="BF"/>
    </w:rPr>
  </w:style>
  <w:style w:type="paragraph" w:styleId="IntenseQuote">
    <w:name w:val="Intense Quote"/>
    <w:basedOn w:val="Normal"/>
    <w:next w:val="Normal"/>
    <w:link w:val="IntenseQuoteChar"/>
    <w:uiPriority w:val="30"/>
    <w:qFormat/>
    <w:rsid w:val="005870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70F8"/>
    <w:rPr>
      <w:i/>
      <w:iCs/>
      <w:color w:val="0F4761" w:themeColor="accent1" w:themeShade="BF"/>
    </w:rPr>
  </w:style>
  <w:style w:type="character" w:styleId="IntenseReference">
    <w:name w:val="Intense Reference"/>
    <w:basedOn w:val="DefaultParagraphFont"/>
    <w:uiPriority w:val="32"/>
    <w:qFormat/>
    <w:rsid w:val="005870F8"/>
    <w:rPr>
      <w:b/>
      <w:bCs/>
      <w:smallCaps/>
      <w:color w:val="0F4761" w:themeColor="accent1" w:themeShade="BF"/>
      <w:spacing w:val="5"/>
    </w:rPr>
  </w:style>
  <w:style w:type="paragraph" w:styleId="FootnoteText">
    <w:name w:val="footnote text"/>
    <w:basedOn w:val="Normal"/>
    <w:link w:val="FootnoteTextChar"/>
    <w:uiPriority w:val="99"/>
    <w:semiHidden/>
    <w:unhideWhenUsed/>
    <w:rsid w:val="005870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70F8"/>
    <w:rPr>
      <w:sz w:val="20"/>
      <w:szCs w:val="20"/>
    </w:rPr>
  </w:style>
  <w:style w:type="character" w:styleId="FootnoteReference">
    <w:name w:val="footnote reference"/>
    <w:basedOn w:val="DefaultParagraphFont"/>
    <w:uiPriority w:val="99"/>
    <w:semiHidden/>
    <w:unhideWhenUsed/>
    <w:rsid w:val="005870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264FD-3429-4E6E-A819-A5EB53795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1916</Words>
  <Characters>11539</Characters>
  <Application>Microsoft Office Word</Application>
  <DocSecurity>0</DocSecurity>
  <Lines>209</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Chaplin, Ashley</dc:creator>
  <cp:keywords/>
  <dc:description/>
  <cp:lastModifiedBy>Chaplin, Ashley</cp:lastModifiedBy>
  <cp:revision>2</cp:revision>
  <dcterms:created xsi:type="dcterms:W3CDTF">2026-01-07T13:50:00Z</dcterms:created>
  <dcterms:modified xsi:type="dcterms:W3CDTF">2026-01-07T15:17:00Z</dcterms:modified>
</cp:coreProperties>
</file>