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2602C3" w14:textId="70240909" w:rsidR="00352D47" w:rsidRDefault="2E2533AE" w:rsidP="191387A1">
      <w:r>
        <w:rPr>
          <w:noProof/>
        </w:rPr>
        <w:drawing>
          <wp:inline distT="0" distB="0" distL="0" distR="0" wp14:anchorId="57073C62" wp14:editId="6FEB42AD">
            <wp:extent cx="1879726" cy="753156"/>
            <wp:effectExtent l="0" t="0" r="0" b="0"/>
            <wp:docPr id="12853014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906311" name="Picture 221906311"/>
                    <pic:cNvPicPr/>
                  </pic:nvPicPr>
                  <pic:blipFill>
                    <a:blip r:embed="rId7">
                      <a:extLst>
                        <a:ext uri="{28A0092B-C50C-407E-A947-70E740481C1C}">
                          <a14:useLocalDpi xmlns:a14="http://schemas.microsoft.com/office/drawing/2010/main"/>
                        </a:ext>
                      </a:extLst>
                    </a:blip>
                    <a:stretch>
                      <a:fillRect/>
                    </a:stretch>
                  </pic:blipFill>
                  <pic:spPr>
                    <a:xfrm>
                      <a:off x="0" y="0"/>
                      <a:ext cx="1879726" cy="753156"/>
                    </a:xfrm>
                    <a:prstGeom prst="rect">
                      <a:avLst/>
                    </a:prstGeom>
                  </pic:spPr>
                </pic:pic>
              </a:graphicData>
            </a:graphic>
          </wp:inline>
        </w:drawing>
      </w:r>
    </w:p>
    <w:p w14:paraId="30E814A5" w14:textId="58516954" w:rsidR="00352D47" w:rsidRDefault="00352D47" w:rsidP="409437E0">
      <w:pPr>
        <w:rPr>
          <w:rFonts w:ascii="Arial" w:eastAsia="Arial" w:hAnsi="Arial" w:cs="Arial"/>
          <w:b/>
          <w:bCs/>
          <w:sz w:val="32"/>
          <w:szCs w:val="32"/>
        </w:rPr>
      </w:pPr>
    </w:p>
    <w:p w14:paraId="68969991" w14:textId="53993F70" w:rsidR="00352D47" w:rsidRDefault="00352D47" w:rsidP="00074484">
      <w:pPr>
        <w:spacing w:line="360" w:lineRule="auto"/>
        <w:rPr>
          <w:rFonts w:ascii="Arial" w:eastAsia="Arial" w:hAnsi="Arial" w:cs="Arial"/>
          <w:b/>
          <w:bCs/>
          <w:sz w:val="36"/>
          <w:szCs w:val="36"/>
        </w:rPr>
      </w:pPr>
    </w:p>
    <w:p w14:paraId="5E5787A5" w14:textId="55B165A6" w:rsidR="00352D47" w:rsidRDefault="31C7056F" w:rsidP="00074484">
      <w:pPr>
        <w:spacing w:line="360" w:lineRule="auto"/>
        <w:rPr>
          <w:rFonts w:ascii="Arial" w:eastAsia="Arial" w:hAnsi="Arial" w:cs="Arial"/>
          <w:b/>
          <w:bCs/>
          <w:sz w:val="36"/>
          <w:szCs w:val="36"/>
        </w:rPr>
      </w:pPr>
      <w:r w:rsidRPr="409437E0">
        <w:rPr>
          <w:rFonts w:ascii="Arial" w:eastAsia="Arial" w:hAnsi="Arial" w:cs="Arial"/>
          <w:b/>
          <w:bCs/>
          <w:sz w:val="36"/>
          <w:szCs w:val="36"/>
        </w:rPr>
        <w:t>Student name: L</w:t>
      </w:r>
      <w:r w:rsidR="024D4836" w:rsidRPr="409437E0">
        <w:rPr>
          <w:rFonts w:ascii="Arial" w:eastAsia="Arial" w:hAnsi="Arial" w:cs="Arial"/>
          <w:b/>
          <w:bCs/>
          <w:sz w:val="36"/>
          <w:szCs w:val="36"/>
        </w:rPr>
        <w:t>arissa Dion</w:t>
      </w:r>
    </w:p>
    <w:p w14:paraId="66898F75" w14:textId="5FB88A68" w:rsidR="31C7056F" w:rsidRDefault="31C7056F" w:rsidP="00074484">
      <w:pPr>
        <w:spacing w:line="360" w:lineRule="auto"/>
        <w:rPr>
          <w:rFonts w:ascii="Arial" w:eastAsia="Arial" w:hAnsi="Arial" w:cs="Arial"/>
          <w:b/>
          <w:bCs/>
          <w:sz w:val="36"/>
          <w:szCs w:val="36"/>
        </w:rPr>
      </w:pPr>
      <w:r w:rsidRPr="409437E0">
        <w:rPr>
          <w:rFonts w:ascii="Arial" w:eastAsia="Arial" w:hAnsi="Arial" w:cs="Arial"/>
          <w:b/>
          <w:bCs/>
          <w:sz w:val="36"/>
          <w:szCs w:val="36"/>
        </w:rPr>
        <w:t>Student ID number:</w:t>
      </w:r>
      <w:r w:rsidR="0B3491F7" w:rsidRPr="409437E0">
        <w:rPr>
          <w:rFonts w:ascii="Arial" w:eastAsia="Arial" w:hAnsi="Arial" w:cs="Arial"/>
          <w:b/>
          <w:bCs/>
          <w:color w:val="242130"/>
          <w:sz w:val="36"/>
          <w:szCs w:val="36"/>
        </w:rPr>
        <w:t xml:space="preserve"> 2508557</w:t>
      </w:r>
    </w:p>
    <w:p w14:paraId="78A2F745" w14:textId="0A55F3BD" w:rsidR="31C7056F" w:rsidRDefault="31C7056F" w:rsidP="00074484">
      <w:pPr>
        <w:spacing w:line="360" w:lineRule="auto"/>
        <w:rPr>
          <w:rFonts w:ascii="Arial" w:eastAsia="Arial" w:hAnsi="Arial" w:cs="Arial"/>
          <w:b/>
          <w:bCs/>
          <w:sz w:val="36"/>
          <w:szCs w:val="36"/>
        </w:rPr>
      </w:pPr>
      <w:r w:rsidRPr="409437E0">
        <w:rPr>
          <w:rFonts w:ascii="Arial" w:eastAsia="Arial" w:hAnsi="Arial" w:cs="Arial"/>
          <w:b/>
          <w:bCs/>
          <w:sz w:val="36"/>
          <w:szCs w:val="36"/>
        </w:rPr>
        <w:t>Module: Introduction to Public Health</w:t>
      </w:r>
    </w:p>
    <w:p w14:paraId="4DFDC2D0" w14:textId="130E8005" w:rsidR="31C7056F" w:rsidRDefault="31C7056F" w:rsidP="00074484">
      <w:pPr>
        <w:spacing w:line="360" w:lineRule="auto"/>
        <w:rPr>
          <w:rFonts w:ascii="Arial" w:eastAsia="Arial" w:hAnsi="Arial" w:cs="Arial"/>
          <w:b/>
          <w:bCs/>
          <w:sz w:val="36"/>
          <w:szCs w:val="36"/>
        </w:rPr>
      </w:pPr>
      <w:r w:rsidRPr="409437E0">
        <w:rPr>
          <w:rFonts w:ascii="Arial" w:eastAsia="Arial" w:hAnsi="Arial" w:cs="Arial"/>
          <w:b/>
          <w:bCs/>
          <w:sz w:val="36"/>
          <w:szCs w:val="36"/>
        </w:rPr>
        <w:t>Module code: LCHS 4008</w:t>
      </w:r>
    </w:p>
    <w:p w14:paraId="0795844E" w14:textId="4819856B" w:rsidR="68F4377F" w:rsidRDefault="68F4377F" w:rsidP="00074484">
      <w:pPr>
        <w:spacing w:line="360" w:lineRule="auto"/>
        <w:rPr>
          <w:rFonts w:ascii="Arial" w:eastAsia="Arial" w:hAnsi="Arial" w:cs="Arial"/>
          <w:b/>
          <w:bCs/>
          <w:sz w:val="36"/>
          <w:szCs w:val="36"/>
        </w:rPr>
      </w:pPr>
      <w:r w:rsidRPr="409437E0">
        <w:rPr>
          <w:rFonts w:ascii="Arial" w:eastAsia="Arial" w:hAnsi="Arial" w:cs="Arial"/>
          <w:b/>
          <w:bCs/>
          <w:sz w:val="36"/>
          <w:szCs w:val="36"/>
        </w:rPr>
        <w:t xml:space="preserve">Assignment Title: Assessment 2 - Report on a Health </w:t>
      </w:r>
      <w:r w:rsidR="7FE8D056" w:rsidRPr="409437E0">
        <w:rPr>
          <w:rFonts w:ascii="Arial" w:eastAsia="Arial" w:hAnsi="Arial" w:cs="Arial"/>
          <w:b/>
          <w:bCs/>
          <w:sz w:val="36"/>
          <w:szCs w:val="36"/>
        </w:rPr>
        <w:t>Issue 1500</w:t>
      </w:r>
      <w:r w:rsidR="32034181" w:rsidRPr="409437E0">
        <w:rPr>
          <w:rFonts w:ascii="Arial" w:eastAsia="Arial" w:hAnsi="Arial" w:cs="Arial"/>
          <w:b/>
          <w:bCs/>
          <w:sz w:val="36"/>
          <w:szCs w:val="36"/>
        </w:rPr>
        <w:t xml:space="preserve"> words</w:t>
      </w:r>
    </w:p>
    <w:p w14:paraId="094244EA" w14:textId="4B04D455" w:rsidR="32034181" w:rsidRDefault="32034181" w:rsidP="00074484">
      <w:pPr>
        <w:spacing w:line="360" w:lineRule="auto"/>
        <w:rPr>
          <w:rFonts w:ascii="Arial" w:eastAsia="Arial" w:hAnsi="Arial" w:cs="Arial"/>
          <w:b/>
          <w:bCs/>
          <w:sz w:val="36"/>
          <w:szCs w:val="36"/>
        </w:rPr>
      </w:pPr>
      <w:r w:rsidRPr="409437E0">
        <w:rPr>
          <w:rFonts w:ascii="Arial" w:eastAsia="Arial" w:hAnsi="Arial" w:cs="Arial"/>
          <w:b/>
          <w:bCs/>
          <w:sz w:val="36"/>
          <w:szCs w:val="36"/>
        </w:rPr>
        <w:t>Lecturer:</w:t>
      </w:r>
      <w:r w:rsidR="4ECBC35E" w:rsidRPr="409437E0">
        <w:rPr>
          <w:rFonts w:ascii="Arial" w:eastAsia="Arial" w:hAnsi="Arial" w:cs="Arial"/>
          <w:b/>
          <w:bCs/>
          <w:color w:val="000000" w:themeColor="text1"/>
          <w:sz w:val="36"/>
          <w:szCs w:val="36"/>
        </w:rPr>
        <w:t xml:space="preserve"> Mrs Caroline Salami</w:t>
      </w:r>
    </w:p>
    <w:p w14:paraId="74DF4E60" w14:textId="35AD3152" w:rsidR="409437E0" w:rsidRDefault="409437E0" w:rsidP="409437E0">
      <w:pPr>
        <w:rPr>
          <w:rFonts w:ascii="Arial" w:eastAsia="Arial" w:hAnsi="Arial" w:cs="Arial"/>
          <w:b/>
          <w:bCs/>
          <w:sz w:val="32"/>
          <w:szCs w:val="32"/>
        </w:rPr>
      </w:pPr>
    </w:p>
    <w:p w14:paraId="25F4DAC3" w14:textId="4E47351A" w:rsidR="191387A1" w:rsidRPr="006816A8" w:rsidRDefault="191387A1" w:rsidP="006816A8">
      <w:pPr>
        <w:spacing w:line="360" w:lineRule="auto"/>
        <w:jc w:val="both"/>
        <w:rPr>
          <w:rFonts w:ascii="Arial" w:eastAsia="Arial" w:hAnsi="Arial" w:cs="Arial"/>
          <w:sz w:val="22"/>
          <w:szCs w:val="22"/>
        </w:rPr>
      </w:pPr>
    </w:p>
    <w:p w14:paraId="62AA30CA" w14:textId="7E93281C" w:rsidR="191387A1" w:rsidRPr="006816A8" w:rsidRDefault="191387A1" w:rsidP="006816A8">
      <w:pPr>
        <w:spacing w:line="360" w:lineRule="auto"/>
        <w:jc w:val="both"/>
        <w:rPr>
          <w:rFonts w:ascii="Arial" w:eastAsia="Arial" w:hAnsi="Arial" w:cs="Arial"/>
          <w:sz w:val="22"/>
          <w:szCs w:val="22"/>
        </w:rPr>
      </w:pPr>
    </w:p>
    <w:p w14:paraId="6C3FD006"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Introduction</w:t>
      </w:r>
    </w:p>
    <w:p w14:paraId="671C6752" w14:textId="77777777" w:rsidR="002F0243" w:rsidRPr="002F0243" w:rsidRDefault="002F0243" w:rsidP="002F0243">
      <w:pPr>
        <w:spacing w:before="240" w:after="240" w:line="360" w:lineRule="auto"/>
        <w:jc w:val="both"/>
        <w:rPr>
          <w:rFonts w:ascii="Arial" w:eastAsia="Arial" w:hAnsi="Arial" w:cs="Arial"/>
          <w:sz w:val="22"/>
          <w:szCs w:val="22"/>
        </w:rPr>
      </w:pPr>
    </w:p>
    <w:p w14:paraId="47B4A4CF"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Tuberculosis is a bacterial infection usually found in the lungs that can affect other organs such as the brain, spine and kidneys (World Health Organisation, 2023). TB spreads through coughing, sneezing and talking, leading to symptoms such as a cough lasting longer than three weeks, chest pain, tiredness and weight loss, fever, and night sweats (NHS, 2023).</w:t>
      </w:r>
    </w:p>
    <w:p w14:paraId="782361E0" w14:textId="77777777" w:rsidR="002F0243" w:rsidRPr="002F0243" w:rsidRDefault="002F0243" w:rsidP="002F0243">
      <w:pPr>
        <w:spacing w:before="240" w:after="240" w:line="360" w:lineRule="auto"/>
        <w:jc w:val="both"/>
        <w:rPr>
          <w:rFonts w:ascii="Arial" w:eastAsia="Arial" w:hAnsi="Arial" w:cs="Arial"/>
          <w:sz w:val="22"/>
          <w:szCs w:val="22"/>
        </w:rPr>
      </w:pPr>
    </w:p>
    <w:p w14:paraId="1477A9C8" w14:textId="77777777" w:rsid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lastRenderedPageBreak/>
        <w:t>TB can be prevented and treated effectively with medicines but is still a global public health concern. According to the World Health Organisation, there were about 10.6 million cases of TB worldwide in 2022 and around 1.3 million people died from the disease (World Health Organisation, 2023). In the UK, rates are lower but there are still several hundred cases each year, particularly in big cities like London. Data from NHS Digital reported approximately 4,850 cases across the UK in 2022 (UK Health Security Agency, 2023</w:t>
      </w:r>
      <w:proofErr w:type="gramStart"/>
      <w:r w:rsidRPr="002F0243">
        <w:rPr>
          <w:rFonts w:ascii="Arial" w:eastAsia="Arial" w:hAnsi="Arial" w:cs="Arial"/>
          <w:sz w:val="22"/>
          <w:szCs w:val="22"/>
        </w:rPr>
        <w:t>).Tuberculosis</w:t>
      </w:r>
      <w:proofErr w:type="gramEnd"/>
      <w:r w:rsidRPr="002F0243">
        <w:rPr>
          <w:rFonts w:ascii="Arial" w:eastAsia="Arial" w:hAnsi="Arial" w:cs="Arial"/>
          <w:sz w:val="22"/>
          <w:szCs w:val="22"/>
        </w:rPr>
        <w:t xml:space="preserve"> (TB) is classified as a low-incidence country by healthcare organisations, healthcare</w:t>
      </w:r>
      <w:r>
        <w:rPr>
          <w:rFonts w:ascii="Arial" w:eastAsia="Arial" w:hAnsi="Arial" w:cs="Arial"/>
          <w:sz w:val="22"/>
          <w:szCs w:val="22"/>
        </w:rPr>
        <w:t xml:space="preserve"> </w:t>
      </w:r>
      <w:r w:rsidRPr="002F0243">
        <w:rPr>
          <w:rFonts w:ascii="Arial" w:eastAsia="Arial" w:hAnsi="Arial" w:cs="Arial"/>
          <w:sz w:val="22"/>
          <w:szCs w:val="22"/>
        </w:rPr>
        <w:t>Professionals worldwide remain concerned about tuberculosis. Although England's rates are below the World Health Organisation's benchmark of 10 per 100,000, with about 8.5 cases in 2023 UK Health Security Agency, 2024, reported cases are increasing. In 2024, approximately 5,490 TB cases were recorded, marking a 13.6% rise from 2023, with rates climbing to about 9.4–9.5 per 100,000 UK Health Security Agency, 2025.</w:t>
      </w:r>
    </w:p>
    <w:p w14:paraId="542516F6" w14:textId="4DB9144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While this figure is low compared to global estimates, it is still troubling to see tuberculosis rates rise year on year. Regional variations also exist, with inner London posting rates around 18.7 per 100,000 population – likely due to overcrowding and health inequality issues (UK Health Security Agency, 2024). This information reinforces that TB is still a concerning public health issue in the UK and abroad.</w:t>
      </w:r>
    </w:p>
    <w:p w14:paraId="2DEEB9DA"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1. Approaches to Measure and Monitor Tuberculosis</w:t>
      </w:r>
    </w:p>
    <w:p w14:paraId="05F34EF5" w14:textId="77777777" w:rsid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Healthcare professionals can monitor Tuberculosis by obtaining patient samples, such as sputum, to detect the presence of Mycobacterium tuberculosis in the lungs NHS, 2023.Chest X-rays are another common way of screening for changes in the lungs and identifying TB.</w:t>
      </w:r>
    </w:p>
    <w:p w14:paraId="29FA71F8" w14:textId="77777777" w:rsid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Healthcare professionals often use methods such as chest X-rays and sputum tests to diagnose TB in patients. However, they will usually need to conduct a laboratory test to confirm diagnosis.</w:t>
      </w:r>
    </w:p>
    <w:p w14:paraId="0DBC46FD" w14:textId="50E2DB0D"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They may also conduct skin tests to check if an individual has latent Tuberculosis infection. Latent TB occurs when the bacteria remain in a person’s body but remain inactive (World Health Organisation, 2023).</w:t>
      </w:r>
    </w:p>
    <w:p w14:paraId="0486CD09"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Patients who have latent TB will usually not experience symptoms; however, they still have a 5–15% chance of developing active TB in their lifetime. Due to this, it is vital professionals identify those affected as soon as possible through these tests.</w:t>
      </w:r>
    </w:p>
    <w:p w14:paraId="186B8A98" w14:textId="77777777" w:rsid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lastRenderedPageBreak/>
        <w:t>National screening programmes demonstrate how tuberculosis is monitored. In England, NHS England operates a Tuberculosis Programme focused on preventing and controlling the disease.</w:t>
      </w:r>
    </w:p>
    <w:p w14:paraId="06F50296" w14:textId="516B320A"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The programme focusses on identification through early detection, surveillance monitoring and finding ways to prevent transmission (NHS England, 2024).</w:t>
      </w:r>
    </w:p>
    <w:p w14:paraId="082C3380"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At a national level, the UK Health Security Agency (UKHSA) measure and monitor Tuberculosis through their data collection.</w:t>
      </w:r>
    </w:p>
    <w:p w14:paraId="22C0684E"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Public health authorities can use these results to help inform decisions when prioritising areas for interventions.</w:t>
      </w:r>
    </w:p>
    <w:p w14:paraId="4A6E3D28"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One of UKHSA’s largest contributions is collecting national statistics on Tuberculosis. These figures allow local services to identify areas with high case rates and subsequently target those populations.</w:t>
      </w:r>
    </w:p>
    <w:p w14:paraId="022D0E4D"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Identifying people with latent TB can be difficult because they do not show symptoms. If individuals are not identified during screening programmes, it could lead to delays in diagnosis and allow the disease to spread.</w:t>
      </w:r>
    </w:p>
    <w:p w14:paraId="158A44D7" w14:textId="77777777" w:rsidR="002F0243" w:rsidRPr="002F0243" w:rsidRDefault="002F0243" w:rsidP="002F0243">
      <w:pPr>
        <w:spacing w:before="240" w:after="240" w:line="360" w:lineRule="auto"/>
        <w:jc w:val="both"/>
        <w:rPr>
          <w:rFonts w:ascii="Arial" w:eastAsia="Arial" w:hAnsi="Arial" w:cs="Arial"/>
          <w:sz w:val="22"/>
          <w:szCs w:val="22"/>
        </w:rPr>
      </w:pPr>
    </w:p>
    <w:p w14:paraId="747FADAB"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2. How Tuberculosis is Controlled</w:t>
      </w:r>
    </w:p>
    <w:p w14:paraId="7F2D15AD" w14:textId="110A183B"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 xml:space="preserve">Tuberculosis can be controlled through vaccinations, medication, and further support services. Antibiotics are used to treat </w:t>
      </w:r>
      <w:r w:rsidRPr="002F0243">
        <w:rPr>
          <w:rFonts w:ascii="Arial" w:eastAsia="Arial" w:hAnsi="Arial" w:cs="Arial"/>
          <w:sz w:val="22"/>
          <w:szCs w:val="22"/>
        </w:rPr>
        <w:t>TB,</w:t>
      </w:r>
      <w:r w:rsidRPr="002F0243">
        <w:rPr>
          <w:rFonts w:ascii="Arial" w:eastAsia="Arial" w:hAnsi="Arial" w:cs="Arial"/>
          <w:sz w:val="22"/>
          <w:szCs w:val="22"/>
        </w:rPr>
        <w:t xml:space="preserve"> and courses will typically last for at least six months.</w:t>
      </w:r>
    </w:p>
    <w:p w14:paraId="4FB57DBC" w14:textId="77777777" w:rsid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Patients should always complete the full course of antibiotics to avoid the risk of drug-resistant TB (NHS, 2023).</w:t>
      </w:r>
    </w:p>
    <w:p w14:paraId="71313FEC" w14:textId="77777777" w:rsid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An example of controlling TB is preventing the spread of TB by identifying patients who have been in close contact with someone who has the disease.</w:t>
      </w:r>
    </w:p>
    <w:p w14:paraId="5E41D6EA" w14:textId="6720D250"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If you have been diagnosed with infectious Tuberculosis, public health officials will contact those who have been in close contact with you.</w:t>
      </w:r>
    </w:p>
    <w:p w14:paraId="1EDEBE5B" w14:textId="77777777" w:rsidR="002F0243" w:rsidRPr="002F0243" w:rsidRDefault="002F0243" w:rsidP="002F0243">
      <w:pPr>
        <w:spacing w:before="240" w:after="240" w:line="360" w:lineRule="auto"/>
        <w:jc w:val="both"/>
        <w:rPr>
          <w:rFonts w:ascii="Arial" w:eastAsia="Arial" w:hAnsi="Arial" w:cs="Arial"/>
          <w:sz w:val="22"/>
          <w:szCs w:val="22"/>
        </w:rPr>
      </w:pPr>
    </w:p>
    <w:p w14:paraId="62395963" w14:textId="77777777" w:rsidR="002F0243" w:rsidRPr="002F0243" w:rsidRDefault="002F0243" w:rsidP="002F0243">
      <w:pPr>
        <w:spacing w:before="240" w:after="240" w:line="360" w:lineRule="auto"/>
        <w:jc w:val="both"/>
        <w:rPr>
          <w:rFonts w:ascii="Arial" w:eastAsia="Arial" w:hAnsi="Arial" w:cs="Arial"/>
          <w:sz w:val="22"/>
          <w:szCs w:val="22"/>
        </w:rPr>
      </w:pPr>
    </w:p>
    <w:p w14:paraId="4D270ADF" w14:textId="77777777" w:rsidR="002F0243" w:rsidRPr="002F0243" w:rsidRDefault="002F0243" w:rsidP="002F0243">
      <w:pPr>
        <w:spacing w:before="240" w:after="240" w:line="360" w:lineRule="auto"/>
        <w:jc w:val="both"/>
        <w:rPr>
          <w:rFonts w:ascii="Arial" w:eastAsia="Arial" w:hAnsi="Arial" w:cs="Arial"/>
          <w:sz w:val="22"/>
          <w:szCs w:val="22"/>
        </w:rPr>
      </w:pPr>
    </w:p>
    <w:p w14:paraId="6DD8FA08"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lastRenderedPageBreak/>
        <w:t>Directly observed therapy (DOT) involves healthcare professionals monitoring patients while they take their medication. A new variant, Video Observed Therapy (VOT), allows patients to livestream or record their medication intake using GDPR-compliant software UKHSA, no date.</w:t>
      </w:r>
    </w:p>
    <w:p w14:paraId="7CA0A432"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This has been shown to increase adherence, save patients travelling time to healthcare services, and reduce costs.</w:t>
      </w:r>
    </w:p>
    <w:p w14:paraId="48EEAF11"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The BCG vaccination can help to prevent severe forms of TB. This vaccination is offered to people who are at risk of developing Tuberculosis (UK Health Security Agency, 2023).</w:t>
      </w:r>
    </w:p>
    <w:p w14:paraId="4A0A75D2" w14:textId="1DBE3534"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 xml:space="preserve">Public health professionals can help control Tuberculosis in </w:t>
      </w:r>
      <w:r w:rsidRPr="002F0243">
        <w:rPr>
          <w:rFonts w:ascii="Arial" w:eastAsia="Arial" w:hAnsi="Arial" w:cs="Arial"/>
          <w:sz w:val="22"/>
          <w:szCs w:val="22"/>
        </w:rPr>
        <w:t>several</w:t>
      </w:r>
      <w:r w:rsidRPr="002F0243">
        <w:rPr>
          <w:rFonts w:ascii="Arial" w:eastAsia="Arial" w:hAnsi="Arial" w:cs="Arial"/>
          <w:sz w:val="22"/>
          <w:szCs w:val="22"/>
        </w:rPr>
        <w:t xml:space="preserve"> ways. The UKHSA have implemented a Tuberculosis Action Plan for England 2021–2026, which focuses on prevention, early detection and reducing transmission rates.</w:t>
      </w:r>
    </w:p>
    <w:p w14:paraId="0E56DED2" w14:textId="4ED049C9"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 xml:space="preserve">The plan itself contains several priorities that services should focus </w:t>
      </w:r>
      <w:proofErr w:type="gramStart"/>
      <w:r w:rsidRPr="002F0243">
        <w:rPr>
          <w:rFonts w:ascii="Arial" w:eastAsia="Arial" w:hAnsi="Arial" w:cs="Arial"/>
          <w:sz w:val="22"/>
          <w:szCs w:val="22"/>
        </w:rPr>
        <w:t>on:</w:t>
      </w:r>
      <w:proofErr w:type="gramEnd"/>
      <w:r w:rsidRPr="002F0243">
        <w:rPr>
          <w:rFonts w:ascii="Arial" w:eastAsia="Arial" w:hAnsi="Arial" w:cs="Arial"/>
          <w:sz w:val="22"/>
          <w:szCs w:val="22"/>
        </w:rPr>
        <w:t xml:space="preserve"> including improving TB surveillance, strengthening our workforce and tackling inequalities (UK Health Security Agency, 2023).</w:t>
      </w:r>
    </w:p>
    <w:p w14:paraId="0F6735BB"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Contact tracing is another way to control Tuberculosis. When someone is diagnosed with TB, healthcare professionals identify others who may have been exposed to the bacteria.</w:t>
      </w:r>
    </w:p>
    <w:p w14:paraId="5ACC3134"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Healthcare professionals may ask patients to self-isolate during the initial stage of their treatment to prevent the spread of Tuberculosis to those around them.</w:t>
      </w:r>
    </w:p>
    <w:p w14:paraId="69440E1D" w14:textId="27AB82CE"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The NHS England Tuberculosis Programme works to provide person-centred care and coordinated support during a patient’s journey through services. Through implementation of prevention techniques and support from primary to secondary care, and community services patients are offered continued support.</w:t>
      </w:r>
    </w:p>
    <w:p w14:paraId="72DE6CA3"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For example, patients can be enrolled onto programmes such as DOT where a healthcare worker will contact them daily to ensure they are taking their medication and offer further support where needed (NHS England, 2024).</w:t>
      </w:r>
    </w:p>
    <w:p w14:paraId="7E8A737A"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Social factors have also been shown to contribute to higher transmission rates. Research shows that Tuberculosis is strongly linked to social inequality and can affect those who experience poverty, poor housing conditions and social exclusion (Department of Health, 2007).</w:t>
      </w:r>
    </w:p>
    <w:p w14:paraId="7CDB3E5A" w14:textId="77777777" w:rsid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3. Consequences of Tuberculosis on Individuals and the Community</w:t>
      </w:r>
    </w:p>
    <w:p w14:paraId="353FE70C" w14:textId="38B11765"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lastRenderedPageBreak/>
        <w:t>TB can have lasting impacts on an individual’s physical and mental health, as well as their finances and social life. Tuberculosis can cause irreversible damage to the body if not treated early. Many symptoms can make it difficult for someone to function properly at work and home.</w:t>
      </w:r>
    </w:p>
    <w:p w14:paraId="71E4A1A5"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TB can also take a toll on someone’s mental health, leading to feelings of stress and depression (World Health Organisation, 2023). Socially, a person may be forced to avoid contact with others while they experience symptoms, or due to stigma surrounding the disease.</w:t>
      </w:r>
    </w:p>
    <w:p w14:paraId="660D6BD8"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TB can negatively affect groups who are already vulnerable in society. Health inequalities are strongly linked to TB and often affects those who experience social exclusion (Department of Health, 2007).</w:t>
      </w:r>
    </w:p>
    <w:p w14:paraId="327B9C0D"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High-risk groups for TB and poor health outcomes include the homeless, prisoners, individuals with mental health issues, and those with drug or alcohol addictions. These populations often face barriers to accessing medical care, resulting in late diagnoses and suboptimal treatment.</w:t>
      </w:r>
    </w:p>
    <w:p w14:paraId="5DE7A680"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As previously mentioned, TB can be linked to poverty and social welfare issues. Being in social-exclusionary groups can increase your risk of developing TB and cause worse health outcomes should you become ill.</w:t>
      </w:r>
    </w:p>
    <w:p w14:paraId="5372C139"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Tuberculosis can cause severe consequences to communities as it can spread rapidly in overcrowded areas. There is also the risk of local outbreaks which could put pressure on healthcare services. The financial impact of Tuberculosis can also affect communities if those who are infected are unable to work.</w:t>
      </w:r>
    </w:p>
    <w:p w14:paraId="746B81D8" w14:textId="77777777" w:rsidR="002F0243" w:rsidRPr="002F0243" w:rsidRDefault="002F0243" w:rsidP="002F0243">
      <w:pPr>
        <w:spacing w:before="240" w:after="240" w:line="360" w:lineRule="auto"/>
        <w:jc w:val="both"/>
        <w:rPr>
          <w:rFonts w:ascii="Arial" w:eastAsia="Arial" w:hAnsi="Arial" w:cs="Arial"/>
          <w:sz w:val="22"/>
          <w:szCs w:val="22"/>
        </w:rPr>
      </w:pPr>
    </w:p>
    <w:p w14:paraId="5B612903"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4. Health and Social Care Support Services</w:t>
      </w:r>
    </w:p>
    <w:p w14:paraId="7D1723E2"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Individuals with TB can access several support services throughout their journey to recovery. TB team consists of specialists in treating and controlling TB. They will diagnose, monitor patients, and prescribe medication.</w:t>
      </w:r>
    </w:p>
    <w:p w14:paraId="595F5FB8" w14:textId="53CCACDF"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 xml:space="preserve">Community nurses, such as TB nurses will also offer services in the </w:t>
      </w:r>
      <w:r w:rsidRPr="002F0243">
        <w:rPr>
          <w:rFonts w:ascii="Arial" w:eastAsia="Arial" w:hAnsi="Arial" w:cs="Arial"/>
          <w:sz w:val="22"/>
          <w:szCs w:val="22"/>
        </w:rPr>
        <w:t>patient’s</w:t>
      </w:r>
      <w:r w:rsidRPr="002F0243">
        <w:rPr>
          <w:rFonts w:ascii="Arial" w:eastAsia="Arial" w:hAnsi="Arial" w:cs="Arial"/>
          <w:sz w:val="22"/>
          <w:szCs w:val="22"/>
        </w:rPr>
        <w:t xml:space="preserve"> home. This can include visits to ensure the patients finish their medication and providing education.</w:t>
      </w:r>
    </w:p>
    <w:p w14:paraId="20B1AAB1" w14:textId="77777777" w:rsid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The NHS England Tuberculosis Programme aims to provide patients with quality care throughout their treatment by integrating primary, secondary, and community services for continuous support NHS England, 2024.</w:t>
      </w:r>
    </w:p>
    <w:p w14:paraId="7107696D" w14:textId="12F6CA0A"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lastRenderedPageBreak/>
        <w:t>DOT ensures patients can contact a healthcare worker daily to take their medication, as well as receive support from healthcare professionals should they experience any issues.</w:t>
      </w:r>
    </w:p>
    <w:p w14:paraId="22113F8C" w14:textId="77777777" w:rsid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Collaboration between health and social care services is crucial for supporting TB patients. The TB Action Plan for England 2021–2026 emphasizes the need for healthcare professionals to partner with local authorities and community organizations for optimal patient care UK Health Security Agency, 2023.</w:t>
      </w:r>
    </w:p>
    <w:p w14:paraId="27F55C9E" w14:textId="65358476"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 xml:space="preserve">The UK Health Security Agency has provided a toolkit for healthcare professionals when tackling TB in Inclusion health groups </w:t>
      </w:r>
      <w:r w:rsidRPr="002F0243">
        <w:rPr>
          <w:rFonts w:ascii="Arial" w:eastAsia="Arial" w:hAnsi="Arial" w:cs="Arial"/>
          <w:sz w:val="22"/>
          <w:szCs w:val="22"/>
        </w:rPr>
        <w:t>refer</w:t>
      </w:r>
      <w:r w:rsidRPr="002F0243">
        <w:rPr>
          <w:rFonts w:ascii="Arial" w:eastAsia="Arial" w:hAnsi="Arial" w:cs="Arial"/>
          <w:sz w:val="22"/>
          <w:szCs w:val="22"/>
        </w:rPr>
        <w:t xml:space="preserve"> to people who have been affected by social exclusion, such as homelessness, drug misuse, or people who are travelling.</w:t>
      </w:r>
    </w:p>
    <w:p w14:paraId="4D60A2DA" w14:textId="512796A1"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Support services must be flexible to meet individual needs. Homeless individuals often miss appointments due to lack of a permanent address. Thus, services like DOT should be provided through outreach in communities where these patients live.</w:t>
      </w:r>
    </w:p>
    <w:p w14:paraId="0F5450CE"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Healthcare professionals should also work in partnership with other sectors, such as mental health services, housing agencies, and voluntary organisations.</w:t>
      </w:r>
    </w:p>
    <w:p w14:paraId="6923B102"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Healthcare professionals can help reduce these barriers by putting precautions in place to prevent them from occurring. TB patients who are affected by social exclusion may benefit from flexible appointments and outreach services.</w:t>
      </w:r>
    </w:p>
    <w:p w14:paraId="5D36DA2F"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Patients who have trouble attending healthcare appointments may benefit from services closer to home or work, allowing ongoing support without disrupting their schedules Department of Health, 2007.</w:t>
      </w:r>
    </w:p>
    <w:p w14:paraId="7EEFD82B" w14:textId="77777777" w:rsidR="002F0243"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Conclusion</w:t>
      </w:r>
    </w:p>
    <w:p w14:paraId="1282072D" w14:textId="0145F751" w:rsidR="00074484" w:rsidRPr="002F0243" w:rsidRDefault="002F0243" w:rsidP="002F0243">
      <w:pPr>
        <w:spacing w:before="240" w:after="240" w:line="360" w:lineRule="auto"/>
        <w:jc w:val="both"/>
        <w:rPr>
          <w:rFonts w:ascii="Arial" w:eastAsia="Arial" w:hAnsi="Arial" w:cs="Arial"/>
          <w:sz w:val="22"/>
          <w:szCs w:val="22"/>
        </w:rPr>
      </w:pPr>
      <w:r w:rsidRPr="002F0243">
        <w:rPr>
          <w:rFonts w:ascii="Arial" w:eastAsia="Arial" w:hAnsi="Arial" w:cs="Arial"/>
          <w:sz w:val="22"/>
          <w:szCs w:val="22"/>
        </w:rPr>
        <w:t>Tuberculosis remains a public health threat in the UK and globally. While various methods exist to monitor TB, early detection can be challenging. Effective vaccinations and antibiotics are available, but social factors significantly influence who is affected. TB is most prevalent among socially excluded groups facing health inequalities. Adapting services to meet patients' health and social needs, along with prioritizing prevention techniques, can help reduce cases annually.</w:t>
      </w:r>
    </w:p>
    <w:p w14:paraId="1EEDBD45" w14:textId="50EA3ECD" w:rsidR="00421EA3" w:rsidRPr="00421EA3" w:rsidRDefault="00421EA3" w:rsidP="00421EA3">
      <w:pPr>
        <w:spacing w:before="240" w:after="240" w:line="360" w:lineRule="auto"/>
        <w:jc w:val="both"/>
        <w:rPr>
          <w:rFonts w:ascii="Arial" w:eastAsia="Arial" w:hAnsi="Arial" w:cs="Arial"/>
          <w:sz w:val="22"/>
          <w:szCs w:val="22"/>
        </w:rPr>
      </w:pPr>
    </w:p>
    <w:p w14:paraId="2343E703" w14:textId="77777777" w:rsidR="002F0243" w:rsidRDefault="002F0243" w:rsidP="006816A8">
      <w:pPr>
        <w:spacing w:before="240" w:after="240" w:line="360" w:lineRule="auto"/>
        <w:jc w:val="both"/>
        <w:rPr>
          <w:rFonts w:ascii="Arial" w:eastAsia="Arial" w:hAnsi="Arial" w:cs="Arial"/>
          <w:sz w:val="22"/>
          <w:szCs w:val="22"/>
        </w:rPr>
      </w:pPr>
    </w:p>
    <w:p w14:paraId="11680B50" w14:textId="77777777" w:rsidR="002F0243" w:rsidRDefault="002F0243" w:rsidP="006816A8">
      <w:pPr>
        <w:spacing w:before="240" w:after="240" w:line="360" w:lineRule="auto"/>
        <w:jc w:val="both"/>
        <w:rPr>
          <w:rFonts w:ascii="Arial" w:eastAsia="Arial" w:hAnsi="Arial" w:cs="Arial"/>
          <w:sz w:val="22"/>
          <w:szCs w:val="22"/>
        </w:rPr>
      </w:pPr>
    </w:p>
    <w:p w14:paraId="2BE97254" w14:textId="7F022C3D" w:rsidR="409437E0" w:rsidRPr="00FC0F2F" w:rsidRDefault="3477081C" w:rsidP="006816A8">
      <w:pPr>
        <w:spacing w:before="240" w:after="240" w:line="360" w:lineRule="auto"/>
        <w:jc w:val="both"/>
        <w:rPr>
          <w:rFonts w:ascii="Arial" w:eastAsia="Arial" w:hAnsi="Arial" w:cs="Arial"/>
          <w:sz w:val="22"/>
          <w:szCs w:val="22"/>
        </w:rPr>
      </w:pPr>
      <w:r w:rsidRPr="00FC0F2F">
        <w:rPr>
          <w:rFonts w:ascii="Arial" w:eastAsia="Arial" w:hAnsi="Arial" w:cs="Arial"/>
          <w:sz w:val="22"/>
          <w:szCs w:val="22"/>
        </w:rPr>
        <w:lastRenderedPageBreak/>
        <w:t>Harvard Reference List:</w:t>
      </w:r>
    </w:p>
    <w:p w14:paraId="4FC8AA98" w14:textId="6ABBBB6B" w:rsidR="00FC0F2F" w:rsidRPr="00FC0F2F" w:rsidRDefault="00FC0F2F" w:rsidP="006816A8">
      <w:pPr>
        <w:spacing w:before="240" w:after="240" w:line="360" w:lineRule="auto"/>
        <w:jc w:val="both"/>
        <w:rPr>
          <w:rFonts w:ascii="Arial" w:eastAsia="Arial" w:hAnsi="Arial" w:cs="Arial"/>
          <w:sz w:val="22"/>
          <w:szCs w:val="22"/>
        </w:rPr>
      </w:pPr>
      <w:r w:rsidRPr="00FC0F2F">
        <w:rPr>
          <w:rFonts w:ascii="Arial" w:eastAsia="Arial" w:hAnsi="Arial" w:cs="Arial"/>
          <w:sz w:val="22"/>
          <w:szCs w:val="22"/>
        </w:rPr>
        <w:t xml:space="preserve">BMJ Global Health (2024) </w:t>
      </w:r>
      <w:r w:rsidRPr="00FC0F2F">
        <w:rPr>
          <w:rFonts w:ascii="Arial" w:eastAsia="Arial" w:hAnsi="Arial" w:cs="Arial"/>
          <w:i/>
          <w:iCs/>
          <w:sz w:val="22"/>
          <w:szCs w:val="22"/>
        </w:rPr>
        <w:t>The performance of digital technologies for measuring tuberculosis medication adherence: a systematic review.</w:t>
      </w:r>
      <w:r w:rsidRPr="00FC0F2F">
        <w:rPr>
          <w:rFonts w:ascii="Arial" w:eastAsia="Arial" w:hAnsi="Arial" w:cs="Arial"/>
          <w:sz w:val="22"/>
          <w:szCs w:val="22"/>
        </w:rPr>
        <w:t xml:space="preserve"> Available at: https://gh.bmj.com/content/9/7/e015633 (Accessed: 18 April 2026).</w:t>
      </w:r>
    </w:p>
    <w:p w14:paraId="414CCA29" w14:textId="77777777" w:rsidR="00E040A6" w:rsidRPr="00E040A6" w:rsidRDefault="00E040A6" w:rsidP="006816A8">
      <w:pPr>
        <w:spacing w:before="240" w:after="240" w:line="360" w:lineRule="auto"/>
        <w:jc w:val="both"/>
        <w:rPr>
          <w:rFonts w:ascii="Arial" w:eastAsia="Arial" w:hAnsi="Arial" w:cs="Arial"/>
          <w:sz w:val="22"/>
          <w:szCs w:val="22"/>
        </w:rPr>
      </w:pPr>
      <w:proofErr w:type="spellStart"/>
      <w:r w:rsidRPr="00E040A6">
        <w:rPr>
          <w:rFonts w:ascii="Arial" w:eastAsia="Arial" w:hAnsi="Arial" w:cs="Arial"/>
          <w:sz w:val="22"/>
          <w:szCs w:val="22"/>
        </w:rPr>
        <w:t>Centers</w:t>
      </w:r>
      <w:proofErr w:type="spellEnd"/>
      <w:r w:rsidRPr="00E040A6">
        <w:rPr>
          <w:rFonts w:ascii="Arial" w:eastAsia="Arial" w:hAnsi="Arial" w:cs="Arial"/>
          <w:sz w:val="22"/>
          <w:szCs w:val="22"/>
        </w:rPr>
        <w:t xml:space="preserve"> for Disease Control and Prevention (CDC) (2024) </w:t>
      </w:r>
      <w:r w:rsidRPr="00E040A6">
        <w:rPr>
          <w:rFonts w:ascii="Arial" w:eastAsia="Arial" w:hAnsi="Arial" w:cs="Arial"/>
          <w:i/>
          <w:iCs/>
          <w:sz w:val="22"/>
          <w:szCs w:val="22"/>
        </w:rPr>
        <w:t>Tuberculosis (TB).</w:t>
      </w:r>
      <w:r w:rsidRPr="00E040A6">
        <w:rPr>
          <w:rFonts w:ascii="Arial" w:eastAsia="Arial" w:hAnsi="Arial" w:cs="Arial"/>
          <w:sz w:val="22"/>
          <w:szCs w:val="22"/>
        </w:rPr>
        <w:t xml:space="preserve"> Available at: https://www.cdc.gov/tb (Accessed: 3 April 2026).</w:t>
      </w:r>
    </w:p>
    <w:p w14:paraId="39F4630F" w14:textId="77777777" w:rsidR="00E040A6" w:rsidRPr="00E040A6" w:rsidRDefault="00E040A6" w:rsidP="006816A8">
      <w:pPr>
        <w:spacing w:before="240" w:after="240" w:line="360" w:lineRule="auto"/>
        <w:jc w:val="both"/>
        <w:rPr>
          <w:rFonts w:ascii="Arial" w:eastAsia="Arial" w:hAnsi="Arial" w:cs="Arial"/>
          <w:sz w:val="22"/>
          <w:szCs w:val="22"/>
        </w:rPr>
      </w:pPr>
      <w:r w:rsidRPr="00E040A6">
        <w:rPr>
          <w:rFonts w:ascii="Arial" w:eastAsia="Arial" w:hAnsi="Arial" w:cs="Arial"/>
          <w:sz w:val="22"/>
          <w:szCs w:val="22"/>
        </w:rPr>
        <w:t xml:space="preserve">Department of Health (2007) </w:t>
      </w:r>
      <w:r w:rsidRPr="00E040A6">
        <w:rPr>
          <w:rFonts w:ascii="Arial" w:eastAsia="Arial" w:hAnsi="Arial" w:cs="Arial"/>
          <w:i/>
          <w:iCs/>
          <w:sz w:val="22"/>
          <w:szCs w:val="22"/>
        </w:rPr>
        <w:t>Tuberculosis and vulnerable populations.</w:t>
      </w:r>
      <w:r w:rsidRPr="00E040A6">
        <w:rPr>
          <w:rFonts w:ascii="Arial" w:eastAsia="Arial" w:hAnsi="Arial" w:cs="Arial"/>
          <w:sz w:val="22"/>
          <w:szCs w:val="22"/>
        </w:rPr>
        <w:t xml:space="preserve"> Available at: https://assets.publishing.service.gov.uk/media/57a08c98e5274a31e00012fa/HTBLivtb_vulnerable.pdf (Accessed: 22 March 2026).</w:t>
      </w:r>
    </w:p>
    <w:p w14:paraId="0351B786" w14:textId="77777777" w:rsidR="000051A8" w:rsidRPr="000051A8" w:rsidRDefault="000051A8" w:rsidP="000051A8">
      <w:pPr>
        <w:spacing w:before="240" w:after="240" w:line="360" w:lineRule="auto"/>
        <w:jc w:val="both"/>
        <w:rPr>
          <w:rFonts w:ascii="Arial" w:eastAsia="Arial" w:hAnsi="Arial" w:cs="Arial"/>
          <w:sz w:val="22"/>
          <w:szCs w:val="22"/>
        </w:rPr>
      </w:pPr>
      <w:r w:rsidRPr="000051A8">
        <w:rPr>
          <w:rFonts w:ascii="Arial" w:eastAsia="Arial" w:hAnsi="Arial" w:cs="Arial"/>
          <w:sz w:val="22"/>
          <w:szCs w:val="22"/>
        </w:rPr>
        <w:t xml:space="preserve">National Institute for Health and Care Excellence (NICE) (2026) </w:t>
      </w:r>
      <w:r w:rsidRPr="000051A8">
        <w:rPr>
          <w:rFonts w:ascii="Arial" w:eastAsia="Arial" w:hAnsi="Arial" w:cs="Arial"/>
          <w:i/>
          <w:iCs/>
          <w:sz w:val="22"/>
          <w:szCs w:val="22"/>
        </w:rPr>
        <w:t>NICE – Evidence</w:t>
      </w:r>
      <w:r w:rsidRPr="000051A8">
        <w:rPr>
          <w:rFonts w:ascii="Arial" w:eastAsia="Arial" w:hAnsi="Arial" w:cs="Arial"/>
          <w:i/>
          <w:iCs/>
          <w:sz w:val="22"/>
          <w:szCs w:val="22"/>
        </w:rPr>
        <w:noBreakHyphen/>
        <w:t>based guidance and advice for health, public health and social care.</w:t>
      </w:r>
      <w:r w:rsidRPr="000051A8">
        <w:rPr>
          <w:rFonts w:ascii="Arial" w:eastAsia="Arial" w:hAnsi="Arial" w:cs="Arial"/>
          <w:sz w:val="22"/>
          <w:szCs w:val="22"/>
        </w:rPr>
        <w:t xml:space="preserve"> Available at: https://www.nice.org.uk/ (Accessed: 18 April 2026).</w:t>
      </w:r>
    </w:p>
    <w:p w14:paraId="74EA1F17" w14:textId="77777777" w:rsidR="00E040A6" w:rsidRPr="00E040A6" w:rsidRDefault="00E040A6" w:rsidP="006816A8">
      <w:pPr>
        <w:spacing w:before="240" w:after="240" w:line="360" w:lineRule="auto"/>
        <w:jc w:val="both"/>
        <w:rPr>
          <w:rFonts w:ascii="Arial" w:eastAsia="Arial" w:hAnsi="Arial" w:cs="Arial"/>
          <w:sz w:val="22"/>
          <w:szCs w:val="22"/>
        </w:rPr>
      </w:pPr>
      <w:r w:rsidRPr="00E040A6">
        <w:rPr>
          <w:rFonts w:ascii="Arial" w:eastAsia="Arial" w:hAnsi="Arial" w:cs="Arial"/>
          <w:sz w:val="22"/>
          <w:szCs w:val="22"/>
        </w:rPr>
        <w:t xml:space="preserve">NHS (2023) </w:t>
      </w:r>
      <w:r w:rsidRPr="00E040A6">
        <w:rPr>
          <w:rFonts w:ascii="Arial" w:eastAsia="Arial" w:hAnsi="Arial" w:cs="Arial"/>
          <w:i/>
          <w:iCs/>
          <w:sz w:val="22"/>
          <w:szCs w:val="22"/>
        </w:rPr>
        <w:t>Tuberculosis (TB).</w:t>
      </w:r>
      <w:r w:rsidRPr="00E040A6">
        <w:rPr>
          <w:rFonts w:ascii="Arial" w:eastAsia="Arial" w:hAnsi="Arial" w:cs="Arial"/>
          <w:sz w:val="22"/>
          <w:szCs w:val="22"/>
        </w:rPr>
        <w:t xml:space="preserve"> Available at: https://www.nhs.uk/conditions/tuberculosis-tb/ (Accessed: 3 April 2026).</w:t>
      </w:r>
    </w:p>
    <w:p w14:paraId="54B7B58F" w14:textId="77777777" w:rsidR="00E040A6" w:rsidRPr="00E040A6" w:rsidRDefault="00E040A6" w:rsidP="006816A8">
      <w:pPr>
        <w:spacing w:before="240" w:after="240" w:line="360" w:lineRule="auto"/>
        <w:jc w:val="both"/>
        <w:rPr>
          <w:rFonts w:ascii="Arial" w:eastAsia="Arial" w:hAnsi="Arial" w:cs="Arial"/>
          <w:sz w:val="22"/>
          <w:szCs w:val="22"/>
        </w:rPr>
      </w:pPr>
      <w:r w:rsidRPr="00E040A6">
        <w:rPr>
          <w:rFonts w:ascii="Arial" w:eastAsia="Arial" w:hAnsi="Arial" w:cs="Arial"/>
          <w:sz w:val="22"/>
          <w:szCs w:val="22"/>
        </w:rPr>
        <w:t xml:space="preserve">NHS England (2024) </w:t>
      </w:r>
      <w:r w:rsidRPr="00E040A6">
        <w:rPr>
          <w:rFonts w:ascii="Arial" w:eastAsia="Arial" w:hAnsi="Arial" w:cs="Arial"/>
          <w:i/>
          <w:iCs/>
          <w:sz w:val="22"/>
          <w:szCs w:val="22"/>
        </w:rPr>
        <w:t>Tuberculosis programme.</w:t>
      </w:r>
      <w:r w:rsidRPr="00E040A6">
        <w:rPr>
          <w:rFonts w:ascii="Arial" w:eastAsia="Arial" w:hAnsi="Arial" w:cs="Arial"/>
          <w:sz w:val="22"/>
          <w:szCs w:val="22"/>
        </w:rPr>
        <w:t xml:space="preserve"> Available at: https://www.england.nhs.uk/ourwork/prevention/tuberculosis-programme/ (Accessed: 3 April 2026).</w:t>
      </w:r>
    </w:p>
    <w:p w14:paraId="3582847D" w14:textId="31FED7A3" w:rsidR="00E040A6" w:rsidRPr="00956654" w:rsidRDefault="00956654" w:rsidP="006816A8">
      <w:pPr>
        <w:spacing w:before="240" w:after="240" w:line="360" w:lineRule="auto"/>
        <w:jc w:val="both"/>
        <w:rPr>
          <w:rFonts w:ascii="Arial" w:eastAsia="Arial" w:hAnsi="Arial" w:cs="Arial"/>
          <w:sz w:val="22"/>
          <w:szCs w:val="22"/>
        </w:rPr>
      </w:pPr>
      <w:r w:rsidRPr="00956654">
        <w:rPr>
          <w:rFonts w:ascii="Arial" w:eastAsia="Arial" w:hAnsi="Arial" w:cs="Arial"/>
          <w:sz w:val="22"/>
          <w:szCs w:val="22"/>
        </w:rPr>
        <w:t xml:space="preserve">NHS Inform (2023) </w:t>
      </w:r>
      <w:r w:rsidRPr="00956654">
        <w:rPr>
          <w:rFonts w:ascii="Arial" w:eastAsia="Arial" w:hAnsi="Arial" w:cs="Arial"/>
          <w:i/>
          <w:iCs/>
          <w:sz w:val="22"/>
          <w:szCs w:val="22"/>
        </w:rPr>
        <w:t>Tuberculosis (TB).</w:t>
      </w:r>
      <w:r w:rsidRPr="00956654">
        <w:rPr>
          <w:rFonts w:ascii="Arial" w:eastAsia="Arial" w:hAnsi="Arial" w:cs="Arial"/>
          <w:sz w:val="22"/>
          <w:szCs w:val="22"/>
        </w:rPr>
        <w:t xml:space="preserve"> Available at: https://www.nhsinform.scot/illnesses-and-conditions/lungs-and-airways/tuberculosis/</w:t>
      </w:r>
      <w:r w:rsidR="00E040A6" w:rsidRPr="00956654">
        <w:rPr>
          <w:rFonts w:ascii="Arial" w:eastAsia="Arial" w:hAnsi="Arial" w:cs="Arial"/>
          <w:sz w:val="22"/>
          <w:szCs w:val="22"/>
        </w:rPr>
        <w:t xml:space="preserve"> (Accessed: 3 April 2026).</w:t>
      </w:r>
    </w:p>
    <w:p w14:paraId="6B21822B" w14:textId="77777777" w:rsidR="00E040A6" w:rsidRPr="00E040A6" w:rsidRDefault="00E040A6" w:rsidP="006816A8">
      <w:pPr>
        <w:spacing w:before="240" w:after="240" w:line="360" w:lineRule="auto"/>
        <w:jc w:val="both"/>
        <w:rPr>
          <w:rFonts w:ascii="Arial" w:eastAsia="Arial" w:hAnsi="Arial" w:cs="Arial"/>
          <w:sz w:val="22"/>
          <w:szCs w:val="22"/>
        </w:rPr>
      </w:pPr>
      <w:r w:rsidRPr="00E040A6">
        <w:rPr>
          <w:rFonts w:ascii="Arial" w:eastAsia="Arial" w:hAnsi="Arial" w:cs="Arial"/>
          <w:sz w:val="22"/>
          <w:szCs w:val="22"/>
        </w:rPr>
        <w:t xml:space="preserve">UK Health Security Agency (UKHSA) (2023) </w:t>
      </w:r>
      <w:r w:rsidRPr="00E040A6">
        <w:rPr>
          <w:rFonts w:ascii="Arial" w:eastAsia="Arial" w:hAnsi="Arial" w:cs="Arial"/>
          <w:i/>
          <w:iCs/>
          <w:sz w:val="22"/>
          <w:szCs w:val="22"/>
        </w:rPr>
        <w:t>Tuberculosis (TB): action plan for England, 2021 to 2026.</w:t>
      </w:r>
      <w:r w:rsidRPr="00E040A6">
        <w:rPr>
          <w:rFonts w:ascii="Arial" w:eastAsia="Arial" w:hAnsi="Arial" w:cs="Arial"/>
          <w:sz w:val="22"/>
          <w:szCs w:val="22"/>
        </w:rPr>
        <w:t xml:space="preserve"> Available at: https://www.gov.uk/government/publications/tuberculosis-tb-action-plan-for-england/tuberculosis-tb-action-plan-for-england-2021-to-2026 (Accessed: 22 March 2026).</w:t>
      </w:r>
    </w:p>
    <w:p w14:paraId="7F8B8A2D" w14:textId="77777777" w:rsidR="00E040A6" w:rsidRPr="00E040A6" w:rsidRDefault="00E040A6" w:rsidP="006816A8">
      <w:pPr>
        <w:spacing w:before="240" w:after="240" w:line="360" w:lineRule="auto"/>
        <w:jc w:val="both"/>
        <w:rPr>
          <w:rFonts w:ascii="Arial" w:eastAsia="Arial" w:hAnsi="Arial" w:cs="Arial"/>
          <w:sz w:val="22"/>
          <w:szCs w:val="22"/>
        </w:rPr>
      </w:pPr>
      <w:r w:rsidRPr="00E040A6">
        <w:rPr>
          <w:rFonts w:ascii="Arial" w:eastAsia="Arial" w:hAnsi="Arial" w:cs="Arial"/>
          <w:sz w:val="22"/>
          <w:szCs w:val="22"/>
        </w:rPr>
        <w:t xml:space="preserve">UK Health Security Agency (UKHSA) (2024a) </w:t>
      </w:r>
      <w:r w:rsidRPr="00E040A6">
        <w:rPr>
          <w:rFonts w:ascii="Arial" w:eastAsia="Arial" w:hAnsi="Arial" w:cs="Arial"/>
          <w:i/>
          <w:iCs/>
          <w:sz w:val="22"/>
          <w:szCs w:val="22"/>
        </w:rPr>
        <w:t>Tackling TB in inclusion health groups: a toolkit for a multi-agency approach.</w:t>
      </w:r>
      <w:r w:rsidRPr="00E040A6">
        <w:rPr>
          <w:rFonts w:ascii="Arial" w:eastAsia="Arial" w:hAnsi="Arial" w:cs="Arial"/>
          <w:sz w:val="22"/>
          <w:szCs w:val="22"/>
        </w:rPr>
        <w:t xml:space="preserve"> Available at: https://www.gov.uk/government/publications/tackling-tb-in-inclusion-health-groups-toolkit-for-a-multi-agency-approach (Accessed: 22 March 2026).</w:t>
      </w:r>
    </w:p>
    <w:p w14:paraId="2740E98B" w14:textId="77777777" w:rsidR="00E040A6" w:rsidRPr="00E040A6" w:rsidRDefault="00E040A6" w:rsidP="006816A8">
      <w:pPr>
        <w:spacing w:before="240" w:after="240" w:line="360" w:lineRule="auto"/>
        <w:jc w:val="both"/>
        <w:rPr>
          <w:rFonts w:ascii="Arial" w:eastAsia="Arial" w:hAnsi="Arial" w:cs="Arial"/>
          <w:sz w:val="22"/>
          <w:szCs w:val="22"/>
        </w:rPr>
      </w:pPr>
      <w:r w:rsidRPr="00E040A6">
        <w:rPr>
          <w:rFonts w:ascii="Arial" w:eastAsia="Arial" w:hAnsi="Arial" w:cs="Arial"/>
          <w:sz w:val="22"/>
          <w:szCs w:val="22"/>
        </w:rPr>
        <w:t xml:space="preserve">UK Health Security Agency (UKHSA) (2024b) </w:t>
      </w:r>
      <w:r w:rsidRPr="00E040A6">
        <w:rPr>
          <w:rFonts w:ascii="Arial" w:eastAsia="Arial" w:hAnsi="Arial" w:cs="Arial"/>
          <w:i/>
          <w:iCs/>
          <w:sz w:val="22"/>
          <w:szCs w:val="22"/>
        </w:rPr>
        <w:t>Tuberculosis incidence and epidemiology, England, 2023.</w:t>
      </w:r>
      <w:r w:rsidRPr="00E040A6">
        <w:rPr>
          <w:rFonts w:ascii="Arial" w:eastAsia="Arial" w:hAnsi="Arial" w:cs="Arial"/>
          <w:sz w:val="22"/>
          <w:szCs w:val="22"/>
        </w:rPr>
        <w:t xml:space="preserve"> Available at: https://www.gov.uk/government/publications/tuberculosis-in-</w:t>
      </w:r>
      <w:r w:rsidRPr="00E040A6">
        <w:rPr>
          <w:rFonts w:ascii="Arial" w:eastAsia="Arial" w:hAnsi="Arial" w:cs="Arial"/>
          <w:sz w:val="22"/>
          <w:szCs w:val="22"/>
        </w:rPr>
        <w:lastRenderedPageBreak/>
        <w:t>england-2024-report/tuberculosis-incidence-and-epidemiology-england-2023 (Accessed: 3 April 2026).</w:t>
      </w:r>
    </w:p>
    <w:p w14:paraId="004C4374" w14:textId="77777777" w:rsidR="00E040A6" w:rsidRPr="00E040A6" w:rsidRDefault="00E040A6" w:rsidP="006816A8">
      <w:pPr>
        <w:spacing w:before="240" w:after="240" w:line="360" w:lineRule="auto"/>
        <w:jc w:val="both"/>
        <w:rPr>
          <w:rFonts w:ascii="Arial" w:eastAsia="Arial" w:hAnsi="Arial" w:cs="Arial"/>
          <w:sz w:val="22"/>
          <w:szCs w:val="22"/>
        </w:rPr>
      </w:pPr>
      <w:r w:rsidRPr="00E040A6">
        <w:rPr>
          <w:rFonts w:ascii="Arial" w:eastAsia="Arial" w:hAnsi="Arial" w:cs="Arial"/>
          <w:sz w:val="22"/>
          <w:szCs w:val="22"/>
        </w:rPr>
        <w:t xml:space="preserve">UK Health Security Agency (UKHSA) (2025) </w:t>
      </w:r>
      <w:r w:rsidRPr="00E040A6">
        <w:rPr>
          <w:rFonts w:ascii="Arial" w:eastAsia="Arial" w:hAnsi="Arial" w:cs="Arial"/>
          <w:i/>
          <w:iCs/>
          <w:sz w:val="22"/>
          <w:szCs w:val="22"/>
        </w:rPr>
        <w:t>Tuberculosis incidence and epidemiology, England, 2024.</w:t>
      </w:r>
      <w:r w:rsidRPr="00E040A6">
        <w:rPr>
          <w:rFonts w:ascii="Arial" w:eastAsia="Arial" w:hAnsi="Arial" w:cs="Arial"/>
          <w:sz w:val="22"/>
          <w:szCs w:val="22"/>
        </w:rPr>
        <w:t xml:space="preserve"> Available at: https://www.gov.uk/government/publications/tuberculosis-in-england-2025-report/1-tuberculosis-incidence-and-epidemiology-england-2024 (Accessed: 3 April 2026).</w:t>
      </w:r>
    </w:p>
    <w:p w14:paraId="1F965B6D" w14:textId="45159579" w:rsidR="191387A1" w:rsidRPr="00074484" w:rsidRDefault="00E040A6" w:rsidP="00074484">
      <w:pPr>
        <w:spacing w:before="240" w:after="240" w:line="360" w:lineRule="auto"/>
        <w:jc w:val="both"/>
        <w:rPr>
          <w:rFonts w:ascii="Arial" w:eastAsia="Arial" w:hAnsi="Arial" w:cs="Arial"/>
          <w:sz w:val="22"/>
          <w:szCs w:val="22"/>
        </w:rPr>
      </w:pPr>
      <w:r w:rsidRPr="00E040A6">
        <w:rPr>
          <w:rFonts w:ascii="Arial" w:eastAsia="Arial" w:hAnsi="Arial" w:cs="Arial"/>
          <w:sz w:val="22"/>
          <w:szCs w:val="22"/>
        </w:rPr>
        <w:t xml:space="preserve">World Health Organization (WHO) (2023) </w:t>
      </w:r>
      <w:r w:rsidRPr="00E040A6">
        <w:rPr>
          <w:rFonts w:ascii="Arial" w:eastAsia="Arial" w:hAnsi="Arial" w:cs="Arial"/>
          <w:i/>
          <w:iCs/>
          <w:sz w:val="22"/>
          <w:szCs w:val="22"/>
        </w:rPr>
        <w:t>Global tuberculosis report 2023.</w:t>
      </w:r>
      <w:r w:rsidRPr="00E040A6">
        <w:rPr>
          <w:rFonts w:ascii="Arial" w:eastAsia="Arial" w:hAnsi="Arial" w:cs="Arial"/>
          <w:sz w:val="22"/>
          <w:szCs w:val="22"/>
        </w:rPr>
        <w:t xml:space="preserve"> Available at: https://www.who.int (Accessed: 19 March 2026)</w:t>
      </w:r>
    </w:p>
    <w:sectPr w:rsidR="191387A1" w:rsidRPr="0007448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5D7BB2" w14:textId="77777777" w:rsidR="006019CB" w:rsidRDefault="006019CB" w:rsidP="006816A8">
      <w:pPr>
        <w:spacing w:after="0" w:line="240" w:lineRule="auto"/>
      </w:pPr>
      <w:r>
        <w:separator/>
      </w:r>
    </w:p>
  </w:endnote>
  <w:endnote w:type="continuationSeparator" w:id="0">
    <w:p w14:paraId="4E0E7E2F" w14:textId="77777777" w:rsidR="006019CB" w:rsidRDefault="006019CB" w:rsidP="006816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85A766" w14:textId="77777777" w:rsidR="006019CB" w:rsidRDefault="006019CB" w:rsidP="006816A8">
      <w:pPr>
        <w:spacing w:after="0" w:line="240" w:lineRule="auto"/>
      </w:pPr>
      <w:r>
        <w:separator/>
      </w:r>
    </w:p>
  </w:footnote>
  <w:footnote w:type="continuationSeparator" w:id="0">
    <w:p w14:paraId="22F0E467" w14:textId="77777777" w:rsidR="006019CB" w:rsidRDefault="006019CB" w:rsidP="006816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8AC6F9"/>
    <w:multiLevelType w:val="hybridMultilevel"/>
    <w:tmpl w:val="D19CFA02"/>
    <w:lvl w:ilvl="0" w:tplc="A5F4308C">
      <w:start w:val="1"/>
      <w:numFmt w:val="bullet"/>
      <w:lvlText w:val=""/>
      <w:lvlJc w:val="left"/>
      <w:pPr>
        <w:ind w:left="720" w:hanging="360"/>
      </w:pPr>
      <w:rPr>
        <w:rFonts w:ascii="Symbol" w:hAnsi="Symbol" w:hint="default"/>
      </w:rPr>
    </w:lvl>
    <w:lvl w:ilvl="1" w:tplc="DD361882">
      <w:start w:val="1"/>
      <w:numFmt w:val="bullet"/>
      <w:lvlText w:val="o"/>
      <w:lvlJc w:val="left"/>
      <w:pPr>
        <w:ind w:left="1440" w:hanging="360"/>
      </w:pPr>
      <w:rPr>
        <w:rFonts w:ascii="Courier New" w:hAnsi="Courier New" w:hint="default"/>
      </w:rPr>
    </w:lvl>
    <w:lvl w:ilvl="2" w:tplc="B19C45BA">
      <w:start w:val="1"/>
      <w:numFmt w:val="bullet"/>
      <w:lvlText w:val=""/>
      <w:lvlJc w:val="left"/>
      <w:pPr>
        <w:ind w:left="2160" w:hanging="360"/>
      </w:pPr>
      <w:rPr>
        <w:rFonts w:ascii="Wingdings" w:hAnsi="Wingdings" w:hint="default"/>
      </w:rPr>
    </w:lvl>
    <w:lvl w:ilvl="3" w:tplc="869CA886">
      <w:start w:val="1"/>
      <w:numFmt w:val="bullet"/>
      <w:lvlText w:val=""/>
      <w:lvlJc w:val="left"/>
      <w:pPr>
        <w:ind w:left="2880" w:hanging="360"/>
      </w:pPr>
      <w:rPr>
        <w:rFonts w:ascii="Symbol" w:hAnsi="Symbol" w:hint="default"/>
      </w:rPr>
    </w:lvl>
    <w:lvl w:ilvl="4" w:tplc="D1148CE2">
      <w:start w:val="1"/>
      <w:numFmt w:val="bullet"/>
      <w:lvlText w:val="o"/>
      <w:lvlJc w:val="left"/>
      <w:pPr>
        <w:ind w:left="3600" w:hanging="360"/>
      </w:pPr>
      <w:rPr>
        <w:rFonts w:ascii="Courier New" w:hAnsi="Courier New" w:hint="default"/>
      </w:rPr>
    </w:lvl>
    <w:lvl w:ilvl="5" w:tplc="3EF22618">
      <w:start w:val="1"/>
      <w:numFmt w:val="bullet"/>
      <w:lvlText w:val=""/>
      <w:lvlJc w:val="left"/>
      <w:pPr>
        <w:ind w:left="4320" w:hanging="360"/>
      </w:pPr>
      <w:rPr>
        <w:rFonts w:ascii="Wingdings" w:hAnsi="Wingdings" w:hint="default"/>
      </w:rPr>
    </w:lvl>
    <w:lvl w:ilvl="6" w:tplc="BF4C4670">
      <w:start w:val="1"/>
      <w:numFmt w:val="bullet"/>
      <w:lvlText w:val=""/>
      <w:lvlJc w:val="left"/>
      <w:pPr>
        <w:ind w:left="5040" w:hanging="360"/>
      </w:pPr>
      <w:rPr>
        <w:rFonts w:ascii="Symbol" w:hAnsi="Symbol" w:hint="default"/>
      </w:rPr>
    </w:lvl>
    <w:lvl w:ilvl="7" w:tplc="B0D44A32">
      <w:start w:val="1"/>
      <w:numFmt w:val="bullet"/>
      <w:lvlText w:val="o"/>
      <w:lvlJc w:val="left"/>
      <w:pPr>
        <w:ind w:left="5760" w:hanging="360"/>
      </w:pPr>
      <w:rPr>
        <w:rFonts w:ascii="Courier New" w:hAnsi="Courier New" w:hint="default"/>
      </w:rPr>
    </w:lvl>
    <w:lvl w:ilvl="8" w:tplc="F8846F66">
      <w:start w:val="1"/>
      <w:numFmt w:val="bullet"/>
      <w:lvlText w:val=""/>
      <w:lvlJc w:val="left"/>
      <w:pPr>
        <w:ind w:left="6480" w:hanging="360"/>
      </w:pPr>
      <w:rPr>
        <w:rFonts w:ascii="Wingdings" w:hAnsi="Wingdings" w:hint="default"/>
      </w:rPr>
    </w:lvl>
  </w:abstractNum>
  <w:abstractNum w:abstractNumId="1" w15:restartNumberingAfterBreak="0">
    <w:nsid w:val="2B5B65E8"/>
    <w:multiLevelType w:val="hybridMultilevel"/>
    <w:tmpl w:val="D862D6E0"/>
    <w:lvl w:ilvl="0" w:tplc="F22AD356">
      <w:start w:val="1"/>
      <w:numFmt w:val="bullet"/>
      <w:lvlText w:val=""/>
      <w:lvlJc w:val="left"/>
      <w:pPr>
        <w:ind w:left="720" w:hanging="360"/>
      </w:pPr>
      <w:rPr>
        <w:rFonts w:ascii="Symbol" w:hAnsi="Symbol" w:hint="default"/>
      </w:rPr>
    </w:lvl>
    <w:lvl w:ilvl="1" w:tplc="44DAB0F6">
      <w:start w:val="1"/>
      <w:numFmt w:val="bullet"/>
      <w:lvlText w:val="o"/>
      <w:lvlJc w:val="left"/>
      <w:pPr>
        <w:ind w:left="1440" w:hanging="360"/>
      </w:pPr>
      <w:rPr>
        <w:rFonts w:ascii="Courier New" w:hAnsi="Courier New" w:hint="default"/>
      </w:rPr>
    </w:lvl>
    <w:lvl w:ilvl="2" w:tplc="4748EEC4">
      <w:start w:val="1"/>
      <w:numFmt w:val="bullet"/>
      <w:lvlText w:val=""/>
      <w:lvlJc w:val="left"/>
      <w:pPr>
        <w:ind w:left="2160" w:hanging="360"/>
      </w:pPr>
      <w:rPr>
        <w:rFonts w:ascii="Wingdings" w:hAnsi="Wingdings" w:hint="default"/>
      </w:rPr>
    </w:lvl>
    <w:lvl w:ilvl="3" w:tplc="7898FF3A">
      <w:start w:val="1"/>
      <w:numFmt w:val="bullet"/>
      <w:lvlText w:val=""/>
      <w:lvlJc w:val="left"/>
      <w:pPr>
        <w:ind w:left="2880" w:hanging="360"/>
      </w:pPr>
      <w:rPr>
        <w:rFonts w:ascii="Symbol" w:hAnsi="Symbol" w:hint="default"/>
      </w:rPr>
    </w:lvl>
    <w:lvl w:ilvl="4" w:tplc="EC88B7D2">
      <w:start w:val="1"/>
      <w:numFmt w:val="bullet"/>
      <w:lvlText w:val="o"/>
      <w:lvlJc w:val="left"/>
      <w:pPr>
        <w:ind w:left="3600" w:hanging="360"/>
      </w:pPr>
      <w:rPr>
        <w:rFonts w:ascii="Courier New" w:hAnsi="Courier New" w:hint="default"/>
      </w:rPr>
    </w:lvl>
    <w:lvl w:ilvl="5" w:tplc="85823CB6">
      <w:start w:val="1"/>
      <w:numFmt w:val="bullet"/>
      <w:lvlText w:val=""/>
      <w:lvlJc w:val="left"/>
      <w:pPr>
        <w:ind w:left="4320" w:hanging="360"/>
      </w:pPr>
      <w:rPr>
        <w:rFonts w:ascii="Wingdings" w:hAnsi="Wingdings" w:hint="default"/>
      </w:rPr>
    </w:lvl>
    <w:lvl w:ilvl="6" w:tplc="7560823A">
      <w:start w:val="1"/>
      <w:numFmt w:val="bullet"/>
      <w:lvlText w:val=""/>
      <w:lvlJc w:val="left"/>
      <w:pPr>
        <w:ind w:left="5040" w:hanging="360"/>
      </w:pPr>
      <w:rPr>
        <w:rFonts w:ascii="Symbol" w:hAnsi="Symbol" w:hint="default"/>
      </w:rPr>
    </w:lvl>
    <w:lvl w:ilvl="7" w:tplc="82321E1E">
      <w:start w:val="1"/>
      <w:numFmt w:val="bullet"/>
      <w:lvlText w:val="o"/>
      <w:lvlJc w:val="left"/>
      <w:pPr>
        <w:ind w:left="5760" w:hanging="360"/>
      </w:pPr>
      <w:rPr>
        <w:rFonts w:ascii="Courier New" w:hAnsi="Courier New" w:hint="default"/>
      </w:rPr>
    </w:lvl>
    <w:lvl w:ilvl="8" w:tplc="B9BA89FC">
      <w:start w:val="1"/>
      <w:numFmt w:val="bullet"/>
      <w:lvlText w:val=""/>
      <w:lvlJc w:val="left"/>
      <w:pPr>
        <w:ind w:left="6480" w:hanging="360"/>
      </w:pPr>
      <w:rPr>
        <w:rFonts w:ascii="Wingdings" w:hAnsi="Wingdings" w:hint="default"/>
      </w:rPr>
    </w:lvl>
  </w:abstractNum>
  <w:num w:numId="1" w16cid:durableId="1512181672">
    <w:abstractNumId w:val="0"/>
  </w:num>
  <w:num w:numId="2" w16cid:durableId="20903428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A47B4E"/>
    <w:rsid w:val="000051A8"/>
    <w:rsid w:val="00024CAD"/>
    <w:rsid w:val="00074484"/>
    <w:rsid w:val="00190FE4"/>
    <w:rsid w:val="001A2C39"/>
    <w:rsid w:val="00261F3C"/>
    <w:rsid w:val="002C13B3"/>
    <w:rsid w:val="002F0243"/>
    <w:rsid w:val="00352D47"/>
    <w:rsid w:val="00421EA3"/>
    <w:rsid w:val="00476C84"/>
    <w:rsid w:val="005318C1"/>
    <w:rsid w:val="006019CB"/>
    <w:rsid w:val="006816A8"/>
    <w:rsid w:val="006D3FC3"/>
    <w:rsid w:val="00712310"/>
    <w:rsid w:val="00956654"/>
    <w:rsid w:val="00C21910"/>
    <w:rsid w:val="00CD5DD1"/>
    <w:rsid w:val="00E040A6"/>
    <w:rsid w:val="00E9786F"/>
    <w:rsid w:val="00FC0F2F"/>
    <w:rsid w:val="00FF3C2A"/>
    <w:rsid w:val="01D8D6BA"/>
    <w:rsid w:val="024D4836"/>
    <w:rsid w:val="02D652E1"/>
    <w:rsid w:val="037FDA26"/>
    <w:rsid w:val="03C6AF28"/>
    <w:rsid w:val="040EBC55"/>
    <w:rsid w:val="052C119C"/>
    <w:rsid w:val="0624ECF6"/>
    <w:rsid w:val="06E632C7"/>
    <w:rsid w:val="06EEAB59"/>
    <w:rsid w:val="078BA3F1"/>
    <w:rsid w:val="0A6C68C3"/>
    <w:rsid w:val="0B3491F7"/>
    <w:rsid w:val="0B41C5D9"/>
    <w:rsid w:val="119F7ED0"/>
    <w:rsid w:val="126882B1"/>
    <w:rsid w:val="129790C7"/>
    <w:rsid w:val="146663BE"/>
    <w:rsid w:val="1734DA0F"/>
    <w:rsid w:val="17993BC3"/>
    <w:rsid w:val="191387A1"/>
    <w:rsid w:val="1C2C019D"/>
    <w:rsid w:val="1CD0F0EA"/>
    <w:rsid w:val="213136AA"/>
    <w:rsid w:val="21C8319F"/>
    <w:rsid w:val="230AC6BB"/>
    <w:rsid w:val="24551F67"/>
    <w:rsid w:val="249D2516"/>
    <w:rsid w:val="2606281E"/>
    <w:rsid w:val="262359F8"/>
    <w:rsid w:val="267E4664"/>
    <w:rsid w:val="279ACE69"/>
    <w:rsid w:val="295A4402"/>
    <w:rsid w:val="2DD4BA7A"/>
    <w:rsid w:val="2E2533AE"/>
    <w:rsid w:val="2E47475C"/>
    <w:rsid w:val="30A47B4E"/>
    <w:rsid w:val="31C7056F"/>
    <w:rsid w:val="32034181"/>
    <w:rsid w:val="3477081C"/>
    <w:rsid w:val="34DE0D24"/>
    <w:rsid w:val="364B3D82"/>
    <w:rsid w:val="36EF7624"/>
    <w:rsid w:val="399E8A9C"/>
    <w:rsid w:val="39CE45C2"/>
    <w:rsid w:val="3C3E44D9"/>
    <w:rsid w:val="3D38BA51"/>
    <w:rsid w:val="3E8A363E"/>
    <w:rsid w:val="3ECD7CF8"/>
    <w:rsid w:val="4027A792"/>
    <w:rsid w:val="409437E0"/>
    <w:rsid w:val="431850B4"/>
    <w:rsid w:val="447502C1"/>
    <w:rsid w:val="49C6AEF8"/>
    <w:rsid w:val="4B178E5C"/>
    <w:rsid w:val="4BFAFE24"/>
    <w:rsid w:val="4C780052"/>
    <w:rsid w:val="4CB0E5B2"/>
    <w:rsid w:val="4E9260D7"/>
    <w:rsid w:val="4ECBC35E"/>
    <w:rsid w:val="52F89605"/>
    <w:rsid w:val="55AFF752"/>
    <w:rsid w:val="5601DC90"/>
    <w:rsid w:val="579B2233"/>
    <w:rsid w:val="58D48523"/>
    <w:rsid w:val="5A2ACAE1"/>
    <w:rsid w:val="5C041F97"/>
    <w:rsid w:val="5DF2DE94"/>
    <w:rsid w:val="5F4FBECD"/>
    <w:rsid w:val="604A17BD"/>
    <w:rsid w:val="6335666D"/>
    <w:rsid w:val="64313754"/>
    <w:rsid w:val="65A64C63"/>
    <w:rsid w:val="68F4377F"/>
    <w:rsid w:val="6A45662F"/>
    <w:rsid w:val="6B66962D"/>
    <w:rsid w:val="6C28E456"/>
    <w:rsid w:val="6C5A1960"/>
    <w:rsid w:val="6CCA43EB"/>
    <w:rsid w:val="6CE20149"/>
    <w:rsid w:val="6D1ABCB0"/>
    <w:rsid w:val="6F795201"/>
    <w:rsid w:val="705AB83F"/>
    <w:rsid w:val="70C603C6"/>
    <w:rsid w:val="70E3D791"/>
    <w:rsid w:val="7181186F"/>
    <w:rsid w:val="7904F88B"/>
    <w:rsid w:val="79CE6CF5"/>
    <w:rsid w:val="7A80BAB9"/>
    <w:rsid w:val="7B552C5A"/>
    <w:rsid w:val="7D95EB7A"/>
    <w:rsid w:val="7E61D8F3"/>
    <w:rsid w:val="7FE8D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47B4E"/>
  <w15:chartTrackingRefBased/>
  <w15:docId w15:val="{2A8E6C8C-0E91-4552-A16E-D8908D808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191387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91387A1"/>
    <w:rPr>
      <w:color w:val="467886"/>
      <w:u w:val="single"/>
    </w:rPr>
  </w:style>
  <w:style w:type="paragraph" w:styleId="Header">
    <w:name w:val="header"/>
    <w:basedOn w:val="Normal"/>
    <w:link w:val="HeaderChar"/>
    <w:uiPriority w:val="99"/>
    <w:unhideWhenUsed/>
    <w:rsid w:val="006816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6A8"/>
  </w:style>
  <w:style w:type="paragraph" w:styleId="Footer">
    <w:name w:val="footer"/>
    <w:basedOn w:val="Normal"/>
    <w:link w:val="FooterChar"/>
    <w:uiPriority w:val="99"/>
    <w:unhideWhenUsed/>
    <w:rsid w:val="006816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6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1819</TotalTime>
  <Pages>8</Pages>
  <Words>2024</Words>
  <Characters>11541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Larissa Dion (2508557)</dc:creator>
  <cp:keywords/>
  <dc:description/>
  <cp:lastModifiedBy>Larissa Dion (2508557)</cp:lastModifiedBy>
  <cp:revision>2</cp:revision>
  <dcterms:created xsi:type="dcterms:W3CDTF">2026-04-16T22:38:00Z</dcterms:created>
  <dcterms:modified xsi:type="dcterms:W3CDTF">2026-04-18T16:24:00Z</dcterms:modified>
</cp:coreProperties>
</file>