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195D5C" w14:textId="77777777" w:rsidR="00010C90" w:rsidRDefault="00010C90" w:rsidP="009A01FF">
      <w:pPr>
        <w:jc w:val="center"/>
        <w:rPr>
          <w:rFonts w:ascii="Times New Roman" w:hAnsi="Times New Roman" w:cs="Times New Roman"/>
          <w:sz w:val="36"/>
          <w:szCs w:val="36"/>
        </w:rPr>
      </w:pPr>
    </w:p>
    <w:p w14:paraId="753E9071" w14:textId="77777777" w:rsidR="00A63129" w:rsidRDefault="00A63129" w:rsidP="004D7DB2">
      <w:pPr>
        <w:jc w:val="center"/>
        <w:rPr>
          <w:rFonts w:ascii="Times New Roman" w:hAnsi="Times New Roman" w:cs="Times New Roman"/>
          <w:sz w:val="36"/>
          <w:szCs w:val="36"/>
        </w:rPr>
      </w:pPr>
    </w:p>
    <w:p w14:paraId="11925863" w14:textId="77777777" w:rsidR="00A63129" w:rsidRDefault="00A63129" w:rsidP="004D7DB2">
      <w:pPr>
        <w:jc w:val="center"/>
        <w:rPr>
          <w:rFonts w:ascii="Times New Roman" w:hAnsi="Times New Roman" w:cs="Times New Roman"/>
          <w:sz w:val="36"/>
          <w:szCs w:val="36"/>
        </w:rPr>
      </w:pPr>
    </w:p>
    <w:p w14:paraId="051E4F15" w14:textId="7C382939" w:rsidR="004D7DB2" w:rsidRDefault="004D7DB2" w:rsidP="004D7DB2">
      <w:pPr>
        <w:jc w:val="center"/>
        <w:rPr>
          <w:rFonts w:ascii="Times New Roman" w:hAnsi="Times New Roman" w:cs="Times New Roman"/>
          <w:sz w:val="36"/>
          <w:szCs w:val="36"/>
        </w:rPr>
      </w:pPr>
      <w:r>
        <w:rPr>
          <w:rFonts w:ascii="Times New Roman" w:hAnsi="Times New Roman" w:cs="Times New Roman"/>
          <w:sz w:val="36"/>
          <w:szCs w:val="36"/>
        </w:rPr>
        <w:t xml:space="preserve">Nikola </w:t>
      </w:r>
      <w:proofErr w:type="spellStart"/>
      <w:r>
        <w:rPr>
          <w:rFonts w:ascii="Times New Roman" w:hAnsi="Times New Roman" w:cs="Times New Roman"/>
          <w:sz w:val="36"/>
          <w:szCs w:val="36"/>
        </w:rPr>
        <w:t>Sugarova</w:t>
      </w:r>
      <w:proofErr w:type="spellEnd"/>
      <w:r>
        <w:rPr>
          <w:rFonts w:ascii="Times New Roman" w:hAnsi="Times New Roman" w:cs="Times New Roman"/>
          <w:sz w:val="36"/>
          <w:szCs w:val="36"/>
        </w:rPr>
        <w:t xml:space="preserve"> </w:t>
      </w:r>
    </w:p>
    <w:p w14:paraId="01EEBF82" w14:textId="2C14B33A" w:rsidR="004D7DB2" w:rsidRDefault="004D7DB2" w:rsidP="004D7DB2">
      <w:pPr>
        <w:jc w:val="center"/>
        <w:rPr>
          <w:rFonts w:ascii="Times New Roman" w:hAnsi="Times New Roman" w:cs="Times New Roman"/>
          <w:sz w:val="36"/>
          <w:szCs w:val="36"/>
        </w:rPr>
      </w:pPr>
      <w:r>
        <w:rPr>
          <w:rFonts w:ascii="Times New Roman" w:hAnsi="Times New Roman" w:cs="Times New Roman"/>
          <w:sz w:val="36"/>
          <w:szCs w:val="36"/>
        </w:rPr>
        <w:t>Student No</w:t>
      </w:r>
      <w:r w:rsidR="00F43D5F">
        <w:rPr>
          <w:rFonts w:ascii="Times New Roman" w:hAnsi="Times New Roman" w:cs="Times New Roman"/>
          <w:sz w:val="36"/>
          <w:szCs w:val="36"/>
        </w:rPr>
        <w:t>-2219936</w:t>
      </w:r>
    </w:p>
    <w:p w14:paraId="7ED990AE" w14:textId="7D14F08A" w:rsidR="007A35F9" w:rsidRDefault="007A35F9" w:rsidP="007A35F9">
      <w:pPr>
        <w:jc w:val="center"/>
        <w:rPr>
          <w:rFonts w:ascii="Times New Roman" w:hAnsi="Times New Roman" w:cs="Times New Roman"/>
          <w:sz w:val="36"/>
          <w:szCs w:val="36"/>
        </w:rPr>
      </w:pPr>
      <w:r>
        <w:rPr>
          <w:rFonts w:ascii="Times New Roman" w:hAnsi="Times New Roman" w:cs="Times New Roman"/>
          <w:sz w:val="36"/>
          <w:szCs w:val="36"/>
        </w:rPr>
        <w:t>20/11/2025</w:t>
      </w:r>
    </w:p>
    <w:p w14:paraId="6BB03D5C" w14:textId="77777777" w:rsidR="007A35F9" w:rsidRDefault="007A35F9" w:rsidP="007A35F9">
      <w:pPr>
        <w:jc w:val="center"/>
        <w:rPr>
          <w:rFonts w:ascii="Times New Roman" w:hAnsi="Times New Roman" w:cs="Times New Roman"/>
          <w:sz w:val="36"/>
          <w:szCs w:val="36"/>
        </w:rPr>
      </w:pPr>
    </w:p>
    <w:p w14:paraId="16956A1F" w14:textId="77777777" w:rsidR="007A35F9" w:rsidRDefault="007A35F9" w:rsidP="007A35F9">
      <w:pPr>
        <w:jc w:val="center"/>
        <w:rPr>
          <w:rFonts w:ascii="Times New Roman" w:hAnsi="Times New Roman" w:cs="Times New Roman"/>
          <w:sz w:val="36"/>
          <w:szCs w:val="36"/>
        </w:rPr>
      </w:pPr>
    </w:p>
    <w:p w14:paraId="00D4EB49" w14:textId="632ED45A" w:rsidR="00221579" w:rsidRPr="00343522" w:rsidRDefault="009A01FF" w:rsidP="007A35F9">
      <w:pPr>
        <w:jc w:val="center"/>
        <w:rPr>
          <w:rFonts w:ascii="Times New Roman" w:hAnsi="Times New Roman" w:cs="Times New Roman"/>
          <w:sz w:val="36"/>
          <w:szCs w:val="36"/>
        </w:rPr>
      </w:pPr>
      <w:r w:rsidRPr="00343522">
        <w:rPr>
          <w:rFonts w:ascii="Times New Roman" w:hAnsi="Times New Roman" w:cs="Times New Roman"/>
          <w:sz w:val="36"/>
          <w:szCs w:val="36"/>
        </w:rPr>
        <w:t>Textual Analysis of 1 Samuel 18:1–9 and Ezekiel 16</w:t>
      </w:r>
    </w:p>
    <w:p w14:paraId="7FF20320" w14:textId="4836DAAE" w:rsidR="00C976B5" w:rsidRPr="00343522" w:rsidRDefault="00C976B5" w:rsidP="00010C90">
      <w:pPr>
        <w:jc w:val="center"/>
        <w:rPr>
          <w:rFonts w:ascii="Times New Roman" w:hAnsi="Times New Roman" w:cs="Times New Roman"/>
          <w:sz w:val="36"/>
          <w:szCs w:val="36"/>
        </w:rPr>
      </w:pPr>
      <w:r w:rsidRPr="00343522">
        <w:rPr>
          <w:rFonts w:ascii="Times New Roman" w:hAnsi="Times New Roman" w:cs="Times New Roman"/>
          <w:sz w:val="36"/>
          <w:szCs w:val="36"/>
        </w:rPr>
        <w:t>Power, Loyalty, and Gender in 1 Samuel 18:1–9 and Ezekiel 16: A Historical-Critical and Feminist Analysis</w:t>
      </w:r>
    </w:p>
    <w:p w14:paraId="7AD4F073" w14:textId="77777777" w:rsidR="00D85E57" w:rsidRDefault="00D85E57" w:rsidP="00D85E57"/>
    <w:p w14:paraId="27DA734F" w14:textId="77777777" w:rsidR="00D85E57" w:rsidRDefault="00D85E57" w:rsidP="00D85E57"/>
    <w:p w14:paraId="449CF16A" w14:textId="77777777" w:rsidR="00D85E57" w:rsidRPr="00343522" w:rsidRDefault="00D85E57" w:rsidP="00D85E57">
      <w:pPr>
        <w:pStyle w:val="NormalWeb"/>
        <w:rPr>
          <w:b/>
          <w:bCs/>
          <w:sz w:val="28"/>
          <w:szCs w:val="28"/>
        </w:rPr>
      </w:pPr>
      <w:r w:rsidRPr="00343522">
        <w:rPr>
          <w:b/>
          <w:bCs/>
          <w:sz w:val="28"/>
          <w:szCs w:val="28"/>
        </w:rPr>
        <w:t>Introduction</w:t>
      </w:r>
    </w:p>
    <w:p w14:paraId="53E641C7" w14:textId="24107E3D" w:rsidR="00D85E57" w:rsidRDefault="00D85E57" w:rsidP="00D85E57">
      <w:pPr>
        <w:pStyle w:val="NormalWeb"/>
      </w:pPr>
      <w:r>
        <w:t xml:space="preserve">The Hebrew Bible is a rich tapestry of literature </w:t>
      </w:r>
      <w:r w:rsidR="00343522">
        <w:t>styles,</w:t>
      </w:r>
      <w:r>
        <w:t xml:space="preserve"> varied and numerous theological views and historical contexts. Its rich stories and tales are still impacting religious thinking and ethical dialogue in contemporary society. Two of the most intriguing examples of how the ancient literature of Israel dealt with power, loyalty, identity and covenant relationship are 1 Samuel 18:1–9 and Ezekiel 16. Although these two texts come from vastly different literary and historical settings —one dealing with the intrigue of a fledgling monarchy, the other using prophetic allegory in a time of national disaster— </w:t>
      </w:r>
      <w:r w:rsidR="00343522">
        <w:t>analysing</w:t>
      </w:r>
      <w:r>
        <w:t xml:space="preserve"> them together offers deep insight into the ideologies that structured the theology and social structure of ancient Israel. This paper uses both historical-critical and feminist methodologies to understand how these two sections of scripture convey meaning while critiquing the gendered assumptions and power dynamics built into their rhetoric. A dual methodological approach allows modern readers to understand these ancient texts while at the same time being aware of the possible negative ideological implications of these texts on the way gender is represented and treated.</w:t>
      </w:r>
    </w:p>
    <w:p w14:paraId="43765A11" w14:textId="77777777" w:rsidR="00D85E57" w:rsidRPr="00343522" w:rsidRDefault="00D85E57" w:rsidP="00D85E57">
      <w:pPr>
        <w:pStyle w:val="NormalWeb"/>
        <w:rPr>
          <w:b/>
          <w:bCs/>
          <w:sz w:val="28"/>
          <w:szCs w:val="28"/>
        </w:rPr>
      </w:pPr>
      <w:r w:rsidRPr="00343522">
        <w:rPr>
          <w:b/>
          <w:bCs/>
          <w:sz w:val="28"/>
          <w:szCs w:val="28"/>
        </w:rPr>
        <w:t>Historical and Literary Setting of 1 Samuel 18:1–9</w:t>
      </w:r>
    </w:p>
    <w:p w14:paraId="2E6A11CC" w14:textId="27C48873" w:rsidR="00D85E57" w:rsidRDefault="00D85E57" w:rsidP="00D85E57">
      <w:pPr>
        <w:pStyle w:val="NormalWeb"/>
      </w:pPr>
      <w:r>
        <w:t xml:space="preserve">The narrative of 1 Samuel 18:1–9 takes place at a critical juncture in the </w:t>
      </w:r>
      <w:r w:rsidR="00C10F98">
        <w:t>Deuteronomist</w:t>
      </w:r>
      <w:r>
        <w:t xml:space="preserve"> History, the theological history written by the </w:t>
      </w:r>
      <w:r w:rsidR="00C10F98">
        <w:t>Deuteronomist</w:t>
      </w:r>
      <w:r>
        <w:t xml:space="preserve"> Historian covering the events in Deuteronomy through 2 Kings that historians believe to have been composed around the end of the </w:t>
      </w:r>
      <w:r w:rsidR="00343522">
        <w:t>monarchical</w:t>
      </w:r>
      <w:r>
        <w:t xml:space="preserve"> period and/or early exile. This section of scripture follows the narrative of David’s incredible victory over the Philistine giant Goliath, which signalled God’s </w:t>
      </w:r>
      <w:r w:rsidR="00343522">
        <w:t>favour</w:t>
      </w:r>
      <w:r>
        <w:t xml:space="preserve"> and marked the beginning of David’s rapid rise in prominence at Saul’s court. As the </w:t>
      </w:r>
      <w:r w:rsidR="00C10F98">
        <w:t>Deuteronomist</w:t>
      </w:r>
      <w:r>
        <w:t xml:space="preserve"> Historian constructed this narrative with a clear theological agenda, he demonstrated that the true kingship of Israel is based on divine election and covenantal faithfulness rather than on human strength, military prowess, or dynastic lineage.</w:t>
      </w:r>
    </w:p>
    <w:p w14:paraId="36398DDC" w14:textId="44D2A17C" w:rsidR="00D85E57" w:rsidRDefault="00D85E57" w:rsidP="00D85E57">
      <w:pPr>
        <w:pStyle w:val="NormalWeb"/>
      </w:pPr>
      <w:r>
        <w:t xml:space="preserve">The opening verse describes a notable example of a human bond in the Hebrew Bible when it states that “the soul of Jonathan was knit to the soul of David” (1 Samuel 18:1). The verb </w:t>
      </w:r>
      <w:r w:rsidR="00C10F98">
        <w:t>quasar</w:t>
      </w:r>
      <w:r>
        <w:t xml:space="preserve"> in the Hebrew Bible means to bind or </w:t>
      </w:r>
      <w:r w:rsidR="00343522">
        <w:t>join</w:t>
      </w:r>
      <w:r>
        <w:t xml:space="preserve"> and to make a covenant. Therefore, the depth of their bond has been interpreted by scholars to represent a model of ancient Near Eastern treaty relationships and alliances between leaders, as well as friendship, and even in contemporary readings, as </w:t>
      </w:r>
      <w:r w:rsidR="00CC543E">
        <w:t>homological</w:t>
      </w:r>
      <w:r>
        <w:t xml:space="preserve"> or homoerotic bonds. Regardless of the specific nature of their relationship, the narrative clearly shows that Jonathan is immediately and entirely loyal to David, and this loyalty will be both politically important and ultimately personally damaging as the narrative continues.</w:t>
      </w:r>
    </w:p>
    <w:p w14:paraId="59040717" w14:textId="65366F52" w:rsidR="00D85E57" w:rsidRDefault="00D85E57" w:rsidP="00D85E57">
      <w:pPr>
        <w:pStyle w:val="NormalWeb"/>
      </w:pPr>
      <w:r>
        <w:lastRenderedPageBreak/>
        <w:t xml:space="preserve">Jonathan’s subsequent actions are symbolic of politics. When Jonathan gives David his robe, </w:t>
      </w:r>
      <w:r w:rsidR="00343522">
        <w:t>armour</w:t>
      </w:r>
      <w:r>
        <w:t>, sword, bow, and girdle (1 Samuel 18:4) Jonathan symbolically gives David symbols of royalty and military authority. In ancient monarchical societies, royal robes served as visual signs of legitimate rule and power. Jonathan’s act of voluntarily relinquishing his royal garments serves as an implied acknowledgment of David’s future kingship and therefore, represents an act of subordination of his claims to the throne. Thus, Jonathan’s action serves as a contrast to that of his father, Saul: whereas Jonathan acts with generosity, recognizes God’s will, and demonstrates self-sacrificing loyalty, Saul will eventually demonstrate increasing anxiety, jealousy, and desperate efforts to save his declining dynasty.</w:t>
      </w:r>
    </w:p>
    <w:p w14:paraId="23AA5671" w14:textId="7569C76E" w:rsidR="00D85E57" w:rsidRDefault="00D85E57" w:rsidP="00D85E57">
      <w:pPr>
        <w:pStyle w:val="NormalWeb"/>
      </w:pPr>
      <w:r>
        <w:t xml:space="preserve">The narrative rapidly escalates as the women sing a victory song (1 Samuel 18:7) stating “Saul has killed his thousands and David his ten thousand.” This simple comparative refrain creates a tremendous psychological and political problem for Saul. In the </w:t>
      </w:r>
      <w:r w:rsidR="00343522">
        <w:t>honour</w:t>
      </w:r>
      <w:r>
        <w:t xml:space="preserve">/shame society of ancient Israel, the individual's reputation and popularity were critical factors in determining an individual’s legitimacy and authority in government. While the women's song might simply have been meant to be a joyful and celebratory expression, in Saul’s mind, it poses a serious threat to his throne. The text then indicates that Saul became greatly enraged and from that point onward eyed David (1 Samuel 18:8–9), setting the stage for the suspicion and animosity toward David that would be present throughout the rest of Saul’s life and ultimately result in Saul’s death. The </w:t>
      </w:r>
      <w:r w:rsidR="00C10F98">
        <w:t>Deuteronomist</w:t>
      </w:r>
      <w:r>
        <w:t xml:space="preserve"> Historian utilizes this moment to illustrate that while human jealousy and insecurity in politics can create much suffering and c</w:t>
      </w:r>
      <w:r w:rsidRPr="00D85E57">
        <w:t xml:space="preserve"> </w:t>
      </w:r>
      <w:r>
        <w:t xml:space="preserve">The use of an allegorical form of writing in Ezekiel 16 is distinct from other forms of literature and occurs within a unique time frame of history; written during the time of Babylonian exile in the sixth century BCE. Ezekiel wrote Ezekiel 16 as one of many examples of his extended theological explanation of why Jerusalem was destroyed. In Ezekiel 16, the author uses a detailed allegory of the marriage between Jerusalem (the city) and God (Yahweh), describing the entire relationship from the beginning through the various stages of abandonment by God, the salvation of Jerusalem by God, nurturing, marriage, adultery, judgment, and finally, reconciliation. This </w:t>
      </w:r>
      <w:r w:rsidR="00343522">
        <w:t>allegory</w:t>
      </w:r>
      <w:r>
        <w:t xml:space="preserve"> is found throughout the ancient Near East, where cities and nations were represented by female persons and the relationships between them and other nations were described using metaphors of marriage and sex.</w:t>
      </w:r>
    </w:p>
    <w:p w14:paraId="2BBC4FFD" w14:textId="2B412B05" w:rsidR="00D85E57" w:rsidRPr="00343522" w:rsidRDefault="00D85E57" w:rsidP="00D85E57">
      <w:pPr>
        <w:pStyle w:val="NormalWeb"/>
        <w:rPr>
          <w:b/>
          <w:bCs/>
          <w:sz w:val="28"/>
          <w:szCs w:val="28"/>
        </w:rPr>
      </w:pPr>
      <w:r w:rsidRPr="00343522">
        <w:rPr>
          <w:b/>
          <w:bCs/>
          <w:sz w:val="28"/>
          <w:szCs w:val="28"/>
        </w:rPr>
        <w:t>Ezekiel 16: Prophetic Allegory and the Personification of Jerusalem</w:t>
      </w:r>
    </w:p>
    <w:p w14:paraId="58C2FEF2" w14:textId="74A9AE93" w:rsidR="00D85E57" w:rsidRDefault="00D85E57" w:rsidP="00D85E57">
      <w:pPr>
        <w:pStyle w:val="NormalWeb"/>
      </w:pPr>
      <w:r>
        <w:t xml:space="preserve">In the opening of Ezekiel 16, Jerusalem is presented as a deserted infant, discarded at birth and unwanted. However, God finds Jerusalem and decides to take it as his wife. Through the imagery of God providing care and lavishing attention on Jerusalem, the authors of Ezekiel emphasize God's initial desire for Jerusalem and that all of Jerusalem's well-being is dependent on God's </w:t>
      </w:r>
      <w:r w:rsidR="00343522">
        <w:t>favour</w:t>
      </w:r>
      <w:r>
        <w:t xml:space="preserve">. Although the allegory takes a dark turn after this point, the authors describe how Jerusalem used her beauty and the gifts given by God, to become promiscuous with other nations and gods. As the authors continue to write about Jerusalem's </w:t>
      </w:r>
      <w:r w:rsidR="00343522">
        <w:t>behaviour,</w:t>
      </w:r>
      <w:r>
        <w:t xml:space="preserve"> they express the magnitude of Jerusalem's covenant transgression in terms of the extent of her prostitution as if she had done more than the prostitutes of Sodom and Samaria. The authors then describe God's reaction to Jerusalem's actions as including exposing her publicly, punishing her violently and humiliating her completely. At the end of the chapter, however, the authors promise Jerusalem will be restored and that there will be a renewed covenant between God and Jerusalem.</w:t>
      </w:r>
    </w:p>
    <w:p w14:paraId="4BBB7835" w14:textId="77777777" w:rsidR="00D85E57" w:rsidRDefault="00D85E57" w:rsidP="00D85E57">
      <w:pPr>
        <w:pStyle w:val="NormalWeb"/>
      </w:pPr>
      <w:r>
        <w:t xml:space="preserve">This allegory served several functions in the original context of its composition. The primary function of Ezekiel 16 was to provide an interpretative structure for a community who had </w:t>
      </w:r>
      <w:r>
        <w:lastRenderedPageBreak/>
        <w:t>been displaced from their city, temple and national sovereignty, and were trying to make sense of the catastrophe which occurred. The second function of the allegory was to explain to the community why Jerusalem was destroyed. The authors of Ezekiel tell the community that it was because of Israel's covenant transgressions that God allowed Jerusalem to be destroyed. The third function of the allegory was to shock the community into recognition of their own religious failures and to justify the divine judgment. Finally, the allegory provided a relational model of the covenant relationship between God and humanity, as evidenced by the description of the marriage between Jerusalem and God.</w:t>
      </w:r>
    </w:p>
    <w:p w14:paraId="2A4102E4" w14:textId="77777777" w:rsidR="00343522" w:rsidRPr="00343522" w:rsidRDefault="00343522" w:rsidP="00343522">
      <w:pPr>
        <w:pStyle w:val="NormalWeb"/>
        <w:rPr>
          <w:b/>
          <w:bCs/>
          <w:sz w:val="28"/>
          <w:szCs w:val="28"/>
        </w:rPr>
      </w:pPr>
      <w:r w:rsidRPr="00343522">
        <w:rPr>
          <w:b/>
          <w:bCs/>
          <w:sz w:val="28"/>
          <w:szCs w:val="28"/>
        </w:rPr>
        <w:t>Feminist Critique: Gender, Power, and Problematic Metaphors</w:t>
      </w:r>
    </w:p>
    <w:p w14:paraId="7DD6638E" w14:textId="19C17637" w:rsidR="00343522" w:rsidRDefault="00343522" w:rsidP="00343522">
      <w:pPr>
        <w:pStyle w:val="NormalWeb"/>
      </w:pPr>
      <w:r>
        <w:t xml:space="preserve">The use of the female body as a symbol of sin (and specifically, as a sexual object) by male prophets like Ezekiel is an example of the type of oppressive imagery used by patriarchy throughout history. The use of women's bodies as symbols of disobedience to God's laws is often the basis for the oppression of women and serves to reinforce the idea that women's bodies are inherently dangerous and shameful. The imagery of Ezekiel 16 specifically is representative of the way that male patriarchy uses the female body as a symbol of rebellion and disobedience to male-dominated society and reinforces the notion that women should be punished for acting outside of the boundaries established for them by male </w:t>
      </w:r>
      <w:r w:rsidR="00CC543E">
        <w:t>society. Furthermore</w:t>
      </w:r>
      <w:r>
        <w:t>, the image of the woman as being stripped naked and beaten as punishment for her sins is a clear representation of the types of punishments that men have historically inflicted on women who have disobeyed their rules and regulations. It also shows how the church has supported and legitimized the use of violence against women by using it as a model of God's wrath against those who disobey His laws. The use of images of women in this manner also reinforces the societal notion that women exist solely for the benefit of men and that women's primary purpose in life is to serve and obey men.</w:t>
      </w:r>
    </w:p>
    <w:p w14:paraId="24B62EC1" w14:textId="7A64B1AB" w:rsidR="00343522" w:rsidRDefault="00343522" w:rsidP="00343522">
      <w:pPr>
        <w:pStyle w:val="NormalWeb"/>
      </w:pPr>
      <w:r>
        <w:t>However, there are some feminists who believe that Ezekiel 16 does contain subversive elements that can be interpreted as a form of resistance to the patriarchal ideologies presented in the text. For instance, one could argue that the description of Jerusalem as a prostitute represents a criticism of the male-dominated system that created such a situation. In addition, the fact that God chooses to punish Jerusalem as if she were a rebellious daughter, rather than punishing her directly as He would a son, may be seen as a form of resistance to the male dominance that is present in the rest of the book. However, whether Ezekiel 16 is ultimately a liberating, or oppressive text depends on the context in which it is being studied. When viewed through the lens of patriarchy, it will always be seen as oppressive. However, when viewed through the lens of liberation theology, it can be seen as a call for justice and equality.</w:t>
      </w:r>
    </w:p>
    <w:p w14:paraId="7C2C78CD" w14:textId="5C290F91" w:rsidR="00343522" w:rsidRDefault="00343522" w:rsidP="00343522">
      <w:pPr>
        <w:pStyle w:val="NormalWeb"/>
      </w:pPr>
      <w:r>
        <w:t>It is also important to recognize that, while Ezekiel 16 is certainly a difficult and complex text, it is not the only text in the Bible that has been misused to justify the oppression of women. Many other texts have also been used to support the idea that women are inferior to men, and that they should always be subservient to men. Therefore, we cannot look at Ezekiel 16 alone when examining the role of the Bible in the oppression of women. We must examine the entire Bible to understand how it has been used to support and legitimize the oppression of women.</w:t>
      </w:r>
    </w:p>
    <w:p w14:paraId="1B5545F7" w14:textId="417270E3" w:rsidR="00343522" w:rsidRPr="00343522" w:rsidRDefault="00343522" w:rsidP="00343522">
      <w:pPr>
        <w:pStyle w:val="NormalWeb"/>
        <w:rPr>
          <w:b/>
          <w:bCs/>
          <w:sz w:val="28"/>
          <w:szCs w:val="28"/>
        </w:rPr>
      </w:pPr>
      <w:r w:rsidRPr="00343522">
        <w:rPr>
          <w:b/>
          <w:bCs/>
          <w:sz w:val="28"/>
          <w:szCs w:val="28"/>
        </w:rPr>
        <w:t>Comparative Themes: Loyalty, Power, and Divine Purpose</w:t>
      </w:r>
    </w:p>
    <w:p w14:paraId="466F60C7" w14:textId="176D8769" w:rsidR="00343522" w:rsidRDefault="00343522" w:rsidP="00343522">
      <w:pPr>
        <w:pStyle w:val="NormalWeb"/>
      </w:pPr>
      <w:r>
        <w:t xml:space="preserve">Both accounts depict how different types of loyalty, power, and fragile relationships are formed in the context of a divinely directed history. The struggle in 1 Samuel between Saul </w:t>
      </w:r>
      <w:r>
        <w:lastRenderedPageBreak/>
        <w:t xml:space="preserve">and David, and Jonathan's differing loyalties to each man, illustrate how power, insecurity and jealousy can lead to the destruction of relationships and undermine institutions; despite this, 1 Samuel is framed by a narrative which affirms God's sovereignty. Saul's refusal to acknowledge David's ascendancy illustrates the potential for destructive </w:t>
      </w:r>
      <w:r w:rsidR="005F4295">
        <w:t>behaviour</w:t>
      </w:r>
      <w:r>
        <w:t xml:space="preserve"> when individuals cling to their power and status in opposition to what God is clearly directing; while Jonathan's actions demonstrate how an individual may transcend his own interests and dynastic ambitions to recognize and pursue God's will at a personal cost.</w:t>
      </w:r>
    </w:p>
    <w:p w14:paraId="39E093DA" w14:textId="28468FCE" w:rsidR="00343522" w:rsidRDefault="00343522" w:rsidP="00343522">
      <w:pPr>
        <w:pStyle w:val="NormalWeb"/>
      </w:pPr>
      <w:r>
        <w:t xml:space="preserve">The allegory in Ezekiel also </w:t>
      </w:r>
      <w:r w:rsidR="005F4295">
        <w:t>centres</w:t>
      </w:r>
      <w:r>
        <w:t xml:space="preserve"> on broken loyalty; however, it is translated into a theological register as covenant disloyalty. The "adultery" of Jerusalem represents not only the political alliances with foreign nations, but also a complete breach of relationship with Yahweh. While 1 Samuel depicts human politics and theology, Ezekiel depicts theology in the form of the politics of broken relationships. However, both accounts agree that human failure (Saul's jealousy or Jerusalem's adultery) cannot thwart God's ultimate plans. God acts in history; either by protecting the Davidic line or by promising restoration after judgment.</w:t>
      </w:r>
    </w:p>
    <w:p w14:paraId="7794D8B3" w14:textId="019E27EB" w:rsidR="00343522" w:rsidRDefault="00343522" w:rsidP="00343522">
      <w:pPr>
        <w:pStyle w:val="NormalWeb"/>
      </w:pPr>
      <w:r>
        <w:t xml:space="preserve">However, there are distinctively gendered dimensions to these accounts that profoundly impact how power, loyalty, and divine will are depicted and conveyed. In both accounts, male characters and concerns are central, and the female characters are typically used to convey symbolism or provide function. These depictions reflect not only societal arrangements of the </w:t>
      </w:r>
      <w:r w:rsidR="005F4295">
        <w:t>period</w:t>
      </w:r>
      <w:r>
        <w:t xml:space="preserve"> in which they were written, but also intentional ideological decisions regarding which experiences are worthy of being depicted, which perspective(s) will shape the narrative, and which bodies will be utilized to create theological discourses. Therefore, a feminist reading is necessary for responsible engagement with these accounts, allowing readers today to see these dynamics and therefore avoid unconsciously reproducing them.</w:t>
      </w:r>
    </w:p>
    <w:p w14:paraId="6834BCCC" w14:textId="4BAA90B5" w:rsidR="00343522" w:rsidRPr="005F4295" w:rsidRDefault="00343522" w:rsidP="00343522">
      <w:pPr>
        <w:pStyle w:val="NormalWeb"/>
        <w:rPr>
          <w:b/>
          <w:bCs/>
          <w:sz w:val="28"/>
          <w:szCs w:val="28"/>
        </w:rPr>
      </w:pPr>
      <w:r w:rsidRPr="005F4295">
        <w:rPr>
          <w:b/>
          <w:bCs/>
          <w:sz w:val="28"/>
          <w:szCs w:val="28"/>
        </w:rPr>
        <w:t>Conclusion</w:t>
      </w:r>
    </w:p>
    <w:p w14:paraId="31E5D2DC" w14:textId="4A6DFE16" w:rsidR="00343522" w:rsidRDefault="00343522" w:rsidP="00343522">
      <w:pPr>
        <w:pStyle w:val="NormalWeb"/>
      </w:pPr>
      <w:r>
        <w:t xml:space="preserve">The texts of 1 Samuel 18:1–9 and Ezekiel 16 (like much of the Hebrew Bible) are examples of a variety of literature (literary styles) and theology, which present the same problems today (as when they were written) as they did in the past. The stories of these two passages tell us about many things we experience in life; they are examples of how people experience (and relate to) loyalty and betrayal, power and weakness, and the purposes of God and our failures. </w:t>
      </w:r>
      <w:r w:rsidR="005F4295">
        <w:t>Both</w:t>
      </w:r>
      <w:r>
        <w:t xml:space="preserve"> passages have been influential in forming the faith of millions of people for thousands of years, and therefore, show no signs of losing relevance or influence in shaping our thoughts and practices.</w:t>
      </w:r>
    </w:p>
    <w:p w14:paraId="58D70F8C" w14:textId="5B9CEFA3" w:rsidR="00343522" w:rsidRDefault="00343522" w:rsidP="00343522">
      <w:pPr>
        <w:pStyle w:val="NormalWeb"/>
      </w:pPr>
      <w:r>
        <w:t xml:space="preserve">However, if we want to responsibly engage with these texts today, it is important to be aware of the patriarchal ideologies present throughout the Hebrew Bible. One way to do this is by using </w:t>
      </w:r>
      <w:r w:rsidR="005F4295">
        <w:t>historical criticism</w:t>
      </w:r>
      <w:r>
        <w:t xml:space="preserve"> to understand where each passage was written, and what the authors originally intended. Additionally, using feminist hermeneutics will allow you to see how gender influences the structure and language of the passages. Ultimately, using historical-criticism and feminist hermeneutics allows you to read these passages in a way that </w:t>
      </w:r>
      <w:r w:rsidR="005F4295">
        <w:t>honours</w:t>
      </w:r>
      <w:r>
        <w:t xml:space="preserve"> the complexities of the texts while at the same time resisting the patriarchal ideologies that are present in these passages and are often presented as "divine."</w:t>
      </w:r>
    </w:p>
    <w:p w14:paraId="4D7C4E97" w14:textId="5CCB8EFC" w:rsidR="00343522" w:rsidRDefault="005F4295" w:rsidP="00343522">
      <w:pPr>
        <w:pStyle w:val="NormalWeb"/>
      </w:pPr>
      <w:r>
        <w:t>Both</w:t>
      </w:r>
      <w:r w:rsidR="00343522">
        <w:t xml:space="preserve"> passages will invite modern-day readers to wrestle with some of the very same issues that the authors were trying to resolve through their writing (loyalty, identity, power, etc.) and the relationship between humans and God. These passages also challenge the reader to </w:t>
      </w:r>
      <w:r w:rsidR="00343522">
        <w:lastRenderedPageBreak/>
        <w:t xml:space="preserve">reconcile the need to appreciate the historical context and content of the passage with the need to critically evaluate its content. Thus, the </w:t>
      </w:r>
      <w:r>
        <w:t>goal</w:t>
      </w:r>
      <w:r w:rsidR="00343522">
        <w:t xml:space="preserve"> of reading these passages is to </w:t>
      </w:r>
      <w:r>
        <w:t>honour</w:t>
      </w:r>
      <w:r w:rsidR="00343522">
        <w:t xml:space="preserve"> both the wisdom and insight of the texts themselves, while recognizing the potential for harm that can arise from reading these texts with an uncritical eye towards their patriarchal structures. Therefore, the larger task of biblical interpretation is to use sacred texts in such a way that we give them the reverence that they </w:t>
      </w:r>
      <w:r>
        <w:t>deserve but</w:t>
      </w:r>
      <w:r w:rsidR="00343522">
        <w:t xml:space="preserve"> simultaneously utilize a level of critical thinking that will prevent us from giving unconditionally authoritative status to the patriarchal structures inherent in these texts. It is necessary for us to commit ourselves to critically examining sacred </w:t>
      </w:r>
      <w:r>
        <w:t>texts and</w:t>
      </w:r>
      <w:r w:rsidR="00343522">
        <w:t xml:space="preserve"> utilizing them as resources for inspiring and challenging our community of faith.</w:t>
      </w:r>
    </w:p>
    <w:p w14:paraId="53C02E70" w14:textId="77777777" w:rsidR="00343522" w:rsidRPr="00343522" w:rsidRDefault="00343522" w:rsidP="00343522">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sidRPr="00343522">
        <w:rPr>
          <w:rFonts w:ascii="Times New Roman" w:eastAsia="Times New Roman" w:hAnsi="Times New Roman" w:cs="Times New Roman"/>
          <w:b/>
          <w:bCs/>
          <w:kern w:val="0"/>
          <w:sz w:val="28"/>
          <w:szCs w:val="28"/>
          <w:lang w:eastAsia="en-GB"/>
          <w14:ligatures w14:val="none"/>
        </w:rPr>
        <w:t>Bibliography</w:t>
      </w:r>
    </w:p>
    <w:p w14:paraId="0EC26CE9" w14:textId="77777777" w:rsidR="00343522" w:rsidRPr="00343522" w:rsidRDefault="00343522" w:rsidP="00343522">
      <w:pPr>
        <w:spacing w:before="100" w:beforeAutospacing="1" w:after="100" w:afterAutospacing="1" w:line="240" w:lineRule="auto"/>
        <w:rPr>
          <w:rFonts w:ascii="Times New Roman" w:eastAsia="Times New Roman" w:hAnsi="Times New Roman" w:cs="Times New Roman"/>
          <w:kern w:val="0"/>
          <w:lang w:eastAsia="en-GB"/>
          <w14:ligatures w14:val="none"/>
        </w:rPr>
      </w:pPr>
      <w:r w:rsidRPr="00343522">
        <w:rPr>
          <w:rFonts w:ascii="Times New Roman" w:eastAsia="Times New Roman" w:hAnsi="Times New Roman" w:cs="Times New Roman"/>
          <w:kern w:val="0"/>
          <w:lang w:eastAsia="en-GB"/>
          <w14:ligatures w14:val="none"/>
        </w:rPr>
        <w:t xml:space="preserve">Baumann, </w:t>
      </w:r>
      <w:proofErr w:type="spellStart"/>
      <w:r w:rsidRPr="00343522">
        <w:rPr>
          <w:rFonts w:ascii="Times New Roman" w:eastAsia="Times New Roman" w:hAnsi="Times New Roman" w:cs="Times New Roman"/>
          <w:kern w:val="0"/>
          <w:lang w:eastAsia="en-GB"/>
          <w14:ligatures w14:val="none"/>
        </w:rPr>
        <w:t>Gerlinde</w:t>
      </w:r>
      <w:proofErr w:type="spellEnd"/>
      <w:r w:rsidRPr="00343522">
        <w:rPr>
          <w:rFonts w:ascii="Times New Roman" w:eastAsia="Times New Roman" w:hAnsi="Times New Roman" w:cs="Times New Roman"/>
          <w:kern w:val="0"/>
          <w:lang w:eastAsia="en-GB"/>
          <w14:ligatures w14:val="none"/>
        </w:rPr>
        <w:t xml:space="preserve">, </w:t>
      </w:r>
      <w:r w:rsidRPr="00343522">
        <w:rPr>
          <w:rFonts w:ascii="Times New Roman" w:eastAsia="Times New Roman" w:hAnsi="Times New Roman" w:cs="Times New Roman"/>
          <w:i/>
          <w:iCs/>
          <w:kern w:val="0"/>
          <w:lang w:eastAsia="en-GB"/>
          <w14:ligatures w14:val="none"/>
        </w:rPr>
        <w:t>Love and Violence: Marriage as Metaphor for the Relationship between YHWH and Israel in the Prophetic Books</w:t>
      </w:r>
      <w:r w:rsidRPr="00343522">
        <w:rPr>
          <w:rFonts w:ascii="Times New Roman" w:eastAsia="Times New Roman" w:hAnsi="Times New Roman" w:cs="Times New Roman"/>
          <w:kern w:val="0"/>
          <w:lang w:eastAsia="en-GB"/>
          <w14:ligatures w14:val="none"/>
        </w:rPr>
        <w:t xml:space="preserve"> (Collegeville, MN: Liturgical Press, 2003)</w:t>
      </w:r>
    </w:p>
    <w:p w14:paraId="53D8E18A" w14:textId="77777777" w:rsidR="00343522" w:rsidRPr="00343522" w:rsidRDefault="00343522" w:rsidP="00343522">
      <w:pPr>
        <w:spacing w:before="100" w:beforeAutospacing="1" w:after="100" w:afterAutospacing="1" w:line="240" w:lineRule="auto"/>
        <w:rPr>
          <w:rFonts w:ascii="Times New Roman" w:eastAsia="Times New Roman" w:hAnsi="Times New Roman" w:cs="Times New Roman"/>
          <w:kern w:val="0"/>
          <w:lang w:eastAsia="en-GB"/>
          <w14:ligatures w14:val="none"/>
        </w:rPr>
      </w:pPr>
      <w:r w:rsidRPr="00343522">
        <w:rPr>
          <w:rFonts w:ascii="Times New Roman" w:eastAsia="Times New Roman" w:hAnsi="Times New Roman" w:cs="Times New Roman"/>
          <w:kern w:val="0"/>
          <w:lang w:eastAsia="en-GB"/>
          <w14:ligatures w14:val="none"/>
        </w:rPr>
        <w:t xml:space="preserve">Brenner, </w:t>
      </w:r>
      <w:proofErr w:type="spellStart"/>
      <w:r w:rsidRPr="00343522">
        <w:rPr>
          <w:rFonts w:ascii="Times New Roman" w:eastAsia="Times New Roman" w:hAnsi="Times New Roman" w:cs="Times New Roman"/>
          <w:kern w:val="0"/>
          <w:lang w:eastAsia="en-GB"/>
          <w14:ligatures w14:val="none"/>
        </w:rPr>
        <w:t>Athalya</w:t>
      </w:r>
      <w:proofErr w:type="spellEnd"/>
      <w:r w:rsidRPr="00343522">
        <w:rPr>
          <w:rFonts w:ascii="Times New Roman" w:eastAsia="Times New Roman" w:hAnsi="Times New Roman" w:cs="Times New Roman"/>
          <w:kern w:val="0"/>
          <w:lang w:eastAsia="en-GB"/>
          <w14:ligatures w14:val="none"/>
        </w:rPr>
        <w:t xml:space="preserve">, ed., </w:t>
      </w:r>
      <w:r w:rsidRPr="00343522">
        <w:rPr>
          <w:rFonts w:ascii="Times New Roman" w:eastAsia="Times New Roman" w:hAnsi="Times New Roman" w:cs="Times New Roman"/>
          <w:i/>
          <w:iCs/>
          <w:kern w:val="0"/>
          <w:lang w:eastAsia="en-GB"/>
          <w14:ligatures w14:val="none"/>
        </w:rPr>
        <w:t>A Feminist Companion to Samuel and Kings</w:t>
      </w:r>
      <w:r w:rsidRPr="00343522">
        <w:rPr>
          <w:rFonts w:ascii="Times New Roman" w:eastAsia="Times New Roman" w:hAnsi="Times New Roman" w:cs="Times New Roman"/>
          <w:kern w:val="0"/>
          <w:lang w:eastAsia="en-GB"/>
          <w14:ligatures w14:val="none"/>
        </w:rPr>
        <w:t xml:space="preserve"> (Sheffield: Sheffield Academic Press, 1994)</w:t>
      </w:r>
    </w:p>
    <w:p w14:paraId="42513C21" w14:textId="77777777" w:rsidR="00343522" w:rsidRPr="00343522" w:rsidRDefault="00343522" w:rsidP="00343522">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343522">
        <w:rPr>
          <w:rFonts w:ascii="Times New Roman" w:eastAsia="Times New Roman" w:hAnsi="Times New Roman" w:cs="Times New Roman"/>
          <w:kern w:val="0"/>
          <w:lang w:eastAsia="en-GB"/>
          <w14:ligatures w14:val="none"/>
        </w:rPr>
        <w:t>Brueggemann</w:t>
      </w:r>
      <w:proofErr w:type="spellEnd"/>
      <w:r w:rsidRPr="00343522">
        <w:rPr>
          <w:rFonts w:ascii="Times New Roman" w:eastAsia="Times New Roman" w:hAnsi="Times New Roman" w:cs="Times New Roman"/>
          <w:kern w:val="0"/>
          <w:lang w:eastAsia="en-GB"/>
          <w14:ligatures w14:val="none"/>
        </w:rPr>
        <w:t xml:space="preserve">, Walter, </w:t>
      </w:r>
      <w:r w:rsidRPr="00343522">
        <w:rPr>
          <w:rFonts w:ascii="Times New Roman" w:eastAsia="Times New Roman" w:hAnsi="Times New Roman" w:cs="Times New Roman"/>
          <w:i/>
          <w:iCs/>
          <w:kern w:val="0"/>
          <w:lang w:eastAsia="en-GB"/>
          <w14:ligatures w14:val="none"/>
        </w:rPr>
        <w:t>First and Second Samuel</w:t>
      </w:r>
      <w:r w:rsidRPr="00343522">
        <w:rPr>
          <w:rFonts w:ascii="Times New Roman" w:eastAsia="Times New Roman" w:hAnsi="Times New Roman" w:cs="Times New Roman"/>
          <w:kern w:val="0"/>
          <w:lang w:eastAsia="en-GB"/>
          <w14:ligatures w14:val="none"/>
        </w:rPr>
        <w:t>, Interpretation (Louisville, KY: John Knox Press, 1990)</w:t>
      </w:r>
    </w:p>
    <w:p w14:paraId="417CA564" w14:textId="77777777" w:rsidR="00343522" w:rsidRPr="00343522" w:rsidRDefault="00343522" w:rsidP="00343522">
      <w:pPr>
        <w:spacing w:before="100" w:beforeAutospacing="1" w:after="100" w:afterAutospacing="1" w:line="240" w:lineRule="auto"/>
        <w:rPr>
          <w:rFonts w:ascii="Times New Roman" w:eastAsia="Times New Roman" w:hAnsi="Times New Roman" w:cs="Times New Roman"/>
          <w:kern w:val="0"/>
          <w:lang w:eastAsia="en-GB"/>
          <w14:ligatures w14:val="none"/>
        </w:rPr>
      </w:pPr>
      <w:r w:rsidRPr="00343522">
        <w:rPr>
          <w:rFonts w:ascii="Times New Roman" w:eastAsia="Times New Roman" w:hAnsi="Times New Roman" w:cs="Times New Roman"/>
          <w:kern w:val="0"/>
          <w:lang w:eastAsia="en-GB"/>
          <w14:ligatures w14:val="none"/>
        </w:rPr>
        <w:t xml:space="preserve">Day, Linda, 'Rhetoric and Domestic Violence in Ezekiel 16', </w:t>
      </w:r>
      <w:r w:rsidRPr="00343522">
        <w:rPr>
          <w:rFonts w:ascii="Times New Roman" w:eastAsia="Times New Roman" w:hAnsi="Times New Roman" w:cs="Times New Roman"/>
          <w:i/>
          <w:iCs/>
          <w:kern w:val="0"/>
          <w:lang w:eastAsia="en-GB"/>
          <w14:ligatures w14:val="none"/>
        </w:rPr>
        <w:t>Biblical Interpretation</w:t>
      </w:r>
      <w:r w:rsidRPr="00343522">
        <w:rPr>
          <w:rFonts w:ascii="Times New Roman" w:eastAsia="Times New Roman" w:hAnsi="Times New Roman" w:cs="Times New Roman"/>
          <w:kern w:val="0"/>
          <w:lang w:eastAsia="en-GB"/>
          <w14:ligatures w14:val="none"/>
        </w:rPr>
        <w:t>, 8.3 (2000), 205–30</w:t>
      </w:r>
    </w:p>
    <w:p w14:paraId="65E1BA47" w14:textId="77777777" w:rsidR="00343522" w:rsidRPr="00343522" w:rsidRDefault="00343522" w:rsidP="00343522">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343522">
        <w:rPr>
          <w:rFonts w:ascii="Times New Roman" w:eastAsia="Times New Roman" w:hAnsi="Times New Roman" w:cs="Times New Roman"/>
          <w:kern w:val="0"/>
          <w:lang w:eastAsia="en-GB"/>
          <w14:ligatures w14:val="none"/>
        </w:rPr>
        <w:t>Exum</w:t>
      </w:r>
      <w:proofErr w:type="spellEnd"/>
      <w:r w:rsidRPr="00343522">
        <w:rPr>
          <w:rFonts w:ascii="Times New Roman" w:eastAsia="Times New Roman" w:hAnsi="Times New Roman" w:cs="Times New Roman"/>
          <w:kern w:val="0"/>
          <w:lang w:eastAsia="en-GB"/>
          <w14:ligatures w14:val="none"/>
        </w:rPr>
        <w:t xml:space="preserve">, J. Cheryl, </w:t>
      </w:r>
      <w:r w:rsidRPr="00343522">
        <w:rPr>
          <w:rFonts w:ascii="Times New Roman" w:eastAsia="Times New Roman" w:hAnsi="Times New Roman" w:cs="Times New Roman"/>
          <w:i/>
          <w:iCs/>
          <w:kern w:val="0"/>
          <w:lang w:eastAsia="en-GB"/>
          <w14:ligatures w14:val="none"/>
        </w:rPr>
        <w:t>Fragmented Women: Feminist (Sub)versions of Biblical Narratives</w:t>
      </w:r>
      <w:r w:rsidRPr="00343522">
        <w:rPr>
          <w:rFonts w:ascii="Times New Roman" w:eastAsia="Times New Roman" w:hAnsi="Times New Roman" w:cs="Times New Roman"/>
          <w:kern w:val="0"/>
          <w:lang w:eastAsia="en-GB"/>
          <w14:ligatures w14:val="none"/>
        </w:rPr>
        <w:t xml:space="preserve"> (Valley Forge, PA: Trinity Press International, 1993)</w:t>
      </w:r>
    </w:p>
    <w:p w14:paraId="1FB4248A" w14:textId="77777777" w:rsidR="00343522" w:rsidRPr="00343522" w:rsidRDefault="00343522" w:rsidP="00343522">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343522">
        <w:rPr>
          <w:rFonts w:ascii="Times New Roman" w:eastAsia="Times New Roman" w:hAnsi="Times New Roman" w:cs="Times New Roman"/>
          <w:kern w:val="0"/>
          <w:lang w:eastAsia="en-GB"/>
          <w14:ligatures w14:val="none"/>
        </w:rPr>
        <w:t>Galambush</w:t>
      </w:r>
      <w:proofErr w:type="spellEnd"/>
      <w:r w:rsidRPr="00343522">
        <w:rPr>
          <w:rFonts w:ascii="Times New Roman" w:eastAsia="Times New Roman" w:hAnsi="Times New Roman" w:cs="Times New Roman"/>
          <w:kern w:val="0"/>
          <w:lang w:eastAsia="en-GB"/>
          <w14:ligatures w14:val="none"/>
        </w:rPr>
        <w:t xml:space="preserve">, Julie, </w:t>
      </w:r>
      <w:r w:rsidRPr="00343522">
        <w:rPr>
          <w:rFonts w:ascii="Times New Roman" w:eastAsia="Times New Roman" w:hAnsi="Times New Roman" w:cs="Times New Roman"/>
          <w:i/>
          <w:iCs/>
          <w:kern w:val="0"/>
          <w:lang w:eastAsia="en-GB"/>
          <w14:ligatures w14:val="none"/>
        </w:rPr>
        <w:t>Jerusalem in the Book of Ezekiel: The City as Yahweh's Wife</w:t>
      </w:r>
      <w:r w:rsidRPr="00343522">
        <w:rPr>
          <w:rFonts w:ascii="Times New Roman" w:eastAsia="Times New Roman" w:hAnsi="Times New Roman" w:cs="Times New Roman"/>
          <w:kern w:val="0"/>
          <w:lang w:eastAsia="en-GB"/>
          <w14:ligatures w14:val="none"/>
        </w:rPr>
        <w:t xml:space="preserve"> (Atlanta, GA: Scholars Press, 1992)</w:t>
      </w:r>
    </w:p>
    <w:p w14:paraId="5CEA8771" w14:textId="77777777" w:rsidR="00343522" w:rsidRPr="00343522" w:rsidRDefault="00343522" w:rsidP="00343522">
      <w:pPr>
        <w:spacing w:before="100" w:beforeAutospacing="1" w:after="100" w:afterAutospacing="1" w:line="240" w:lineRule="auto"/>
        <w:rPr>
          <w:rFonts w:ascii="Times New Roman" w:eastAsia="Times New Roman" w:hAnsi="Times New Roman" w:cs="Times New Roman"/>
          <w:kern w:val="0"/>
          <w:lang w:eastAsia="en-GB"/>
          <w14:ligatures w14:val="none"/>
        </w:rPr>
      </w:pPr>
      <w:r w:rsidRPr="00343522">
        <w:rPr>
          <w:rFonts w:ascii="Times New Roman" w:eastAsia="Times New Roman" w:hAnsi="Times New Roman" w:cs="Times New Roman"/>
          <w:kern w:val="0"/>
          <w:lang w:eastAsia="en-GB"/>
          <w14:ligatures w14:val="none"/>
        </w:rPr>
        <w:t xml:space="preserve">Gordon, Robert P., </w:t>
      </w:r>
      <w:r w:rsidRPr="00343522">
        <w:rPr>
          <w:rFonts w:ascii="Times New Roman" w:eastAsia="Times New Roman" w:hAnsi="Times New Roman" w:cs="Times New Roman"/>
          <w:i/>
          <w:iCs/>
          <w:kern w:val="0"/>
          <w:lang w:eastAsia="en-GB"/>
          <w14:ligatures w14:val="none"/>
        </w:rPr>
        <w:t>I &amp; II Samuel: A Commentary</w:t>
      </w:r>
      <w:r w:rsidRPr="00343522">
        <w:rPr>
          <w:rFonts w:ascii="Times New Roman" w:eastAsia="Times New Roman" w:hAnsi="Times New Roman" w:cs="Times New Roman"/>
          <w:kern w:val="0"/>
          <w:lang w:eastAsia="en-GB"/>
          <w14:ligatures w14:val="none"/>
        </w:rPr>
        <w:t xml:space="preserve"> (Exeter: Paternoster, 1986)</w:t>
      </w:r>
    </w:p>
    <w:p w14:paraId="2C5AD491" w14:textId="77777777" w:rsidR="00343522" w:rsidRPr="00343522" w:rsidRDefault="00343522" w:rsidP="00343522">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343522">
        <w:rPr>
          <w:rFonts w:ascii="Times New Roman" w:eastAsia="Times New Roman" w:hAnsi="Times New Roman" w:cs="Times New Roman"/>
          <w:kern w:val="0"/>
          <w:lang w:eastAsia="en-GB"/>
          <w14:ligatures w14:val="none"/>
        </w:rPr>
        <w:t>Kamionkowski</w:t>
      </w:r>
      <w:proofErr w:type="spellEnd"/>
      <w:r w:rsidRPr="00343522">
        <w:rPr>
          <w:rFonts w:ascii="Times New Roman" w:eastAsia="Times New Roman" w:hAnsi="Times New Roman" w:cs="Times New Roman"/>
          <w:kern w:val="0"/>
          <w:lang w:eastAsia="en-GB"/>
          <w14:ligatures w14:val="none"/>
        </w:rPr>
        <w:t xml:space="preserve">, S. Tamar, </w:t>
      </w:r>
      <w:r w:rsidRPr="00343522">
        <w:rPr>
          <w:rFonts w:ascii="Times New Roman" w:eastAsia="Times New Roman" w:hAnsi="Times New Roman" w:cs="Times New Roman"/>
          <w:i/>
          <w:iCs/>
          <w:kern w:val="0"/>
          <w:lang w:eastAsia="en-GB"/>
          <w14:ligatures w14:val="none"/>
        </w:rPr>
        <w:t>Gender Reversal and Cosmic Chaos: A Study on the Book of Ezekiel</w:t>
      </w:r>
      <w:r w:rsidRPr="00343522">
        <w:rPr>
          <w:rFonts w:ascii="Times New Roman" w:eastAsia="Times New Roman" w:hAnsi="Times New Roman" w:cs="Times New Roman"/>
          <w:kern w:val="0"/>
          <w:lang w:eastAsia="en-GB"/>
          <w14:ligatures w14:val="none"/>
        </w:rPr>
        <w:t xml:space="preserve"> (Sheffield: Sheffield Academic Press, 2003)</w:t>
      </w:r>
    </w:p>
    <w:p w14:paraId="33998256" w14:textId="77777777" w:rsidR="00343522" w:rsidRPr="00343522" w:rsidRDefault="00343522" w:rsidP="00343522">
      <w:pPr>
        <w:spacing w:before="100" w:beforeAutospacing="1" w:after="100" w:afterAutospacing="1" w:line="240" w:lineRule="auto"/>
        <w:rPr>
          <w:rFonts w:ascii="Times New Roman" w:eastAsia="Times New Roman" w:hAnsi="Times New Roman" w:cs="Times New Roman"/>
          <w:kern w:val="0"/>
          <w:lang w:eastAsia="en-GB"/>
          <w14:ligatures w14:val="none"/>
        </w:rPr>
      </w:pPr>
      <w:r w:rsidRPr="00343522">
        <w:rPr>
          <w:rFonts w:ascii="Times New Roman" w:eastAsia="Times New Roman" w:hAnsi="Times New Roman" w:cs="Times New Roman"/>
          <w:kern w:val="0"/>
          <w:lang w:eastAsia="en-GB"/>
          <w14:ligatures w14:val="none"/>
        </w:rPr>
        <w:t xml:space="preserve">McCarter, P. Kyle, </w:t>
      </w:r>
      <w:r w:rsidRPr="00343522">
        <w:rPr>
          <w:rFonts w:ascii="Times New Roman" w:eastAsia="Times New Roman" w:hAnsi="Times New Roman" w:cs="Times New Roman"/>
          <w:i/>
          <w:iCs/>
          <w:kern w:val="0"/>
          <w:lang w:eastAsia="en-GB"/>
          <w14:ligatures w14:val="none"/>
        </w:rPr>
        <w:t>I Samuel: A New Translation with Introduction, Notes and Commentary</w:t>
      </w:r>
      <w:r w:rsidRPr="00343522">
        <w:rPr>
          <w:rFonts w:ascii="Times New Roman" w:eastAsia="Times New Roman" w:hAnsi="Times New Roman" w:cs="Times New Roman"/>
          <w:kern w:val="0"/>
          <w:lang w:eastAsia="en-GB"/>
          <w14:ligatures w14:val="none"/>
        </w:rPr>
        <w:t>, Anchor Bible (Garden City, NY: Doubleday, 1980)</w:t>
      </w:r>
    </w:p>
    <w:p w14:paraId="2329F7E8" w14:textId="77777777" w:rsidR="00343522" w:rsidRPr="00343522" w:rsidRDefault="00343522" w:rsidP="00343522">
      <w:pPr>
        <w:spacing w:before="100" w:beforeAutospacing="1" w:after="100" w:afterAutospacing="1" w:line="240" w:lineRule="auto"/>
        <w:rPr>
          <w:rFonts w:ascii="Times New Roman" w:eastAsia="Times New Roman" w:hAnsi="Times New Roman" w:cs="Times New Roman"/>
          <w:kern w:val="0"/>
          <w:lang w:eastAsia="en-GB"/>
          <w14:ligatures w14:val="none"/>
        </w:rPr>
      </w:pPr>
      <w:r w:rsidRPr="00343522">
        <w:rPr>
          <w:rFonts w:ascii="Times New Roman" w:eastAsia="Times New Roman" w:hAnsi="Times New Roman" w:cs="Times New Roman"/>
          <w:kern w:val="0"/>
          <w:lang w:eastAsia="en-GB"/>
          <w14:ligatures w14:val="none"/>
        </w:rPr>
        <w:t xml:space="preserve">Newsom, Carol A., Sharon H. </w:t>
      </w:r>
      <w:proofErr w:type="spellStart"/>
      <w:r w:rsidRPr="00343522">
        <w:rPr>
          <w:rFonts w:ascii="Times New Roman" w:eastAsia="Times New Roman" w:hAnsi="Times New Roman" w:cs="Times New Roman"/>
          <w:kern w:val="0"/>
          <w:lang w:eastAsia="en-GB"/>
          <w14:ligatures w14:val="none"/>
        </w:rPr>
        <w:t>Ringe</w:t>
      </w:r>
      <w:proofErr w:type="spellEnd"/>
      <w:r w:rsidRPr="00343522">
        <w:rPr>
          <w:rFonts w:ascii="Times New Roman" w:eastAsia="Times New Roman" w:hAnsi="Times New Roman" w:cs="Times New Roman"/>
          <w:kern w:val="0"/>
          <w:lang w:eastAsia="en-GB"/>
          <w14:ligatures w14:val="none"/>
        </w:rPr>
        <w:t xml:space="preserve">, and Jacqueline E. </w:t>
      </w:r>
      <w:proofErr w:type="spellStart"/>
      <w:r w:rsidRPr="00343522">
        <w:rPr>
          <w:rFonts w:ascii="Times New Roman" w:eastAsia="Times New Roman" w:hAnsi="Times New Roman" w:cs="Times New Roman"/>
          <w:kern w:val="0"/>
          <w:lang w:eastAsia="en-GB"/>
          <w14:ligatures w14:val="none"/>
        </w:rPr>
        <w:t>Lapsley</w:t>
      </w:r>
      <w:proofErr w:type="spellEnd"/>
      <w:r w:rsidRPr="00343522">
        <w:rPr>
          <w:rFonts w:ascii="Times New Roman" w:eastAsia="Times New Roman" w:hAnsi="Times New Roman" w:cs="Times New Roman"/>
          <w:kern w:val="0"/>
          <w:lang w:eastAsia="en-GB"/>
          <w14:ligatures w14:val="none"/>
        </w:rPr>
        <w:t xml:space="preserve">, eds., </w:t>
      </w:r>
      <w:r w:rsidRPr="00343522">
        <w:rPr>
          <w:rFonts w:ascii="Times New Roman" w:eastAsia="Times New Roman" w:hAnsi="Times New Roman" w:cs="Times New Roman"/>
          <w:i/>
          <w:iCs/>
          <w:kern w:val="0"/>
          <w:lang w:eastAsia="en-GB"/>
          <w14:ligatures w14:val="none"/>
        </w:rPr>
        <w:t>The Women's Bible Commentary</w:t>
      </w:r>
      <w:r w:rsidRPr="00343522">
        <w:rPr>
          <w:rFonts w:ascii="Times New Roman" w:eastAsia="Times New Roman" w:hAnsi="Times New Roman" w:cs="Times New Roman"/>
          <w:kern w:val="0"/>
          <w:lang w:eastAsia="en-GB"/>
          <w14:ligatures w14:val="none"/>
        </w:rPr>
        <w:t xml:space="preserve">, 3rd </w:t>
      </w:r>
      <w:proofErr w:type="spellStart"/>
      <w:r w:rsidRPr="00343522">
        <w:rPr>
          <w:rFonts w:ascii="Times New Roman" w:eastAsia="Times New Roman" w:hAnsi="Times New Roman" w:cs="Times New Roman"/>
          <w:kern w:val="0"/>
          <w:lang w:eastAsia="en-GB"/>
          <w14:ligatures w14:val="none"/>
        </w:rPr>
        <w:t>edn</w:t>
      </w:r>
      <w:proofErr w:type="spellEnd"/>
      <w:r w:rsidRPr="00343522">
        <w:rPr>
          <w:rFonts w:ascii="Times New Roman" w:eastAsia="Times New Roman" w:hAnsi="Times New Roman" w:cs="Times New Roman"/>
          <w:kern w:val="0"/>
          <w:lang w:eastAsia="en-GB"/>
          <w14:ligatures w14:val="none"/>
        </w:rPr>
        <w:t xml:space="preserve"> (Louisville, KY: Westminster John Knox Press, 2012)</w:t>
      </w:r>
    </w:p>
    <w:p w14:paraId="1C1850E1" w14:textId="77777777" w:rsidR="00343522" w:rsidRPr="00343522" w:rsidRDefault="00343522" w:rsidP="00343522">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343522">
        <w:rPr>
          <w:rFonts w:ascii="Times New Roman" w:eastAsia="Times New Roman" w:hAnsi="Times New Roman" w:cs="Times New Roman"/>
          <w:kern w:val="0"/>
          <w:lang w:eastAsia="en-GB"/>
          <w14:ligatures w14:val="none"/>
        </w:rPr>
        <w:t>Trible</w:t>
      </w:r>
      <w:proofErr w:type="spellEnd"/>
      <w:r w:rsidRPr="00343522">
        <w:rPr>
          <w:rFonts w:ascii="Times New Roman" w:eastAsia="Times New Roman" w:hAnsi="Times New Roman" w:cs="Times New Roman"/>
          <w:kern w:val="0"/>
          <w:lang w:eastAsia="en-GB"/>
          <w14:ligatures w14:val="none"/>
        </w:rPr>
        <w:t xml:space="preserve">, Phyllis, </w:t>
      </w:r>
      <w:r w:rsidRPr="00343522">
        <w:rPr>
          <w:rFonts w:ascii="Times New Roman" w:eastAsia="Times New Roman" w:hAnsi="Times New Roman" w:cs="Times New Roman"/>
          <w:i/>
          <w:iCs/>
          <w:kern w:val="0"/>
          <w:lang w:eastAsia="en-GB"/>
          <w14:ligatures w14:val="none"/>
        </w:rPr>
        <w:t>Texts of Terror: Literary-Feminist Readings of Biblical Narratives</w:t>
      </w:r>
      <w:r w:rsidRPr="00343522">
        <w:rPr>
          <w:rFonts w:ascii="Times New Roman" w:eastAsia="Times New Roman" w:hAnsi="Times New Roman" w:cs="Times New Roman"/>
          <w:kern w:val="0"/>
          <w:lang w:eastAsia="en-GB"/>
          <w14:ligatures w14:val="none"/>
        </w:rPr>
        <w:t xml:space="preserve"> (Philadelphia: Fortress Press, 1984)</w:t>
      </w:r>
    </w:p>
    <w:p w14:paraId="6BE39A28" w14:textId="77777777" w:rsidR="00343522" w:rsidRPr="00343522" w:rsidRDefault="00343522" w:rsidP="00343522">
      <w:pPr>
        <w:spacing w:before="100" w:beforeAutospacing="1" w:after="100" w:afterAutospacing="1" w:line="240" w:lineRule="auto"/>
        <w:rPr>
          <w:rFonts w:ascii="Times New Roman" w:eastAsia="Times New Roman" w:hAnsi="Times New Roman" w:cs="Times New Roman"/>
          <w:kern w:val="0"/>
          <w:lang w:eastAsia="en-GB"/>
          <w14:ligatures w14:val="none"/>
        </w:rPr>
      </w:pPr>
      <w:r w:rsidRPr="00343522">
        <w:rPr>
          <w:rFonts w:ascii="Times New Roman" w:eastAsia="Times New Roman" w:hAnsi="Times New Roman" w:cs="Times New Roman"/>
          <w:kern w:val="0"/>
          <w:lang w:eastAsia="en-GB"/>
          <w14:ligatures w14:val="none"/>
        </w:rPr>
        <w:t xml:space="preserve">Weems, Renita J., </w:t>
      </w:r>
      <w:r w:rsidRPr="00343522">
        <w:rPr>
          <w:rFonts w:ascii="Times New Roman" w:eastAsia="Times New Roman" w:hAnsi="Times New Roman" w:cs="Times New Roman"/>
          <w:i/>
          <w:iCs/>
          <w:kern w:val="0"/>
          <w:lang w:eastAsia="en-GB"/>
          <w14:ligatures w14:val="none"/>
        </w:rPr>
        <w:t>Battered Love: Marriage, Sex, and Violence in the Hebrew Prophets</w:t>
      </w:r>
      <w:r w:rsidRPr="00343522">
        <w:rPr>
          <w:rFonts w:ascii="Times New Roman" w:eastAsia="Times New Roman" w:hAnsi="Times New Roman" w:cs="Times New Roman"/>
          <w:kern w:val="0"/>
          <w:lang w:eastAsia="en-GB"/>
          <w14:ligatures w14:val="none"/>
        </w:rPr>
        <w:t xml:space="preserve"> (Minneapolis: Fortress Press, 1995)</w:t>
      </w:r>
    </w:p>
    <w:p w14:paraId="159DE93E" w14:textId="77777777" w:rsidR="00343522" w:rsidRPr="00343522" w:rsidRDefault="00343522" w:rsidP="00343522">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343522">
        <w:rPr>
          <w:rFonts w:ascii="Times New Roman" w:eastAsia="Times New Roman" w:hAnsi="Times New Roman" w:cs="Times New Roman"/>
          <w:kern w:val="0"/>
          <w:lang w:eastAsia="en-GB"/>
          <w14:ligatures w14:val="none"/>
        </w:rPr>
        <w:t>Zimmerli</w:t>
      </w:r>
      <w:proofErr w:type="spellEnd"/>
      <w:r w:rsidRPr="00343522">
        <w:rPr>
          <w:rFonts w:ascii="Times New Roman" w:eastAsia="Times New Roman" w:hAnsi="Times New Roman" w:cs="Times New Roman"/>
          <w:kern w:val="0"/>
          <w:lang w:eastAsia="en-GB"/>
          <w14:ligatures w14:val="none"/>
        </w:rPr>
        <w:t xml:space="preserve">, Walther, </w:t>
      </w:r>
      <w:r w:rsidRPr="00343522">
        <w:rPr>
          <w:rFonts w:ascii="Times New Roman" w:eastAsia="Times New Roman" w:hAnsi="Times New Roman" w:cs="Times New Roman"/>
          <w:i/>
          <w:iCs/>
          <w:kern w:val="0"/>
          <w:lang w:eastAsia="en-GB"/>
          <w14:ligatures w14:val="none"/>
        </w:rPr>
        <w:t>Ezekiel 1: A Commentary on the Book of the Prophet Ezekiel, Chapters 1–24</w:t>
      </w:r>
      <w:r w:rsidRPr="00343522">
        <w:rPr>
          <w:rFonts w:ascii="Times New Roman" w:eastAsia="Times New Roman" w:hAnsi="Times New Roman" w:cs="Times New Roman"/>
          <w:kern w:val="0"/>
          <w:lang w:eastAsia="en-GB"/>
          <w14:ligatures w14:val="none"/>
        </w:rPr>
        <w:t xml:space="preserve">, trans. by Ronald E. Clements, </w:t>
      </w:r>
      <w:proofErr w:type="spellStart"/>
      <w:r w:rsidRPr="00343522">
        <w:rPr>
          <w:rFonts w:ascii="Times New Roman" w:eastAsia="Times New Roman" w:hAnsi="Times New Roman" w:cs="Times New Roman"/>
          <w:kern w:val="0"/>
          <w:lang w:eastAsia="en-GB"/>
          <w14:ligatures w14:val="none"/>
        </w:rPr>
        <w:t>Hermeneia</w:t>
      </w:r>
      <w:proofErr w:type="spellEnd"/>
      <w:r w:rsidRPr="00343522">
        <w:rPr>
          <w:rFonts w:ascii="Times New Roman" w:eastAsia="Times New Roman" w:hAnsi="Times New Roman" w:cs="Times New Roman"/>
          <w:kern w:val="0"/>
          <w:lang w:eastAsia="en-GB"/>
          <w14:ligatures w14:val="none"/>
        </w:rPr>
        <w:t xml:space="preserve"> (Philadelphia: Fortress Press, 1979)</w:t>
      </w:r>
    </w:p>
    <w:p w14:paraId="54BF5346" w14:textId="77777777" w:rsidR="00343522" w:rsidRDefault="00343522" w:rsidP="00343522">
      <w:pPr>
        <w:pStyle w:val="NormalWeb"/>
      </w:pPr>
    </w:p>
    <w:p w14:paraId="0A90D2DA" w14:textId="225EF26E" w:rsidR="00D85E57" w:rsidRDefault="00D85E57" w:rsidP="00D85E57">
      <w:pPr>
        <w:pStyle w:val="NormalWeb"/>
      </w:pPr>
    </w:p>
    <w:p w14:paraId="7A3D6AF8" w14:textId="77777777" w:rsidR="00D85E57" w:rsidRDefault="00D85E57" w:rsidP="00D85E57"/>
    <w:p w14:paraId="0849DC27" w14:textId="77777777" w:rsidR="009A01FF" w:rsidRDefault="009A01FF" w:rsidP="009A01FF">
      <w:pPr>
        <w:jc w:val="center"/>
      </w:pPr>
    </w:p>
    <w:p w14:paraId="5FD0DC65" w14:textId="77777777" w:rsidR="009A01FF" w:rsidRDefault="009A01FF" w:rsidP="009A01FF">
      <w:pPr>
        <w:jc w:val="center"/>
      </w:pPr>
    </w:p>
    <w:p w14:paraId="2FFF39D8" w14:textId="77777777" w:rsidR="009A01FF" w:rsidRPr="009A01FF" w:rsidRDefault="009A01FF" w:rsidP="009A01FF"/>
    <w:sectPr w:rsidR="009A01FF" w:rsidRPr="009A01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19EB2D" w14:textId="77777777" w:rsidR="00990A7C" w:rsidRDefault="00990A7C" w:rsidP="00E8564E">
      <w:pPr>
        <w:spacing w:after="0" w:line="240" w:lineRule="auto"/>
      </w:pPr>
      <w:r>
        <w:separator/>
      </w:r>
    </w:p>
  </w:endnote>
  <w:endnote w:type="continuationSeparator" w:id="0">
    <w:p w14:paraId="6CB9AECB" w14:textId="77777777" w:rsidR="00990A7C" w:rsidRDefault="00990A7C" w:rsidP="00E856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B12FF3" w14:textId="77777777" w:rsidR="00990A7C" w:rsidRDefault="00990A7C" w:rsidP="00E8564E">
      <w:pPr>
        <w:spacing w:after="0" w:line="240" w:lineRule="auto"/>
      </w:pPr>
      <w:r>
        <w:separator/>
      </w:r>
    </w:p>
  </w:footnote>
  <w:footnote w:type="continuationSeparator" w:id="0">
    <w:p w14:paraId="2A89017D" w14:textId="77777777" w:rsidR="00990A7C" w:rsidRDefault="00990A7C" w:rsidP="00E856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1FF"/>
    <w:rsid w:val="00010C90"/>
    <w:rsid w:val="00221579"/>
    <w:rsid w:val="00343522"/>
    <w:rsid w:val="004B649F"/>
    <w:rsid w:val="004D7DB2"/>
    <w:rsid w:val="005A6AF6"/>
    <w:rsid w:val="005F4295"/>
    <w:rsid w:val="007334AF"/>
    <w:rsid w:val="00772D23"/>
    <w:rsid w:val="007A35F9"/>
    <w:rsid w:val="008A792D"/>
    <w:rsid w:val="00990A7C"/>
    <w:rsid w:val="009A01FF"/>
    <w:rsid w:val="00A63129"/>
    <w:rsid w:val="00C10F98"/>
    <w:rsid w:val="00C976B5"/>
    <w:rsid w:val="00CC543E"/>
    <w:rsid w:val="00D85E57"/>
    <w:rsid w:val="00E8564E"/>
    <w:rsid w:val="00F43D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6C295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01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01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01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01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01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01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01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01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01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01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01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01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01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01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01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01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01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01FF"/>
    <w:rPr>
      <w:rFonts w:eastAsiaTheme="majorEastAsia" w:cstheme="majorBidi"/>
      <w:color w:val="272727" w:themeColor="text1" w:themeTint="D8"/>
    </w:rPr>
  </w:style>
  <w:style w:type="paragraph" w:styleId="Title">
    <w:name w:val="Title"/>
    <w:basedOn w:val="Normal"/>
    <w:next w:val="Normal"/>
    <w:link w:val="TitleChar"/>
    <w:uiPriority w:val="10"/>
    <w:qFormat/>
    <w:rsid w:val="009A01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01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01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01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01FF"/>
    <w:pPr>
      <w:spacing w:before="160"/>
      <w:jc w:val="center"/>
    </w:pPr>
    <w:rPr>
      <w:i/>
      <w:iCs/>
      <w:color w:val="404040" w:themeColor="text1" w:themeTint="BF"/>
    </w:rPr>
  </w:style>
  <w:style w:type="character" w:customStyle="1" w:styleId="QuoteChar">
    <w:name w:val="Quote Char"/>
    <w:basedOn w:val="DefaultParagraphFont"/>
    <w:link w:val="Quote"/>
    <w:uiPriority w:val="29"/>
    <w:rsid w:val="009A01FF"/>
    <w:rPr>
      <w:i/>
      <w:iCs/>
      <w:color w:val="404040" w:themeColor="text1" w:themeTint="BF"/>
    </w:rPr>
  </w:style>
  <w:style w:type="paragraph" w:styleId="ListParagraph">
    <w:name w:val="List Paragraph"/>
    <w:basedOn w:val="Normal"/>
    <w:uiPriority w:val="34"/>
    <w:qFormat/>
    <w:rsid w:val="009A01FF"/>
    <w:pPr>
      <w:ind w:left="720"/>
      <w:contextualSpacing/>
    </w:pPr>
  </w:style>
  <w:style w:type="character" w:styleId="IntenseEmphasis">
    <w:name w:val="Intense Emphasis"/>
    <w:basedOn w:val="DefaultParagraphFont"/>
    <w:uiPriority w:val="21"/>
    <w:qFormat/>
    <w:rsid w:val="009A01FF"/>
    <w:rPr>
      <w:i/>
      <w:iCs/>
      <w:color w:val="0F4761" w:themeColor="accent1" w:themeShade="BF"/>
    </w:rPr>
  </w:style>
  <w:style w:type="paragraph" w:styleId="IntenseQuote">
    <w:name w:val="Intense Quote"/>
    <w:basedOn w:val="Normal"/>
    <w:next w:val="Normal"/>
    <w:link w:val="IntenseQuoteChar"/>
    <w:uiPriority w:val="30"/>
    <w:qFormat/>
    <w:rsid w:val="009A01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01FF"/>
    <w:rPr>
      <w:i/>
      <w:iCs/>
      <w:color w:val="0F4761" w:themeColor="accent1" w:themeShade="BF"/>
    </w:rPr>
  </w:style>
  <w:style w:type="character" w:styleId="IntenseReference">
    <w:name w:val="Intense Reference"/>
    <w:basedOn w:val="DefaultParagraphFont"/>
    <w:uiPriority w:val="32"/>
    <w:qFormat/>
    <w:rsid w:val="009A01FF"/>
    <w:rPr>
      <w:b/>
      <w:bCs/>
      <w:smallCaps/>
      <w:color w:val="0F4761" w:themeColor="accent1" w:themeShade="BF"/>
      <w:spacing w:val="5"/>
    </w:rPr>
  </w:style>
  <w:style w:type="paragraph" w:styleId="NormalWeb">
    <w:name w:val="Normal (Web)"/>
    <w:basedOn w:val="Normal"/>
    <w:uiPriority w:val="99"/>
    <w:semiHidden/>
    <w:unhideWhenUsed/>
    <w:rsid w:val="00D85E5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E856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64E"/>
  </w:style>
  <w:style w:type="paragraph" w:styleId="Footer">
    <w:name w:val="footer"/>
    <w:basedOn w:val="Normal"/>
    <w:link w:val="FooterChar"/>
    <w:uiPriority w:val="99"/>
    <w:unhideWhenUsed/>
    <w:rsid w:val="00E856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6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2569</Words>
  <Characters>14649</Characters>
  <Application>Microsoft Office Word</Application>
  <DocSecurity>0</DocSecurity>
  <Lines>122</Lines>
  <Paragraphs>34</Paragraphs>
  <ScaleCrop>false</ScaleCrop>
  <Company/>
  <LinksUpToDate>false</LinksUpToDate>
  <CharactersWithSpaces>17184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2025-11-18T07:22:00Z</dcterms:created>
  <dcterms:modified xsi:type="dcterms:W3CDTF">2025-11-18T07:22:00Z</dcterms:modified>
</cp:coreProperties>
</file>