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5384490A"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47A2EE95" wp14:editId="50A7A49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4F2F2DB" w14:textId="7D3EF3C6" w:rsidR="007D1947" w:rsidRDefault="009D683D">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contract law       assignment two</w:t>
              </w:r>
            </w:p>
          </w:sdtContent>
        </w:sdt>
        <w:sdt>
          <w:sdtPr>
            <w:rPr>
              <w:color w:val="5B9BD5" w:themeColor="accen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EndPr/>
          <w:sdtContent>
            <w:p w14:paraId="475B7674" w14:textId="06CBC255" w:rsidR="007D1947" w:rsidRDefault="009D683D">
              <w:pPr>
                <w:pStyle w:val="NoSpacing"/>
                <w:jc w:val="center"/>
                <w:rPr>
                  <w:color w:val="5B9BD5" w:themeColor="accent1"/>
                  <w:sz w:val="28"/>
                  <w:szCs w:val="28"/>
                </w:rPr>
              </w:pPr>
              <w:r>
                <w:rPr>
                  <w:color w:val="5B9BD5" w:themeColor="accent1"/>
                  <w:sz w:val="28"/>
                  <w:szCs w:val="28"/>
                </w:rPr>
                <w:t>KAIYA TAYLOR 1908269</w:t>
              </w:r>
            </w:p>
          </w:sdtContent>
        </w:sdt>
        <w:p w14:paraId="1ADC1124"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4A6131BB" wp14:editId="0DBDB1B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1-05-07T00:00:00Z">
                                    <w:dateFormat w:val="MMMM d, yyyy"/>
                                    <w:lid w:val="en-US"/>
                                    <w:storeMappedDataAs w:val="dateTime"/>
                                    <w:calendar w:val="gregorian"/>
                                  </w:date>
                                </w:sdtPr>
                                <w:sdtEndPr/>
                                <w:sdtContent>
                                  <w:p w14:paraId="52BAF8D9" w14:textId="4661A5A2" w:rsidR="007D1947" w:rsidRDefault="009D683D">
                                    <w:pPr>
                                      <w:pStyle w:val="NoSpacing"/>
                                      <w:spacing w:after="40"/>
                                      <w:jc w:val="center"/>
                                      <w:rPr>
                                        <w:caps/>
                                        <w:color w:val="5B9BD5" w:themeColor="accent1"/>
                                        <w:sz w:val="28"/>
                                        <w:szCs w:val="28"/>
                                      </w:rPr>
                                    </w:pPr>
                                    <w:r>
                                      <w:rPr>
                                        <w:caps/>
                                        <w:color w:val="5B9BD5" w:themeColor="accent1"/>
                                        <w:sz w:val="28"/>
                                        <w:szCs w:val="28"/>
                                      </w:rPr>
                                      <w:t>May 7, 2021</w:t>
                                    </w:r>
                                  </w:p>
                                </w:sdtContent>
                              </w:sdt>
                              <w:p w14:paraId="69E98CB3" w14:textId="77777777" w:rsidR="007D1947" w:rsidRDefault="00C31688">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3FC79022" w14:textId="77777777" w:rsidR="007D1947" w:rsidRDefault="00C31688">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A6131BB"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&#13;&#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1-05-07T00:00:00Z">
                              <w:dateFormat w:val="MMMM d, yyyy"/>
                              <w:lid w:val="en-US"/>
                              <w:storeMappedDataAs w:val="dateTime"/>
                              <w:calendar w:val="gregorian"/>
                            </w:date>
                          </w:sdtPr>
                          <w:sdtEndPr/>
                          <w:sdtContent>
                            <w:p w14:paraId="52BAF8D9" w14:textId="4661A5A2" w:rsidR="007D1947" w:rsidRDefault="009D683D">
                              <w:pPr>
                                <w:pStyle w:val="NoSpacing"/>
                                <w:spacing w:after="40"/>
                                <w:jc w:val="center"/>
                                <w:rPr>
                                  <w:caps/>
                                  <w:color w:val="5B9BD5" w:themeColor="accent1"/>
                                  <w:sz w:val="28"/>
                                  <w:szCs w:val="28"/>
                                </w:rPr>
                              </w:pPr>
                              <w:r>
                                <w:rPr>
                                  <w:caps/>
                                  <w:color w:val="5B9BD5" w:themeColor="accent1"/>
                                  <w:sz w:val="28"/>
                                  <w:szCs w:val="28"/>
                                </w:rPr>
                                <w:t>May 7, 2021</w:t>
                              </w:r>
                            </w:p>
                          </w:sdtContent>
                        </w:sdt>
                        <w:p w14:paraId="69E98CB3" w14:textId="77777777" w:rsidR="007D1947" w:rsidRDefault="00C31688">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3FC79022" w14:textId="77777777" w:rsidR="007D1947" w:rsidRDefault="00C31688">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4157B111" wp14:editId="5C30AF1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EAD00A7" w14:textId="4D71557B" w:rsidR="007D1947" w:rsidRDefault="007D1947" w:rsidP="009D683D">
          <w:pPr>
            <w:pStyle w:val="Heading1"/>
          </w:pPr>
          <w:r>
            <w:br w:type="page"/>
          </w:r>
        </w:p>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1DFECD67" w14:textId="77777777" w:rsidR="007D1947" w:rsidRDefault="007D1947">
              <w:pPr>
                <w:pStyle w:val="TOCHeading"/>
              </w:pPr>
              <w:r>
                <w:t>Table of Contents</w:t>
              </w:r>
            </w:p>
            <w:p w14:paraId="63E7678E" w14:textId="4076878B" w:rsidR="005F4A17" w:rsidRDefault="007D1947">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71323306" w:history="1">
                <w:r w:rsidR="005F4A17" w:rsidRPr="00082DB6">
                  <w:rPr>
                    <w:rStyle w:val="Hyperlink"/>
                    <w:noProof/>
                  </w:rPr>
                  <w:t>Introduction</w:t>
                </w:r>
                <w:r w:rsidR="005F4A17">
                  <w:rPr>
                    <w:noProof/>
                    <w:webHidden/>
                  </w:rPr>
                  <w:tab/>
                </w:r>
                <w:r w:rsidR="005F4A17">
                  <w:rPr>
                    <w:noProof/>
                    <w:webHidden/>
                  </w:rPr>
                  <w:fldChar w:fldCharType="begin"/>
                </w:r>
                <w:r w:rsidR="005F4A17">
                  <w:rPr>
                    <w:noProof/>
                    <w:webHidden/>
                  </w:rPr>
                  <w:instrText xml:space="preserve"> PAGEREF _Toc71323306 \h </w:instrText>
                </w:r>
                <w:r w:rsidR="005F4A17">
                  <w:rPr>
                    <w:noProof/>
                    <w:webHidden/>
                  </w:rPr>
                </w:r>
                <w:r w:rsidR="005F4A17">
                  <w:rPr>
                    <w:noProof/>
                    <w:webHidden/>
                  </w:rPr>
                  <w:fldChar w:fldCharType="separate"/>
                </w:r>
                <w:r w:rsidR="005F4A17">
                  <w:rPr>
                    <w:noProof/>
                    <w:webHidden/>
                  </w:rPr>
                  <w:t>2</w:t>
                </w:r>
                <w:r w:rsidR="005F4A17">
                  <w:rPr>
                    <w:noProof/>
                    <w:webHidden/>
                  </w:rPr>
                  <w:fldChar w:fldCharType="end"/>
                </w:r>
              </w:hyperlink>
            </w:p>
            <w:p w14:paraId="3F7CA7A0" w14:textId="4C18FE9B" w:rsidR="005F4A17" w:rsidRDefault="005F4A17">
              <w:pPr>
                <w:pStyle w:val="TOC1"/>
                <w:tabs>
                  <w:tab w:val="right" w:leader="dot" w:pos="9016"/>
                </w:tabs>
                <w:rPr>
                  <w:rFonts w:eastAsiaTheme="minorEastAsia"/>
                  <w:noProof/>
                  <w:sz w:val="24"/>
                  <w:szCs w:val="24"/>
                  <w:lang w:eastAsia="en-GB"/>
                </w:rPr>
              </w:pPr>
              <w:hyperlink w:anchor="_Toc71323307" w:history="1">
                <w:r w:rsidRPr="00082DB6">
                  <w:rPr>
                    <w:rStyle w:val="Hyperlink"/>
                    <w:noProof/>
                  </w:rPr>
                  <w:t>Main Findings</w:t>
                </w:r>
                <w:r>
                  <w:rPr>
                    <w:noProof/>
                    <w:webHidden/>
                  </w:rPr>
                  <w:tab/>
                </w:r>
                <w:r>
                  <w:rPr>
                    <w:noProof/>
                    <w:webHidden/>
                  </w:rPr>
                  <w:fldChar w:fldCharType="begin"/>
                </w:r>
                <w:r>
                  <w:rPr>
                    <w:noProof/>
                    <w:webHidden/>
                  </w:rPr>
                  <w:instrText xml:space="preserve"> PAGEREF _Toc71323307 \h </w:instrText>
                </w:r>
                <w:r>
                  <w:rPr>
                    <w:noProof/>
                    <w:webHidden/>
                  </w:rPr>
                </w:r>
                <w:r>
                  <w:rPr>
                    <w:noProof/>
                    <w:webHidden/>
                  </w:rPr>
                  <w:fldChar w:fldCharType="separate"/>
                </w:r>
                <w:r>
                  <w:rPr>
                    <w:noProof/>
                    <w:webHidden/>
                  </w:rPr>
                  <w:t>3</w:t>
                </w:r>
                <w:r>
                  <w:rPr>
                    <w:noProof/>
                    <w:webHidden/>
                  </w:rPr>
                  <w:fldChar w:fldCharType="end"/>
                </w:r>
              </w:hyperlink>
            </w:p>
            <w:p w14:paraId="2C377453" w14:textId="084DE9D7" w:rsidR="005F4A17" w:rsidRDefault="005F4A17">
              <w:pPr>
                <w:pStyle w:val="TOC2"/>
                <w:tabs>
                  <w:tab w:val="right" w:leader="dot" w:pos="9016"/>
                </w:tabs>
                <w:rPr>
                  <w:rFonts w:eastAsiaTheme="minorEastAsia"/>
                  <w:noProof/>
                  <w:sz w:val="24"/>
                  <w:szCs w:val="24"/>
                  <w:lang w:eastAsia="en-GB"/>
                </w:rPr>
              </w:pPr>
              <w:hyperlink w:anchor="_Toc71323308" w:history="1">
                <w:r w:rsidRPr="00082DB6">
                  <w:rPr>
                    <w:rStyle w:val="Hyperlink"/>
                    <w:noProof/>
                  </w:rPr>
                  <w:t>Duress</w:t>
                </w:r>
                <w:r>
                  <w:rPr>
                    <w:noProof/>
                    <w:webHidden/>
                  </w:rPr>
                  <w:tab/>
                </w:r>
                <w:r>
                  <w:rPr>
                    <w:noProof/>
                    <w:webHidden/>
                  </w:rPr>
                  <w:fldChar w:fldCharType="begin"/>
                </w:r>
                <w:r>
                  <w:rPr>
                    <w:noProof/>
                    <w:webHidden/>
                  </w:rPr>
                  <w:instrText xml:space="preserve"> PAGEREF _Toc71323308 \h </w:instrText>
                </w:r>
                <w:r>
                  <w:rPr>
                    <w:noProof/>
                    <w:webHidden/>
                  </w:rPr>
                </w:r>
                <w:r>
                  <w:rPr>
                    <w:noProof/>
                    <w:webHidden/>
                  </w:rPr>
                  <w:fldChar w:fldCharType="separate"/>
                </w:r>
                <w:r>
                  <w:rPr>
                    <w:noProof/>
                    <w:webHidden/>
                  </w:rPr>
                  <w:t>3</w:t>
                </w:r>
                <w:r>
                  <w:rPr>
                    <w:noProof/>
                    <w:webHidden/>
                  </w:rPr>
                  <w:fldChar w:fldCharType="end"/>
                </w:r>
              </w:hyperlink>
            </w:p>
            <w:p w14:paraId="66766DC4" w14:textId="085EE098" w:rsidR="005F4A17" w:rsidRDefault="005F4A17">
              <w:pPr>
                <w:pStyle w:val="TOC2"/>
                <w:tabs>
                  <w:tab w:val="right" w:leader="dot" w:pos="9016"/>
                </w:tabs>
                <w:rPr>
                  <w:rFonts w:eastAsiaTheme="minorEastAsia"/>
                  <w:noProof/>
                  <w:sz w:val="24"/>
                  <w:szCs w:val="24"/>
                  <w:lang w:eastAsia="en-GB"/>
                </w:rPr>
              </w:pPr>
              <w:hyperlink w:anchor="_Toc71323309" w:history="1">
                <w:r w:rsidRPr="00082DB6">
                  <w:rPr>
                    <w:rStyle w:val="Hyperlink"/>
                    <w:noProof/>
                  </w:rPr>
                  <w:t>Undue influence</w:t>
                </w:r>
                <w:r>
                  <w:rPr>
                    <w:noProof/>
                    <w:webHidden/>
                  </w:rPr>
                  <w:tab/>
                </w:r>
                <w:r>
                  <w:rPr>
                    <w:noProof/>
                    <w:webHidden/>
                  </w:rPr>
                  <w:fldChar w:fldCharType="begin"/>
                </w:r>
                <w:r>
                  <w:rPr>
                    <w:noProof/>
                    <w:webHidden/>
                  </w:rPr>
                  <w:instrText xml:space="preserve"> PAGEREF _Toc71323309 \h </w:instrText>
                </w:r>
                <w:r>
                  <w:rPr>
                    <w:noProof/>
                    <w:webHidden/>
                  </w:rPr>
                </w:r>
                <w:r>
                  <w:rPr>
                    <w:noProof/>
                    <w:webHidden/>
                  </w:rPr>
                  <w:fldChar w:fldCharType="separate"/>
                </w:r>
                <w:r>
                  <w:rPr>
                    <w:noProof/>
                    <w:webHidden/>
                  </w:rPr>
                  <w:t>3</w:t>
                </w:r>
                <w:r>
                  <w:rPr>
                    <w:noProof/>
                    <w:webHidden/>
                  </w:rPr>
                  <w:fldChar w:fldCharType="end"/>
                </w:r>
              </w:hyperlink>
            </w:p>
            <w:p w14:paraId="685DDB55" w14:textId="7B26D7C3" w:rsidR="005F4A17" w:rsidRDefault="005F4A17">
              <w:pPr>
                <w:pStyle w:val="TOC1"/>
                <w:tabs>
                  <w:tab w:val="right" w:leader="dot" w:pos="9016"/>
                </w:tabs>
                <w:rPr>
                  <w:rFonts w:eastAsiaTheme="minorEastAsia"/>
                  <w:noProof/>
                  <w:sz w:val="24"/>
                  <w:szCs w:val="24"/>
                  <w:lang w:eastAsia="en-GB"/>
                </w:rPr>
              </w:pPr>
              <w:hyperlink w:anchor="_Toc71323310" w:history="1">
                <w:r w:rsidRPr="00082DB6">
                  <w:rPr>
                    <w:rStyle w:val="Hyperlink"/>
                    <w:noProof/>
                  </w:rPr>
                  <w:t>Conclusion</w:t>
                </w:r>
                <w:r>
                  <w:rPr>
                    <w:noProof/>
                    <w:webHidden/>
                  </w:rPr>
                  <w:tab/>
                </w:r>
                <w:r>
                  <w:rPr>
                    <w:noProof/>
                    <w:webHidden/>
                  </w:rPr>
                  <w:fldChar w:fldCharType="begin"/>
                </w:r>
                <w:r>
                  <w:rPr>
                    <w:noProof/>
                    <w:webHidden/>
                  </w:rPr>
                  <w:instrText xml:space="preserve"> PAGEREF _Toc71323310 \h </w:instrText>
                </w:r>
                <w:r>
                  <w:rPr>
                    <w:noProof/>
                    <w:webHidden/>
                  </w:rPr>
                </w:r>
                <w:r>
                  <w:rPr>
                    <w:noProof/>
                    <w:webHidden/>
                  </w:rPr>
                  <w:fldChar w:fldCharType="separate"/>
                </w:r>
                <w:r>
                  <w:rPr>
                    <w:noProof/>
                    <w:webHidden/>
                  </w:rPr>
                  <w:t>4</w:t>
                </w:r>
                <w:r>
                  <w:rPr>
                    <w:noProof/>
                    <w:webHidden/>
                  </w:rPr>
                  <w:fldChar w:fldCharType="end"/>
                </w:r>
              </w:hyperlink>
            </w:p>
            <w:p w14:paraId="73B431A1" w14:textId="02A817AE" w:rsidR="005F4A17" w:rsidRDefault="005F4A17">
              <w:pPr>
                <w:pStyle w:val="TOC1"/>
                <w:tabs>
                  <w:tab w:val="right" w:leader="dot" w:pos="9016"/>
                </w:tabs>
                <w:rPr>
                  <w:rFonts w:eastAsiaTheme="minorEastAsia"/>
                  <w:noProof/>
                  <w:sz w:val="24"/>
                  <w:szCs w:val="24"/>
                  <w:lang w:eastAsia="en-GB"/>
                </w:rPr>
              </w:pPr>
              <w:hyperlink w:anchor="_Toc71323311" w:history="1">
                <w:r w:rsidRPr="00082DB6">
                  <w:rPr>
                    <w:rStyle w:val="Hyperlink"/>
                    <w:noProof/>
                  </w:rPr>
                  <w:t>Bibliography</w:t>
                </w:r>
                <w:r>
                  <w:rPr>
                    <w:noProof/>
                    <w:webHidden/>
                  </w:rPr>
                  <w:tab/>
                </w:r>
                <w:r>
                  <w:rPr>
                    <w:noProof/>
                    <w:webHidden/>
                  </w:rPr>
                  <w:fldChar w:fldCharType="begin"/>
                </w:r>
                <w:r>
                  <w:rPr>
                    <w:noProof/>
                    <w:webHidden/>
                  </w:rPr>
                  <w:instrText xml:space="preserve"> PAGEREF _Toc71323311 \h </w:instrText>
                </w:r>
                <w:r>
                  <w:rPr>
                    <w:noProof/>
                    <w:webHidden/>
                  </w:rPr>
                </w:r>
                <w:r>
                  <w:rPr>
                    <w:noProof/>
                    <w:webHidden/>
                  </w:rPr>
                  <w:fldChar w:fldCharType="separate"/>
                </w:r>
                <w:r>
                  <w:rPr>
                    <w:noProof/>
                    <w:webHidden/>
                  </w:rPr>
                  <w:t>5</w:t>
                </w:r>
                <w:r>
                  <w:rPr>
                    <w:noProof/>
                    <w:webHidden/>
                  </w:rPr>
                  <w:fldChar w:fldCharType="end"/>
                </w:r>
              </w:hyperlink>
            </w:p>
            <w:p w14:paraId="62E0E0F3" w14:textId="13BB35EA" w:rsidR="005F4A17" w:rsidRDefault="005F4A17">
              <w:pPr>
                <w:pStyle w:val="TOC2"/>
                <w:tabs>
                  <w:tab w:val="right" w:leader="dot" w:pos="9016"/>
                </w:tabs>
                <w:rPr>
                  <w:rFonts w:eastAsiaTheme="minorEastAsia"/>
                  <w:noProof/>
                  <w:sz w:val="24"/>
                  <w:szCs w:val="24"/>
                  <w:lang w:eastAsia="en-GB"/>
                </w:rPr>
              </w:pPr>
              <w:hyperlink w:anchor="_Toc71323312" w:history="1">
                <w:r w:rsidRPr="00082DB6">
                  <w:rPr>
                    <w:rStyle w:val="Hyperlink"/>
                    <w:noProof/>
                  </w:rPr>
                  <w:t>Case Law</w:t>
                </w:r>
                <w:r>
                  <w:rPr>
                    <w:noProof/>
                    <w:webHidden/>
                  </w:rPr>
                  <w:tab/>
                </w:r>
                <w:r>
                  <w:rPr>
                    <w:noProof/>
                    <w:webHidden/>
                  </w:rPr>
                  <w:fldChar w:fldCharType="begin"/>
                </w:r>
                <w:r>
                  <w:rPr>
                    <w:noProof/>
                    <w:webHidden/>
                  </w:rPr>
                  <w:instrText xml:space="preserve"> PAGEREF _Toc71323312 \h </w:instrText>
                </w:r>
                <w:r>
                  <w:rPr>
                    <w:noProof/>
                    <w:webHidden/>
                  </w:rPr>
                </w:r>
                <w:r>
                  <w:rPr>
                    <w:noProof/>
                    <w:webHidden/>
                  </w:rPr>
                  <w:fldChar w:fldCharType="separate"/>
                </w:r>
                <w:r>
                  <w:rPr>
                    <w:noProof/>
                    <w:webHidden/>
                  </w:rPr>
                  <w:t>5</w:t>
                </w:r>
                <w:r>
                  <w:rPr>
                    <w:noProof/>
                    <w:webHidden/>
                  </w:rPr>
                  <w:fldChar w:fldCharType="end"/>
                </w:r>
              </w:hyperlink>
            </w:p>
            <w:p w14:paraId="6822C708" w14:textId="52165716" w:rsidR="005F4A17" w:rsidRDefault="005F4A17">
              <w:pPr>
                <w:pStyle w:val="TOC2"/>
                <w:tabs>
                  <w:tab w:val="right" w:leader="dot" w:pos="9016"/>
                </w:tabs>
                <w:rPr>
                  <w:rFonts w:eastAsiaTheme="minorEastAsia"/>
                  <w:noProof/>
                  <w:sz w:val="24"/>
                  <w:szCs w:val="24"/>
                  <w:lang w:eastAsia="en-GB"/>
                </w:rPr>
              </w:pPr>
              <w:hyperlink w:anchor="_Toc71323313" w:history="1">
                <w:r w:rsidRPr="00082DB6">
                  <w:rPr>
                    <w:rStyle w:val="Hyperlink"/>
                    <w:noProof/>
                  </w:rPr>
                  <w:t>References</w:t>
                </w:r>
                <w:r>
                  <w:rPr>
                    <w:noProof/>
                    <w:webHidden/>
                  </w:rPr>
                  <w:tab/>
                </w:r>
                <w:r>
                  <w:rPr>
                    <w:noProof/>
                    <w:webHidden/>
                  </w:rPr>
                  <w:fldChar w:fldCharType="begin"/>
                </w:r>
                <w:r>
                  <w:rPr>
                    <w:noProof/>
                    <w:webHidden/>
                  </w:rPr>
                  <w:instrText xml:space="preserve"> PAGEREF _Toc71323313 \h </w:instrText>
                </w:r>
                <w:r>
                  <w:rPr>
                    <w:noProof/>
                    <w:webHidden/>
                  </w:rPr>
                </w:r>
                <w:r>
                  <w:rPr>
                    <w:noProof/>
                    <w:webHidden/>
                  </w:rPr>
                  <w:fldChar w:fldCharType="separate"/>
                </w:r>
                <w:r>
                  <w:rPr>
                    <w:noProof/>
                    <w:webHidden/>
                  </w:rPr>
                  <w:t>5</w:t>
                </w:r>
                <w:r>
                  <w:rPr>
                    <w:noProof/>
                    <w:webHidden/>
                  </w:rPr>
                  <w:fldChar w:fldCharType="end"/>
                </w:r>
              </w:hyperlink>
            </w:p>
            <w:p w14:paraId="05194699" w14:textId="193A684F" w:rsidR="007D1947" w:rsidRPr="009D683D" w:rsidRDefault="007D1947">
              <w:pPr>
                <w:rPr>
                  <w:b/>
                  <w:bCs/>
                  <w:noProof/>
                </w:rPr>
              </w:pPr>
              <w:r>
                <w:rPr>
                  <w:b/>
                  <w:bCs/>
                  <w:noProof/>
                </w:rPr>
                <w:fldChar w:fldCharType="end"/>
              </w:r>
            </w:p>
          </w:sdtContent>
        </w:sdt>
        <w:p w14:paraId="35B6052B" w14:textId="77777777" w:rsidR="007D1947" w:rsidRDefault="007D1947"/>
        <w:p w14:paraId="22F11532" w14:textId="77777777" w:rsidR="007D1947" w:rsidRDefault="007D1947"/>
        <w:p w14:paraId="15C6D916" w14:textId="77777777" w:rsidR="007D1947" w:rsidRDefault="007D1947"/>
        <w:p w14:paraId="0882E422" w14:textId="77777777" w:rsidR="007D1947" w:rsidRDefault="007D1947"/>
        <w:p w14:paraId="2076963D" w14:textId="77777777" w:rsidR="007D1947" w:rsidRDefault="007D1947"/>
        <w:p w14:paraId="006E6A3F" w14:textId="77777777" w:rsidR="007D1947" w:rsidRDefault="007D1947"/>
        <w:p w14:paraId="26EE9C53" w14:textId="77777777" w:rsidR="007D1947" w:rsidRDefault="007D1947"/>
        <w:p w14:paraId="2AEFE0CA" w14:textId="77777777" w:rsidR="007D1947" w:rsidRDefault="007D1947"/>
        <w:p w14:paraId="4F8F730C" w14:textId="77777777" w:rsidR="007D1947" w:rsidRDefault="007D1947"/>
        <w:p w14:paraId="4D3D6465" w14:textId="77777777" w:rsidR="007D1947" w:rsidRDefault="007D1947"/>
        <w:p w14:paraId="47414E5B" w14:textId="77777777" w:rsidR="007D1947" w:rsidRDefault="007D1947"/>
        <w:p w14:paraId="2F67E6D4" w14:textId="77777777" w:rsidR="007D1947" w:rsidRDefault="007D1947"/>
        <w:p w14:paraId="400F30D3" w14:textId="77777777" w:rsidR="007D1947" w:rsidRDefault="007D1947"/>
        <w:p w14:paraId="21D0F861" w14:textId="77777777" w:rsidR="007D1947" w:rsidRDefault="007D1947"/>
        <w:p w14:paraId="68D56007" w14:textId="77777777" w:rsidR="007D1947" w:rsidRDefault="007D1947"/>
        <w:p w14:paraId="5CD1CE9F" w14:textId="77777777" w:rsidR="007D1947" w:rsidRDefault="007D1947"/>
        <w:p w14:paraId="77F0A10B" w14:textId="77777777" w:rsidR="007D1947" w:rsidRDefault="007D1947"/>
        <w:p w14:paraId="655F29CA" w14:textId="77777777" w:rsidR="007D1947" w:rsidRDefault="007D1947"/>
        <w:p w14:paraId="373EF0DF" w14:textId="77777777" w:rsidR="009D683D" w:rsidRDefault="009D683D">
          <w:pPr>
            <w:rPr>
              <w:rFonts w:asciiTheme="majorHAnsi" w:eastAsiaTheme="majorEastAsia" w:hAnsiTheme="majorHAnsi" w:cstheme="majorBidi"/>
              <w:color w:val="2E74B5" w:themeColor="accent1" w:themeShade="BF"/>
              <w:sz w:val="32"/>
              <w:szCs w:val="32"/>
            </w:rPr>
          </w:pPr>
          <w:r>
            <w:br w:type="page"/>
          </w:r>
        </w:p>
        <w:p w14:paraId="5F181728" w14:textId="2410A1FC" w:rsidR="009C5888" w:rsidRDefault="007D1947" w:rsidP="00513F23">
          <w:pPr>
            <w:pStyle w:val="Heading1"/>
          </w:pPr>
          <w:bookmarkStart w:id="0" w:name="_Toc71323306"/>
          <w:r>
            <w:lastRenderedPageBreak/>
            <w:t>Introduction</w:t>
          </w:r>
          <w:bookmarkEnd w:id="0"/>
        </w:p>
        <w:p w14:paraId="3303D06A" w14:textId="6954DDA8" w:rsidR="00497281" w:rsidRDefault="00497281" w:rsidP="00497281">
          <w:r>
            <w:t xml:space="preserve">In English law, the courts recognise that in certain circumstances it is necessary to relieve a party from their obligation to perform their end of an agreement, </w:t>
          </w:r>
          <w:r w:rsidR="001914F2">
            <w:t xml:space="preserve">the </w:t>
          </w:r>
          <w:r>
            <w:t>reasoning for this can include the party being subject to threat or unnecessary pressure at the time of entering a contract</w:t>
          </w:r>
          <w:r w:rsidR="001914F2">
            <w:t xml:space="preserve"> (Enticknap, 2021)</w:t>
          </w:r>
          <w:r>
            <w:t xml:space="preserve">. Depending on the situation, this would either fall under the doctrine of duress or undue </w:t>
          </w:r>
          <w:r>
            <w:t>influence</w:t>
          </w:r>
          <w:r>
            <w:t xml:space="preserve">. </w:t>
          </w:r>
        </w:p>
        <w:p w14:paraId="2AEB6251" w14:textId="65C2F0EC" w:rsidR="00497281" w:rsidRDefault="00497281" w:rsidP="00497281">
          <w:r>
            <w:t xml:space="preserve">The doctrine of duress is defined as any form of threat that can be used to put pressure on a party to enter a contract (Martin, 2006). </w:t>
          </w:r>
          <w:r w:rsidR="008A160D">
            <w:t xml:space="preserve">In </w:t>
          </w:r>
          <w:r w:rsidR="00777977">
            <w:t>situations where a party has been pressured into a contract, but the pressure is not sufficient to define as Duress, it is then referred to as Undue influence. Undue influence is</w:t>
          </w:r>
          <w:r>
            <w:t xml:space="preserve"> the improper use of power or trust is used to persuade the actions of another party to favour the influencer (Garner, 2009). </w:t>
          </w:r>
          <w:r w:rsidR="00777977">
            <w:t>The brief distinction between duress and undue influence is that duress is caused by threat, while undue influence is caused through persuasion.</w:t>
          </w:r>
          <w:r w:rsidR="00777977">
            <w:t xml:space="preserve"> </w:t>
          </w:r>
          <w:r>
            <w:t xml:space="preserve">These doctrines operate to protect the freedom of contracts, any contract that is entered into under duress or undue influence is voidable, the claimant may rescind the contract. </w:t>
          </w:r>
        </w:p>
        <w:p w14:paraId="6965E43A" w14:textId="46544BC3" w:rsidR="004A11F6" w:rsidRDefault="00497281" w:rsidP="00497281">
          <w:r>
            <w:t>This essay will further discuss both doctrines, looking at the history and development of the law. With insight looking at the extent to which the courts will uphold a contract when issues of duress and undue influence arise.</w:t>
          </w:r>
        </w:p>
        <w:p w14:paraId="04F16582" w14:textId="77777777" w:rsidR="004A11F6" w:rsidRDefault="004A11F6" w:rsidP="007D1947"/>
        <w:p w14:paraId="3BCFD6F0" w14:textId="77777777" w:rsidR="004A11F6" w:rsidRDefault="004A11F6" w:rsidP="007D1947"/>
        <w:p w14:paraId="2F757D32" w14:textId="77777777" w:rsidR="004A11F6" w:rsidRDefault="004A11F6" w:rsidP="007D1947"/>
        <w:p w14:paraId="4950AFFE" w14:textId="77777777" w:rsidR="004A11F6" w:rsidRDefault="004A11F6" w:rsidP="007D1947"/>
        <w:p w14:paraId="377C9265" w14:textId="77777777" w:rsidR="004A11F6" w:rsidRDefault="004A11F6" w:rsidP="007D1947"/>
        <w:p w14:paraId="4108EE7B" w14:textId="77777777" w:rsidR="004A11F6" w:rsidRDefault="004A11F6" w:rsidP="007D1947"/>
        <w:p w14:paraId="0EB1AA98" w14:textId="77777777" w:rsidR="004A11F6" w:rsidRDefault="004A11F6" w:rsidP="007D1947"/>
        <w:p w14:paraId="50EA4EC0" w14:textId="77777777" w:rsidR="004A11F6" w:rsidRDefault="004A11F6" w:rsidP="007D1947"/>
        <w:p w14:paraId="47DC0B2B" w14:textId="77777777" w:rsidR="004A11F6" w:rsidRDefault="004A11F6" w:rsidP="007D1947"/>
        <w:p w14:paraId="5FA54E48" w14:textId="77777777" w:rsidR="004A11F6" w:rsidRDefault="004A11F6" w:rsidP="007D1947"/>
        <w:p w14:paraId="63B8FBF1" w14:textId="77777777" w:rsidR="004A11F6" w:rsidRDefault="004A11F6" w:rsidP="007D1947"/>
        <w:p w14:paraId="4AA639F2" w14:textId="77777777" w:rsidR="004A11F6" w:rsidRDefault="004A11F6" w:rsidP="007D1947"/>
        <w:p w14:paraId="6609DA3E" w14:textId="77777777" w:rsidR="004A11F6" w:rsidRDefault="004A11F6" w:rsidP="007D1947"/>
        <w:p w14:paraId="23067ADB" w14:textId="77777777" w:rsidR="004A11F6" w:rsidRDefault="004A11F6" w:rsidP="007D1947"/>
        <w:p w14:paraId="4AA3E07A" w14:textId="77777777" w:rsidR="004A11F6" w:rsidRDefault="004A11F6" w:rsidP="007D1947"/>
        <w:p w14:paraId="0BE775A6" w14:textId="77777777" w:rsidR="004A11F6" w:rsidRDefault="004A11F6" w:rsidP="007D1947"/>
        <w:p w14:paraId="4999262A" w14:textId="77777777" w:rsidR="004A11F6" w:rsidRDefault="004A11F6" w:rsidP="007D1947"/>
        <w:p w14:paraId="11720A93" w14:textId="3A8D516A" w:rsidR="000C7DEE" w:rsidRDefault="00480872" w:rsidP="000C7DEE">
          <w:pPr>
            <w:pStyle w:val="Heading1"/>
          </w:pPr>
          <w:bookmarkStart w:id="1" w:name="_Toc71323307"/>
          <w:r>
            <w:lastRenderedPageBreak/>
            <w:t>Main Findings</w:t>
          </w:r>
          <w:bookmarkEnd w:id="1"/>
        </w:p>
        <w:p w14:paraId="5D75597C" w14:textId="77777777" w:rsidR="00B9027A" w:rsidRDefault="00B9027A" w:rsidP="00B9027A">
          <w:pPr>
            <w:pStyle w:val="Heading2"/>
          </w:pPr>
        </w:p>
        <w:p w14:paraId="6410E7D7" w14:textId="1EB33E9A" w:rsidR="00B9027A" w:rsidRDefault="000C7DEE" w:rsidP="00B9027A">
          <w:pPr>
            <w:pStyle w:val="Heading2"/>
          </w:pPr>
          <w:bookmarkStart w:id="2" w:name="_Toc71323308"/>
          <w:r>
            <w:t>Duress</w:t>
          </w:r>
          <w:bookmarkEnd w:id="2"/>
          <w:r>
            <w:t xml:space="preserve"> </w:t>
          </w:r>
        </w:p>
        <w:p w14:paraId="779B17B1" w14:textId="79F6C515" w:rsidR="00B9027A" w:rsidRDefault="00B9027A" w:rsidP="00B9027A">
          <w:r>
            <w:t xml:space="preserve">The law recognises that there are three main forms of duress, these include duress to the person, duress of goods, and finally economic duress (O’Sullivan and Hilliard, 2012). All three forms of duress may enable a party to rescind a contract. It is not easy to predict what sort of pressure the courts would consider being duress. </w:t>
          </w:r>
        </w:p>
        <w:p w14:paraId="13E8D36B" w14:textId="77777777" w:rsidR="00B9027A" w:rsidRDefault="00B9027A" w:rsidP="00B9027A">
          <w:r>
            <w:t xml:space="preserve">Historically duress was confined within narrow limits, only recognising duress to the person. This could be a threat of violence to either the claimant or even to their family (McKendrick, 2017). In Barton v Armstrong [1976] it was held by the Privy Council that Barton could rescind the contract, it was sufficient even though the threats were only a factor, and not the sole reasoning influencing the contract. It is clear to see that the courts usually favour the claimant in cases where a threat to the person is clear. </w:t>
          </w:r>
        </w:p>
        <w:p w14:paraId="66037BEC" w14:textId="77777777" w:rsidR="00B9027A" w:rsidRDefault="00B9027A" w:rsidP="00B9027A">
          <w:r>
            <w:t xml:space="preserve">Duress of goods, the second principle, involves the threat to damage one’s property, asset, as well as demand for money (Furmston, 2012). In the case Skeate v Beale [1840], it was held that the unlawful detention of goods does not result in duress. The decision within this case has come under heavy criticism, in Maskell v Horner [1915] the courts held in favour of the claimant, where he was able to recover his damages. This decision in this case is out of line with the law on duress. The law surrounding the duress of goods is unpredictable and should be revised to allow more consistency within the courts.   </w:t>
          </w:r>
        </w:p>
        <w:p w14:paraId="18CACBFB" w14:textId="384B4D87" w:rsidR="009D0314" w:rsidRDefault="00B9027A" w:rsidP="00C657E8">
          <w:r>
            <w:t xml:space="preserve">Finally, the most recent form, being economic duress. This could be “the threat by one party to break a contract unless the other party agrees to its variation, or compromise” (Peel, 2015). Economic duress was first recognised in The Siboen and The Sibotre [1976] case by Kerr J (Ogilvie, 2001), although Kerr J refused to follow economic duress in this case because of the amount of coercion, in that case, was not sufficient. However, he did state that it would be possible to rescind a contract through economic duress, resulting in great development in this area of law.  </w:t>
          </w:r>
        </w:p>
        <w:p w14:paraId="2DF66F30" w14:textId="20425BD7" w:rsidR="003E12D5" w:rsidRPr="003E12D5" w:rsidRDefault="00C657E8" w:rsidP="003E12D5">
          <w:r>
            <w:t xml:space="preserve">The law of duress is still unclear and unpredictable, in the case of </w:t>
          </w:r>
          <w:r w:rsidR="003E12D5">
            <w:t xml:space="preserve">DSND Subsea Ltd </w:t>
          </w:r>
          <w:r>
            <w:t xml:space="preserve">v Petroleum Geo-Services ASA [2000], Dyson J implied that a threat of contract is not necessarily unlawful. The court will take into consideration factors when determining whether there has been illegitimate pressure. These factors include looking at </w:t>
          </w:r>
          <w:r w:rsidR="006120D9">
            <w:t>if the pressure was applied in good or bad faith, whether the claimant had another alternative but to enter the contract, or if the claimant protested at the time. However, despite the court taking these consideration</w:t>
          </w:r>
          <w:r w:rsidR="00D52654">
            <w:t>s</w:t>
          </w:r>
          <w:r w:rsidR="006120D9">
            <w:t xml:space="preserve"> there is still confusion around this area. In Huyton</w:t>
          </w:r>
          <w:r w:rsidR="00D52654">
            <w:t xml:space="preserve"> SA v Peter Cremer GmbH &amp; Co [1999], Dyson J stated that applying pressure in some circumstances may be significant (Andrew, 2011). </w:t>
          </w:r>
        </w:p>
        <w:p w14:paraId="4A0FE948" w14:textId="77777777" w:rsidR="00E70F71" w:rsidRDefault="00E70F71" w:rsidP="00643CBE">
          <w:pPr>
            <w:pStyle w:val="Heading2"/>
          </w:pPr>
        </w:p>
        <w:p w14:paraId="05C2AB3C" w14:textId="2A48E898" w:rsidR="009B61D1" w:rsidRDefault="009B61D1" w:rsidP="00643CBE">
          <w:pPr>
            <w:pStyle w:val="Heading2"/>
          </w:pPr>
          <w:bookmarkStart w:id="3" w:name="_Toc71323309"/>
          <w:r>
            <w:t>Undue influence</w:t>
          </w:r>
          <w:bookmarkEnd w:id="3"/>
          <w:r>
            <w:t xml:space="preserve"> </w:t>
          </w:r>
        </w:p>
        <w:p w14:paraId="23C0F1F3" w14:textId="760BACF5" w:rsidR="009F0916" w:rsidRDefault="009F0916">
          <w:r>
            <w:t>Undue influence is there to protect those who are in situations where duress is not reached. In the case of Bank of Credit and Commerce International v Aboody [1992]</w:t>
          </w:r>
          <w:r w:rsidR="00E70F71">
            <w:t xml:space="preserve">, </w:t>
          </w:r>
          <w:r>
            <w:t>it was held that there are two forms of undue influence</w:t>
          </w:r>
          <w:r w:rsidR="00E70F71">
            <w:t>. W</w:t>
          </w:r>
          <w:r>
            <w:t xml:space="preserve">hich are known as undue </w:t>
          </w:r>
          <w:r w:rsidR="00E70F71">
            <w:t>influence and</w:t>
          </w:r>
          <w:r>
            <w:t xml:space="preserve"> presumed undue influence. The influence of this case had </w:t>
          </w:r>
          <w:r w:rsidR="00E70F71">
            <w:t xml:space="preserve">an </w:t>
          </w:r>
          <w:r>
            <w:t xml:space="preserve">impact on Barclays Bank plc v O’Brien [2004] but came under criticism in the Royal Bank of Scotland plc v Etridge (no.2) [2001]. </w:t>
          </w:r>
        </w:p>
        <w:p w14:paraId="25B7717B" w14:textId="77777777" w:rsidR="00643CBE" w:rsidRDefault="00643CBE">
          <w:pPr>
            <w:rPr>
              <w:rFonts w:asciiTheme="majorHAnsi" w:eastAsiaTheme="majorEastAsia" w:hAnsiTheme="majorHAnsi" w:cstheme="majorBidi"/>
              <w:color w:val="2E74B5" w:themeColor="accent1" w:themeShade="BF"/>
              <w:sz w:val="32"/>
              <w:szCs w:val="32"/>
            </w:rPr>
          </w:pPr>
          <w:r>
            <w:br w:type="page"/>
          </w:r>
        </w:p>
        <w:p w14:paraId="5C67928C" w14:textId="14E80FEB" w:rsidR="00AA2A91" w:rsidRDefault="00AA2A91" w:rsidP="00AA2A91">
          <w:pPr>
            <w:pStyle w:val="Heading1"/>
          </w:pPr>
          <w:bookmarkStart w:id="4" w:name="_Toc71323310"/>
          <w:r>
            <w:lastRenderedPageBreak/>
            <w:t>Conclusion</w:t>
          </w:r>
          <w:bookmarkEnd w:id="4"/>
        </w:p>
        <w:p w14:paraId="6FF3B474" w14:textId="373C8ABD" w:rsidR="00AA2A91" w:rsidRDefault="00E70F71" w:rsidP="00AA2A91">
          <w:r>
            <w:t xml:space="preserve">The law surrounding duress and undue influence is slowly adopting and expanding, however, there is still a great deal of uncertainty and unpredictable in case law. </w:t>
          </w:r>
          <w:r w:rsidR="005F4A17">
            <w:t>It is very hard to interpret the law and see the trends when there are no clear precedents being made by those who are a</w:t>
          </w:r>
          <w:r w:rsidR="00E25C86">
            <w:t xml:space="preserve">ble to interpret and amend the law. </w:t>
          </w:r>
        </w:p>
        <w:p w14:paraId="735EB39C" w14:textId="3D188E79" w:rsidR="00AA2A91" w:rsidRDefault="00AA2A91" w:rsidP="00AA2A91"/>
        <w:p w14:paraId="131D500D" w14:textId="77777777" w:rsidR="00AA2A91" w:rsidRDefault="00AA2A91" w:rsidP="00AA2A91"/>
        <w:p w14:paraId="6694B73F" w14:textId="77777777" w:rsidR="00AA2A91" w:rsidRDefault="00AA2A91" w:rsidP="00AA2A91"/>
        <w:p w14:paraId="7246D263" w14:textId="77777777" w:rsidR="00AA2A91" w:rsidRDefault="00AA2A91" w:rsidP="00AA2A91"/>
        <w:p w14:paraId="22020C63" w14:textId="77777777" w:rsidR="00AA2A91" w:rsidRDefault="00AA2A91" w:rsidP="00AA2A91"/>
        <w:p w14:paraId="43A20583" w14:textId="77777777" w:rsidR="00AA2A91" w:rsidRDefault="00AA2A91" w:rsidP="00AA2A91"/>
        <w:p w14:paraId="39BA3A5F" w14:textId="77777777" w:rsidR="00AA2A91" w:rsidRDefault="00AA2A91" w:rsidP="00AA2A91"/>
        <w:p w14:paraId="385E28CD" w14:textId="77777777" w:rsidR="00AA2A91" w:rsidRDefault="00AA2A91" w:rsidP="00AA2A91"/>
        <w:p w14:paraId="0F501598" w14:textId="77777777" w:rsidR="00AA2A91" w:rsidRDefault="00AA2A91" w:rsidP="00AA2A91"/>
        <w:p w14:paraId="0E5928E3" w14:textId="77777777" w:rsidR="00AA2A91" w:rsidRDefault="00AA2A91" w:rsidP="00AA2A91"/>
        <w:p w14:paraId="0D823694" w14:textId="77777777" w:rsidR="00AA2A91" w:rsidRDefault="00AA2A91" w:rsidP="00AA2A91"/>
        <w:p w14:paraId="57748263" w14:textId="77777777" w:rsidR="00AA2A91" w:rsidRDefault="00AA2A91" w:rsidP="00AA2A91"/>
        <w:p w14:paraId="2BBAF9C4" w14:textId="77777777" w:rsidR="00AA2A91" w:rsidRDefault="00AA2A91" w:rsidP="00AA2A91"/>
        <w:p w14:paraId="3F0C99F6" w14:textId="77777777" w:rsidR="00AA2A91" w:rsidRDefault="00AA2A91" w:rsidP="00AA2A91"/>
        <w:p w14:paraId="617B5053" w14:textId="77777777" w:rsidR="00AA2A91" w:rsidRDefault="00AA2A91" w:rsidP="00AA2A91"/>
        <w:p w14:paraId="52C577D0" w14:textId="77777777" w:rsidR="00AA2A91" w:rsidRDefault="00AA2A91" w:rsidP="00AA2A91"/>
        <w:p w14:paraId="7C924378" w14:textId="77777777" w:rsidR="00AA2A91" w:rsidRDefault="00AA2A91" w:rsidP="00AA2A91"/>
        <w:p w14:paraId="12335BCA" w14:textId="77777777" w:rsidR="00AA2A91" w:rsidRDefault="00AA2A91" w:rsidP="00AA2A91"/>
        <w:p w14:paraId="57551E56" w14:textId="77777777" w:rsidR="00AA2A91" w:rsidRDefault="00AA2A91" w:rsidP="00AA2A91"/>
        <w:p w14:paraId="7779ADCB" w14:textId="77777777" w:rsidR="00AA2A91" w:rsidRDefault="00AA2A91" w:rsidP="00AA2A91"/>
        <w:p w14:paraId="120D3BCF" w14:textId="77777777" w:rsidR="00AA2A91" w:rsidRDefault="00AA2A91" w:rsidP="00AA2A91"/>
        <w:p w14:paraId="20BC3FCE" w14:textId="77777777" w:rsidR="00AA2A91" w:rsidRDefault="00AA2A91" w:rsidP="00AA2A91"/>
        <w:p w14:paraId="70E87FE0" w14:textId="77777777" w:rsidR="00AA2A91" w:rsidRDefault="00AA2A91" w:rsidP="00AA2A91"/>
        <w:p w14:paraId="227E9D80" w14:textId="77777777" w:rsidR="00AA2A91" w:rsidRDefault="00AA2A91" w:rsidP="00AA2A91"/>
        <w:p w14:paraId="6E6D0B58" w14:textId="77777777" w:rsidR="00AA2A91" w:rsidRDefault="00AA2A91" w:rsidP="00AA2A91"/>
        <w:p w14:paraId="6859129F" w14:textId="77777777" w:rsidR="00AA2A91" w:rsidRDefault="00AA2A91" w:rsidP="00AA2A91"/>
        <w:p w14:paraId="3C2C4E14" w14:textId="77777777" w:rsidR="00AA2A91" w:rsidRDefault="00AA2A91" w:rsidP="00AA2A91"/>
        <w:p w14:paraId="0ABC39D3" w14:textId="77777777" w:rsidR="00AA2A91" w:rsidRDefault="00AA2A91" w:rsidP="00AA2A91"/>
        <w:p w14:paraId="7202FDFC" w14:textId="4E707CAC" w:rsidR="00AA2A91" w:rsidRDefault="00AA2A91" w:rsidP="00AA2A91">
          <w:pPr>
            <w:pStyle w:val="Heading1"/>
          </w:pPr>
          <w:bookmarkStart w:id="5" w:name="_Toc71323311"/>
          <w:r>
            <w:t>Bibliography</w:t>
          </w:r>
          <w:bookmarkEnd w:id="5"/>
        </w:p>
        <w:p w14:paraId="71FCDC32" w14:textId="70367880" w:rsidR="00A5273F" w:rsidRDefault="00A5273F" w:rsidP="00A5273F">
          <w:pPr>
            <w:pStyle w:val="Heading2"/>
          </w:pPr>
          <w:bookmarkStart w:id="6" w:name="_Toc71323312"/>
          <w:r>
            <w:t>Case Law</w:t>
          </w:r>
          <w:bookmarkEnd w:id="6"/>
        </w:p>
        <w:p w14:paraId="15669EFF" w14:textId="77777777" w:rsidR="00E70F71" w:rsidRDefault="00E70F71" w:rsidP="00E70F71">
          <w:r>
            <w:t>Bank of Credit and Commerce International S.A v Aboody [1992] 4 All ER 955</w:t>
          </w:r>
        </w:p>
        <w:p w14:paraId="1CEE5A3B" w14:textId="77777777" w:rsidR="00E70F71" w:rsidRDefault="00E70F71" w:rsidP="00E70F71">
          <w:r>
            <w:t>Barclays Bank plc v O’Brien [1994] 1 AC 180</w:t>
          </w:r>
        </w:p>
        <w:p w14:paraId="7F0848BF" w14:textId="77777777" w:rsidR="00E70F71" w:rsidRDefault="00E70F71" w:rsidP="00E70F71">
          <w:r>
            <w:t>Barton v Armstrong [1976] AC 104</w:t>
          </w:r>
        </w:p>
        <w:p w14:paraId="7BDBB3E1" w14:textId="77777777" w:rsidR="00E70F71" w:rsidRDefault="00E70F71" w:rsidP="00E70F71">
          <w:r>
            <w:t>DSND Subsea Ltd v Petroleum Geo-Services ASA [2000</w:t>
          </w:r>
          <w:r>
            <w:t>] BLR 530</w:t>
          </w:r>
        </w:p>
        <w:p w14:paraId="3690BF8A" w14:textId="77777777" w:rsidR="00E70F71" w:rsidRDefault="00E70F71" w:rsidP="00E70F71">
          <w:r>
            <w:t>Huyton SA v Peter Cremer GmbH &amp; Co [1999</w:t>
          </w:r>
          <w:r>
            <w:t xml:space="preserve">] CLC 230 </w:t>
          </w:r>
        </w:p>
        <w:p w14:paraId="6A10F443" w14:textId="77777777" w:rsidR="00E70F71" w:rsidRDefault="00E70F71" w:rsidP="00E70F71">
          <w:r>
            <w:t>Maskell v Horner [1915] 3 KB 106</w:t>
          </w:r>
        </w:p>
        <w:p w14:paraId="27779418" w14:textId="77777777" w:rsidR="00E70F71" w:rsidRDefault="00E70F71" w:rsidP="00E70F71">
          <w:r>
            <w:t>Royal Bank of Scotland v Etridge (no.2) [2001] UKHL 44</w:t>
          </w:r>
        </w:p>
        <w:p w14:paraId="317929D2" w14:textId="77777777" w:rsidR="00E70F71" w:rsidRDefault="00E70F71" w:rsidP="00E70F71">
          <w:r>
            <w:t xml:space="preserve">Skeate v Beale [1840] Ad&amp;El 983 </w:t>
          </w:r>
        </w:p>
        <w:p w14:paraId="1046339C" w14:textId="77777777" w:rsidR="00E70F71" w:rsidRDefault="00E70F71" w:rsidP="00E70F71">
          <w:r w:rsidRPr="009F6102">
            <w:t>The Siboen and The Sibotre [1976]</w:t>
          </w:r>
          <w:r>
            <w:t xml:space="preserve"> 1 Lloyd’s Rep 293</w:t>
          </w:r>
        </w:p>
        <w:p w14:paraId="0EFEB041" w14:textId="77777777" w:rsidR="00E70F71" w:rsidRDefault="00E70F71" w:rsidP="00E70F71">
          <w:pPr>
            <w:pStyle w:val="ListParagraph"/>
          </w:pPr>
        </w:p>
        <w:p w14:paraId="0E8AF3D6" w14:textId="32DB976D" w:rsidR="00A5273F" w:rsidRPr="00A5273F" w:rsidRDefault="00A5273F" w:rsidP="00A5273F">
          <w:pPr>
            <w:pStyle w:val="Heading2"/>
          </w:pPr>
          <w:bookmarkStart w:id="7" w:name="_Toc71323313"/>
          <w:r>
            <w:t>References</w:t>
          </w:r>
          <w:bookmarkEnd w:id="7"/>
          <w:r>
            <w:t xml:space="preserve"> </w:t>
          </w:r>
        </w:p>
        <w:p w14:paraId="37E418A9" w14:textId="77777777" w:rsidR="00E70F71" w:rsidRPr="007D1947" w:rsidRDefault="00E70F71" w:rsidP="00E70F71">
          <w:r>
            <w:t xml:space="preserve">Andrews, N. (2011) </w:t>
          </w:r>
          <w:r w:rsidRPr="00E70F71">
            <w:rPr>
              <w:i/>
              <w:iCs/>
            </w:rPr>
            <w:t xml:space="preserve">Contract Law. </w:t>
          </w:r>
          <w:r>
            <w:t xml:space="preserve">Cambridge University Press. </w:t>
          </w:r>
        </w:p>
        <w:p w14:paraId="4492E515" w14:textId="77777777" w:rsidR="00E70F71" w:rsidRDefault="00E70F71" w:rsidP="00E70F71">
          <w:r>
            <w:t xml:space="preserve">Enticknap, N. (2021) ‘Under Pressure: What Kind of Pressure Makes a Contract Unenforceable?’, </w:t>
          </w:r>
          <w:r w:rsidRPr="00E70F71">
            <w:rPr>
              <w:i/>
              <w:iCs/>
            </w:rPr>
            <w:t>Lewis Silkin</w:t>
          </w:r>
          <w:r>
            <w:t>, 9</w:t>
          </w:r>
          <w:r w:rsidRPr="00E70F71">
            <w:rPr>
              <w:vertAlign w:val="superscript"/>
            </w:rPr>
            <w:t>th</w:t>
          </w:r>
          <w:r>
            <w:t xml:space="preserve"> April. Available at: </w:t>
          </w:r>
          <w:hyperlink r:id="rId11" w:history="1">
            <w:r w:rsidRPr="00D91663">
              <w:rPr>
                <w:rStyle w:val="Hyperlink"/>
              </w:rPr>
              <w:t>https://www.lewissilkin.com/en/insights/under-pressure-what-kind-of-pressure-makes-a-contract-unenfor</w:t>
            </w:r>
            <w:r w:rsidRPr="00D91663">
              <w:rPr>
                <w:rStyle w:val="Hyperlink"/>
              </w:rPr>
              <w:t>c</w:t>
            </w:r>
            <w:r w:rsidRPr="00D91663">
              <w:rPr>
                <w:rStyle w:val="Hyperlink"/>
              </w:rPr>
              <w:t>eable</w:t>
            </w:r>
          </w:hyperlink>
          <w:r>
            <w:t xml:space="preserve"> (Accessed: 7</w:t>
          </w:r>
          <w:r w:rsidRPr="00E70F71">
            <w:rPr>
              <w:vertAlign w:val="superscript"/>
            </w:rPr>
            <w:t>th</w:t>
          </w:r>
          <w:r>
            <w:t xml:space="preserve"> May 2021). </w:t>
          </w:r>
        </w:p>
        <w:p w14:paraId="526B40BA" w14:textId="77777777" w:rsidR="00E70F71" w:rsidRDefault="00E70F71" w:rsidP="00E70F71">
          <w:r>
            <w:t xml:space="preserve">Furmston, M, P. (2012) </w:t>
          </w:r>
          <w:r w:rsidRPr="00E70F71">
            <w:rPr>
              <w:i/>
              <w:iCs/>
            </w:rPr>
            <w:t xml:space="preserve">Cheshire, Fifoot and Furmston’s Law of Contract. </w:t>
          </w:r>
          <w:r>
            <w:t>16</w:t>
          </w:r>
          <w:r w:rsidRPr="00E70F71">
            <w:rPr>
              <w:vertAlign w:val="superscript"/>
            </w:rPr>
            <w:t>th</w:t>
          </w:r>
          <w:r>
            <w:t xml:space="preserve"> edn. Oxford University Press. </w:t>
          </w:r>
        </w:p>
        <w:p w14:paraId="779F0133" w14:textId="77777777" w:rsidR="00E70F71" w:rsidRDefault="00E70F71" w:rsidP="00E70F71">
          <w:r>
            <w:t xml:space="preserve">Garner, B, A. (2009) </w:t>
          </w:r>
          <w:r w:rsidRPr="00E70F71">
            <w:rPr>
              <w:i/>
              <w:iCs/>
            </w:rPr>
            <w:t>Black’s Law Dictionary.</w:t>
          </w:r>
          <w:r>
            <w:t xml:space="preserve"> 9</w:t>
          </w:r>
          <w:r w:rsidRPr="00E70F71">
            <w:rPr>
              <w:vertAlign w:val="superscript"/>
            </w:rPr>
            <w:t>th</w:t>
          </w:r>
          <w:r>
            <w:t xml:space="preserve"> edn. Thomson Reuters. </w:t>
          </w:r>
        </w:p>
        <w:p w14:paraId="29FDF55E" w14:textId="77777777" w:rsidR="00E70F71" w:rsidRDefault="00E70F71" w:rsidP="00E70F71">
          <w:r>
            <w:t xml:space="preserve">Martin, E, A. (2006) </w:t>
          </w:r>
          <w:r w:rsidRPr="00E70F71">
            <w:rPr>
              <w:i/>
              <w:iCs/>
            </w:rPr>
            <w:t>A Dictionary of Law.</w:t>
          </w:r>
          <w:r>
            <w:t xml:space="preserve"> 6</w:t>
          </w:r>
          <w:r w:rsidRPr="00E70F71">
            <w:rPr>
              <w:vertAlign w:val="superscript"/>
            </w:rPr>
            <w:t xml:space="preserve">th </w:t>
          </w:r>
          <w:r>
            <w:t xml:space="preserve">edn. Oxford: Oxford University Press. </w:t>
          </w:r>
        </w:p>
        <w:p w14:paraId="0EBAEA19" w14:textId="77777777" w:rsidR="00E70F71" w:rsidRDefault="00E70F71" w:rsidP="00E70F71">
          <w:r>
            <w:t xml:space="preserve">McKendrick, E. (2017) </w:t>
          </w:r>
          <w:r w:rsidRPr="00E70F71">
            <w:rPr>
              <w:i/>
              <w:iCs/>
            </w:rPr>
            <w:t>Contract Law.</w:t>
          </w:r>
          <w:r>
            <w:t xml:space="preserve"> 12</w:t>
          </w:r>
          <w:r w:rsidRPr="00E70F71">
            <w:rPr>
              <w:vertAlign w:val="superscript"/>
            </w:rPr>
            <w:t>th</w:t>
          </w:r>
          <w:r>
            <w:t xml:space="preserve"> edn. London: Palgrave. </w:t>
          </w:r>
        </w:p>
        <w:p w14:paraId="33B3777B" w14:textId="77777777" w:rsidR="00E70F71" w:rsidRDefault="00E70F71" w:rsidP="00E70F71">
          <w:r>
            <w:t xml:space="preserve">O’Sullivan, J. and Hilliard, J. (2012) </w:t>
          </w:r>
          <w:r w:rsidRPr="00E70F71">
            <w:rPr>
              <w:i/>
              <w:iCs/>
            </w:rPr>
            <w:t>The Law of Contract.</w:t>
          </w:r>
          <w:r>
            <w:t xml:space="preserve"> 5</w:t>
          </w:r>
          <w:r w:rsidRPr="00E70F71">
            <w:rPr>
              <w:vertAlign w:val="superscript"/>
            </w:rPr>
            <w:t>th</w:t>
          </w:r>
          <w:r>
            <w:t xml:space="preserve"> edn. Oxford: Oxford University Press. </w:t>
          </w:r>
        </w:p>
        <w:p w14:paraId="06FB7E95" w14:textId="77777777" w:rsidR="00E70F71" w:rsidRDefault="00E70F71" w:rsidP="00E70F71">
          <w:r>
            <w:t xml:space="preserve">Ogilvie, M, H. (2001) ‘Economic Duress in Contract: Departure, Detour or Dead-End?’, </w:t>
          </w:r>
          <w:r w:rsidRPr="00E70F71">
            <w:rPr>
              <w:i/>
              <w:iCs/>
            </w:rPr>
            <w:t>Canadian Business Law Journal</w:t>
          </w:r>
          <w:r>
            <w:t xml:space="preserve">, 34, p.194. Available at: </w:t>
          </w:r>
          <w:hyperlink r:id="rId12" w:history="1">
            <w:r w:rsidRPr="00D91663">
              <w:rPr>
                <w:rStyle w:val="Hyperlink"/>
              </w:rPr>
              <w:t>https://heinonline.org/HOL/LandingPage?handle=hein.journals/canadbus34&amp;div=17&amp;id=&amp;page=</w:t>
            </w:r>
          </w:hyperlink>
          <w:r>
            <w:t xml:space="preserve"> (Accessed: 7</w:t>
          </w:r>
          <w:r w:rsidRPr="00E70F71">
            <w:rPr>
              <w:vertAlign w:val="superscript"/>
            </w:rPr>
            <w:t>th</w:t>
          </w:r>
          <w:r>
            <w:t xml:space="preserve"> May 2021). </w:t>
          </w:r>
        </w:p>
        <w:p w14:paraId="7933C5E2" w14:textId="77777777" w:rsidR="00E70F71" w:rsidRDefault="00E70F71" w:rsidP="00E70F71">
          <w:r>
            <w:t xml:space="preserve">Peel, E. </w:t>
          </w:r>
          <w:r w:rsidRPr="00E70F71">
            <w:rPr>
              <w:i/>
              <w:iCs/>
            </w:rPr>
            <w:t xml:space="preserve">The Law of Contract. </w:t>
          </w:r>
          <w:r>
            <w:t>14</w:t>
          </w:r>
          <w:r w:rsidRPr="00E70F71">
            <w:rPr>
              <w:vertAlign w:val="superscript"/>
            </w:rPr>
            <w:t>th</w:t>
          </w:r>
          <w:r>
            <w:t xml:space="preserve"> edn. London: Thomson Reuters. </w:t>
          </w:r>
        </w:p>
        <w:p w14:paraId="7F890C1F" w14:textId="77777777" w:rsidR="00CA09F3" w:rsidRDefault="00C31688"/>
      </w:sdtContent>
    </w:sdt>
    <w:sectPr w:rsidR="00CA09F3" w:rsidSect="007D1947">
      <w:headerReference w:type="firs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33959FF" w14:textId="77777777" w:rsidR="00C31688" w:rsidRDefault="00C31688" w:rsidP="009D683D">
      <w:pPr>
        <w:spacing w:after="0" w:line="240" w:lineRule="auto"/>
      </w:pPr>
      <w:r>
        <w:separator/>
      </w:r>
    </w:p>
  </w:endnote>
  <w:endnote w:type="continuationSeparator" w:id="0">
    <w:p w14:paraId="2945EE49" w14:textId="77777777" w:rsidR="00C31688" w:rsidRDefault="00C31688" w:rsidP="009D68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C38CB21" w14:textId="77777777" w:rsidR="00C31688" w:rsidRDefault="00C31688" w:rsidP="009D683D">
      <w:pPr>
        <w:spacing w:after="0" w:line="240" w:lineRule="auto"/>
      </w:pPr>
      <w:r>
        <w:separator/>
      </w:r>
    </w:p>
  </w:footnote>
  <w:footnote w:type="continuationSeparator" w:id="0">
    <w:p w14:paraId="0A7EDAC7" w14:textId="77777777" w:rsidR="00C31688" w:rsidRDefault="00C31688" w:rsidP="009D683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A8A51D9" w14:textId="77777777" w:rsidR="009D683D" w:rsidRDefault="009D683D">
    <w:pPr>
      <w:pStyle w:val="Header"/>
    </w:pPr>
  </w:p>
  <w:p w14:paraId="074E72FC" w14:textId="77777777" w:rsidR="009D683D" w:rsidRDefault="009D683D"/>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AB416B"/>
    <w:multiLevelType w:val="hybridMultilevel"/>
    <w:tmpl w:val="31866C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435E8B"/>
    <w:multiLevelType w:val="hybridMultilevel"/>
    <w:tmpl w:val="6A640A28"/>
    <w:lvl w:ilvl="0" w:tplc="08090001">
      <w:start w:val="1"/>
      <w:numFmt w:val="bullet"/>
      <w:lvlText w:val=""/>
      <w:lvlJc w:val="left"/>
      <w:pPr>
        <w:ind w:left="6480" w:hanging="360"/>
      </w:pPr>
      <w:rPr>
        <w:rFonts w:ascii="Symbol" w:hAnsi="Symbol" w:hint="default"/>
      </w:rPr>
    </w:lvl>
    <w:lvl w:ilvl="1" w:tplc="08090003" w:tentative="1">
      <w:start w:val="1"/>
      <w:numFmt w:val="bullet"/>
      <w:lvlText w:val="o"/>
      <w:lvlJc w:val="left"/>
      <w:pPr>
        <w:ind w:left="7200" w:hanging="360"/>
      </w:pPr>
      <w:rPr>
        <w:rFonts w:ascii="Courier New" w:hAnsi="Courier New" w:cs="Courier New" w:hint="default"/>
      </w:rPr>
    </w:lvl>
    <w:lvl w:ilvl="2" w:tplc="08090005" w:tentative="1">
      <w:start w:val="1"/>
      <w:numFmt w:val="bullet"/>
      <w:lvlText w:val=""/>
      <w:lvlJc w:val="left"/>
      <w:pPr>
        <w:ind w:left="7920" w:hanging="360"/>
      </w:pPr>
      <w:rPr>
        <w:rFonts w:ascii="Wingdings" w:hAnsi="Wingdings" w:hint="default"/>
      </w:rPr>
    </w:lvl>
    <w:lvl w:ilvl="3" w:tplc="08090001" w:tentative="1">
      <w:start w:val="1"/>
      <w:numFmt w:val="bullet"/>
      <w:lvlText w:val=""/>
      <w:lvlJc w:val="left"/>
      <w:pPr>
        <w:ind w:left="8640" w:hanging="360"/>
      </w:pPr>
      <w:rPr>
        <w:rFonts w:ascii="Symbol" w:hAnsi="Symbol" w:hint="default"/>
      </w:rPr>
    </w:lvl>
    <w:lvl w:ilvl="4" w:tplc="08090003" w:tentative="1">
      <w:start w:val="1"/>
      <w:numFmt w:val="bullet"/>
      <w:lvlText w:val="o"/>
      <w:lvlJc w:val="left"/>
      <w:pPr>
        <w:ind w:left="9360" w:hanging="360"/>
      </w:pPr>
      <w:rPr>
        <w:rFonts w:ascii="Courier New" w:hAnsi="Courier New" w:cs="Courier New" w:hint="default"/>
      </w:rPr>
    </w:lvl>
    <w:lvl w:ilvl="5" w:tplc="08090005" w:tentative="1">
      <w:start w:val="1"/>
      <w:numFmt w:val="bullet"/>
      <w:lvlText w:val=""/>
      <w:lvlJc w:val="left"/>
      <w:pPr>
        <w:ind w:left="10080" w:hanging="360"/>
      </w:pPr>
      <w:rPr>
        <w:rFonts w:ascii="Wingdings" w:hAnsi="Wingdings" w:hint="default"/>
      </w:rPr>
    </w:lvl>
    <w:lvl w:ilvl="6" w:tplc="08090001" w:tentative="1">
      <w:start w:val="1"/>
      <w:numFmt w:val="bullet"/>
      <w:lvlText w:val=""/>
      <w:lvlJc w:val="left"/>
      <w:pPr>
        <w:ind w:left="10800" w:hanging="360"/>
      </w:pPr>
      <w:rPr>
        <w:rFonts w:ascii="Symbol" w:hAnsi="Symbol" w:hint="default"/>
      </w:rPr>
    </w:lvl>
    <w:lvl w:ilvl="7" w:tplc="08090003" w:tentative="1">
      <w:start w:val="1"/>
      <w:numFmt w:val="bullet"/>
      <w:lvlText w:val="o"/>
      <w:lvlJc w:val="left"/>
      <w:pPr>
        <w:ind w:left="11520" w:hanging="360"/>
      </w:pPr>
      <w:rPr>
        <w:rFonts w:ascii="Courier New" w:hAnsi="Courier New" w:cs="Courier New" w:hint="default"/>
      </w:rPr>
    </w:lvl>
    <w:lvl w:ilvl="8" w:tplc="08090005" w:tentative="1">
      <w:start w:val="1"/>
      <w:numFmt w:val="bullet"/>
      <w:lvlText w:val=""/>
      <w:lvlJc w:val="left"/>
      <w:pPr>
        <w:ind w:left="12240" w:hanging="360"/>
      </w:pPr>
      <w:rPr>
        <w:rFonts w:ascii="Wingdings" w:hAnsi="Wingdings" w:hint="default"/>
      </w:rPr>
    </w:lvl>
  </w:abstractNum>
  <w:abstractNum w:abstractNumId="2" w15:restartNumberingAfterBreak="0">
    <w:nsid w:val="190A3C45"/>
    <w:multiLevelType w:val="hybridMultilevel"/>
    <w:tmpl w:val="D7905A82"/>
    <w:lvl w:ilvl="0" w:tplc="08090001">
      <w:start w:val="1"/>
      <w:numFmt w:val="bullet"/>
      <w:lvlText w:val=""/>
      <w:lvlJc w:val="left"/>
      <w:pPr>
        <w:ind w:left="9360" w:hanging="360"/>
      </w:pPr>
      <w:rPr>
        <w:rFonts w:ascii="Symbol" w:hAnsi="Symbol" w:hint="default"/>
      </w:rPr>
    </w:lvl>
    <w:lvl w:ilvl="1" w:tplc="08090003" w:tentative="1">
      <w:start w:val="1"/>
      <w:numFmt w:val="bullet"/>
      <w:lvlText w:val="o"/>
      <w:lvlJc w:val="left"/>
      <w:pPr>
        <w:ind w:left="10080" w:hanging="360"/>
      </w:pPr>
      <w:rPr>
        <w:rFonts w:ascii="Courier New" w:hAnsi="Courier New" w:cs="Courier New" w:hint="default"/>
      </w:rPr>
    </w:lvl>
    <w:lvl w:ilvl="2" w:tplc="08090005" w:tentative="1">
      <w:start w:val="1"/>
      <w:numFmt w:val="bullet"/>
      <w:lvlText w:val=""/>
      <w:lvlJc w:val="left"/>
      <w:pPr>
        <w:ind w:left="10800" w:hanging="360"/>
      </w:pPr>
      <w:rPr>
        <w:rFonts w:ascii="Wingdings" w:hAnsi="Wingdings" w:hint="default"/>
      </w:rPr>
    </w:lvl>
    <w:lvl w:ilvl="3" w:tplc="08090001" w:tentative="1">
      <w:start w:val="1"/>
      <w:numFmt w:val="bullet"/>
      <w:lvlText w:val=""/>
      <w:lvlJc w:val="left"/>
      <w:pPr>
        <w:ind w:left="11520" w:hanging="360"/>
      </w:pPr>
      <w:rPr>
        <w:rFonts w:ascii="Symbol" w:hAnsi="Symbol" w:hint="default"/>
      </w:rPr>
    </w:lvl>
    <w:lvl w:ilvl="4" w:tplc="08090003" w:tentative="1">
      <w:start w:val="1"/>
      <w:numFmt w:val="bullet"/>
      <w:lvlText w:val="o"/>
      <w:lvlJc w:val="left"/>
      <w:pPr>
        <w:ind w:left="12240" w:hanging="360"/>
      </w:pPr>
      <w:rPr>
        <w:rFonts w:ascii="Courier New" w:hAnsi="Courier New" w:cs="Courier New" w:hint="default"/>
      </w:rPr>
    </w:lvl>
    <w:lvl w:ilvl="5" w:tplc="08090005" w:tentative="1">
      <w:start w:val="1"/>
      <w:numFmt w:val="bullet"/>
      <w:lvlText w:val=""/>
      <w:lvlJc w:val="left"/>
      <w:pPr>
        <w:ind w:left="12960" w:hanging="360"/>
      </w:pPr>
      <w:rPr>
        <w:rFonts w:ascii="Wingdings" w:hAnsi="Wingdings" w:hint="default"/>
      </w:rPr>
    </w:lvl>
    <w:lvl w:ilvl="6" w:tplc="08090001" w:tentative="1">
      <w:start w:val="1"/>
      <w:numFmt w:val="bullet"/>
      <w:lvlText w:val=""/>
      <w:lvlJc w:val="left"/>
      <w:pPr>
        <w:ind w:left="13680" w:hanging="360"/>
      </w:pPr>
      <w:rPr>
        <w:rFonts w:ascii="Symbol" w:hAnsi="Symbol" w:hint="default"/>
      </w:rPr>
    </w:lvl>
    <w:lvl w:ilvl="7" w:tplc="08090003" w:tentative="1">
      <w:start w:val="1"/>
      <w:numFmt w:val="bullet"/>
      <w:lvlText w:val="o"/>
      <w:lvlJc w:val="left"/>
      <w:pPr>
        <w:ind w:left="14400" w:hanging="360"/>
      </w:pPr>
      <w:rPr>
        <w:rFonts w:ascii="Courier New" w:hAnsi="Courier New" w:cs="Courier New" w:hint="default"/>
      </w:rPr>
    </w:lvl>
    <w:lvl w:ilvl="8" w:tplc="08090005" w:tentative="1">
      <w:start w:val="1"/>
      <w:numFmt w:val="bullet"/>
      <w:lvlText w:val=""/>
      <w:lvlJc w:val="left"/>
      <w:pPr>
        <w:ind w:left="15120" w:hanging="360"/>
      </w:pPr>
      <w:rPr>
        <w:rFonts w:ascii="Wingdings" w:hAnsi="Wingdings" w:hint="default"/>
      </w:rPr>
    </w:lvl>
  </w:abstractNum>
  <w:abstractNum w:abstractNumId="3" w15:restartNumberingAfterBreak="0">
    <w:nsid w:val="1F541497"/>
    <w:multiLevelType w:val="hybridMultilevel"/>
    <w:tmpl w:val="0ED086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E9E2BDF"/>
    <w:multiLevelType w:val="hybridMultilevel"/>
    <w:tmpl w:val="BB52E638"/>
    <w:lvl w:ilvl="0" w:tplc="08090001">
      <w:start w:val="1"/>
      <w:numFmt w:val="bullet"/>
      <w:lvlText w:val=""/>
      <w:lvlJc w:val="left"/>
      <w:pPr>
        <w:ind w:left="763" w:hanging="360"/>
      </w:pPr>
      <w:rPr>
        <w:rFonts w:ascii="Symbol" w:hAnsi="Symbol" w:hint="default"/>
      </w:rPr>
    </w:lvl>
    <w:lvl w:ilvl="1" w:tplc="08090003" w:tentative="1">
      <w:start w:val="1"/>
      <w:numFmt w:val="bullet"/>
      <w:lvlText w:val="o"/>
      <w:lvlJc w:val="left"/>
      <w:pPr>
        <w:ind w:left="1483" w:hanging="360"/>
      </w:pPr>
      <w:rPr>
        <w:rFonts w:ascii="Courier New" w:hAnsi="Courier New" w:cs="Courier New" w:hint="default"/>
      </w:rPr>
    </w:lvl>
    <w:lvl w:ilvl="2" w:tplc="08090005" w:tentative="1">
      <w:start w:val="1"/>
      <w:numFmt w:val="bullet"/>
      <w:lvlText w:val=""/>
      <w:lvlJc w:val="left"/>
      <w:pPr>
        <w:ind w:left="2203" w:hanging="360"/>
      </w:pPr>
      <w:rPr>
        <w:rFonts w:ascii="Wingdings" w:hAnsi="Wingdings" w:hint="default"/>
      </w:rPr>
    </w:lvl>
    <w:lvl w:ilvl="3" w:tplc="08090001" w:tentative="1">
      <w:start w:val="1"/>
      <w:numFmt w:val="bullet"/>
      <w:lvlText w:val=""/>
      <w:lvlJc w:val="left"/>
      <w:pPr>
        <w:ind w:left="2923" w:hanging="360"/>
      </w:pPr>
      <w:rPr>
        <w:rFonts w:ascii="Symbol" w:hAnsi="Symbol" w:hint="default"/>
      </w:rPr>
    </w:lvl>
    <w:lvl w:ilvl="4" w:tplc="08090003" w:tentative="1">
      <w:start w:val="1"/>
      <w:numFmt w:val="bullet"/>
      <w:lvlText w:val="o"/>
      <w:lvlJc w:val="left"/>
      <w:pPr>
        <w:ind w:left="3643" w:hanging="360"/>
      </w:pPr>
      <w:rPr>
        <w:rFonts w:ascii="Courier New" w:hAnsi="Courier New" w:cs="Courier New" w:hint="default"/>
      </w:rPr>
    </w:lvl>
    <w:lvl w:ilvl="5" w:tplc="08090005" w:tentative="1">
      <w:start w:val="1"/>
      <w:numFmt w:val="bullet"/>
      <w:lvlText w:val=""/>
      <w:lvlJc w:val="left"/>
      <w:pPr>
        <w:ind w:left="4363" w:hanging="360"/>
      </w:pPr>
      <w:rPr>
        <w:rFonts w:ascii="Wingdings" w:hAnsi="Wingdings" w:hint="default"/>
      </w:rPr>
    </w:lvl>
    <w:lvl w:ilvl="6" w:tplc="08090001" w:tentative="1">
      <w:start w:val="1"/>
      <w:numFmt w:val="bullet"/>
      <w:lvlText w:val=""/>
      <w:lvlJc w:val="left"/>
      <w:pPr>
        <w:ind w:left="5083" w:hanging="360"/>
      </w:pPr>
      <w:rPr>
        <w:rFonts w:ascii="Symbol" w:hAnsi="Symbol" w:hint="default"/>
      </w:rPr>
    </w:lvl>
    <w:lvl w:ilvl="7" w:tplc="08090003" w:tentative="1">
      <w:start w:val="1"/>
      <w:numFmt w:val="bullet"/>
      <w:lvlText w:val="o"/>
      <w:lvlJc w:val="left"/>
      <w:pPr>
        <w:ind w:left="5803" w:hanging="360"/>
      </w:pPr>
      <w:rPr>
        <w:rFonts w:ascii="Courier New" w:hAnsi="Courier New" w:cs="Courier New" w:hint="default"/>
      </w:rPr>
    </w:lvl>
    <w:lvl w:ilvl="8" w:tplc="08090005" w:tentative="1">
      <w:start w:val="1"/>
      <w:numFmt w:val="bullet"/>
      <w:lvlText w:val=""/>
      <w:lvlJc w:val="left"/>
      <w:pPr>
        <w:ind w:left="6523" w:hanging="360"/>
      </w:pPr>
      <w:rPr>
        <w:rFonts w:ascii="Wingdings" w:hAnsi="Wingdings" w:hint="default"/>
      </w:rPr>
    </w:lvl>
  </w:abstractNum>
  <w:abstractNum w:abstractNumId="5" w15:restartNumberingAfterBreak="0">
    <w:nsid w:val="32761A68"/>
    <w:multiLevelType w:val="hybridMultilevel"/>
    <w:tmpl w:val="6C56B0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8D308AF"/>
    <w:multiLevelType w:val="hybridMultilevel"/>
    <w:tmpl w:val="B8D08E1A"/>
    <w:lvl w:ilvl="0" w:tplc="08090001">
      <w:start w:val="1"/>
      <w:numFmt w:val="bullet"/>
      <w:lvlText w:val=""/>
      <w:lvlJc w:val="left"/>
      <w:pPr>
        <w:ind w:left="12240" w:hanging="360"/>
      </w:pPr>
      <w:rPr>
        <w:rFonts w:ascii="Symbol" w:hAnsi="Symbol" w:hint="default"/>
      </w:rPr>
    </w:lvl>
    <w:lvl w:ilvl="1" w:tplc="08090003" w:tentative="1">
      <w:start w:val="1"/>
      <w:numFmt w:val="bullet"/>
      <w:lvlText w:val="o"/>
      <w:lvlJc w:val="left"/>
      <w:pPr>
        <w:ind w:left="12960" w:hanging="360"/>
      </w:pPr>
      <w:rPr>
        <w:rFonts w:ascii="Courier New" w:hAnsi="Courier New" w:cs="Courier New" w:hint="default"/>
      </w:rPr>
    </w:lvl>
    <w:lvl w:ilvl="2" w:tplc="08090005" w:tentative="1">
      <w:start w:val="1"/>
      <w:numFmt w:val="bullet"/>
      <w:lvlText w:val=""/>
      <w:lvlJc w:val="left"/>
      <w:pPr>
        <w:ind w:left="13680" w:hanging="360"/>
      </w:pPr>
      <w:rPr>
        <w:rFonts w:ascii="Wingdings" w:hAnsi="Wingdings" w:hint="default"/>
      </w:rPr>
    </w:lvl>
    <w:lvl w:ilvl="3" w:tplc="08090001" w:tentative="1">
      <w:start w:val="1"/>
      <w:numFmt w:val="bullet"/>
      <w:lvlText w:val=""/>
      <w:lvlJc w:val="left"/>
      <w:pPr>
        <w:ind w:left="14400" w:hanging="360"/>
      </w:pPr>
      <w:rPr>
        <w:rFonts w:ascii="Symbol" w:hAnsi="Symbol" w:hint="default"/>
      </w:rPr>
    </w:lvl>
    <w:lvl w:ilvl="4" w:tplc="08090003" w:tentative="1">
      <w:start w:val="1"/>
      <w:numFmt w:val="bullet"/>
      <w:lvlText w:val="o"/>
      <w:lvlJc w:val="left"/>
      <w:pPr>
        <w:ind w:left="15120" w:hanging="360"/>
      </w:pPr>
      <w:rPr>
        <w:rFonts w:ascii="Courier New" w:hAnsi="Courier New" w:cs="Courier New" w:hint="default"/>
      </w:rPr>
    </w:lvl>
    <w:lvl w:ilvl="5" w:tplc="08090005" w:tentative="1">
      <w:start w:val="1"/>
      <w:numFmt w:val="bullet"/>
      <w:lvlText w:val=""/>
      <w:lvlJc w:val="left"/>
      <w:pPr>
        <w:ind w:left="15840" w:hanging="360"/>
      </w:pPr>
      <w:rPr>
        <w:rFonts w:ascii="Wingdings" w:hAnsi="Wingdings" w:hint="default"/>
      </w:rPr>
    </w:lvl>
    <w:lvl w:ilvl="6" w:tplc="08090001" w:tentative="1">
      <w:start w:val="1"/>
      <w:numFmt w:val="bullet"/>
      <w:lvlText w:val=""/>
      <w:lvlJc w:val="left"/>
      <w:pPr>
        <w:ind w:left="16560" w:hanging="360"/>
      </w:pPr>
      <w:rPr>
        <w:rFonts w:ascii="Symbol" w:hAnsi="Symbol" w:hint="default"/>
      </w:rPr>
    </w:lvl>
    <w:lvl w:ilvl="7" w:tplc="08090003" w:tentative="1">
      <w:start w:val="1"/>
      <w:numFmt w:val="bullet"/>
      <w:lvlText w:val="o"/>
      <w:lvlJc w:val="left"/>
      <w:pPr>
        <w:ind w:left="17280" w:hanging="360"/>
      </w:pPr>
      <w:rPr>
        <w:rFonts w:ascii="Courier New" w:hAnsi="Courier New" w:cs="Courier New" w:hint="default"/>
      </w:rPr>
    </w:lvl>
    <w:lvl w:ilvl="8" w:tplc="08090005" w:tentative="1">
      <w:start w:val="1"/>
      <w:numFmt w:val="bullet"/>
      <w:lvlText w:val=""/>
      <w:lvlJc w:val="left"/>
      <w:pPr>
        <w:ind w:left="18000" w:hanging="360"/>
      </w:pPr>
      <w:rPr>
        <w:rFonts w:ascii="Wingdings" w:hAnsi="Wingdings" w:hint="default"/>
      </w:rPr>
    </w:lvl>
  </w:abstractNum>
  <w:abstractNum w:abstractNumId="7" w15:restartNumberingAfterBreak="0">
    <w:nsid w:val="56611662"/>
    <w:multiLevelType w:val="hybridMultilevel"/>
    <w:tmpl w:val="C88092A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33E7506"/>
    <w:multiLevelType w:val="hybridMultilevel"/>
    <w:tmpl w:val="8AA8D662"/>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9" w15:restartNumberingAfterBreak="0">
    <w:nsid w:val="7BE00B4B"/>
    <w:multiLevelType w:val="hybridMultilevel"/>
    <w:tmpl w:val="C4D01D32"/>
    <w:lvl w:ilvl="0" w:tplc="08090001">
      <w:start w:val="1"/>
      <w:numFmt w:val="bullet"/>
      <w:lvlText w:val=""/>
      <w:lvlJc w:val="left"/>
      <w:pPr>
        <w:ind w:left="15120" w:hanging="360"/>
      </w:pPr>
      <w:rPr>
        <w:rFonts w:ascii="Symbol" w:hAnsi="Symbol" w:hint="default"/>
      </w:rPr>
    </w:lvl>
    <w:lvl w:ilvl="1" w:tplc="08090003" w:tentative="1">
      <w:start w:val="1"/>
      <w:numFmt w:val="bullet"/>
      <w:lvlText w:val="o"/>
      <w:lvlJc w:val="left"/>
      <w:pPr>
        <w:ind w:left="15840" w:hanging="360"/>
      </w:pPr>
      <w:rPr>
        <w:rFonts w:ascii="Courier New" w:hAnsi="Courier New" w:cs="Courier New" w:hint="default"/>
      </w:rPr>
    </w:lvl>
    <w:lvl w:ilvl="2" w:tplc="08090005" w:tentative="1">
      <w:start w:val="1"/>
      <w:numFmt w:val="bullet"/>
      <w:lvlText w:val=""/>
      <w:lvlJc w:val="left"/>
      <w:pPr>
        <w:ind w:left="16560" w:hanging="360"/>
      </w:pPr>
      <w:rPr>
        <w:rFonts w:ascii="Wingdings" w:hAnsi="Wingdings" w:hint="default"/>
      </w:rPr>
    </w:lvl>
    <w:lvl w:ilvl="3" w:tplc="08090001" w:tentative="1">
      <w:start w:val="1"/>
      <w:numFmt w:val="bullet"/>
      <w:lvlText w:val=""/>
      <w:lvlJc w:val="left"/>
      <w:pPr>
        <w:ind w:left="17280" w:hanging="360"/>
      </w:pPr>
      <w:rPr>
        <w:rFonts w:ascii="Symbol" w:hAnsi="Symbol" w:hint="default"/>
      </w:rPr>
    </w:lvl>
    <w:lvl w:ilvl="4" w:tplc="08090003" w:tentative="1">
      <w:start w:val="1"/>
      <w:numFmt w:val="bullet"/>
      <w:lvlText w:val="o"/>
      <w:lvlJc w:val="left"/>
      <w:pPr>
        <w:ind w:left="18000" w:hanging="360"/>
      </w:pPr>
      <w:rPr>
        <w:rFonts w:ascii="Courier New" w:hAnsi="Courier New" w:cs="Courier New" w:hint="default"/>
      </w:rPr>
    </w:lvl>
    <w:lvl w:ilvl="5" w:tplc="08090005" w:tentative="1">
      <w:start w:val="1"/>
      <w:numFmt w:val="bullet"/>
      <w:lvlText w:val=""/>
      <w:lvlJc w:val="left"/>
      <w:pPr>
        <w:ind w:left="18720" w:hanging="360"/>
      </w:pPr>
      <w:rPr>
        <w:rFonts w:ascii="Wingdings" w:hAnsi="Wingdings" w:hint="default"/>
      </w:rPr>
    </w:lvl>
    <w:lvl w:ilvl="6" w:tplc="08090001" w:tentative="1">
      <w:start w:val="1"/>
      <w:numFmt w:val="bullet"/>
      <w:lvlText w:val=""/>
      <w:lvlJc w:val="left"/>
      <w:pPr>
        <w:ind w:left="19440" w:hanging="360"/>
      </w:pPr>
      <w:rPr>
        <w:rFonts w:ascii="Symbol" w:hAnsi="Symbol" w:hint="default"/>
      </w:rPr>
    </w:lvl>
    <w:lvl w:ilvl="7" w:tplc="08090003" w:tentative="1">
      <w:start w:val="1"/>
      <w:numFmt w:val="bullet"/>
      <w:lvlText w:val="o"/>
      <w:lvlJc w:val="left"/>
      <w:pPr>
        <w:ind w:left="20160" w:hanging="360"/>
      </w:pPr>
      <w:rPr>
        <w:rFonts w:ascii="Courier New" w:hAnsi="Courier New" w:cs="Courier New" w:hint="default"/>
      </w:rPr>
    </w:lvl>
    <w:lvl w:ilvl="8" w:tplc="08090005" w:tentative="1">
      <w:start w:val="1"/>
      <w:numFmt w:val="bullet"/>
      <w:lvlText w:val=""/>
      <w:lvlJc w:val="left"/>
      <w:pPr>
        <w:ind w:left="20880" w:hanging="360"/>
      </w:pPr>
      <w:rPr>
        <w:rFonts w:ascii="Wingdings" w:hAnsi="Wingdings" w:hint="default"/>
      </w:rPr>
    </w:lvl>
  </w:abstractNum>
  <w:num w:numId="1">
    <w:abstractNumId w:val="3"/>
  </w:num>
  <w:num w:numId="2">
    <w:abstractNumId w:val="0"/>
  </w:num>
  <w:num w:numId="3">
    <w:abstractNumId w:val="7"/>
  </w:num>
  <w:num w:numId="4">
    <w:abstractNumId w:val="8"/>
  </w:num>
  <w:num w:numId="5">
    <w:abstractNumId w:val="1"/>
  </w:num>
  <w:num w:numId="6">
    <w:abstractNumId w:val="2"/>
  </w:num>
  <w:num w:numId="7">
    <w:abstractNumId w:val="6"/>
  </w:num>
  <w:num w:numId="8">
    <w:abstractNumId w:val="9"/>
  </w:num>
  <w:num w:numId="9">
    <w:abstractNumId w:val="5"/>
  </w:num>
  <w:num w:numId="1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101CC"/>
    <w:rsid w:val="000C7DEE"/>
    <w:rsid w:val="000E1E75"/>
    <w:rsid w:val="00107936"/>
    <w:rsid w:val="00115B96"/>
    <w:rsid w:val="001914F2"/>
    <w:rsid w:val="002A0D64"/>
    <w:rsid w:val="00324CCD"/>
    <w:rsid w:val="0032738B"/>
    <w:rsid w:val="003D2929"/>
    <w:rsid w:val="003D5D40"/>
    <w:rsid w:val="003E12D5"/>
    <w:rsid w:val="003F16CE"/>
    <w:rsid w:val="00406B0E"/>
    <w:rsid w:val="00417572"/>
    <w:rsid w:val="00480872"/>
    <w:rsid w:val="00497281"/>
    <w:rsid w:val="004A11F6"/>
    <w:rsid w:val="004D519C"/>
    <w:rsid w:val="00513F23"/>
    <w:rsid w:val="00562B27"/>
    <w:rsid w:val="00574CF1"/>
    <w:rsid w:val="005F4A17"/>
    <w:rsid w:val="006120D9"/>
    <w:rsid w:val="00643CBE"/>
    <w:rsid w:val="00777977"/>
    <w:rsid w:val="007A68F5"/>
    <w:rsid w:val="007D1947"/>
    <w:rsid w:val="007E6F3F"/>
    <w:rsid w:val="008A160D"/>
    <w:rsid w:val="00931CAA"/>
    <w:rsid w:val="00963F74"/>
    <w:rsid w:val="009A0D35"/>
    <w:rsid w:val="009B210D"/>
    <w:rsid w:val="009B61D1"/>
    <w:rsid w:val="009C5888"/>
    <w:rsid w:val="009D0314"/>
    <w:rsid w:val="009D40ED"/>
    <w:rsid w:val="009D5B18"/>
    <w:rsid w:val="009D683D"/>
    <w:rsid w:val="009F0916"/>
    <w:rsid w:val="009F6102"/>
    <w:rsid w:val="00A12B58"/>
    <w:rsid w:val="00A5273F"/>
    <w:rsid w:val="00A673EA"/>
    <w:rsid w:val="00AA2A91"/>
    <w:rsid w:val="00B9027A"/>
    <w:rsid w:val="00BE3297"/>
    <w:rsid w:val="00C02089"/>
    <w:rsid w:val="00C31688"/>
    <w:rsid w:val="00C657E8"/>
    <w:rsid w:val="00CA063F"/>
    <w:rsid w:val="00CA09F3"/>
    <w:rsid w:val="00CB4972"/>
    <w:rsid w:val="00D03481"/>
    <w:rsid w:val="00D52654"/>
    <w:rsid w:val="00D854A5"/>
    <w:rsid w:val="00D92FBE"/>
    <w:rsid w:val="00DC3835"/>
    <w:rsid w:val="00E25C86"/>
    <w:rsid w:val="00E348BC"/>
    <w:rsid w:val="00E70F71"/>
    <w:rsid w:val="00E84382"/>
    <w:rsid w:val="00E931C0"/>
    <w:rsid w:val="00FE1011"/>
    <w:rsid w:val="00FF44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9D683D"/>
    <w:pPr>
      <w:tabs>
        <w:tab w:val="center" w:pos="4680"/>
        <w:tab w:val="right" w:pos="9360"/>
      </w:tabs>
      <w:spacing w:after="0" w:line="240" w:lineRule="auto"/>
    </w:pPr>
  </w:style>
  <w:style w:type="character" w:customStyle="1" w:styleId="HeaderChar">
    <w:name w:val="Header Char"/>
    <w:basedOn w:val="DefaultParagraphFont"/>
    <w:link w:val="Header"/>
    <w:uiPriority w:val="99"/>
    <w:rsid w:val="009D683D"/>
  </w:style>
  <w:style w:type="paragraph" w:styleId="Footer">
    <w:name w:val="footer"/>
    <w:basedOn w:val="Normal"/>
    <w:link w:val="FooterChar"/>
    <w:uiPriority w:val="99"/>
    <w:unhideWhenUsed/>
    <w:rsid w:val="009D683D"/>
    <w:pPr>
      <w:tabs>
        <w:tab w:val="center" w:pos="4680"/>
        <w:tab w:val="right" w:pos="9360"/>
      </w:tabs>
      <w:spacing w:after="0" w:line="240" w:lineRule="auto"/>
    </w:pPr>
  </w:style>
  <w:style w:type="character" w:customStyle="1" w:styleId="FooterChar">
    <w:name w:val="Footer Char"/>
    <w:basedOn w:val="DefaultParagraphFont"/>
    <w:link w:val="Footer"/>
    <w:uiPriority w:val="99"/>
    <w:rsid w:val="009D683D"/>
  </w:style>
  <w:style w:type="paragraph" w:styleId="ListParagraph">
    <w:name w:val="List Paragraph"/>
    <w:basedOn w:val="Normal"/>
    <w:uiPriority w:val="34"/>
    <w:qFormat/>
    <w:rsid w:val="009D683D"/>
    <w:pPr>
      <w:ind w:left="720"/>
      <w:contextualSpacing/>
    </w:pPr>
  </w:style>
  <w:style w:type="character" w:styleId="UnresolvedMention">
    <w:name w:val="Unresolved Mention"/>
    <w:basedOn w:val="DefaultParagraphFont"/>
    <w:uiPriority w:val="99"/>
    <w:semiHidden/>
    <w:unhideWhenUsed/>
    <w:rsid w:val="001914F2"/>
    <w:rPr>
      <w:color w:val="605E5C"/>
      <w:shd w:val="clear" w:color="auto" w:fill="E1DFDD"/>
    </w:rPr>
  </w:style>
  <w:style w:type="character" w:styleId="FollowedHyperlink">
    <w:name w:val="FollowedHyperlink"/>
    <w:basedOn w:val="DefaultParagraphFont"/>
    <w:uiPriority w:val="99"/>
    <w:semiHidden/>
    <w:unhideWhenUsed/>
    <w:rsid w:val="00C657E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heinonline.org/HOL/LandingPage?handle=hein.journals/canadbus34&amp;div=17&amp;id=&amp;page="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lewissilkin.com/en/insights/under-pressure-what-kind-of-pressure-makes-a-contract-unenforceable" TargetMode="External"/><Relationship Id="rId5" Type="http://schemas.openxmlformats.org/officeDocument/2006/relationships/settings" Target="settings.xml"/><Relationship Id="rId15" Type="http://schemas.openxmlformats.org/officeDocument/2006/relationships/glossaryDocument" Target="glossary/document.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242260"/>
    <w:rsid w:val="002450A7"/>
    <w:rsid w:val="003203C2"/>
    <w:rsid w:val="004D25D2"/>
    <w:rsid w:val="006703D3"/>
    <w:rsid w:val="00A34C42"/>
    <w:rsid w:val="00BC1251"/>
    <w:rsid w:val="00C674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2021-05-07T00:00:00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9A4411D-997F-8045-84F8-91606ACD0E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539</TotalTime>
  <Pages>6</Pages>
  <Words>1135</Words>
  <Characters>6472</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7592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contract law       assignment two</dc:title>
  <dc:subject>KAIYA TAYLOR 1908269</dc:subject>
  <dc:creator>Marie Pitson</dc:creator>
  <cp:keywords/>
  <dc:description/>
  <cp:lastModifiedBy>TAYLOR K. (988449)</cp:lastModifiedBy>
  <cp:revision>5</cp:revision>
  <dcterms:created xsi:type="dcterms:W3CDTF">2021-05-07T08:10:00Z</dcterms:created>
  <dcterms:modified xsi:type="dcterms:W3CDTF">2021-05-07T22:46:00Z</dcterms:modified>
</cp:coreProperties>
</file>