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75B21" w14:textId="483014F2" w:rsidR="00106301" w:rsidRPr="00106301" w:rsidRDefault="00106301" w:rsidP="00106301">
      <w:pPr>
        <w:spacing w:line="360" w:lineRule="auto"/>
        <w:jc w:val="center"/>
        <w:rPr>
          <w:rFonts w:ascii="Times New Roman" w:hAnsi="Times New Roman" w:cs="Times New Roman"/>
          <w:b/>
          <w:bCs/>
          <w:sz w:val="36"/>
          <w:szCs w:val="36"/>
        </w:rPr>
      </w:pPr>
      <w:r w:rsidRPr="00106301">
        <w:rPr>
          <w:rFonts w:ascii="Times New Roman" w:hAnsi="Times New Roman" w:cs="Times New Roman"/>
          <w:noProof/>
          <w:sz w:val="28"/>
          <w:szCs w:val="28"/>
        </w:rPr>
        <w:drawing>
          <wp:inline distT="0" distB="0" distL="0" distR="0" wp14:anchorId="77A05C35" wp14:editId="77248DD4">
            <wp:extent cx="5151755" cy="1628775"/>
            <wp:effectExtent l="0" t="0" r="0" b="9525"/>
            <wp:docPr id="5" name="Picture 5"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aunches 'One Planet' Governance  Post-graduate Certificate | The One Planet Cent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67494" cy="1633751"/>
                    </a:xfrm>
                    <a:prstGeom prst="rect">
                      <a:avLst/>
                    </a:prstGeom>
                    <a:noFill/>
                    <a:ln>
                      <a:noFill/>
                    </a:ln>
                  </pic:spPr>
                </pic:pic>
              </a:graphicData>
            </a:graphic>
          </wp:inline>
        </w:drawing>
      </w:r>
    </w:p>
    <w:p w14:paraId="64AF3ECD" w14:textId="5061F513" w:rsidR="00106301" w:rsidRPr="00106301" w:rsidRDefault="00106301" w:rsidP="00106301">
      <w:pPr>
        <w:spacing w:line="360" w:lineRule="auto"/>
        <w:rPr>
          <w:rFonts w:ascii="Times New Roman" w:hAnsi="Times New Roman" w:cs="Times New Roman"/>
          <w:b/>
          <w:bCs/>
          <w:sz w:val="36"/>
          <w:szCs w:val="36"/>
        </w:rPr>
      </w:pPr>
    </w:p>
    <w:p w14:paraId="32092606" w14:textId="77777777" w:rsidR="00106301" w:rsidRPr="00106301" w:rsidRDefault="00106301" w:rsidP="00106301">
      <w:pPr>
        <w:spacing w:line="360" w:lineRule="auto"/>
        <w:jc w:val="center"/>
        <w:rPr>
          <w:rFonts w:ascii="Times New Roman" w:hAnsi="Times New Roman" w:cs="Times New Roman"/>
          <w:b/>
          <w:bCs/>
          <w:sz w:val="36"/>
          <w:szCs w:val="36"/>
        </w:rPr>
      </w:pPr>
      <w:r w:rsidRPr="00106301">
        <w:rPr>
          <w:rFonts w:ascii="Times New Roman" w:hAnsi="Times New Roman" w:cs="Times New Roman"/>
          <w:b/>
          <w:bCs/>
          <w:sz w:val="36"/>
          <w:szCs w:val="36"/>
        </w:rPr>
        <w:t>LCBB4002</w:t>
      </w:r>
    </w:p>
    <w:p w14:paraId="24048F12" w14:textId="77777777" w:rsidR="00106301" w:rsidRPr="00106301" w:rsidRDefault="00106301" w:rsidP="00106301">
      <w:pPr>
        <w:spacing w:line="360" w:lineRule="auto"/>
        <w:jc w:val="center"/>
        <w:rPr>
          <w:rFonts w:ascii="Times New Roman" w:hAnsi="Times New Roman" w:cs="Times New Roman"/>
          <w:b/>
          <w:bCs/>
          <w:sz w:val="36"/>
          <w:szCs w:val="36"/>
        </w:rPr>
      </w:pPr>
      <w:r w:rsidRPr="00106301">
        <w:rPr>
          <w:rFonts w:ascii="Times New Roman" w:hAnsi="Times New Roman" w:cs="Times New Roman"/>
          <w:b/>
          <w:bCs/>
          <w:sz w:val="36"/>
          <w:szCs w:val="36"/>
        </w:rPr>
        <w:t>Assessment 1</w:t>
      </w:r>
    </w:p>
    <w:p w14:paraId="5DF165AD" w14:textId="25C10DDD" w:rsidR="00106301" w:rsidRPr="00106301" w:rsidRDefault="00106301" w:rsidP="00106301">
      <w:pPr>
        <w:spacing w:line="360" w:lineRule="auto"/>
        <w:jc w:val="center"/>
        <w:rPr>
          <w:rFonts w:ascii="Times New Roman" w:hAnsi="Times New Roman" w:cs="Times New Roman"/>
          <w:b/>
          <w:bCs/>
          <w:sz w:val="36"/>
          <w:szCs w:val="36"/>
        </w:rPr>
      </w:pPr>
      <w:r w:rsidRPr="00106301">
        <w:rPr>
          <w:rFonts w:ascii="Times New Roman" w:hAnsi="Times New Roman" w:cs="Times New Roman"/>
          <w:b/>
          <w:bCs/>
          <w:sz w:val="36"/>
          <w:szCs w:val="36"/>
        </w:rPr>
        <w:t>Community Engagement Essay</w:t>
      </w:r>
    </w:p>
    <w:p w14:paraId="7A3D8DC1" w14:textId="26742757" w:rsidR="00106301" w:rsidRPr="00106301" w:rsidRDefault="00106301" w:rsidP="00106301">
      <w:pPr>
        <w:spacing w:line="360" w:lineRule="auto"/>
        <w:rPr>
          <w:rFonts w:ascii="Times New Roman" w:hAnsi="Times New Roman" w:cs="Times New Roman"/>
          <w:b/>
          <w:bCs/>
          <w:sz w:val="36"/>
          <w:szCs w:val="36"/>
        </w:rPr>
      </w:pPr>
    </w:p>
    <w:p w14:paraId="511602C1" w14:textId="54749143" w:rsidR="00106301" w:rsidRPr="00106301" w:rsidRDefault="00106301" w:rsidP="00106301">
      <w:pPr>
        <w:spacing w:line="360" w:lineRule="auto"/>
        <w:rPr>
          <w:rFonts w:ascii="Times New Roman" w:hAnsi="Times New Roman" w:cs="Times New Roman"/>
          <w:b/>
          <w:bCs/>
          <w:sz w:val="36"/>
          <w:szCs w:val="36"/>
        </w:rPr>
      </w:pPr>
    </w:p>
    <w:p w14:paraId="16F58771" w14:textId="6459B431" w:rsidR="00106301" w:rsidRPr="00106301" w:rsidRDefault="00106301" w:rsidP="00106301">
      <w:pPr>
        <w:spacing w:line="360" w:lineRule="auto"/>
        <w:rPr>
          <w:rFonts w:ascii="Times New Roman" w:hAnsi="Times New Roman" w:cs="Times New Roman"/>
          <w:b/>
          <w:bCs/>
          <w:sz w:val="36"/>
          <w:szCs w:val="36"/>
        </w:rPr>
      </w:pPr>
    </w:p>
    <w:p w14:paraId="468E4724" w14:textId="77777777" w:rsidR="00106301" w:rsidRPr="00106301" w:rsidRDefault="00106301" w:rsidP="00106301">
      <w:pPr>
        <w:rPr>
          <w:rFonts w:ascii="Times New Roman" w:eastAsia="Calibri" w:hAnsi="Times New Roman" w:cs="Times New Roman"/>
          <w:bCs/>
        </w:rPr>
      </w:pPr>
      <w:r w:rsidRPr="00106301">
        <w:rPr>
          <w:rFonts w:ascii="Times New Roman" w:eastAsia="Calibri" w:hAnsi="Times New Roman" w:cs="Times New Roman"/>
          <w:bCs/>
        </w:rPr>
        <w:t>Student Name: Nicolae-</w:t>
      </w:r>
      <w:proofErr w:type="spellStart"/>
      <w:r w:rsidRPr="00106301">
        <w:rPr>
          <w:rFonts w:ascii="Times New Roman" w:eastAsia="Calibri" w:hAnsi="Times New Roman" w:cs="Times New Roman"/>
          <w:bCs/>
        </w:rPr>
        <w:t>Alexandru</w:t>
      </w:r>
      <w:proofErr w:type="spellEnd"/>
      <w:r w:rsidRPr="00106301">
        <w:rPr>
          <w:rFonts w:ascii="Times New Roman" w:eastAsia="Calibri" w:hAnsi="Times New Roman" w:cs="Times New Roman"/>
          <w:bCs/>
        </w:rPr>
        <w:t xml:space="preserve"> </w:t>
      </w:r>
      <w:proofErr w:type="spellStart"/>
      <w:r w:rsidRPr="00106301">
        <w:rPr>
          <w:rFonts w:ascii="Times New Roman" w:eastAsia="Calibri" w:hAnsi="Times New Roman" w:cs="Times New Roman"/>
          <w:bCs/>
        </w:rPr>
        <w:t>Voinea</w:t>
      </w:r>
      <w:proofErr w:type="spellEnd"/>
    </w:p>
    <w:p w14:paraId="5B4BF948" w14:textId="77777777" w:rsidR="00106301" w:rsidRPr="00106301" w:rsidRDefault="00106301" w:rsidP="00106301">
      <w:pPr>
        <w:rPr>
          <w:rFonts w:ascii="Times New Roman" w:eastAsia="Calibri" w:hAnsi="Times New Roman" w:cs="Times New Roman"/>
          <w:bCs/>
        </w:rPr>
      </w:pPr>
      <w:r w:rsidRPr="00106301">
        <w:rPr>
          <w:rFonts w:ascii="Times New Roman" w:eastAsia="Calibri" w:hAnsi="Times New Roman" w:cs="Times New Roman"/>
          <w:bCs/>
        </w:rPr>
        <w:t>Student ID: 2119833</w:t>
      </w:r>
    </w:p>
    <w:p w14:paraId="0CA72AC2" w14:textId="77777777" w:rsidR="00106301" w:rsidRPr="00106301" w:rsidRDefault="00106301" w:rsidP="00106301">
      <w:pPr>
        <w:rPr>
          <w:rFonts w:ascii="Times New Roman" w:eastAsia="Calibri" w:hAnsi="Times New Roman" w:cs="Times New Roman"/>
          <w:bCs/>
        </w:rPr>
      </w:pPr>
      <w:r w:rsidRPr="00106301">
        <w:rPr>
          <w:rFonts w:ascii="Times New Roman" w:eastAsia="Calibri" w:hAnsi="Times New Roman" w:cs="Times New Roman"/>
          <w:bCs/>
        </w:rPr>
        <w:t>Lecturer: Anita Nan</w:t>
      </w:r>
    </w:p>
    <w:p w14:paraId="042001AA" w14:textId="77777777" w:rsidR="00106301" w:rsidRPr="00106301" w:rsidRDefault="00106301" w:rsidP="00106301">
      <w:pPr>
        <w:rPr>
          <w:rFonts w:ascii="Times New Roman" w:eastAsia="Calibri" w:hAnsi="Times New Roman" w:cs="Times New Roman"/>
          <w:bCs/>
        </w:rPr>
      </w:pPr>
      <w:r w:rsidRPr="00106301">
        <w:rPr>
          <w:rFonts w:ascii="Times New Roman" w:eastAsia="Calibri" w:hAnsi="Times New Roman" w:cs="Times New Roman"/>
          <w:bCs/>
        </w:rPr>
        <w:t>Module code: LCBB4002</w:t>
      </w:r>
    </w:p>
    <w:p w14:paraId="6062BA34" w14:textId="77777777" w:rsidR="00106301" w:rsidRPr="00106301" w:rsidRDefault="00106301" w:rsidP="00106301">
      <w:pPr>
        <w:spacing w:line="360" w:lineRule="auto"/>
        <w:rPr>
          <w:rFonts w:ascii="Times New Roman" w:hAnsi="Times New Roman" w:cs="Times New Roman"/>
          <w:b/>
          <w:bCs/>
          <w:sz w:val="36"/>
          <w:szCs w:val="36"/>
        </w:rPr>
      </w:pPr>
    </w:p>
    <w:p w14:paraId="11834C8A" w14:textId="71CACCCB" w:rsidR="00106301" w:rsidRPr="00615041" w:rsidRDefault="00106301" w:rsidP="00615041">
      <w:pPr>
        <w:spacing w:line="360" w:lineRule="auto"/>
        <w:rPr>
          <w:rFonts w:ascii="Times New Roman" w:hAnsi="Times New Roman" w:cs="Times New Roman"/>
          <w:b/>
          <w:bCs/>
          <w:sz w:val="24"/>
          <w:szCs w:val="24"/>
        </w:rPr>
      </w:pPr>
      <w:r w:rsidRPr="00106301">
        <w:rPr>
          <w:rFonts w:ascii="Times New Roman" w:hAnsi="Times New Roman" w:cs="Times New Roman"/>
          <w:b/>
          <w:bCs/>
          <w:sz w:val="24"/>
          <w:szCs w:val="24"/>
        </w:rPr>
        <w:br w:type="page"/>
      </w:r>
      <w:r w:rsidRPr="00ED38F1">
        <w:rPr>
          <w:rFonts w:ascii="Times New Roman" w:hAnsi="Times New Roman" w:cs="Times New Roman"/>
          <w:b/>
          <w:bCs/>
          <w:sz w:val="28"/>
          <w:szCs w:val="28"/>
        </w:rPr>
        <w:lastRenderedPageBreak/>
        <w:t>Introduction</w:t>
      </w:r>
    </w:p>
    <w:p w14:paraId="751C0AF1"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The purpose of this essay is to provide an overview of community engagement that highlights the different perspectives, the challenges, and the benefits of community engagement. What is a community, and how does community engagement develop from a community? A group of individuals who share traits, live in the same location, and collaborate and work together to support shared ownership and group decision-making are referred to as a community. Now let us get an understanding of what entails community engagement. This essay also aims to discuss community engagement entails both establishing connections with area residents and exchanging ideas with stakeholders or interested parties. In community engagement, formalized organizations, governmental organizations, business entities, and private individuals may participate as partners. Collaboration can take the form of research, policy formation, or health promotion. Community is important in the building and development of a community and eventually the whole economy. The foundation of community engagement is interpersonal communication. Additionally important are a collective understanding and aim, as well as respect and trust for one another. Communities' capacity to adopt initiatives that produce good change can be increased by involving them in planning and decision-making processes. Along with the fundamental components of community involvement, community involvement studies the formation and application of significant societal conceptions. Community involvement proponents claim that their strategy advances both health promotion and health research. One goal of community involvement in primary healthcare is to improve quality. Other goals include building progressive relationships between the community, stakeholders, and the health system, increasing accountability and responsibility, and assuring sustainability. </w:t>
      </w:r>
    </w:p>
    <w:p w14:paraId="4FDCC453" w14:textId="77777777" w:rsidR="00106301" w:rsidRPr="00ED38F1" w:rsidRDefault="00106301" w:rsidP="00106301">
      <w:pPr>
        <w:pStyle w:val="Heading1"/>
        <w:spacing w:line="360" w:lineRule="auto"/>
        <w:rPr>
          <w:rFonts w:ascii="Times New Roman" w:hAnsi="Times New Roman" w:cs="Times New Roman"/>
          <w:b/>
          <w:bCs/>
          <w:color w:val="auto"/>
          <w:sz w:val="28"/>
          <w:szCs w:val="28"/>
        </w:rPr>
      </w:pPr>
      <w:r w:rsidRPr="00ED38F1">
        <w:rPr>
          <w:rFonts w:ascii="Times New Roman" w:hAnsi="Times New Roman" w:cs="Times New Roman"/>
          <w:b/>
          <w:bCs/>
          <w:color w:val="auto"/>
          <w:sz w:val="28"/>
          <w:szCs w:val="28"/>
        </w:rPr>
        <w:t>Discussion</w:t>
      </w:r>
    </w:p>
    <w:p w14:paraId="636478E5"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The community can become involved in several ways. On community, there are numerous points of view. While offering several perspectives on the community engagement process, we will focus on the four that are most significant (Broom et al., 2000) The societal, technological, personal, and virtual views are among them. A community is defined from a social perspective by the social and political networks that unite its members, leaders, and organizations. Planning engagement activities requires an understanding of these networks. Social engagement is the act of interacting with others online. The discussion may occur on </w:t>
      </w:r>
      <w:r w:rsidRPr="00106301">
        <w:rPr>
          <w:rFonts w:ascii="Times New Roman" w:hAnsi="Times New Roman" w:cs="Times New Roman"/>
          <w:sz w:val="24"/>
          <w:szCs w:val="24"/>
        </w:rPr>
        <w:lastRenderedPageBreak/>
        <w:t>specific social media websites like Twitter, Facebook, and LinkedIn, as well as blogs, forums, and independent review sites. One can spread the word about their brand to more people through social engagement. According to the individual perspective, people have unique ideas about what makes up a community that differ from those utilized by researchers and engagement experts (</w:t>
      </w:r>
      <w:proofErr w:type="spellStart"/>
      <w:r w:rsidRPr="00106301">
        <w:rPr>
          <w:rFonts w:ascii="Times New Roman" w:hAnsi="Times New Roman" w:cs="Times New Roman"/>
          <w:sz w:val="24"/>
          <w:szCs w:val="24"/>
        </w:rPr>
        <w:t>Aslin</w:t>
      </w:r>
      <w:proofErr w:type="spellEnd"/>
      <w:r w:rsidRPr="00106301">
        <w:rPr>
          <w:rFonts w:ascii="Times New Roman" w:hAnsi="Times New Roman" w:cs="Times New Roman"/>
          <w:sz w:val="24"/>
          <w:szCs w:val="24"/>
        </w:rPr>
        <w:t xml:space="preserve"> and Brown 2004)</w:t>
      </w:r>
    </w:p>
    <w:p w14:paraId="207ED3BE"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Todays, many communities, such as families, workplaces, and social, religious, and political organizations, imply that people are thinking about themselves in more complicated ways than was typical in the past. The third perspective is the virtual perspective and it suggest that virtual communities are online social networks or groups of people with similar interests who interact in a structured way. These online networks are undoubtedly potential collaborators in community-based health promotion and research. The online community offers consumers a quick and uncomplicated way to navigate and find a solution to an issue in addition to connecting others. The virtual perspective is relative to the social perspective and a good example of the virtual community is Facebook. Using social media to reach the target audience is an excellent objective. People can converse more easily thanks to social media. it is through social media that information gets a wider reception. Using social media to reach the target audience is an excellent objective. People can converse more easily thanks to social media. it is through social media that information gets a wider reception (Ross et al., 2012)</w:t>
      </w:r>
    </w:p>
    <w:p w14:paraId="3C8DDEBD"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The last perspective is the systems perspective which describes a community as like a living creature. The community is viewed as being made up of distinct parts that represent distinct specialized roles, activities, or pastimes, each of which operates within established limits to meet the needs of the community. Each component must effectively fulfill its function in connection to the community for it to function well. Sectors that are interconnected and well-connected within a community are responsible for identifying problems, finding solutions, and boosting the community's wellbeing (Redding et al., 2011)</w:t>
      </w:r>
    </w:p>
    <w:p w14:paraId="29A6D3C6"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There are several principles and standards that govern and guide community engagement. Among them include, community building, community education, economic development, community organization and community participation. These principles are explained further in this paragraph. Initiatives that deliberately bring people together to simply get to know one another are referred to as community building. Building the community's ability to enhance its </w:t>
      </w:r>
      <w:r w:rsidRPr="00106301">
        <w:rPr>
          <w:rFonts w:ascii="Times New Roman" w:hAnsi="Times New Roman" w:cs="Times New Roman"/>
          <w:sz w:val="24"/>
          <w:szCs w:val="24"/>
        </w:rPr>
        <w:lastRenderedPageBreak/>
        <w:t>health entails creating enduring organizational structures, resources, and skills. Community organizing theory and practice offer important ideas on how to involve the community in health promotion. It consists of programs that bring people together to discuss social issues. Community involvement requires that residents take part in initiatives that address their problems (Redding et al., 2011)</w:t>
      </w:r>
    </w:p>
    <w:p w14:paraId="001727FA"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Meaningful community involvement goes beyond just being physically present; it also includes idea generation, decision-making involvement, and responsibility sharing. The "social exchange" perspective sheds lighter on participation motivations by using the framework of pros and cons to better clarify who participates and why. Community-based strategies are positioned within an ethical and moral framework by the guiding principles. They enact the laws that must be followed by the communities and their allies. Any social intervention must adhere to community involvement guidelines since they are focused on reducing worries that can arise from exclusion and unethical behavior. The best practices, also referred to as standards, are used to compare and assess the most effective and efficient community engagement strategies. These requirements are founded on laws that consider inclusion, participation, fairness, and equality (Redding et al., 2011)</w:t>
      </w:r>
    </w:p>
    <w:p w14:paraId="13655B85"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To guarantee best practices are followed and the most suitable action is done to foster an inclusive community involvement, standards in community engagement are essential, just as they are in every other activity. A crucial part of the inclusion criteria is ensuring that everyone has equal access to opportunities, resources, justice, and other aspects. The support guidelines promote recognizing, minimizing, and removing obstacles to participation in community projects. Community members are included right from the start according to the planning principles (Day, 2006)</w:t>
      </w:r>
    </w:p>
    <w:p w14:paraId="3274AB8D"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In a globally interconnected environment, businesses frequently enlarge their operations to new nations and investigate emerging markets. It can be difficult for many businesses to manage and interact with stakeholders because there are so many distinct types of groups that can be involved. Collaboration and partnerships are crucial corporate processes that can boost output and enhance projects. This brings the need for stakeholders' involvement. For community development and social investment programs and strategies, managing stakeholder relationships and engaging stakeholders is especially important. Stakeholders are individuals, organizations, or </w:t>
      </w:r>
      <w:r w:rsidRPr="00106301">
        <w:rPr>
          <w:rFonts w:ascii="Times New Roman" w:hAnsi="Times New Roman" w:cs="Times New Roman"/>
          <w:sz w:val="24"/>
          <w:szCs w:val="24"/>
        </w:rPr>
        <w:lastRenderedPageBreak/>
        <w:t>groups that are affected, either directly or indirectly, by a project, product, service, or company. As a result, stakeholders also influence the business strategy of an organization (Dempsey, 2010)</w:t>
      </w:r>
    </w:p>
    <w:p w14:paraId="40E60420"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Stakeholders must be continuously updated during a community project to manage and lower risk. When it comes to project management, organizations should place a high priority on stakeholder management. Many firms do not devote enough effort to analyzing their stakeholders, and they may not be aware of all the stakeholder groups that they can potentially affect. Stakeholder analysis is to give a strategic understanding of the institutional and social context, the relationships between the numerous stakeholders, and the issues that matter most to them. Analyzing stakeholders might be difficult. Stakeholders will differ depending on the sector and industry in which a company operates. The success of a project may benefit from early and continued involvement of community stakeholders (Ramachandra and </w:t>
      </w:r>
      <w:proofErr w:type="spellStart"/>
      <w:r w:rsidRPr="00106301">
        <w:rPr>
          <w:rFonts w:ascii="Times New Roman" w:hAnsi="Times New Roman" w:cs="Times New Roman"/>
          <w:sz w:val="24"/>
          <w:szCs w:val="24"/>
        </w:rPr>
        <w:t>Mansor</w:t>
      </w:r>
      <w:proofErr w:type="spellEnd"/>
      <w:r w:rsidRPr="00106301">
        <w:rPr>
          <w:rFonts w:ascii="Times New Roman" w:hAnsi="Times New Roman" w:cs="Times New Roman"/>
          <w:sz w:val="24"/>
          <w:szCs w:val="24"/>
        </w:rPr>
        <w:t xml:space="preserve"> 2014)</w:t>
      </w:r>
    </w:p>
    <w:p w14:paraId="53392753"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This is because community stakeholders occasionally have skills and information that enterprises lack, and they can make a substantial difference in projects. It can also result in some fantastic learning opportunities to show interest in stakeholders and ask their thoughts on the creation, implementation, management, and evaluation of programs. The modification and enhancement of a company's social investment and community development strategy will be fueled by engagement with communities and development partners. Stakeholder engagement improves communities as well as enterprises' decision-making, legitimacy, and competitiveness by utilizing local expertise, reducing conflict, improving recruiting, and avoiding costly delays (Ramachandra and </w:t>
      </w:r>
      <w:proofErr w:type="spellStart"/>
      <w:r w:rsidRPr="00106301">
        <w:rPr>
          <w:rFonts w:ascii="Times New Roman" w:hAnsi="Times New Roman" w:cs="Times New Roman"/>
          <w:sz w:val="24"/>
          <w:szCs w:val="24"/>
        </w:rPr>
        <w:t>Mansor</w:t>
      </w:r>
      <w:proofErr w:type="spellEnd"/>
      <w:r w:rsidRPr="00106301">
        <w:rPr>
          <w:rFonts w:ascii="Times New Roman" w:hAnsi="Times New Roman" w:cs="Times New Roman"/>
          <w:sz w:val="24"/>
          <w:szCs w:val="24"/>
        </w:rPr>
        <w:t xml:space="preserve"> 2014)</w:t>
      </w:r>
    </w:p>
    <w:p w14:paraId="52A683FA"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Every member of the community has the chance to participate in decisions that have an impact on their day-to-day life through inclusive participation. No matter how eager we are to be more inclusive, it may be challenging to take these barriers into account when developing our engagement methods unless we actively work to find and reveal them. Lack of time, cultural barriers, technology, financial strain, disability, and practical problems like a lack of time are the most prevalent impediments to participation that community engagement efforts may run against. Trust and engagement are mutually exclusive; one cannot exist without the other. Because of this, </w:t>
      </w:r>
      <w:bookmarkStart w:id="0" w:name="_Int_j4wzGwip"/>
      <w:r w:rsidRPr="00106301">
        <w:rPr>
          <w:rFonts w:ascii="Times New Roman" w:hAnsi="Times New Roman" w:cs="Times New Roman"/>
          <w:sz w:val="24"/>
          <w:szCs w:val="24"/>
        </w:rPr>
        <w:t>it is</w:t>
      </w:r>
      <w:bookmarkEnd w:id="0"/>
      <w:r w:rsidRPr="00106301">
        <w:rPr>
          <w:rFonts w:ascii="Times New Roman" w:hAnsi="Times New Roman" w:cs="Times New Roman"/>
          <w:sz w:val="24"/>
          <w:szCs w:val="24"/>
        </w:rPr>
        <w:t xml:space="preserve"> probable that a lack of trust between the public and the project's managers will be a major obstacle to effective community engagement. If someone had a negative experience with the government or the legal system, they can be reluctant to share their ideas and </w:t>
      </w:r>
      <w:r w:rsidRPr="00106301">
        <w:rPr>
          <w:rFonts w:ascii="Times New Roman" w:hAnsi="Times New Roman" w:cs="Times New Roman"/>
          <w:sz w:val="24"/>
          <w:szCs w:val="24"/>
        </w:rPr>
        <w:lastRenderedPageBreak/>
        <w:t>opinions with you. Because of this, ongoing inclusion and openness are essential. To overcome this difficulty, have a lengthier, more complete consulting session. Because confidence grows over time, longer involvement often leads in more fruitful collaboration and strategically developed projects. A conversation should be part of engagement rather than a one-time survey (</w:t>
      </w:r>
      <w:proofErr w:type="spellStart"/>
      <w:r w:rsidRPr="00106301">
        <w:rPr>
          <w:rFonts w:ascii="Times New Roman" w:hAnsi="Times New Roman" w:cs="Times New Roman"/>
          <w:sz w:val="24"/>
          <w:szCs w:val="24"/>
        </w:rPr>
        <w:t>Zimmeck</w:t>
      </w:r>
      <w:proofErr w:type="spellEnd"/>
      <w:r w:rsidRPr="00106301">
        <w:rPr>
          <w:rFonts w:ascii="Times New Roman" w:hAnsi="Times New Roman" w:cs="Times New Roman"/>
          <w:sz w:val="24"/>
          <w:szCs w:val="24"/>
        </w:rPr>
        <w:t xml:space="preserve"> et al., 2010)</w:t>
      </w:r>
    </w:p>
    <w:p w14:paraId="5921EC14"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Cultural barriers in community engagement are mostly determined by language barriers. Understanding the various languages spoken in a community and offering multilingual services are essential for allowing people to interact with information in their own language. </w:t>
      </w:r>
      <w:bookmarkStart w:id="1" w:name="_Int_JVH58q6T"/>
      <w:r w:rsidRPr="00106301">
        <w:rPr>
          <w:rFonts w:ascii="Times New Roman" w:hAnsi="Times New Roman" w:cs="Times New Roman"/>
          <w:sz w:val="24"/>
          <w:szCs w:val="24"/>
        </w:rPr>
        <w:t>It is</w:t>
      </w:r>
      <w:bookmarkEnd w:id="1"/>
      <w:r w:rsidRPr="00106301">
        <w:rPr>
          <w:rFonts w:ascii="Times New Roman" w:hAnsi="Times New Roman" w:cs="Times New Roman"/>
          <w:sz w:val="24"/>
          <w:szCs w:val="24"/>
        </w:rPr>
        <w:t xml:space="preserve"> crucial to match the language level to the target audience. Community participation should only employ clear, basic language. Technology is a sector that is growing every day and there are technical advances that ought to be considered in community engagement (</w:t>
      </w:r>
      <w:proofErr w:type="spellStart"/>
      <w:r w:rsidRPr="00106301">
        <w:rPr>
          <w:rFonts w:ascii="Times New Roman" w:hAnsi="Times New Roman" w:cs="Times New Roman"/>
          <w:sz w:val="24"/>
          <w:szCs w:val="24"/>
        </w:rPr>
        <w:t>Poelzer</w:t>
      </w:r>
      <w:proofErr w:type="spellEnd"/>
      <w:r w:rsidRPr="00106301">
        <w:rPr>
          <w:rFonts w:ascii="Times New Roman" w:hAnsi="Times New Roman" w:cs="Times New Roman"/>
          <w:sz w:val="24"/>
          <w:szCs w:val="24"/>
        </w:rPr>
        <w:t xml:space="preserve"> et al., 2015) This can be through digital capability or through internet access. It may be challenging for people who use the internet less frequently or who have less developed digital abilities to participate effectively in online community activities. Rural residents also have restricted access to online resources and digital infrastructure. Another challenge to community engagement is the financial strain faced by most community members (Hutchins and Tindall 2016)</w:t>
      </w:r>
    </w:p>
    <w:p w14:paraId="056AA871" w14:textId="0C1F7405" w:rsid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Some community organizations might go through financial hardship </w:t>
      </w:r>
      <w:bookmarkStart w:id="2" w:name="_Int_V147ho45"/>
      <w:r w:rsidRPr="00106301">
        <w:rPr>
          <w:rFonts w:ascii="Times New Roman" w:hAnsi="Times New Roman" w:cs="Times New Roman"/>
          <w:sz w:val="24"/>
          <w:szCs w:val="24"/>
        </w:rPr>
        <w:t>because of</w:t>
      </w:r>
      <w:bookmarkEnd w:id="2"/>
      <w:r w:rsidRPr="00106301">
        <w:rPr>
          <w:rFonts w:ascii="Times New Roman" w:hAnsi="Times New Roman" w:cs="Times New Roman"/>
          <w:sz w:val="24"/>
          <w:szCs w:val="24"/>
        </w:rPr>
        <w:t xml:space="preserve"> taking part in a community involvement effort. Lastly, lack of time and the lack of awareness also pose as challenges to community engagement. Not every community organization has the resources, the time, or the availability to respond to every call for assistance. Time commitment required for your participation and paying those who need it are crucial factors to </w:t>
      </w:r>
      <w:bookmarkStart w:id="3" w:name="_Int_ByQ4cVw3"/>
      <w:r w:rsidRPr="00106301">
        <w:rPr>
          <w:rFonts w:ascii="Times New Roman" w:hAnsi="Times New Roman" w:cs="Times New Roman"/>
          <w:sz w:val="24"/>
          <w:szCs w:val="24"/>
        </w:rPr>
        <w:t>consider</w:t>
      </w:r>
      <w:bookmarkEnd w:id="3"/>
      <w:r w:rsidRPr="00106301">
        <w:rPr>
          <w:rFonts w:ascii="Times New Roman" w:hAnsi="Times New Roman" w:cs="Times New Roman"/>
          <w:sz w:val="24"/>
          <w:szCs w:val="24"/>
        </w:rPr>
        <w:t xml:space="preserve">. In truth, many people are unsure of what it means to "get involved" they are unfamiliar with what community engagement really entails. Communication is the key to getting beyond the time barrier since ideas like these need to be a part of a bigger, ongoing discussion. Reflection is essential in addition to planning and producing </w:t>
      </w:r>
      <w:proofErr w:type="gramStart"/>
      <w:r w:rsidRPr="00106301">
        <w:rPr>
          <w:rFonts w:ascii="Times New Roman" w:hAnsi="Times New Roman" w:cs="Times New Roman"/>
          <w:sz w:val="24"/>
          <w:szCs w:val="24"/>
        </w:rPr>
        <w:t>in order to</w:t>
      </w:r>
      <w:proofErr w:type="gramEnd"/>
      <w:r w:rsidRPr="00106301">
        <w:rPr>
          <w:rFonts w:ascii="Times New Roman" w:hAnsi="Times New Roman" w:cs="Times New Roman"/>
          <w:sz w:val="24"/>
          <w:szCs w:val="24"/>
        </w:rPr>
        <w:t xml:space="preserve"> understand how the process went and what may be changed to encourage community involvement (Moon, 2013)</w:t>
      </w:r>
    </w:p>
    <w:p w14:paraId="2DB2A96D" w14:textId="77777777" w:rsidR="00615041" w:rsidRPr="00106301" w:rsidRDefault="00615041" w:rsidP="00106301">
      <w:pPr>
        <w:spacing w:line="360" w:lineRule="auto"/>
        <w:ind w:firstLine="720"/>
        <w:rPr>
          <w:rFonts w:ascii="Times New Roman" w:hAnsi="Times New Roman" w:cs="Times New Roman"/>
          <w:sz w:val="24"/>
          <w:szCs w:val="24"/>
        </w:rPr>
      </w:pPr>
    </w:p>
    <w:p w14:paraId="67CC9D1D" w14:textId="77777777" w:rsidR="00106301" w:rsidRPr="00ED38F1" w:rsidRDefault="00106301" w:rsidP="00106301">
      <w:pPr>
        <w:pStyle w:val="Heading1"/>
        <w:spacing w:line="360" w:lineRule="auto"/>
        <w:rPr>
          <w:rFonts w:ascii="Times New Roman" w:hAnsi="Times New Roman" w:cs="Times New Roman"/>
          <w:b/>
          <w:bCs/>
          <w:color w:val="auto"/>
          <w:sz w:val="28"/>
          <w:szCs w:val="28"/>
        </w:rPr>
      </w:pPr>
      <w:r w:rsidRPr="00ED38F1">
        <w:rPr>
          <w:rFonts w:ascii="Times New Roman" w:hAnsi="Times New Roman" w:cs="Times New Roman"/>
          <w:b/>
          <w:bCs/>
          <w:color w:val="auto"/>
          <w:sz w:val="28"/>
          <w:szCs w:val="28"/>
        </w:rPr>
        <w:lastRenderedPageBreak/>
        <w:t>Conclusion</w:t>
      </w:r>
    </w:p>
    <w:p w14:paraId="2FB445DE" w14:textId="77777777" w:rsidR="00106301" w:rsidRPr="00106301" w:rsidRDefault="00106301" w:rsidP="00106301">
      <w:pPr>
        <w:spacing w:line="360" w:lineRule="auto"/>
        <w:ind w:firstLine="720"/>
        <w:rPr>
          <w:rFonts w:ascii="Times New Roman" w:hAnsi="Times New Roman" w:cs="Times New Roman"/>
          <w:sz w:val="24"/>
          <w:szCs w:val="24"/>
        </w:rPr>
      </w:pPr>
      <w:r w:rsidRPr="00106301">
        <w:rPr>
          <w:rFonts w:ascii="Times New Roman" w:hAnsi="Times New Roman" w:cs="Times New Roman"/>
          <w:sz w:val="24"/>
          <w:szCs w:val="24"/>
        </w:rPr>
        <w:t xml:space="preserve">In conclusion, the benefits, which are believed to aid in the development of a healthy society, are used to assess the results of community involvement. By contributing to the community, individuals can advance, give back, collaborate, increase their influence, and share values with others in their network. Because they are concentrated on minimizing issues that may arise from exclusion and unethical behavior, community involvement principles are crucial to the success of any social intervention. </w:t>
      </w:r>
      <w:bookmarkStart w:id="4" w:name="_Int_93I9T3MP"/>
      <w:r w:rsidRPr="00106301">
        <w:rPr>
          <w:rFonts w:ascii="Times New Roman" w:hAnsi="Times New Roman" w:cs="Times New Roman"/>
          <w:sz w:val="24"/>
          <w:szCs w:val="24"/>
        </w:rPr>
        <w:t>To</w:t>
      </w:r>
      <w:bookmarkEnd w:id="4"/>
      <w:r w:rsidRPr="00106301">
        <w:rPr>
          <w:rFonts w:ascii="Times New Roman" w:hAnsi="Times New Roman" w:cs="Times New Roman"/>
          <w:sz w:val="24"/>
          <w:szCs w:val="24"/>
        </w:rPr>
        <w:t xml:space="preserve"> understand how the process went and what might be modified to promote community involvement, reflection is crucial in addition to planning and producing. Standards in community engagement are essential to ensuring that best practices are followed, and the most suitable action is done to create an inclusive community involvement, just like they are in every other activity. Even if there are many </w:t>
      </w:r>
      <w:bookmarkStart w:id="5" w:name="_Int_b5dgKc29"/>
      <w:r w:rsidRPr="00106301">
        <w:rPr>
          <w:rFonts w:ascii="Times New Roman" w:hAnsi="Times New Roman" w:cs="Times New Roman"/>
          <w:sz w:val="24"/>
          <w:szCs w:val="24"/>
        </w:rPr>
        <w:t>innovative</w:t>
      </w:r>
      <w:bookmarkEnd w:id="5"/>
      <w:r w:rsidRPr="00106301">
        <w:rPr>
          <w:rFonts w:ascii="Times New Roman" w:hAnsi="Times New Roman" w:cs="Times New Roman"/>
          <w:sz w:val="24"/>
          <w:szCs w:val="24"/>
        </w:rPr>
        <w:t xml:space="preserve"> methods and technologies for community engagement, social media is now the most popular, efficient, and cost-effective approach. Communities are conscious of the dynamics resulting from constant engagement in achieving long-term mutual advantages. this can be accomplished through empowering local populations through enhanced environments, culture, health, and empowerment. Sustainable community design, equity, inclusion, cooperation, and involvement are encouraged via community engagement. Additionally, it promotes a community's qualities and assets.</w:t>
      </w:r>
    </w:p>
    <w:p w14:paraId="31E91171" w14:textId="77777777" w:rsidR="00106301" w:rsidRPr="00106301" w:rsidRDefault="00106301" w:rsidP="00106301">
      <w:pPr>
        <w:spacing w:line="360" w:lineRule="auto"/>
        <w:rPr>
          <w:rFonts w:ascii="Times New Roman" w:hAnsi="Times New Roman" w:cs="Times New Roman"/>
          <w:sz w:val="24"/>
          <w:szCs w:val="24"/>
        </w:rPr>
      </w:pPr>
      <w:r w:rsidRPr="00106301">
        <w:rPr>
          <w:rFonts w:ascii="Times New Roman" w:hAnsi="Times New Roman" w:cs="Times New Roman"/>
          <w:sz w:val="24"/>
          <w:szCs w:val="24"/>
        </w:rPr>
        <w:br w:type="page"/>
      </w:r>
    </w:p>
    <w:p w14:paraId="554EF3F1" w14:textId="77777777" w:rsidR="00106301" w:rsidRPr="00106301" w:rsidRDefault="00106301" w:rsidP="00106301">
      <w:pPr>
        <w:spacing w:line="360" w:lineRule="auto"/>
        <w:ind w:firstLine="720"/>
        <w:rPr>
          <w:rFonts w:ascii="Times New Roman" w:hAnsi="Times New Roman" w:cs="Times New Roman"/>
          <w:b/>
          <w:bCs/>
          <w:sz w:val="24"/>
          <w:szCs w:val="24"/>
        </w:rPr>
      </w:pPr>
      <w:r w:rsidRPr="00106301">
        <w:rPr>
          <w:rFonts w:ascii="Times New Roman" w:hAnsi="Times New Roman" w:cs="Times New Roman"/>
          <w:b/>
          <w:bCs/>
          <w:sz w:val="24"/>
          <w:szCs w:val="24"/>
        </w:rPr>
        <w:lastRenderedPageBreak/>
        <w:t>References</w:t>
      </w:r>
    </w:p>
    <w:p w14:paraId="50F140DD"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proofErr w:type="spellStart"/>
      <w:r w:rsidRPr="00106301">
        <w:rPr>
          <w:rFonts w:ascii="Times New Roman" w:eastAsia="Times New Roman" w:hAnsi="Times New Roman" w:cs="Times New Roman"/>
          <w:sz w:val="24"/>
          <w:szCs w:val="24"/>
        </w:rPr>
        <w:t>Arrazattee</w:t>
      </w:r>
      <w:proofErr w:type="spellEnd"/>
      <w:r w:rsidRPr="00106301">
        <w:rPr>
          <w:rFonts w:ascii="Times New Roman" w:eastAsia="Times New Roman" w:hAnsi="Times New Roman" w:cs="Times New Roman"/>
          <w:sz w:val="24"/>
          <w:szCs w:val="24"/>
        </w:rPr>
        <w:t xml:space="preserve">, C.K., Lima, M. and Lundy, L., 2013. </w:t>
      </w:r>
      <w:r w:rsidRPr="00106301">
        <w:rPr>
          <w:rFonts w:ascii="Times New Roman" w:eastAsia="Times New Roman" w:hAnsi="Times New Roman" w:cs="Times New Roman"/>
          <w:i/>
          <w:iCs/>
          <w:sz w:val="24"/>
          <w:szCs w:val="24"/>
        </w:rPr>
        <w:t>Do university communications about campus-community partnerships reflect core engagement principles?</w:t>
      </w:r>
      <w:r w:rsidRPr="00106301">
        <w:rPr>
          <w:rFonts w:ascii="Times New Roman" w:eastAsia="Times New Roman" w:hAnsi="Times New Roman" w:cs="Times New Roman"/>
          <w:sz w:val="24"/>
          <w:szCs w:val="24"/>
        </w:rPr>
        <w:t xml:space="preserve"> Ann Arbor, MI: Michigan Publishing, University of Michigan Library.</w:t>
      </w:r>
    </w:p>
    <w:p w14:paraId="52522FBB"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proofErr w:type="spellStart"/>
      <w:r w:rsidRPr="00106301">
        <w:rPr>
          <w:rFonts w:ascii="Times New Roman" w:eastAsia="Times New Roman" w:hAnsi="Times New Roman" w:cs="Times New Roman"/>
          <w:sz w:val="24"/>
          <w:szCs w:val="24"/>
        </w:rPr>
        <w:t>Aslin</w:t>
      </w:r>
      <w:proofErr w:type="spellEnd"/>
      <w:r w:rsidRPr="00106301">
        <w:rPr>
          <w:rFonts w:ascii="Times New Roman" w:eastAsia="Times New Roman" w:hAnsi="Times New Roman" w:cs="Times New Roman"/>
          <w:sz w:val="24"/>
          <w:szCs w:val="24"/>
        </w:rPr>
        <w:t xml:space="preserve">, H. and Brown, V., 2004. </w:t>
      </w:r>
      <w:r w:rsidRPr="00106301">
        <w:rPr>
          <w:rFonts w:ascii="Times New Roman" w:eastAsia="Times New Roman" w:hAnsi="Times New Roman" w:cs="Times New Roman"/>
          <w:i/>
          <w:iCs/>
          <w:sz w:val="24"/>
          <w:szCs w:val="24"/>
        </w:rPr>
        <w:t>Towards whole of community engagement: A practical toolkit</w:t>
      </w:r>
      <w:r w:rsidRPr="00106301">
        <w:rPr>
          <w:rFonts w:ascii="Times New Roman" w:eastAsia="Times New Roman" w:hAnsi="Times New Roman" w:cs="Times New Roman"/>
          <w:sz w:val="24"/>
          <w:szCs w:val="24"/>
        </w:rPr>
        <w:t>. Murray-Darling Basin Commission.</w:t>
      </w:r>
    </w:p>
    <w:p w14:paraId="35FE03C8"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Broom, G.M., Casey, S. and Ritchey, J., 2000. Concept and theory of organization-public relationships. </w:t>
      </w:r>
      <w:r w:rsidRPr="00106301">
        <w:rPr>
          <w:rFonts w:ascii="Times New Roman" w:eastAsia="Times New Roman" w:hAnsi="Times New Roman" w:cs="Times New Roman"/>
          <w:i/>
          <w:iCs/>
          <w:sz w:val="24"/>
          <w:szCs w:val="24"/>
        </w:rPr>
        <w:t>Public relations as relationship management: A relational approach to the study and practice of public relations</w:t>
      </w:r>
      <w:r w:rsidRPr="00106301">
        <w:rPr>
          <w:rFonts w:ascii="Times New Roman" w:eastAsia="Times New Roman" w:hAnsi="Times New Roman" w:cs="Times New Roman"/>
          <w:sz w:val="24"/>
          <w:szCs w:val="24"/>
        </w:rPr>
        <w:t>, pp.3-22.</w:t>
      </w:r>
    </w:p>
    <w:p w14:paraId="6CE3EA3E"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Day, G., 2006. </w:t>
      </w:r>
      <w:r w:rsidRPr="00106301">
        <w:rPr>
          <w:rFonts w:ascii="Times New Roman" w:eastAsia="Times New Roman" w:hAnsi="Times New Roman" w:cs="Times New Roman"/>
          <w:i/>
          <w:iCs/>
          <w:sz w:val="24"/>
          <w:szCs w:val="24"/>
        </w:rPr>
        <w:t>Community and everyday life</w:t>
      </w:r>
      <w:r w:rsidRPr="00106301">
        <w:rPr>
          <w:rFonts w:ascii="Times New Roman" w:eastAsia="Times New Roman" w:hAnsi="Times New Roman" w:cs="Times New Roman"/>
          <w:sz w:val="24"/>
          <w:szCs w:val="24"/>
        </w:rPr>
        <w:t>. Routledge.</w:t>
      </w:r>
    </w:p>
    <w:p w14:paraId="7E9E3D83"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Dempsey, S.E., 2010. Critiquing community engagement. </w:t>
      </w:r>
      <w:r w:rsidRPr="00106301">
        <w:rPr>
          <w:rFonts w:ascii="Times New Roman" w:eastAsia="Times New Roman" w:hAnsi="Times New Roman" w:cs="Times New Roman"/>
          <w:i/>
          <w:iCs/>
          <w:sz w:val="24"/>
          <w:szCs w:val="24"/>
        </w:rPr>
        <w:t>Management Communication Quarterly</w:t>
      </w:r>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24</w:t>
      </w:r>
      <w:r w:rsidRPr="00106301">
        <w:rPr>
          <w:rFonts w:ascii="Times New Roman" w:eastAsia="Times New Roman" w:hAnsi="Times New Roman" w:cs="Times New Roman"/>
          <w:sz w:val="24"/>
          <w:szCs w:val="24"/>
        </w:rPr>
        <w:t>(3), pp.359-390.</w:t>
      </w:r>
    </w:p>
    <w:p w14:paraId="17AAC780"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Hart, A., Maddison, E. and Wolff, D., 2007. </w:t>
      </w:r>
      <w:r w:rsidRPr="00106301">
        <w:rPr>
          <w:rFonts w:ascii="Times New Roman" w:eastAsia="Times New Roman" w:hAnsi="Times New Roman" w:cs="Times New Roman"/>
          <w:i/>
          <w:iCs/>
          <w:sz w:val="24"/>
          <w:szCs w:val="24"/>
        </w:rPr>
        <w:t>Community-university partnerships in practice</w:t>
      </w:r>
      <w:r w:rsidRPr="00106301">
        <w:rPr>
          <w:rFonts w:ascii="Times New Roman" w:eastAsia="Times New Roman" w:hAnsi="Times New Roman" w:cs="Times New Roman"/>
          <w:sz w:val="24"/>
          <w:szCs w:val="24"/>
        </w:rPr>
        <w:t>. National Institute of Adult Continuing Education.</w:t>
      </w:r>
    </w:p>
    <w:p w14:paraId="0DB42530"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Head, B.W., 2007. Community engagement: participation on whose terms? </w:t>
      </w:r>
      <w:r w:rsidRPr="00106301">
        <w:rPr>
          <w:rFonts w:ascii="Times New Roman" w:eastAsia="Times New Roman" w:hAnsi="Times New Roman" w:cs="Times New Roman"/>
          <w:i/>
          <w:iCs/>
          <w:sz w:val="24"/>
          <w:szCs w:val="24"/>
        </w:rPr>
        <w:t>Australian Journal of Political Science</w:t>
      </w:r>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42</w:t>
      </w:r>
      <w:r w:rsidRPr="00106301">
        <w:rPr>
          <w:rFonts w:ascii="Times New Roman" w:eastAsia="Times New Roman" w:hAnsi="Times New Roman" w:cs="Times New Roman"/>
          <w:sz w:val="24"/>
          <w:szCs w:val="24"/>
        </w:rPr>
        <w:t>(3), pp.441-454.</w:t>
      </w:r>
    </w:p>
    <w:p w14:paraId="530351F1"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Hutchins, A., and Tindall, N.T. eds., 2016. </w:t>
      </w:r>
      <w:r w:rsidRPr="00106301">
        <w:rPr>
          <w:rFonts w:ascii="Times New Roman" w:eastAsia="Times New Roman" w:hAnsi="Times New Roman" w:cs="Times New Roman"/>
          <w:i/>
          <w:iCs/>
          <w:sz w:val="24"/>
          <w:szCs w:val="24"/>
        </w:rPr>
        <w:t>Public relations and participatory culture: Fandom, social media, and community engagement</w:t>
      </w:r>
      <w:r w:rsidRPr="00106301">
        <w:rPr>
          <w:rFonts w:ascii="Times New Roman" w:eastAsia="Times New Roman" w:hAnsi="Times New Roman" w:cs="Times New Roman"/>
          <w:sz w:val="24"/>
          <w:szCs w:val="24"/>
        </w:rPr>
        <w:t>. Routledge.</w:t>
      </w:r>
    </w:p>
    <w:p w14:paraId="416B6A89"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Johnson, D.A., Joosten, Y.A., Wilkins, C.H. and </w:t>
      </w:r>
      <w:proofErr w:type="spellStart"/>
      <w:r w:rsidRPr="00106301">
        <w:rPr>
          <w:rFonts w:ascii="Times New Roman" w:eastAsia="Times New Roman" w:hAnsi="Times New Roman" w:cs="Times New Roman"/>
          <w:sz w:val="24"/>
          <w:szCs w:val="24"/>
        </w:rPr>
        <w:t>Shibao</w:t>
      </w:r>
      <w:proofErr w:type="spellEnd"/>
      <w:r w:rsidRPr="00106301">
        <w:rPr>
          <w:rFonts w:ascii="Times New Roman" w:eastAsia="Times New Roman" w:hAnsi="Times New Roman" w:cs="Times New Roman"/>
          <w:sz w:val="24"/>
          <w:szCs w:val="24"/>
        </w:rPr>
        <w:t xml:space="preserve">, C.A., 2015. Case study: community engagement and clinical trial success: outreach to African American women. </w:t>
      </w:r>
      <w:r w:rsidRPr="00106301">
        <w:rPr>
          <w:rFonts w:ascii="Times New Roman" w:eastAsia="Times New Roman" w:hAnsi="Times New Roman" w:cs="Times New Roman"/>
          <w:i/>
          <w:iCs/>
          <w:sz w:val="24"/>
          <w:szCs w:val="24"/>
        </w:rPr>
        <w:t>Clinical and Translational Science</w:t>
      </w:r>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8</w:t>
      </w:r>
      <w:r w:rsidRPr="00106301">
        <w:rPr>
          <w:rFonts w:ascii="Times New Roman" w:eastAsia="Times New Roman" w:hAnsi="Times New Roman" w:cs="Times New Roman"/>
          <w:sz w:val="24"/>
          <w:szCs w:val="24"/>
        </w:rPr>
        <w:t>(4), pp.388-390.</w:t>
      </w:r>
    </w:p>
    <w:p w14:paraId="50E2D765"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Moon, J.A., 2013. </w:t>
      </w:r>
      <w:r w:rsidRPr="00106301">
        <w:rPr>
          <w:rFonts w:ascii="Times New Roman" w:eastAsia="Times New Roman" w:hAnsi="Times New Roman" w:cs="Times New Roman"/>
          <w:i/>
          <w:iCs/>
          <w:sz w:val="24"/>
          <w:szCs w:val="24"/>
        </w:rPr>
        <w:t>A handbook of reflective and experiential learning: Theory and practice</w:t>
      </w:r>
      <w:r w:rsidRPr="00106301">
        <w:rPr>
          <w:rFonts w:ascii="Times New Roman" w:eastAsia="Times New Roman" w:hAnsi="Times New Roman" w:cs="Times New Roman"/>
          <w:sz w:val="24"/>
          <w:szCs w:val="24"/>
        </w:rPr>
        <w:t>. Routledge.</w:t>
      </w:r>
    </w:p>
    <w:p w14:paraId="296E1E6D"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Ramachandra, </w:t>
      </w:r>
      <w:proofErr w:type="gramStart"/>
      <w:r w:rsidRPr="00106301">
        <w:rPr>
          <w:rFonts w:ascii="Times New Roman" w:eastAsia="Times New Roman" w:hAnsi="Times New Roman" w:cs="Times New Roman"/>
          <w:sz w:val="24"/>
          <w:szCs w:val="24"/>
        </w:rPr>
        <w:t>A.</w:t>
      </w:r>
      <w:proofErr w:type="gramEnd"/>
      <w:r w:rsidRPr="00106301">
        <w:rPr>
          <w:rFonts w:ascii="Times New Roman" w:eastAsia="Times New Roman" w:hAnsi="Times New Roman" w:cs="Times New Roman"/>
          <w:sz w:val="24"/>
          <w:szCs w:val="24"/>
        </w:rPr>
        <w:t xml:space="preserve"> and </w:t>
      </w:r>
      <w:proofErr w:type="spellStart"/>
      <w:r w:rsidRPr="00106301">
        <w:rPr>
          <w:rFonts w:ascii="Times New Roman" w:eastAsia="Times New Roman" w:hAnsi="Times New Roman" w:cs="Times New Roman"/>
          <w:sz w:val="24"/>
          <w:szCs w:val="24"/>
        </w:rPr>
        <w:t>Mansor</w:t>
      </w:r>
      <w:proofErr w:type="spellEnd"/>
      <w:r w:rsidRPr="00106301">
        <w:rPr>
          <w:rFonts w:ascii="Times New Roman" w:eastAsia="Times New Roman" w:hAnsi="Times New Roman" w:cs="Times New Roman"/>
          <w:sz w:val="24"/>
          <w:szCs w:val="24"/>
        </w:rPr>
        <w:t xml:space="preserve">, N.N.A., 2014. Sustainability of community engagement–in the hands of </w:t>
      </w:r>
      <w:proofErr w:type="gramStart"/>
      <w:r w:rsidRPr="00106301">
        <w:rPr>
          <w:rFonts w:ascii="Times New Roman" w:eastAsia="Times New Roman" w:hAnsi="Times New Roman" w:cs="Times New Roman"/>
          <w:sz w:val="24"/>
          <w:szCs w:val="24"/>
        </w:rPr>
        <w:t>stakeholders?.</w:t>
      </w:r>
      <w:proofErr w:type="gramEnd"/>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Education+ Training</w:t>
      </w:r>
      <w:r w:rsidRPr="00106301">
        <w:rPr>
          <w:rFonts w:ascii="Times New Roman" w:eastAsia="Times New Roman" w:hAnsi="Times New Roman" w:cs="Times New Roman"/>
          <w:sz w:val="24"/>
          <w:szCs w:val="24"/>
        </w:rPr>
        <w:t>.</w:t>
      </w:r>
    </w:p>
    <w:p w14:paraId="0092022F"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Redding, S., Murphy, M. and </w:t>
      </w:r>
      <w:proofErr w:type="spellStart"/>
      <w:r w:rsidRPr="00106301">
        <w:rPr>
          <w:rFonts w:ascii="Times New Roman" w:eastAsia="Times New Roman" w:hAnsi="Times New Roman" w:cs="Times New Roman"/>
          <w:sz w:val="24"/>
          <w:szCs w:val="24"/>
        </w:rPr>
        <w:t>Sheley</w:t>
      </w:r>
      <w:proofErr w:type="spellEnd"/>
      <w:r w:rsidRPr="00106301">
        <w:rPr>
          <w:rFonts w:ascii="Times New Roman" w:eastAsia="Times New Roman" w:hAnsi="Times New Roman" w:cs="Times New Roman"/>
          <w:sz w:val="24"/>
          <w:szCs w:val="24"/>
        </w:rPr>
        <w:t xml:space="preserve">, P. eds., 2011. </w:t>
      </w:r>
      <w:r w:rsidRPr="00106301">
        <w:rPr>
          <w:rFonts w:ascii="Times New Roman" w:eastAsia="Times New Roman" w:hAnsi="Times New Roman" w:cs="Times New Roman"/>
          <w:i/>
          <w:iCs/>
          <w:sz w:val="24"/>
          <w:szCs w:val="24"/>
        </w:rPr>
        <w:t>Handbook on family and community engagement</w:t>
      </w:r>
      <w:r w:rsidRPr="00106301">
        <w:rPr>
          <w:rFonts w:ascii="Times New Roman" w:eastAsia="Times New Roman" w:hAnsi="Times New Roman" w:cs="Times New Roman"/>
          <w:sz w:val="24"/>
          <w:szCs w:val="24"/>
        </w:rPr>
        <w:t>. IAP.</w:t>
      </w:r>
    </w:p>
    <w:p w14:paraId="7C6A7C98"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Rochester, C., Paine, A.E., Howlett, S., </w:t>
      </w:r>
      <w:proofErr w:type="spellStart"/>
      <w:r w:rsidRPr="00106301">
        <w:rPr>
          <w:rFonts w:ascii="Times New Roman" w:eastAsia="Times New Roman" w:hAnsi="Times New Roman" w:cs="Times New Roman"/>
          <w:sz w:val="24"/>
          <w:szCs w:val="24"/>
        </w:rPr>
        <w:t>Zimmeck</w:t>
      </w:r>
      <w:proofErr w:type="spellEnd"/>
      <w:r w:rsidRPr="00106301">
        <w:rPr>
          <w:rFonts w:ascii="Times New Roman" w:eastAsia="Times New Roman" w:hAnsi="Times New Roman" w:cs="Times New Roman"/>
          <w:sz w:val="24"/>
          <w:szCs w:val="24"/>
        </w:rPr>
        <w:t xml:space="preserve">, M. and Paine, A.E., 2010. </w:t>
      </w:r>
      <w:r w:rsidRPr="00106301">
        <w:rPr>
          <w:rFonts w:ascii="Times New Roman" w:eastAsia="Times New Roman" w:hAnsi="Times New Roman" w:cs="Times New Roman"/>
          <w:i/>
          <w:iCs/>
          <w:sz w:val="24"/>
          <w:szCs w:val="24"/>
        </w:rPr>
        <w:t>Volunteering and Society in the 21st Century</w:t>
      </w:r>
      <w:r w:rsidRPr="00106301">
        <w:rPr>
          <w:rFonts w:ascii="Times New Roman" w:eastAsia="Times New Roman" w:hAnsi="Times New Roman" w:cs="Times New Roman"/>
          <w:sz w:val="24"/>
          <w:szCs w:val="24"/>
        </w:rPr>
        <w:t xml:space="preserve"> (p. 274). Basingstoke: Palgrave Macmillan.</w:t>
      </w:r>
    </w:p>
    <w:p w14:paraId="1C3AC3EA"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r w:rsidRPr="00106301">
        <w:rPr>
          <w:rFonts w:ascii="Times New Roman" w:eastAsia="Times New Roman" w:hAnsi="Times New Roman" w:cs="Times New Roman"/>
          <w:sz w:val="24"/>
          <w:szCs w:val="24"/>
        </w:rPr>
        <w:t xml:space="preserve">Ross, C., Warwick, C., </w:t>
      </w:r>
      <w:proofErr w:type="spellStart"/>
      <w:r w:rsidRPr="00106301">
        <w:rPr>
          <w:rFonts w:ascii="Times New Roman" w:eastAsia="Times New Roman" w:hAnsi="Times New Roman" w:cs="Times New Roman"/>
          <w:sz w:val="24"/>
          <w:szCs w:val="24"/>
        </w:rPr>
        <w:t>Terras</w:t>
      </w:r>
      <w:proofErr w:type="spellEnd"/>
      <w:r w:rsidRPr="00106301">
        <w:rPr>
          <w:rFonts w:ascii="Times New Roman" w:eastAsia="Times New Roman" w:hAnsi="Times New Roman" w:cs="Times New Roman"/>
          <w:sz w:val="24"/>
          <w:szCs w:val="24"/>
        </w:rPr>
        <w:t xml:space="preserve">, M. and </w:t>
      </w:r>
      <w:proofErr w:type="spellStart"/>
      <w:r w:rsidRPr="00106301">
        <w:rPr>
          <w:rFonts w:ascii="Times New Roman" w:eastAsia="Times New Roman" w:hAnsi="Times New Roman" w:cs="Times New Roman"/>
          <w:sz w:val="24"/>
          <w:szCs w:val="24"/>
        </w:rPr>
        <w:t>Nyhan</w:t>
      </w:r>
      <w:proofErr w:type="spellEnd"/>
      <w:r w:rsidRPr="00106301">
        <w:rPr>
          <w:rFonts w:ascii="Times New Roman" w:eastAsia="Times New Roman" w:hAnsi="Times New Roman" w:cs="Times New Roman"/>
          <w:sz w:val="24"/>
          <w:szCs w:val="24"/>
        </w:rPr>
        <w:t xml:space="preserve">, J., 2012. Social media for digital humanities and community engagement. </w:t>
      </w:r>
      <w:r w:rsidRPr="00106301">
        <w:rPr>
          <w:rFonts w:ascii="Times New Roman" w:eastAsia="Times New Roman" w:hAnsi="Times New Roman" w:cs="Times New Roman"/>
          <w:i/>
          <w:iCs/>
          <w:sz w:val="24"/>
          <w:szCs w:val="24"/>
        </w:rPr>
        <w:t>Digital humanities in practice</w:t>
      </w:r>
      <w:r w:rsidRPr="00106301">
        <w:rPr>
          <w:rFonts w:ascii="Times New Roman" w:eastAsia="Times New Roman" w:hAnsi="Times New Roman" w:cs="Times New Roman"/>
          <w:sz w:val="24"/>
          <w:szCs w:val="24"/>
        </w:rPr>
        <w:t xml:space="preserve">, </w:t>
      </w:r>
      <w:r w:rsidRPr="00106301">
        <w:rPr>
          <w:rFonts w:ascii="Times New Roman" w:eastAsia="Times New Roman" w:hAnsi="Times New Roman" w:cs="Times New Roman"/>
          <w:i/>
          <w:iCs/>
          <w:sz w:val="24"/>
          <w:szCs w:val="24"/>
        </w:rPr>
        <w:t>1</w:t>
      </w:r>
      <w:r w:rsidRPr="00106301">
        <w:rPr>
          <w:rFonts w:ascii="Times New Roman" w:eastAsia="Times New Roman" w:hAnsi="Times New Roman" w:cs="Times New Roman"/>
          <w:sz w:val="24"/>
          <w:szCs w:val="24"/>
        </w:rPr>
        <w:t>, pp.23-46.</w:t>
      </w:r>
    </w:p>
    <w:p w14:paraId="157AAE38" w14:textId="77777777" w:rsidR="00106301" w:rsidRPr="00106301" w:rsidRDefault="00106301" w:rsidP="00106301">
      <w:pPr>
        <w:pStyle w:val="ListParagraph"/>
        <w:numPr>
          <w:ilvl w:val="0"/>
          <w:numId w:val="1"/>
        </w:numPr>
        <w:spacing w:line="360" w:lineRule="auto"/>
        <w:rPr>
          <w:rFonts w:ascii="Times New Roman" w:eastAsiaTheme="minorEastAsia" w:hAnsi="Times New Roman" w:cs="Times New Roman"/>
          <w:sz w:val="24"/>
          <w:szCs w:val="24"/>
        </w:rPr>
      </w:pPr>
      <w:proofErr w:type="spellStart"/>
      <w:r w:rsidRPr="00106301">
        <w:rPr>
          <w:rFonts w:ascii="Times New Roman" w:eastAsia="Times New Roman" w:hAnsi="Times New Roman" w:cs="Times New Roman"/>
          <w:sz w:val="24"/>
          <w:szCs w:val="24"/>
        </w:rPr>
        <w:lastRenderedPageBreak/>
        <w:t>Udofia</w:t>
      </w:r>
      <w:proofErr w:type="spellEnd"/>
      <w:r w:rsidRPr="00106301">
        <w:rPr>
          <w:rFonts w:ascii="Times New Roman" w:eastAsia="Times New Roman" w:hAnsi="Times New Roman" w:cs="Times New Roman"/>
          <w:sz w:val="24"/>
          <w:szCs w:val="24"/>
        </w:rPr>
        <w:t xml:space="preserve">, A., Noble, B. and </w:t>
      </w:r>
      <w:proofErr w:type="spellStart"/>
      <w:r w:rsidRPr="00106301">
        <w:rPr>
          <w:rFonts w:ascii="Times New Roman" w:eastAsia="Times New Roman" w:hAnsi="Times New Roman" w:cs="Times New Roman"/>
          <w:sz w:val="24"/>
          <w:szCs w:val="24"/>
        </w:rPr>
        <w:t>Poelzer</w:t>
      </w:r>
      <w:proofErr w:type="spellEnd"/>
      <w:r w:rsidRPr="00106301">
        <w:rPr>
          <w:rFonts w:ascii="Times New Roman" w:eastAsia="Times New Roman" w:hAnsi="Times New Roman" w:cs="Times New Roman"/>
          <w:sz w:val="24"/>
          <w:szCs w:val="24"/>
        </w:rPr>
        <w:t xml:space="preserve">, G., 2015. Community engagement in environmental assessment for resource development: Benefits, emerging concerns, opportunities for improvement. </w:t>
      </w:r>
      <w:r w:rsidRPr="00106301">
        <w:rPr>
          <w:rFonts w:ascii="Times New Roman" w:eastAsia="Times New Roman" w:hAnsi="Times New Roman" w:cs="Times New Roman"/>
          <w:i/>
          <w:iCs/>
          <w:sz w:val="24"/>
          <w:szCs w:val="24"/>
        </w:rPr>
        <w:t>Northern Review</w:t>
      </w:r>
      <w:r w:rsidRPr="00106301">
        <w:rPr>
          <w:rFonts w:ascii="Times New Roman" w:eastAsia="Times New Roman" w:hAnsi="Times New Roman" w:cs="Times New Roman"/>
          <w:sz w:val="24"/>
          <w:szCs w:val="24"/>
        </w:rPr>
        <w:t>, (39).</w:t>
      </w:r>
    </w:p>
    <w:p w14:paraId="1E7A5564" w14:textId="77777777" w:rsidR="00106301" w:rsidRPr="00106301" w:rsidRDefault="00106301" w:rsidP="00106301">
      <w:pPr>
        <w:spacing w:line="360" w:lineRule="auto"/>
        <w:ind w:firstLine="720"/>
        <w:rPr>
          <w:rFonts w:ascii="Times New Roman" w:hAnsi="Times New Roman" w:cs="Times New Roman"/>
          <w:sz w:val="24"/>
          <w:szCs w:val="24"/>
        </w:rPr>
      </w:pPr>
    </w:p>
    <w:p w14:paraId="7930B6F3" w14:textId="77777777" w:rsidR="0016525E" w:rsidRPr="00106301" w:rsidRDefault="0016525E">
      <w:pPr>
        <w:rPr>
          <w:rFonts w:ascii="Times New Roman" w:hAnsi="Times New Roman" w:cs="Times New Roman"/>
        </w:rPr>
      </w:pPr>
    </w:p>
    <w:sectPr w:rsidR="0016525E" w:rsidRPr="0010630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5E327" w14:textId="77777777" w:rsidR="009710E7" w:rsidRDefault="009710E7" w:rsidP="00106301">
      <w:pPr>
        <w:spacing w:after="0" w:line="240" w:lineRule="auto"/>
      </w:pPr>
      <w:r>
        <w:separator/>
      </w:r>
    </w:p>
  </w:endnote>
  <w:endnote w:type="continuationSeparator" w:id="0">
    <w:p w14:paraId="58A8C42C" w14:textId="77777777" w:rsidR="009710E7" w:rsidRDefault="009710E7" w:rsidP="00106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048905"/>
      <w:docPartObj>
        <w:docPartGallery w:val="Page Numbers (Bottom of Page)"/>
        <w:docPartUnique/>
      </w:docPartObj>
    </w:sdtPr>
    <w:sdtEndPr>
      <w:rPr>
        <w:color w:val="7F7F7F" w:themeColor="background1" w:themeShade="7F"/>
        <w:spacing w:val="60"/>
      </w:rPr>
    </w:sdtEndPr>
    <w:sdtContent>
      <w:p w14:paraId="783ABFE7" w14:textId="298766B8" w:rsidR="00106301" w:rsidRDefault="0010630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CB2A79" w14:textId="77777777" w:rsidR="00106301" w:rsidRDefault="00106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CC717" w14:textId="77777777" w:rsidR="009710E7" w:rsidRDefault="009710E7" w:rsidP="00106301">
      <w:pPr>
        <w:spacing w:after="0" w:line="240" w:lineRule="auto"/>
      </w:pPr>
      <w:r>
        <w:separator/>
      </w:r>
    </w:p>
  </w:footnote>
  <w:footnote w:type="continuationSeparator" w:id="0">
    <w:p w14:paraId="16429161" w14:textId="77777777" w:rsidR="009710E7" w:rsidRDefault="009710E7" w:rsidP="001063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61AE43"/>
    <w:multiLevelType w:val="hybridMultilevel"/>
    <w:tmpl w:val="BDC013DE"/>
    <w:lvl w:ilvl="0" w:tplc="7870FD1E">
      <w:start w:val="1"/>
      <w:numFmt w:val="decimal"/>
      <w:lvlText w:val="%1."/>
      <w:lvlJc w:val="left"/>
      <w:pPr>
        <w:ind w:left="720" w:hanging="360"/>
      </w:pPr>
    </w:lvl>
    <w:lvl w:ilvl="1" w:tplc="25D26046">
      <w:start w:val="1"/>
      <w:numFmt w:val="lowerLetter"/>
      <w:lvlText w:val="%2."/>
      <w:lvlJc w:val="left"/>
      <w:pPr>
        <w:ind w:left="1440" w:hanging="360"/>
      </w:pPr>
    </w:lvl>
    <w:lvl w:ilvl="2" w:tplc="F1804696">
      <w:start w:val="1"/>
      <w:numFmt w:val="lowerRoman"/>
      <w:lvlText w:val="%3."/>
      <w:lvlJc w:val="right"/>
      <w:pPr>
        <w:ind w:left="2160" w:hanging="180"/>
      </w:pPr>
    </w:lvl>
    <w:lvl w:ilvl="3" w:tplc="6F7A2AEA">
      <w:start w:val="1"/>
      <w:numFmt w:val="decimal"/>
      <w:lvlText w:val="%4."/>
      <w:lvlJc w:val="left"/>
      <w:pPr>
        <w:ind w:left="2880" w:hanging="360"/>
      </w:pPr>
    </w:lvl>
    <w:lvl w:ilvl="4" w:tplc="B8AE78DE">
      <w:start w:val="1"/>
      <w:numFmt w:val="lowerLetter"/>
      <w:lvlText w:val="%5."/>
      <w:lvlJc w:val="left"/>
      <w:pPr>
        <w:ind w:left="3600" w:hanging="360"/>
      </w:pPr>
    </w:lvl>
    <w:lvl w:ilvl="5" w:tplc="63E4B2AE">
      <w:start w:val="1"/>
      <w:numFmt w:val="lowerRoman"/>
      <w:lvlText w:val="%6."/>
      <w:lvlJc w:val="right"/>
      <w:pPr>
        <w:ind w:left="4320" w:hanging="180"/>
      </w:pPr>
    </w:lvl>
    <w:lvl w:ilvl="6" w:tplc="4A4E0B20">
      <w:start w:val="1"/>
      <w:numFmt w:val="decimal"/>
      <w:lvlText w:val="%7."/>
      <w:lvlJc w:val="left"/>
      <w:pPr>
        <w:ind w:left="5040" w:hanging="360"/>
      </w:pPr>
    </w:lvl>
    <w:lvl w:ilvl="7" w:tplc="32F664BA">
      <w:start w:val="1"/>
      <w:numFmt w:val="lowerLetter"/>
      <w:lvlText w:val="%8."/>
      <w:lvlJc w:val="left"/>
      <w:pPr>
        <w:ind w:left="5760" w:hanging="360"/>
      </w:pPr>
    </w:lvl>
    <w:lvl w:ilvl="8" w:tplc="A95478EA">
      <w:start w:val="1"/>
      <w:numFmt w:val="lowerRoman"/>
      <w:lvlText w:val="%9."/>
      <w:lvlJc w:val="right"/>
      <w:pPr>
        <w:ind w:left="6480" w:hanging="180"/>
      </w:pPr>
    </w:lvl>
  </w:abstractNum>
  <w:num w:numId="1" w16cid:durableId="6008364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301"/>
    <w:rsid w:val="00106301"/>
    <w:rsid w:val="0016525E"/>
    <w:rsid w:val="00615041"/>
    <w:rsid w:val="009710E7"/>
    <w:rsid w:val="00972AB6"/>
    <w:rsid w:val="009A54CC"/>
    <w:rsid w:val="00A636AF"/>
    <w:rsid w:val="00A934BB"/>
    <w:rsid w:val="00E726B7"/>
    <w:rsid w:val="00ED38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85CCF"/>
  <w15:chartTrackingRefBased/>
  <w15:docId w15:val="{F88961AA-40E7-4721-84EB-2639A284A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301"/>
    <w:pPr>
      <w:spacing w:line="256" w:lineRule="auto"/>
    </w:pPr>
  </w:style>
  <w:style w:type="paragraph" w:styleId="Heading1">
    <w:name w:val="heading 1"/>
    <w:basedOn w:val="Normal"/>
    <w:next w:val="Normal"/>
    <w:link w:val="Heading1Char"/>
    <w:uiPriority w:val="9"/>
    <w:qFormat/>
    <w:rsid w:val="001063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30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06301"/>
    <w:pPr>
      <w:ind w:left="720"/>
      <w:contextualSpacing/>
    </w:pPr>
  </w:style>
  <w:style w:type="paragraph" w:styleId="Header">
    <w:name w:val="header"/>
    <w:basedOn w:val="Normal"/>
    <w:link w:val="HeaderChar"/>
    <w:uiPriority w:val="99"/>
    <w:unhideWhenUsed/>
    <w:rsid w:val="001063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6301"/>
  </w:style>
  <w:style w:type="paragraph" w:styleId="Footer">
    <w:name w:val="footer"/>
    <w:basedOn w:val="Normal"/>
    <w:link w:val="FooterChar"/>
    <w:uiPriority w:val="99"/>
    <w:unhideWhenUsed/>
    <w:rsid w:val="001063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6301"/>
  </w:style>
  <w:style w:type="table" w:styleId="TableGrid">
    <w:name w:val="Table Grid"/>
    <w:basedOn w:val="TableNormal"/>
    <w:uiPriority w:val="39"/>
    <w:rsid w:val="00E726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972AB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972AB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972AB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255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9</Pages>
  <Words>2494</Words>
  <Characters>14222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2</cp:revision>
  <dcterms:created xsi:type="dcterms:W3CDTF">2022-09-05T14:37:00Z</dcterms:created>
  <dcterms:modified xsi:type="dcterms:W3CDTF">2022-09-06T15:04:00Z</dcterms:modified>
</cp:coreProperties>
</file>