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03E6ED" w14:textId="77777777" w:rsidR="00CE21F0" w:rsidRDefault="00CE21F0">
      <w:pPr>
        <w:pStyle w:val="TOCHeading"/>
        <w:rPr>
          <w:rFonts w:ascii="Calibri" w:eastAsiaTheme="minorHAnsi" w:hAnsi="Calibri" w:cs="Calibri"/>
          <w:color w:val="auto"/>
          <w:kern w:val="2"/>
          <w:sz w:val="24"/>
          <w:szCs w:val="24"/>
          <w:lang w:val="en-GB"/>
          <w14:ligatures w14:val="standardContextual"/>
        </w:rPr>
      </w:pPr>
    </w:p>
    <w:p w14:paraId="3B87E62D" w14:textId="77777777" w:rsidR="00CE21F0" w:rsidRDefault="00CE21F0" w:rsidP="00CE21F0">
      <w:r>
        <w:rPr>
          <w:noProof/>
        </w:rPr>
        <w:drawing>
          <wp:inline distT="0" distB="0" distL="0" distR="0" wp14:anchorId="73734E5C" wp14:editId="29921BA8">
            <wp:extent cx="5731510" cy="2370455"/>
            <wp:effectExtent l="0" t="0" r="2540" b="0"/>
            <wp:docPr id="56140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03974" name="Picture 561403974"/>
                    <pic:cNvPicPr/>
                  </pic:nvPicPr>
                  <pic:blipFill>
                    <a:blip r:embed="rId5">
                      <a:extLst>
                        <a:ext uri="{28A0092B-C50C-407E-A947-70E740481C1C}">
                          <a14:useLocalDpi xmlns:a14="http://schemas.microsoft.com/office/drawing/2010/main" val="0"/>
                        </a:ext>
                      </a:extLst>
                    </a:blip>
                    <a:stretch>
                      <a:fillRect/>
                    </a:stretch>
                  </pic:blipFill>
                  <pic:spPr>
                    <a:xfrm>
                      <a:off x="0" y="0"/>
                      <a:ext cx="5731510" cy="2370455"/>
                    </a:xfrm>
                    <a:prstGeom prst="rect">
                      <a:avLst/>
                    </a:prstGeom>
                  </pic:spPr>
                </pic:pic>
              </a:graphicData>
            </a:graphic>
          </wp:inline>
        </w:drawing>
      </w:r>
    </w:p>
    <w:p w14:paraId="67962BBB" w14:textId="5477A471" w:rsidR="00CE21F0" w:rsidRPr="006B5FBC" w:rsidRDefault="00CE21F0" w:rsidP="00CE21F0">
      <w:pPr>
        <w:ind w:left="2160"/>
        <w:jc w:val="both"/>
        <w:rPr>
          <w:b/>
          <w:bCs/>
          <w:sz w:val="28"/>
          <w:szCs w:val="28"/>
        </w:rPr>
      </w:pPr>
      <w:r w:rsidRPr="006B5FBC">
        <w:rPr>
          <w:b/>
          <w:bCs/>
          <w:sz w:val="28"/>
          <w:szCs w:val="28"/>
        </w:rPr>
        <w:t>STUDENT NAME: RAMBABU ATLA</w:t>
      </w:r>
    </w:p>
    <w:p w14:paraId="0718878B" w14:textId="0CEC564D" w:rsidR="00CE21F0" w:rsidRPr="006B5FBC" w:rsidRDefault="00CE21F0" w:rsidP="00CE21F0">
      <w:pPr>
        <w:ind w:left="2160"/>
        <w:jc w:val="both"/>
        <w:rPr>
          <w:b/>
          <w:bCs/>
          <w:sz w:val="28"/>
          <w:szCs w:val="28"/>
        </w:rPr>
      </w:pPr>
      <w:r w:rsidRPr="006B5FBC">
        <w:rPr>
          <w:b/>
          <w:bCs/>
          <w:sz w:val="28"/>
          <w:szCs w:val="28"/>
        </w:rPr>
        <w:t>STUDENT ID: 2333687</w:t>
      </w:r>
    </w:p>
    <w:p w14:paraId="53149478" w14:textId="61B773E1" w:rsidR="00CE21F0" w:rsidRPr="006B5FBC" w:rsidRDefault="00CE21F0" w:rsidP="00CE21F0">
      <w:pPr>
        <w:ind w:left="2160"/>
        <w:jc w:val="both"/>
        <w:rPr>
          <w:b/>
          <w:bCs/>
          <w:sz w:val="28"/>
          <w:szCs w:val="28"/>
        </w:rPr>
      </w:pPr>
      <w:r w:rsidRPr="006B5FBC">
        <w:rPr>
          <w:b/>
          <w:bCs/>
          <w:sz w:val="28"/>
          <w:szCs w:val="28"/>
        </w:rPr>
        <w:t>COURSE: M.B.A. INTERNATIONAL BUSINESS</w:t>
      </w:r>
    </w:p>
    <w:p w14:paraId="5790A98B" w14:textId="55E56983" w:rsidR="00CE21F0" w:rsidRPr="006B5FBC" w:rsidRDefault="00CE21F0" w:rsidP="00CE21F0">
      <w:pPr>
        <w:ind w:left="2160"/>
        <w:jc w:val="both"/>
        <w:rPr>
          <w:b/>
          <w:bCs/>
          <w:sz w:val="28"/>
          <w:szCs w:val="28"/>
        </w:rPr>
      </w:pPr>
      <w:r w:rsidRPr="006B5FBC">
        <w:rPr>
          <w:b/>
          <w:bCs/>
          <w:sz w:val="28"/>
          <w:szCs w:val="28"/>
        </w:rPr>
        <w:t xml:space="preserve">MODUEL: </w:t>
      </w:r>
      <w:r>
        <w:rPr>
          <w:b/>
          <w:bCs/>
          <w:sz w:val="28"/>
          <w:szCs w:val="28"/>
        </w:rPr>
        <w:t>FINANCIAL</w:t>
      </w:r>
      <w:r w:rsidRPr="006B5FBC">
        <w:rPr>
          <w:b/>
          <w:bCs/>
          <w:sz w:val="28"/>
          <w:szCs w:val="28"/>
        </w:rPr>
        <w:t xml:space="preserve"> MANAGEMENT</w:t>
      </w:r>
    </w:p>
    <w:p w14:paraId="63C50D30" w14:textId="5D0D9A35" w:rsidR="00CE21F0" w:rsidRPr="006B5FBC" w:rsidRDefault="00CE21F0" w:rsidP="00CE21F0">
      <w:pPr>
        <w:ind w:left="2160"/>
        <w:jc w:val="both"/>
        <w:rPr>
          <w:b/>
          <w:bCs/>
          <w:sz w:val="28"/>
          <w:szCs w:val="28"/>
        </w:rPr>
      </w:pPr>
      <w:r w:rsidRPr="006B5FBC">
        <w:rPr>
          <w:b/>
          <w:bCs/>
          <w:sz w:val="28"/>
          <w:szCs w:val="28"/>
        </w:rPr>
        <w:t xml:space="preserve">LECTURER: </w:t>
      </w:r>
      <w:r>
        <w:rPr>
          <w:b/>
          <w:bCs/>
          <w:sz w:val="28"/>
          <w:szCs w:val="28"/>
        </w:rPr>
        <w:t>JIA MIAO</w:t>
      </w:r>
    </w:p>
    <w:p w14:paraId="1997E685" w14:textId="0C366452" w:rsidR="00CE21F0" w:rsidRPr="006B5FBC" w:rsidRDefault="00CE21F0" w:rsidP="00CE21F0">
      <w:pPr>
        <w:ind w:left="2160"/>
        <w:jc w:val="both"/>
        <w:rPr>
          <w:b/>
          <w:bCs/>
          <w:sz w:val="28"/>
          <w:szCs w:val="28"/>
        </w:rPr>
      </w:pPr>
      <w:r w:rsidRPr="006B5FBC">
        <w:rPr>
          <w:b/>
          <w:bCs/>
          <w:sz w:val="28"/>
          <w:szCs w:val="28"/>
        </w:rPr>
        <w:t>SESSION: GROUP 1 JUNE 2024 TE</w:t>
      </w:r>
      <w:r>
        <w:rPr>
          <w:b/>
          <w:bCs/>
          <w:sz w:val="28"/>
          <w:szCs w:val="28"/>
        </w:rPr>
        <w:t>R</w:t>
      </w:r>
      <w:r w:rsidRPr="006B5FBC">
        <w:rPr>
          <w:b/>
          <w:bCs/>
          <w:sz w:val="28"/>
          <w:szCs w:val="28"/>
        </w:rPr>
        <w:t>M.</w:t>
      </w:r>
    </w:p>
    <w:p w14:paraId="65B37BC6" w14:textId="77777777" w:rsidR="00CE21F0" w:rsidRDefault="00CE21F0">
      <w:pPr>
        <w:rPr>
          <w:rFonts w:ascii="Calibri" w:hAnsi="Calibri" w:cs="Calibri"/>
        </w:rPr>
      </w:pPr>
      <w:r>
        <w:rPr>
          <w:rFonts w:ascii="Calibri" w:hAnsi="Calibri" w:cs="Calibri"/>
        </w:rPr>
        <w:br w:type="page"/>
      </w:r>
    </w:p>
    <w:sdt>
      <w:sdtPr>
        <w:rPr>
          <w:rFonts w:ascii="Calibri" w:eastAsiaTheme="minorHAnsi" w:hAnsi="Calibri" w:cs="Calibri"/>
          <w:color w:val="auto"/>
          <w:kern w:val="2"/>
          <w:sz w:val="24"/>
          <w:szCs w:val="24"/>
          <w:lang w:val="en-GB"/>
          <w14:ligatures w14:val="standardContextual"/>
        </w:rPr>
        <w:id w:val="623573978"/>
        <w:docPartObj>
          <w:docPartGallery w:val="Table of Contents"/>
          <w:docPartUnique/>
        </w:docPartObj>
      </w:sdtPr>
      <w:sdtEndPr>
        <w:rPr>
          <w:b/>
          <w:bCs/>
          <w:noProof/>
        </w:rPr>
      </w:sdtEndPr>
      <w:sdtContent>
        <w:p w14:paraId="7D5D6CF8" w14:textId="70BEE065" w:rsidR="00281C8F" w:rsidRPr="00716B90" w:rsidRDefault="00281C8F">
          <w:pPr>
            <w:pStyle w:val="TOCHeading"/>
            <w:rPr>
              <w:rFonts w:ascii="Calibri" w:hAnsi="Calibri" w:cs="Calibri"/>
              <w:sz w:val="24"/>
              <w:szCs w:val="24"/>
            </w:rPr>
          </w:pPr>
          <w:r w:rsidRPr="00716B90">
            <w:rPr>
              <w:rFonts w:ascii="Calibri" w:hAnsi="Calibri" w:cs="Calibri"/>
              <w:sz w:val="24"/>
              <w:szCs w:val="24"/>
            </w:rPr>
            <w:t>Table of Contents</w:t>
          </w:r>
        </w:p>
        <w:p w14:paraId="1E1C7198" w14:textId="50E8A6CF" w:rsidR="00220E40" w:rsidRDefault="00281C8F">
          <w:pPr>
            <w:pStyle w:val="TOC1"/>
            <w:tabs>
              <w:tab w:val="right" w:leader="dot" w:pos="9016"/>
            </w:tabs>
            <w:rPr>
              <w:rFonts w:eastAsiaTheme="minorEastAsia"/>
              <w:noProof/>
              <w:lang w:eastAsia="en-GB"/>
            </w:rPr>
          </w:pPr>
          <w:r w:rsidRPr="00716B90">
            <w:rPr>
              <w:rFonts w:ascii="Calibri" w:hAnsi="Calibri" w:cs="Calibri"/>
            </w:rPr>
            <w:fldChar w:fldCharType="begin"/>
          </w:r>
          <w:r w:rsidRPr="00716B90">
            <w:rPr>
              <w:rFonts w:ascii="Calibri" w:hAnsi="Calibri" w:cs="Calibri"/>
            </w:rPr>
            <w:instrText xml:space="preserve"> TOC \o "1-3" \h \z \u </w:instrText>
          </w:r>
          <w:r w:rsidRPr="00716B90">
            <w:rPr>
              <w:rFonts w:ascii="Calibri" w:hAnsi="Calibri" w:cs="Calibri"/>
            </w:rPr>
            <w:fldChar w:fldCharType="separate"/>
          </w:r>
          <w:hyperlink w:anchor="_Toc175126629" w:history="1">
            <w:r w:rsidR="00220E40" w:rsidRPr="00E704BE">
              <w:rPr>
                <w:rStyle w:val="Hyperlink"/>
                <w:rFonts w:ascii="Calibri" w:hAnsi="Calibri" w:cs="Calibri"/>
                <w:noProof/>
                <w:lang w:val="en-US"/>
              </w:rPr>
              <w:t>1. Introduction to Procter &amp; Gamble Company (P&amp;G).</w:t>
            </w:r>
            <w:r w:rsidR="00220E40">
              <w:rPr>
                <w:noProof/>
                <w:webHidden/>
              </w:rPr>
              <w:tab/>
            </w:r>
            <w:r w:rsidR="00220E40">
              <w:rPr>
                <w:noProof/>
                <w:webHidden/>
              </w:rPr>
              <w:fldChar w:fldCharType="begin"/>
            </w:r>
            <w:r w:rsidR="00220E40">
              <w:rPr>
                <w:noProof/>
                <w:webHidden/>
              </w:rPr>
              <w:instrText xml:space="preserve"> PAGEREF _Toc175126629 \h </w:instrText>
            </w:r>
            <w:r w:rsidR="00220E40">
              <w:rPr>
                <w:noProof/>
                <w:webHidden/>
              </w:rPr>
            </w:r>
            <w:r w:rsidR="00220E40">
              <w:rPr>
                <w:noProof/>
                <w:webHidden/>
              </w:rPr>
              <w:fldChar w:fldCharType="separate"/>
            </w:r>
            <w:r w:rsidR="00220E40">
              <w:rPr>
                <w:noProof/>
                <w:webHidden/>
              </w:rPr>
              <w:t>3</w:t>
            </w:r>
            <w:r w:rsidR="00220E40">
              <w:rPr>
                <w:noProof/>
                <w:webHidden/>
              </w:rPr>
              <w:fldChar w:fldCharType="end"/>
            </w:r>
          </w:hyperlink>
        </w:p>
        <w:p w14:paraId="443EA5BE" w14:textId="009DED70" w:rsidR="00220E40" w:rsidRDefault="00000000">
          <w:pPr>
            <w:pStyle w:val="TOC2"/>
            <w:tabs>
              <w:tab w:val="right" w:leader="dot" w:pos="9016"/>
            </w:tabs>
            <w:rPr>
              <w:rFonts w:eastAsiaTheme="minorEastAsia"/>
              <w:noProof/>
              <w:lang w:eastAsia="en-GB"/>
            </w:rPr>
          </w:pPr>
          <w:hyperlink w:anchor="_Toc175126630" w:history="1">
            <w:r w:rsidR="00220E40" w:rsidRPr="00E704BE">
              <w:rPr>
                <w:rStyle w:val="Hyperlink"/>
                <w:rFonts w:ascii="Calibri" w:eastAsia="Times New Roman" w:hAnsi="Calibri" w:cs="Calibri"/>
                <w:noProof/>
                <w:lang w:eastAsia="en-GB"/>
              </w:rPr>
              <w:t>1.1. Business Model and Market Position of P&amp;G.</w:t>
            </w:r>
            <w:r w:rsidR="00220E40">
              <w:rPr>
                <w:noProof/>
                <w:webHidden/>
              </w:rPr>
              <w:tab/>
            </w:r>
            <w:r w:rsidR="00220E40">
              <w:rPr>
                <w:noProof/>
                <w:webHidden/>
              </w:rPr>
              <w:fldChar w:fldCharType="begin"/>
            </w:r>
            <w:r w:rsidR="00220E40">
              <w:rPr>
                <w:noProof/>
                <w:webHidden/>
              </w:rPr>
              <w:instrText xml:space="preserve"> PAGEREF _Toc175126630 \h </w:instrText>
            </w:r>
            <w:r w:rsidR="00220E40">
              <w:rPr>
                <w:noProof/>
                <w:webHidden/>
              </w:rPr>
            </w:r>
            <w:r w:rsidR="00220E40">
              <w:rPr>
                <w:noProof/>
                <w:webHidden/>
              </w:rPr>
              <w:fldChar w:fldCharType="separate"/>
            </w:r>
            <w:r w:rsidR="00220E40">
              <w:rPr>
                <w:noProof/>
                <w:webHidden/>
              </w:rPr>
              <w:t>3</w:t>
            </w:r>
            <w:r w:rsidR="00220E40">
              <w:rPr>
                <w:noProof/>
                <w:webHidden/>
              </w:rPr>
              <w:fldChar w:fldCharType="end"/>
            </w:r>
          </w:hyperlink>
        </w:p>
        <w:p w14:paraId="3269357A" w14:textId="2EADFBCA" w:rsidR="00220E40" w:rsidRDefault="00000000">
          <w:pPr>
            <w:pStyle w:val="TOC1"/>
            <w:tabs>
              <w:tab w:val="right" w:leader="dot" w:pos="9016"/>
            </w:tabs>
            <w:rPr>
              <w:rFonts w:eastAsiaTheme="minorEastAsia"/>
              <w:noProof/>
              <w:lang w:eastAsia="en-GB"/>
            </w:rPr>
          </w:pPr>
          <w:hyperlink w:anchor="_Toc175126631" w:history="1">
            <w:r w:rsidR="00220E40" w:rsidRPr="00E704BE">
              <w:rPr>
                <w:rStyle w:val="Hyperlink"/>
                <w:rFonts w:ascii="Calibri" w:hAnsi="Calibri" w:cs="Calibri"/>
                <w:noProof/>
                <w:lang w:val="en-US"/>
              </w:rPr>
              <w:t>2. Financial Performance of Procter and Gamble Company.</w:t>
            </w:r>
            <w:r w:rsidR="00220E40">
              <w:rPr>
                <w:noProof/>
                <w:webHidden/>
              </w:rPr>
              <w:tab/>
            </w:r>
            <w:r w:rsidR="00220E40">
              <w:rPr>
                <w:noProof/>
                <w:webHidden/>
              </w:rPr>
              <w:fldChar w:fldCharType="begin"/>
            </w:r>
            <w:r w:rsidR="00220E40">
              <w:rPr>
                <w:noProof/>
                <w:webHidden/>
              </w:rPr>
              <w:instrText xml:space="preserve"> PAGEREF _Toc175126631 \h </w:instrText>
            </w:r>
            <w:r w:rsidR="00220E40">
              <w:rPr>
                <w:noProof/>
                <w:webHidden/>
              </w:rPr>
            </w:r>
            <w:r w:rsidR="00220E40">
              <w:rPr>
                <w:noProof/>
                <w:webHidden/>
              </w:rPr>
              <w:fldChar w:fldCharType="separate"/>
            </w:r>
            <w:r w:rsidR="00220E40">
              <w:rPr>
                <w:noProof/>
                <w:webHidden/>
              </w:rPr>
              <w:t>4</w:t>
            </w:r>
            <w:r w:rsidR="00220E40">
              <w:rPr>
                <w:noProof/>
                <w:webHidden/>
              </w:rPr>
              <w:fldChar w:fldCharType="end"/>
            </w:r>
          </w:hyperlink>
        </w:p>
        <w:p w14:paraId="09355FCB" w14:textId="3623369D" w:rsidR="00220E40" w:rsidRDefault="00000000">
          <w:pPr>
            <w:pStyle w:val="TOC2"/>
            <w:tabs>
              <w:tab w:val="right" w:leader="dot" w:pos="9016"/>
            </w:tabs>
            <w:rPr>
              <w:rFonts w:eastAsiaTheme="minorEastAsia"/>
              <w:noProof/>
              <w:lang w:eastAsia="en-GB"/>
            </w:rPr>
          </w:pPr>
          <w:hyperlink w:anchor="_Toc175126632" w:history="1">
            <w:r w:rsidR="00220E40" w:rsidRPr="00E704BE">
              <w:rPr>
                <w:rStyle w:val="Hyperlink"/>
                <w:rFonts w:ascii="Calibri" w:eastAsia="Times New Roman" w:hAnsi="Calibri" w:cs="Calibri"/>
                <w:noProof/>
                <w:lang w:eastAsia="en-GB"/>
              </w:rPr>
              <w:t>2.1. Profitability Analysis</w:t>
            </w:r>
            <w:r w:rsidR="00220E40">
              <w:rPr>
                <w:noProof/>
                <w:webHidden/>
              </w:rPr>
              <w:tab/>
            </w:r>
            <w:r w:rsidR="00220E40">
              <w:rPr>
                <w:noProof/>
                <w:webHidden/>
              </w:rPr>
              <w:fldChar w:fldCharType="begin"/>
            </w:r>
            <w:r w:rsidR="00220E40">
              <w:rPr>
                <w:noProof/>
                <w:webHidden/>
              </w:rPr>
              <w:instrText xml:space="preserve"> PAGEREF _Toc175126632 \h </w:instrText>
            </w:r>
            <w:r w:rsidR="00220E40">
              <w:rPr>
                <w:noProof/>
                <w:webHidden/>
              </w:rPr>
            </w:r>
            <w:r w:rsidR="00220E40">
              <w:rPr>
                <w:noProof/>
                <w:webHidden/>
              </w:rPr>
              <w:fldChar w:fldCharType="separate"/>
            </w:r>
            <w:r w:rsidR="00220E40">
              <w:rPr>
                <w:noProof/>
                <w:webHidden/>
              </w:rPr>
              <w:t>4</w:t>
            </w:r>
            <w:r w:rsidR="00220E40">
              <w:rPr>
                <w:noProof/>
                <w:webHidden/>
              </w:rPr>
              <w:fldChar w:fldCharType="end"/>
            </w:r>
          </w:hyperlink>
        </w:p>
        <w:p w14:paraId="5FA89362" w14:textId="197CDFC7" w:rsidR="00220E40" w:rsidRDefault="00000000">
          <w:pPr>
            <w:pStyle w:val="TOC3"/>
            <w:tabs>
              <w:tab w:val="right" w:leader="dot" w:pos="9016"/>
            </w:tabs>
            <w:rPr>
              <w:rFonts w:eastAsiaTheme="minorEastAsia"/>
              <w:noProof/>
              <w:lang w:eastAsia="en-GB"/>
            </w:rPr>
          </w:pPr>
          <w:hyperlink w:anchor="_Toc175126633" w:history="1">
            <w:r w:rsidR="00220E40" w:rsidRPr="00E704BE">
              <w:rPr>
                <w:rStyle w:val="Hyperlink"/>
                <w:rFonts w:ascii="Calibri" w:hAnsi="Calibri" w:cs="Calibri"/>
                <w:noProof/>
                <w:lang w:val="en-US"/>
              </w:rPr>
              <w:t>2.1.1. Gross Profit Margin.</w:t>
            </w:r>
            <w:r w:rsidR="00220E40">
              <w:rPr>
                <w:noProof/>
                <w:webHidden/>
              </w:rPr>
              <w:tab/>
            </w:r>
            <w:r w:rsidR="00220E40">
              <w:rPr>
                <w:noProof/>
                <w:webHidden/>
              </w:rPr>
              <w:fldChar w:fldCharType="begin"/>
            </w:r>
            <w:r w:rsidR="00220E40">
              <w:rPr>
                <w:noProof/>
                <w:webHidden/>
              </w:rPr>
              <w:instrText xml:space="preserve"> PAGEREF _Toc175126633 \h </w:instrText>
            </w:r>
            <w:r w:rsidR="00220E40">
              <w:rPr>
                <w:noProof/>
                <w:webHidden/>
              </w:rPr>
            </w:r>
            <w:r w:rsidR="00220E40">
              <w:rPr>
                <w:noProof/>
                <w:webHidden/>
              </w:rPr>
              <w:fldChar w:fldCharType="separate"/>
            </w:r>
            <w:r w:rsidR="00220E40">
              <w:rPr>
                <w:noProof/>
                <w:webHidden/>
              </w:rPr>
              <w:t>5</w:t>
            </w:r>
            <w:r w:rsidR="00220E40">
              <w:rPr>
                <w:noProof/>
                <w:webHidden/>
              </w:rPr>
              <w:fldChar w:fldCharType="end"/>
            </w:r>
          </w:hyperlink>
        </w:p>
        <w:p w14:paraId="612B0FFC" w14:textId="4141AC1C" w:rsidR="00220E40" w:rsidRDefault="00000000">
          <w:pPr>
            <w:pStyle w:val="TOC3"/>
            <w:tabs>
              <w:tab w:val="right" w:leader="dot" w:pos="9016"/>
            </w:tabs>
            <w:rPr>
              <w:rFonts w:eastAsiaTheme="minorEastAsia"/>
              <w:noProof/>
              <w:lang w:eastAsia="en-GB"/>
            </w:rPr>
          </w:pPr>
          <w:hyperlink w:anchor="_Toc175126634" w:history="1">
            <w:r w:rsidR="00220E40" w:rsidRPr="00E704BE">
              <w:rPr>
                <w:rStyle w:val="Hyperlink"/>
                <w:rFonts w:ascii="Calibri" w:hAnsi="Calibri" w:cs="Calibri"/>
                <w:noProof/>
                <w:lang w:val="en-US"/>
              </w:rPr>
              <w:t>2.1.2. Net Profit Margin.</w:t>
            </w:r>
            <w:r w:rsidR="00220E40">
              <w:rPr>
                <w:noProof/>
                <w:webHidden/>
              </w:rPr>
              <w:tab/>
            </w:r>
            <w:r w:rsidR="00220E40">
              <w:rPr>
                <w:noProof/>
                <w:webHidden/>
              </w:rPr>
              <w:fldChar w:fldCharType="begin"/>
            </w:r>
            <w:r w:rsidR="00220E40">
              <w:rPr>
                <w:noProof/>
                <w:webHidden/>
              </w:rPr>
              <w:instrText xml:space="preserve"> PAGEREF _Toc175126634 \h </w:instrText>
            </w:r>
            <w:r w:rsidR="00220E40">
              <w:rPr>
                <w:noProof/>
                <w:webHidden/>
              </w:rPr>
            </w:r>
            <w:r w:rsidR="00220E40">
              <w:rPr>
                <w:noProof/>
                <w:webHidden/>
              </w:rPr>
              <w:fldChar w:fldCharType="separate"/>
            </w:r>
            <w:r w:rsidR="00220E40">
              <w:rPr>
                <w:noProof/>
                <w:webHidden/>
              </w:rPr>
              <w:t>5</w:t>
            </w:r>
            <w:r w:rsidR="00220E40">
              <w:rPr>
                <w:noProof/>
                <w:webHidden/>
              </w:rPr>
              <w:fldChar w:fldCharType="end"/>
            </w:r>
          </w:hyperlink>
        </w:p>
        <w:p w14:paraId="4C111A47" w14:textId="121292EA" w:rsidR="00220E40" w:rsidRDefault="00000000">
          <w:pPr>
            <w:pStyle w:val="TOC3"/>
            <w:tabs>
              <w:tab w:val="right" w:leader="dot" w:pos="9016"/>
            </w:tabs>
            <w:rPr>
              <w:rFonts w:eastAsiaTheme="minorEastAsia"/>
              <w:noProof/>
              <w:lang w:eastAsia="en-GB"/>
            </w:rPr>
          </w:pPr>
          <w:hyperlink w:anchor="_Toc175126635" w:history="1">
            <w:r w:rsidR="00220E40" w:rsidRPr="00E704BE">
              <w:rPr>
                <w:rStyle w:val="Hyperlink"/>
                <w:rFonts w:ascii="Calibri" w:hAnsi="Calibri" w:cs="Calibri"/>
                <w:noProof/>
                <w:lang w:val="en-US"/>
              </w:rPr>
              <w:t>2.1.3. ROA: Return on Assets.</w:t>
            </w:r>
            <w:r w:rsidR="00220E40">
              <w:rPr>
                <w:noProof/>
                <w:webHidden/>
              </w:rPr>
              <w:tab/>
            </w:r>
            <w:r w:rsidR="00220E40">
              <w:rPr>
                <w:noProof/>
                <w:webHidden/>
              </w:rPr>
              <w:fldChar w:fldCharType="begin"/>
            </w:r>
            <w:r w:rsidR="00220E40">
              <w:rPr>
                <w:noProof/>
                <w:webHidden/>
              </w:rPr>
              <w:instrText xml:space="preserve"> PAGEREF _Toc175126635 \h </w:instrText>
            </w:r>
            <w:r w:rsidR="00220E40">
              <w:rPr>
                <w:noProof/>
                <w:webHidden/>
              </w:rPr>
            </w:r>
            <w:r w:rsidR="00220E40">
              <w:rPr>
                <w:noProof/>
                <w:webHidden/>
              </w:rPr>
              <w:fldChar w:fldCharType="separate"/>
            </w:r>
            <w:r w:rsidR="00220E40">
              <w:rPr>
                <w:noProof/>
                <w:webHidden/>
              </w:rPr>
              <w:t>6</w:t>
            </w:r>
            <w:r w:rsidR="00220E40">
              <w:rPr>
                <w:noProof/>
                <w:webHidden/>
              </w:rPr>
              <w:fldChar w:fldCharType="end"/>
            </w:r>
          </w:hyperlink>
        </w:p>
        <w:p w14:paraId="4729E691" w14:textId="2A463B15" w:rsidR="00220E40" w:rsidRDefault="00000000">
          <w:pPr>
            <w:pStyle w:val="TOC3"/>
            <w:tabs>
              <w:tab w:val="right" w:leader="dot" w:pos="9016"/>
            </w:tabs>
            <w:rPr>
              <w:rFonts w:eastAsiaTheme="minorEastAsia"/>
              <w:noProof/>
              <w:lang w:eastAsia="en-GB"/>
            </w:rPr>
          </w:pPr>
          <w:hyperlink w:anchor="_Toc175126636" w:history="1">
            <w:r w:rsidR="00220E40" w:rsidRPr="00E704BE">
              <w:rPr>
                <w:rStyle w:val="Hyperlink"/>
                <w:rFonts w:ascii="Calibri" w:hAnsi="Calibri" w:cs="Calibri"/>
                <w:noProof/>
                <w:lang w:val="en-US"/>
              </w:rPr>
              <w:t>2.1.4. ROE: Return on Equity.</w:t>
            </w:r>
            <w:r w:rsidR="00220E40">
              <w:rPr>
                <w:noProof/>
                <w:webHidden/>
              </w:rPr>
              <w:tab/>
            </w:r>
            <w:r w:rsidR="00220E40">
              <w:rPr>
                <w:noProof/>
                <w:webHidden/>
              </w:rPr>
              <w:fldChar w:fldCharType="begin"/>
            </w:r>
            <w:r w:rsidR="00220E40">
              <w:rPr>
                <w:noProof/>
                <w:webHidden/>
              </w:rPr>
              <w:instrText xml:space="preserve"> PAGEREF _Toc175126636 \h </w:instrText>
            </w:r>
            <w:r w:rsidR="00220E40">
              <w:rPr>
                <w:noProof/>
                <w:webHidden/>
              </w:rPr>
            </w:r>
            <w:r w:rsidR="00220E40">
              <w:rPr>
                <w:noProof/>
                <w:webHidden/>
              </w:rPr>
              <w:fldChar w:fldCharType="separate"/>
            </w:r>
            <w:r w:rsidR="00220E40">
              <w:rPr>
                <w:noProof/>
                <w:webHidden/>
              </w:rPr>
              <w:t>6</w:t>
            </w:r>
            <w:r w:rsidR="00220E40">
              <w:rPr>
                <w:noProof/>
                <w:webHidden/>
              </w:rPr>
              <w:fldChar w:fldCharType="end"/>
            </w:r>
          </w:hyperlink>
        </w:p>
        <w:p w14:paraId="2D7F1B2C" w14:textId="0E849C74" w:rsidR="00220E40" w:rsidRDefault="00000000">
          <w:pPr>
            <w:pStyle w:val="TOC2"/>
            <w:tabs>
              <w:tab w:val="right" w:leader="dot" w:pos="9016"/>
            </w:tabs>
            <w:rPr>
              <w:rFonts w:eastAsiaTheme="minorEastAsia"/>
              <w:noProof/>
              <w:lang w:eastAsia="en-GB"/>
            </w:rPr>
          </w:pPr>
          <w:hyperlink w:anchor="_Toc175126637" w:history="1">
            <w:r w:rsidR="00220E40" w:rsidRPr="00E704BE">
              <w:rPr>
                <w:rStyle w:val="Hyperlink"/>
                <w:rFonts w:ascii="Calibri" w:eastAsia="Times New Roman" w:hAnsi="Calibri" w:cs="Calibri"/>
                <w:noProof/>
                <w:lang w:eastAsia="en-GB"/>
              </w:rPr>
              <w:t>2.2. Liquidity Analysis.</w:t>
            </w:r>
            <w:r w:rsidR="00220E40">
              <w:rPr>
                <w:noProof/>
                <w:webHidden/>
              </w:rPr>
              <w:tab/>
            </w:r>
            <w:r w:rsidR="00220E40">
              <w:rPr>
                <w:noProof/>
                <w:webHidden/>
              </w:rPr>
              <w:fldChar w:fldCharType="begin"/>
            </w:r>
            <w:r w:rsidR="00220E40">
              <w:rPr>
                <w:noProof/>
                <w:webHidden/>
              </w:rPr>
              <w:instrText xml:space="preserve"> PAGEREF _Toc175126637 \h </w:instrText>
            </w:r>
            <w:r w:rsidR="00220E40">
              <w:rPr>
                <w:noProof/>
                <w:webHidden/>
              </w:rPr>
            </w:r>
            <w:r w:rsidR="00220E40">
              <w:rPr>
                <w:noProof/>
                <w:webHidden/>
              </w:rPr>
              <w:fldChar w:fldCharType="separate"/>
            </w:r>
            <w:r w:rsidR="00220E40">
              <w:rPr>
                <w:noProof/>
                <w:webHidden/>
              </w:rPr>
              <w:t>6</w:t>
            </w:r>
            <w:r w:rsidR="00220E40">
              <w:rPr>
                <w:noProof/>
                <w:webHidden/>
              </w:rPr>
              <w:fldChar w:fldCharType="end"/>
            </w:r>
          </w:hyperlink>
        </w:p>
        <w:p w14:paraId="0042404E" w14:textId="42908BAF" w:rsidR="00220E40" w:rsidRDefault="00000000">
          <w:pPr>
            <w:pStyle w:val="TOC3"/>
            <w:tabs>
              <w:tab w:val="right" w:leader="dot" w:pos="9016"/>
            </w:tabs>
            <w:rPr>
              <w:rFonts w:eastAsiaTheme="minorEastAsia"/>
              <w:noProof/>
              <w:lang w:eastAsia="en-GB"/>
            </w:rPr>
          </w:pPr>
          <w:hyperlink w:anchor="_Toc175126638" w:history="1">
            <w:r w:rsidR="00220E40" w:rsidRPr="00E704BE">
              <w:rPr>
                <w:rStyle w:val="Hyperlink"/>
                <w:rFonts w:ascii="Calibri" w:hAnsi="Calibri" w:cs="Calibri"/>
                <w:noProof/>
                <w:lang w:val="en-US"/>
              </w:rPr>
              <w:t>2.2.1 Current Ratio.</w:t>
            </w:r>
            <w:r w:rsidR="00220E40">
              <w:rPr>
                <w:noProof/>
                <w:webHidden/>
              </w:rPr>
              <w:tab/>
            </w:r>
            <w:r w:rsidR="00220E40">
              <w:rPr>
                <w:noProof/>
                <w:webHidden/>
              </w:rPr>
              <w:fldChar w:fldCharType="begin"/>
            </w:r>
            <w:r w:rsidR="00220E40">
              <w:rPr>
                <w:noProof/>
                <w:webHidden/>
              </w:rPr>
              <w:instrText xml:space="preserve"> PAGEREF _Toc175126638 \h </w:instrText>
            </w:r>
            <w:r w:rsidR="00220E40">
              <w:rPr>
                <w:noProof/>
                <w:webHidden/>
              </w:rPr>
            </w:r>
            <w:r w:rsidR="00220E40">
              <w:rPr>
                <w:noProof/>
                <w:webHidden/>
              </w:rPr>
              <w:fldChar w:fldCharType="separate"/>
            </w:r>
            <w:r w:rsidR="00220E40">
              <w:rPr>
                <w:noProof/>
                <w:webHidden/>
              </w:rPr>
              <w:t>7</w:t>
            </w:r>
            <w:r w:rsidR="00220E40">
              <w:rPr>
                <w:noProof/>
                <w:webHidden/>
              </w:rPr>
              <w:fldChar w:fldCharType="end"/>
            </w:r>
          </w:hyperlink>
        </w:p>
        <w:p w14:paraId="08A9913C" w14:textId="41EA81CD" w:rsidR="00220E40" w:rsidRDefault="00000000">
          <w:pPr>
            <w:pStyle w:val="TOC3"/>
            <w:tabs>
              <w:tab w:val="right" w:leader="dot" w:pos="9016"/>
            </w:tabs>
            <w:rPr>
              <w:rFonts w:eastAsiaTheme="minorEastAsia"/>
              <w:noProof/>
              <w:lang w:eastAsia="en-GB"/>
            </w:rPr>
          </w:pPr>
          <w:hyperlink w:anchor="_Toc175126639" w:history="1">
            <w:r w:rsidR="00220E40" w:rsidRPr="00E704BE">
              <w:rPr>
                <w:rStyle w:val="Hyperlink"/>
                <w:rFonts w:ascii="Calibri" w:hAnsi="Calibri" w:cs="Calibri"/>
                <w:noProof/>
                <w:lang w:val="en-US"/>
              </w:rPr>
              <w:t>2.2.2. Quick Ratio.</w:t>
            </w:r>
            <w:r w:rsidR="00220E40">
              <w:rPr>
                <w:noProof/>
                <w:webHidden/>
              </w:rPr>
              <w:tab/>
            </w:r>
            <w:r w:rsidR="00220E40">
              <w:rPr>
                <w:noProof/>
                <w:webHidden/>
              </w:rPr>
              <w:fldChar w:fldCharType="begin"/>
            </w:r>
            <w:r w:rsidR="00220E40">
              <w:rPr>
                <w:noProof/>
                <w:webHidden/>
              </w:rPr>
              <w:instrText xml:space="preserve"> PAGEREF _Toc175126639 \h </w:instrText>
            </w:r>
            <w:r w:rsidR="00220E40">
              <w:rPr>
                <w:noProof/>
                <w:webHidden/>
              </w:rPr>
            </w:r>
            <w:r w:rsidR="00220E40">
              <w:rPr>
                <w:noProof/>
                <w:webHidden/>
              </w:rPr>
              <w:fldChar w:fldCharType="separate"/>
            </w:r>
            <w:r w:rsidR="00220E40">
              <w:rPr>
                <w:noProof/>
                <w:webHidden/>
              </w:rPr>
              <w:t>7</w:t>
            </w:r>
            <w:r w:rsidR="00220E40">
              <w:rPr>
                <w:noProof/>
                <w:webHidden/>
              </w:rPr>
              <w:fldChar w:fldCharType="end"/>
            </w:r>
          </w:hyperlink>
        </w:p>
        <w:p w14:paraId="6C35544E" w14:textId="10B335EF" w:rsidR="00220E40" w:rsidRDefault="00000000">
          <w:pPr>
            <w:pStyle w:val="TOC2"/>
            <w:tabs>
              <w:tab w:val="right" w:leader="dot" w:pos="9016"/>
            </w:tabs>
            <w:rPr>
              <w:rFonts w:eastAsiaTheme="minorEastAsia"/>
              <w:noProof/>
              <w:lang w:eastAsia="en-GB"/>
            </w:rPr>
          </w:pPr>
          <w:hyperlink w:anchor="_Toc175126640" w:history="1">
            <w:r w:rsidR="00220E40" w:rsidRPr="00E704BE">
              <w:rPr>
                <w:rStyle w:val="Hyperlink"/>
                <w:rFonts w:ascii="Calibri" w:eastAsia="Times New Roman" w:hAnsi="Calibri" w:cs="Calibri"/>
                <w:noProof/>
                <w:lang w:eastAsia="en-GB"/>
              </w:rPr>
              <w:t>2.3. Gearing Analysis.</w:t>
            </w:r>
            <w:r w:rsidR="00220E40">
              <w:rPr>
                <w:noProof/>
                <w:webHidden/>
              </w:rPr>
              <w:tab/>
            </w:r>
            <w:r w:rsidR="00220E40">
              <w:rPr>
                <w:noProof/>
                <w:webHidden/>
              </w:rPr>
              <w:fldChar w:fldCharType="begin"/>
            </w:r>
            <w:r w:rsidR="00220E40">
              <w:rPr>
                <w:noProof/>
                <w:webHidden/>
              </w:rPr>
              <w:instrText xml:space="preserve"> PAGEREF _Toc175126640 \h </w:instrText>
            </w:r>
            <w:r w:rsidR="00220E40">
              <w:rPr>
                <w:noProof/>
                <w:webHidden/>
              </w:rPr>
            </w:r>
            <w:r w:rsidR="00220E40">
              <w:rPr>
                <w:noProof/>
                <w:webHidden/>
              </w:rPr>
              <w:fldChar w:fldCharType="separate"/>
            </w:r>
            <w:r w:rsidR="00220E40">
              <w:rPr>
                <w:noProof/>
                <w:webHidden/>
              </w:rPr>
              <w:t>8</w:t>
            </w:r>
            <w:r w:rsidR="00220E40">
              <w:rPr>
                <w:noProof/>
                <w:webHidden/>
              </w:rPr>
              <w:fldChar w:fldCharType="end"/>
            </w:r>
          </w:hyperlink>
        </w:p>
        <w:p w14:paraId="54F034AE" w14:textId="7DEDC288" w:rsidR="00220E40" w:rsidRDefault="00000000">
          <w:pPr>
            <w:pStyle w:val="TOC3"/>
            <w:tabs>
              <w:tab w:val="right" w:leader="dot" w:pos="9016"/>
            </w:tabs>
            <w:rPr>
              <w:rFonts w:eastAsiaTheme="minorEastAsia"/>
              <w:noProof/>
              <w:lang w:eastAsia="en-GB"/>
            </w:rPr>
          </w:pPr>
          <w:hyperlink w:anchor="_Toc175126641" w:history="1">
            <w:r w:rsidR="00220E40" w:rsidRPr="00E704BE">
              <w:rPr>
                <w:rStyle w:val="Hyperlink"/>
                <w:rFonts w:ascii="Calibri" w:hAnsi="Calibri" w:cs="Calibri"/>
                <w:noProof/>
                <w:lang w:val="en-US"/>
              </w:rPr>
              <w:t>2.3.1. Debt to Equity Ratio.</w:t>
            </w:r>
            <w:r w:rsidR="00220E40">
              <w:rPr>
                <w:noProof/>
                <w:webHidden/>
              </w:rPr>
              <w:tab/>
            </w:r>
            <w:r w:rsidR="00220E40">
              <w:rPr>
                <w:noProof/>
                <w:webHidden/>
              </w:rPr>
              <w:fldChar w:fldCharType="begin"/>
            </w:r>
            <w:r w:rsidR="00220E40">
              <w:rPr>
                <w:noProof/>
                <w:webHidden/>
              </w:rPr>
              <w:instrText xml:space="preserve"> PAGEREF _Toc175126641 \h </w:instrText>
            </w:r>
            <w:r w:rsidR="00220E40">
              <w:rPr>
                <w:noProof/>
                <w:webHidden/>
              </w:rPr>
            </w:r>
            <w:r w:rsidR="00220E40">
              <w:rPr>
                <w:noProof/>
                <w:webHidden/>
              </w:rPr>
              <w:fldChar w:fldCharType="separate"/>
            </w:r>
            <w:r w:rsidR="00220E40">
              <w:rPr>
                <w:noProof/>
                <w:webHidden/>
              </w:rPr>
              <w:t>8</w:t>
            </w:r>
            <w:r w:rsidR="00220E40">
              <w:rPr>
                <w:noProof/>
                <w:webHidden/>
              </w:rPr>
              <w:fldChar w:fldCharType="end"/>
            </w:r>
          </w:hyperlink>
        </w:p>
        <w:p w14:paraId="1E21C79D" w14:textId="4CF32930" w:rsidR="00220E40" w:rsidRDefault="00000000">
          <w:pPr>
            <w:pStyle w:val="TOC2"/>
            <w:tabs>
              <w:tab w:val="right" w:leader="dot" w:pos="9016"/>
            </w:tabs>
            <w:rPr>
              <w:rFonts w:eastAsiaTheme="minorEastAsia"/>
              <w:noProof/>
              <w:lang w:eastAsia="en-GB"/>
            </w:rPr>
          </w:pPr>
          <w:hyperlink w:anchor="_Toc175126642" w:history="1">
            <w:r w:rsidR="00220E40" w:rsidRPr="00E704BE">
              <w:rPr>
                <w:rStyle w:val="Hyperlink"/>
                <w:rFonts w:ascii="Calibri" w:eastAsia="Times New Roman" w:hAnsi="Calibri" w:cs="Calibri"/>
                <w:noProof/>
                <w:lang w:eastAsia="en-GB"/>
              </w:rPr>
              <w:t>2.4. Efficiency Analysis.</w:t>
            </w:r>
            <w:r w:rsidR="00220E40">
              <w:rPr>
                <w:noProof/>
                <w:webHidden/>
              </w:rPr>
              <w:tab/>
            </w:r>
            <w:r w:rsidR="00220E40">
              <w:rPr>
                <w:noProof/>
                <w:webHidden/>
              </w:rPr>
              <w:fldChar w:fldCharType="begin"/>
            </w:r>
            <w:r w:rsidR="00220E40">
              <w:rPr>
                <w:noProof/>
                <w:webHidden/>
              </w:rPr>
              <w:instrText xml:space="preserve"> PAGEREF _Toc175126642 \h </w:instrText>
            </w:r>
            <w:r w:rsidR="00220E40">
              <w:rPr>
                <w:noProof/>
                <w:webHidden/>
              </w:rPr>
            </w:r>
            <w:r w:rsidR="00220E40">
              <w:rPr>
                <w:noProof/>
                <w:webHidden/>
              </w:rPr>
              <w:fldChar w:fldCharType="separate"/>
            </w:r>
            <w:r w:rsidR="00220E40">
              <w:rPr>
                <w:noProof/>
                <w:webHidden/>
              </w:rPr>
              <w:t>9</w:t>
            </w:r>
            <w:r w:rsidR="00220E40">
              <w:rPr>
                <w:noProof/>
                <w:webHidden/>
              </w:rPr>
              <w:fldChar w:fldCharType="end"/>
            </w:r>
          </w:hyperlink>
        </w:p>
        <w:p w14:paraId="10F381B1" w14:textId="598FC971" w:rsidR="00220E40" w:rsidRDefault="00000000">
          <w:pPr>
            <w:pStyle w:val="TOC3"/>
            <w:tabs>
              <w:tab w:val="right" w:leader="dot" w:pos="9016"/>
            </w:tabs>
            <w:rPr>
              <w:rFonts w:eastAsiaTheme="minorEastAsia"/>
              <w:noProof/>
              <w:lang w:eastAsia="en-GB"/>
            </w:rPr>
          </w:pPr>
          <w:hyperlink w:anchor="_Toc175126643" w:history="1">
            <w:r w:rsidR="00220E40" w:rsidRPr="00E704BE">
              <w:rPr>
                <w:rStyle w:val="Hyperlink"/>
                <w:rFonts w:ascii="Calibri" w:hAnsi="Calibri" w:cs="Calibri"/>
                <w:noProof/>
                <w:lang w:val="en-US"/>
              </w:rPr>
              <w:t>2.4.1. Asset Turnover Ratio.</w:t>
            </w:r>
            <w:r w:rsidR="00220E40">
              <w:rPr>
                <w:noProof/>
                <w:webHidden/>
              </w:rPr>
              <w:tab/>
            </w:r>
            <w:r w:rsidR="00220E40">
              <w:rPr>
                <w:noProof/>
                <w:webHidden/>
              </w:rPr>
              <w:fldChar w:fldCharType="begin"/>
            </w:r>
            <w:r w:rsidR="00220E40">
              <w:rPr>
                <w:noProof/>
                <w:webHidden/>
              </w:rPr>
              <w:instrText xml:space="preserve"> PAGEREF _Toc175126643 \h </w:instrText>
            </w:r>
            <w:r w:rsidR="00220E40">
              <w:rPr>
                <w:noProof/>
                <w:webHidden/>
              </w:rPr>
            </w:r>
            <w:r w:rsidR="00220E40">
              <w:rPr>
                <w:noProof/>
                <w:webHidden/>
              </w:rPr>
              <w:fldChar w:fldCharType="separate"/>
            </w:r>
            <w:r w:rsidR="00220E40">
              <w:rPr>
                <w:noProof/>
                <w:webHidden/>
              </w:rPr>
              <w:t>9</w:t>
            </w:r>
            <w:r w:rsidR="00220E40">
              <w:rPr>
                <w:noProof/>
                <w:webHidden/>
              </w:rPr>
              <w:fldChar w:fldCharType="end"/>
            </w:r>
          </w:hyperlink>
        </w:p>
        <w:p w14:paraId="68C32ADB" w14:textId="370A16CE" w:rsidR="00220E40" w:rsidRDefault="00000000">
          <w:pPr>
            <w:pStyle w:val="TOC3"/>
            <w:tabs>
              <w:tab w:val="right" w:leader="dot" w:pos="9016"/>
            </w:tabs>
            <w:rPr>
              <w:rFonts w:eastAsiaTheme="minorEastAsia"/>
              <w:noProof/>
              <w:lang w:eastAsia="en-GB"/>
            </w:rPr>
          </w:pPr>
          <w:hyperlink w:anchor="_Toc175126644" w:history="1">
            <w:r w:rsidR="00220E40" w:rsidRPr="00E704BE">
              <w:rPr>
                <w:rStyle w:val="Hyperlink"/>
                <w:rFonts w:ascii="Calibri" w:hAnsi="Calibri" w:cs="Calibri"/>
                <w:noProof/>
                <w:lang w:val="en-US"/>
              </w:rPr>
              <w:t>2.4.2. Inventory Turnover Ratio.</w:t>
            </w:r>
            <w:r w:rsidR="00220E40">
              <w:rPr>
                <w:noProof/>
                <w:webHidden/>
              </w:rPr>
              <w:tab/>
            </w:r>
            <w:r w:rsidR="00220E40">
              <w:rPr>
                <w:noProof/>
                <w:webHidden/>
              </w:rPr>
              <w:fldChar w:fldCharType="begin"/>
            </w:r>
            <w:r w:rsidR="00220E40">
              <w:rPr>
                <w:noProof/>
                <w:webHidden/>
              </w:rPr>
              <w:instrText xml:space="preserve"> PAGEREF _Toc175126644 \h </w:instrText>
            </w:r>
            <w:r w:rsidR="00220E40">
              <w:rPr>
                <w:noProof/>
                <w:webHidden/>
              </w:rPr>
            </w:r>
            <w:r w:rsidR="00220E40">
              <w:rPr>
                <w:noProof/>
                <w:webHidden/>
              </w:rPr>
              <w:fldChar w:fldCharType="separate"/>
            </w:r>
            <w:r w:rsidR="00220E40">
              <w:rPr>
                <w:noProof/>
                <w:webHidden/>
              </w:rPr>
              <w:t>10</w:t>
            </w:r>
            <w:r w:rsidR="00220E40">
              <w:rPr>
                <w:noProof/>
                <w:webHidden/>
              </w:rPr>
              <w:fldChar w:fldCharType="end"/>
            </w:r>
          </w:hyperlink>
        </w:p>
        <w:p w14:paraId="224FFF4F" w14:textId="6679CC2F" w:rsidR="00220E40" w:rsidRDefault="00000000">
          <w:pPr>
            <w:pStyle w:val="TOC2"/>
            <w:tabs>
              <w:tab w:val="right" w:leader="dot" w:pos="9016"/>
            </w:tabs>
            <w:rPr>
              <w:rFonts w:eastAsiaTheme="minorEastAsia"/>
              <w:noProof/>
              <w:lang w:eastAsia="en-GB"/>
            </w:rPr>
          </w:pPr>
          <w:hyperlink w:anchor="_Toc175126645" w:history="1">
            <w:r w:rsidR="00220E40" w:rsidRPr="00E704BE">
              <w:rPr>
                <w:rStyle w:val="Hyperlink"/>
                <w:rFonts w:ascii="Calibri" w:hAnsi="Calibri" w:cs="Calibri"/>
                <w:noProof/>
                <w:lang w:val="en-US"/>
              </w:rPr>
              <w:t>2.4. Recommendations for P&amp;G to enhance their Market Growth.</w:t>
            </w:r>
            <w:r w:rsidR="00220E40">
              <w:rPr>
                <w:noProof/>
                <w:webHidden/>
              </w:rPr>
              <w:tab/>
            </w:r>
            <w:r w:rsidR="00220E40">
              <w:rPr>
                <w:noProof/>
                <w:webHidden/>
              </w:rPr>
              <w:fldChar w:fldCharType="begin"/>
            </w:r>
            <w:r w:rsidR="00220E40">
              <w:rPr>
                <w:noProof/>
                <w:webHidden/>
              </w:rPr>
              <w:instrText xml:space="preserve"> PAGEREF _Toc175126645 \h </w:instrText>
            </w:r>
            <w:r w:rsidR="00220E40">
              <w:rPr>
                <w:noProof/>
                <w:webHidden/>
              </w:rPr>
            </w:r>
            <w:r w:rsidR="00220E40">
              <w:rPr>
                <w:noProof/>
                <w:webHidden/>
              </w:rPr>
              <w:fldChar w:fldCharType="separate"/>
            </w:r>
            <w:r w:rsidR="00220E40">
              <w:rPr>
                <w:noProof/>
                <w:webHidden/>
              </w:rPr>
              <w:t>10</w:t>
            </w:r>
            <w:r w:rsidR="00220E40">
              <w:rPr>
                <w:noProof/>
                <w:webHidden/>
              </w:rPr>
              <w:fldChar w:fldCharType="end"/>
            </w:r>
          </w:hyperlink>
        </w:p>
        <w:p w14:paraId="720234D1" w14:textId="4764F3FA" w:rsidR="00220E40" w:rsidRDefault="00000000">
          <w:pPr>
            <w:pStyle w:val="TOC3"/>
            <w:tabs>
              <w:tab w:val="right" w:leader="dot" w:pos="9016"/>
            </w:tabs>
            <w:rPr>
              <w:rFonts w:eastAsiaTheme="minorEastAsia"/>
              <w:noProof/>
              <w:lang w:eastAsia="en-GB"/>
            </w:rPr>
          </w:pPr>
          <w:hyperlink w:anchor="_Toc175126646" w:history="1">
            <w:r w:rsidR="00220E40" w:rsidRPr="00E704BE">
              <w:rPr>
                <w:rStyle w:val="Hyperlink"/>
                <w:rFonts w:ascii="Calibri" w:hAnsi="Calibri" w:cs="Calibri"/>
                <w:noProof/>
                <w:lang w:val="en-US"/>
              </w:rPr>
              <w:t>2.4.1. Market Expansion.</w:t>
            </w:r>
            <w:r w:rsidR="00220E40">
              <w:rPr>
                <w:noProof/>
                <w:webHidden/>
              </w:rPr>
              <w:tab/>
            </w:r>
            <w:r w:rsidR="00220E40">
              <w:rPr>
                <w:noProof/>
                <w:webHidden/>
              </w:rPr>
              <w:fldChar w:fldCharType="begin"/>
            </w:r>
            <w:r w:rsidR="00220E40">
              <w:rPr>
                <w:noProof/>
                <w:webHidden/>
              </w:rPr>
              <w:instrText xml:space="preserve"> PAGEREF _Toc175126646 \h </w:instrText>
            </w:r>
            <w:r w:rsidR="00220E40">
              <w:rPr>
                <w:noProof/>
                <w:webHidden/>
              </w:rPr>
            </w:r>
            <w:r w:rsidR="00220E40">
              <w:rPr>
                <w:noProof/>
                <w:webHidden/>
              </w:rPr>
              <w:fldChar w:fldCharType="separate"/>
            </w:r>
            <w:r w:rsidR="00220E40">
              <w:rPr>
                <w:noProof/>
                <w:webHidden/>
              </w:rPr>
              <w:t>10</w:t>
            </w:r>
            <w:r w:rsidR="00220E40">
              <w:rPr>
                <w:noProof/>
                <w:webHidden/>
              </w:rPr>
              <w:fldChar w:fldCharType="end"/>
            </w:r>
          </w:hyperlink>
        </w:p>
        <w:p w14:paraId="59B11BD4" w14:textId="37705549" w:rsidR="00220E40" w:rsidRDefault="00000000">
          <w:pPr>
            <w:pStyle w:val="TOC3"/>
            <w:tabs>
              <w:tab w:val="right" w:leader="dot" w:pos="9016"/>
            </w:tabs>
            <w:rPr>
              <w:rFonts w:eastAsiaTheme="minorEastAsia"/>
              <w:noProof/>
              <w:lang w:eastAsia="en-GB"/>
            </w:rPr>
          </w:pPr>
          <w:hyperlink w:anchor="_Toc175126647" w:history="1">
            <w:r w:rsidR="00220E40" w:rsidRPr="00E704BE">
              <w:rPr>
                <w:rStyle w:val="Hyperlink"/>
                <w:rFonts w:ascii="Calibri" w:hAnsi="Calibri" w:cs="Calibri"/>
                <w:noProof/>
                <w:lang w:val="en-US"/>
              </w:rPr>
              <w:t>2.4.2. Extend portfolio.</w:t>
            </w:r>
            <w:r w:rsidR="00220E40">
              <w:rPr>
                <w:noProof/>
                <w:webHidden/>
              </w:rPr>
              <w:tab/>
            </w:r>
            <w:r w:rsidR="00220E40">
              <w:rPr>
                <w:noProof/>
                <w:webHidden/>
              </w:rPr>
              <w:fldChar w:fldCharType="begin"/>
            </w:r>
            <w:r w:rsidR="00220E40">
              <w:rPr>
                <w:noProof/>
                <w:webHidden/>
              </w:rPr>
              <w:instrText xml:space="preserve"> PAGEREF _Toc175126647 \h </w:instrText>
            </w:r>
            <w:r w:rsidR="00220E40">
              <w:rPr>
                <w:noProof/>
                <w:webHidden/>
              </w:rPr>
            </w:r>
            <w:r w:rsidR="00220E40">
              <w:rPr>
                <w:noProof/>
                <w:webHidden/>
              </w:rPr>
              <w:fldChar w:fldCharType="separate"/>
            </w:r>
            <w:r w:rsidR="00220E40">
              <w:rPr>
                <w:noProof/>
                <w:webHidden/>
              </w:rPr>
              <w:t>11</w:t>
            </w:r>
            <w:r w:rsidR="00220E40">
              <w:rPr>
                <w:noProof/>
                <w:webHidden/>
              </w:rPr>
              <w:fldChar w:fldCharType="end"/>
            </w:r>
          </w:hyperlink>
        </w:p>
        <w:p w14:paraId="7A856F0D" w14:textId="59C195B7" w:rsidR="00220E40" w:rsidRDefault="00000000">
          <w:pPr>
            <w:pStyle w:val="TOC3"/>
            <w:tabs>
              <w:tab w:val="right" w:leader="dot" w:pos="9016"/>
            </w:tabs>
            <w:rPr>
              <w:rFonts w:eastAsiaTheme="minorEastAsia"/>
              <w:noProof/>
              <w:lang w:eastAsia="en-GB"/>
            </w:rPr>
          </w:pPr>
          <w:hyperlink w:anchor="_Toc175126648" w:history="1">
            <w:r w:rsidR="00220E40" w:rsidRPr="00E704BE">
              <w:rPr>
                <w:rStyle w:val="Hyperlink"/>
                <w:rFonts w:ascii="Calibri" w:hAnsi="Calibri" w:cs="Calibri"/>
                <w:noProof/>
                <w:lang w:val="en-US"/>
              </w:rPr>
              <w:t>2.4.3. Acquisition and Enhancement of Digital Presence.</w:t>
            </w:r>
            <w:r w:rsidR="00220E40">
              <w:rPr>
                <w:noProof/>
                <w:webHidden/>
              </w:rPr>
              <w:tab/>
            </w:r>
            <w:r w:rsidR="00220E40">
              <w:rPr>
                <w:noProof/>
                <w:webHidden/>
              </w:rPr>
              <w:fldChar w:fldCharType="begin"/>
            </w:r>
            <w:r w:rsidR="00220E40">
              <w:rPr>
                <w:noProof/>
                <w:webHidden/>
              </w:rPr>
              <w:instrText xml:space="preserve"> PAGEREF _Toc175126648 \h </w:instrText>
            </w:r>
            <w:r w:rsidR="00220E40">
              <w:rPr>
                <w:noProof/>
                <w:webHidden/>
              </w:rPr>
            </w:r>
            <w:r w:rsidR="00220E40">
              <w:rPr>
                <w:noProof/>
                <w:webHidden/>
              </w:rPr>
              <w:fldChar w:fldCharType="separate"/>
            </w:r>
            <w:r w:rsidR="00220E40">
              <w:rPr>
                <w:noProof/>
                <w:webHidden/>
              </w:rPr>
              <w:t>11</w:t>
            </w:r>
            <w:r w:rsidR="00220E40">
              <w:rPr>
                <w:noProof/>
                <w:webHidden/>
              </w:rPr>
              <w:fldChar w:fldCharType="end"/>
            </w:r>
          </w:hyperlink>
        </w:p>
        <w:p w14:paraId="6C023A29" w14:textId="430788DC" w:rsidR="00220E40" w:rsidRDefault="00000000">
          <w:pPr>
            <w:pStyle w:val="TOC3"/>
            <w:tabs>
              <w:tab w:val="right" w:leader="dot" w:pos="9016"/>
            </w:tabs>
            <w:rPr>
              <w:rFonts w:eastAsiaTheme="minorEastAsia"/>
              <w:noProof/>
              <w:lang w:eastAsia="en-GB"/>
            </w:rPr>
          </w:pPr>
          <w:hyperlink w:anchor="_Toc175126649" w:history="1">
            <w:r w:rsidR="00220E40" w:rsidRPr="00E704BE">
              <w:rPr>
                <w:rStyle w:val="Hyperlink"/>
                <w:rFonts w:ascii="Calibri" w:hAnsi="Calibri" w:cs="Calibri"/>
                <w:noProof/>
                <w:lang w:val="en-US"/>
              </w:rPr>
              <w:t>2.4.4. Effective Manufacturing and Raw Material Utilization.</w:t>
            </w:r>
            <w:r w:rsidR="00220E40">
              <w:rPr>
                <w:noProof/>
                <w:webHidden/>
              </w:rPr>
              <w:tab/>
            </w:r>
            <w:r w:rsidR="00220E40">
              <w:rPr>
                <w:noProof/>
                <w:webHidden/>
              </w:rPr>
              <w:fldChar w:fldCharType="begin"/>
            </w:r>
            <w:r w:rsidR="00220E40">
              <w:rPr>
                <w:noProof/>
                <w:webHidden/>
              </w:rPr>
              <w:instrText xml:space="preserve"> PAGEREF _Toc175126649 \h </w:instrText>
            </w:r>
            <w:r w:rsidR="00220E40">
              <w:rPr>
                <w:noProof/>
                <w:webHidden/>
              </w:rPr>
            </w:r>
            <w:r w:rsidR="00220E40">
              <w:rPr>
                <w:noProof/>
                <w:webHidden/>
              </w:rPr>
              <w:fldChar w:fldCharType="separate"/>
            </w:r>
            <w:r w:rsidR="00220E40">
              <w:rPr>
                <w:noProof/>
                <w:webHidden/>
              </w:rPr>
              <w:t>11</w:t>
            </w:r>
            <w:r w:rsidR="00220E40">
              <w:rPr>
                <w:noProof/>
                <w:webHidden/>
              </w:rPr>
              <w:fldChar w:fldCharType="end"/>
            </w:r>
          </w:hyperlink>
        </w:p>
        <w:p w14:paraId="2C7E1B3A" w14:textId="447D7D59" w:rsidR="00220E40" w:rsidRDefault="00000000">
          <w:pPr>
            <w:pStyle w:val="TOC3"/>
            <w:tabs>
              <w:tab w:val="right" w:leader="dot" w:pos="9016"/>
            </w:tabs>
            <w:rPr>
              <w:rFonts w:eastAsiaTheme="minorEastAsia"/>
              <w:noProof/>
              <w:lang w:eastAsia="en-GB"/>
            </w:rPr>
          </w:pPr>
          <w:hyperlink w:anchor="_Toc175126650" w:history="1">
            <w:r w:rsidR="00220E40" w:rsidRPr="00E704BE">
              <w:rPr>
                <w:rStyle w:val="Hyperlink"/>
                <w:rFonts w:ascii="Calibri" w:hAnsi="Calibri" w:cs="Calibri"/>
                <w:noProof/>
                <w:lang w:val="en-US"/>
              </w:rPr>
              <w:t>2.4.5. Enhance Sustainability.</w:t>
            </w:r>
            <w:r w:rsidR="00220E40">
              <w:rPr>
                <w:noProof/>
                <w:webHidden/>
              </w:rPr>
              <w:tab/>
            </w:r>
            <w:r w:rsidR="00220E40">
              <w:rPr>
                <w:noProof/>
                <w:webHidden/>
              </w:rPr>
              <w:fldChar w:fldCharType="begin"/>
            </w:r>
            <w:r w:rsidR="00220E40">
              <w:rPr>
                <w:noProof/>
                <w:webHidden/>
              </w:rPr>
              <w:instrText xml:space="preserve"> PAGEREF _Toc175126650 \h </w:instrText>
            </w:r>
            <w:r w:rsidR="00220E40">
              <w:rPr>
                <w:noProof/>
                <w:webHidden/>
              </w:rPr>
            </w:r>
            <w:r w:rsidR="00220E40">
              <w:rPr>
                <w:noProof/>
                <w:webHidden/>
              </w:rPr>
              <w:fldChar w:fldCharType="separate"/>
            </w:r>
            <w:r w:rsidR="00220E40">
              <w:rPr>
                <w:noProof/>
                <w:webHidden/>
              </w:rPr>
              <w:t>11</w:t>
            </w:r>
            <w:r w:rsidR="00220E40">
              <w:rPr>
                <w:noProof/>
                <w:webHidden/>
              </w:rPr>
              <w:fldChar w:fldCharType="end"/>
            </w:r>
          </w:hyperlink>
        </w:p>
        <w:p w14:paraId="7CE73BEF" w14:textId="1F48BC2B" w:rsidR="00220E40" w:rsidRDefault="00000000">
          <w:pPr>
            <w:pStyle w:val="TOC1"/>
            <w:tabs>
              <w:tab w:val="right" w:leader="dot" w:pos="9016"/>
            </w:tabs>
            <w:rPr>
              <w:rFonts w:eastAsiaTheme="minorEastAsia"/>
              <w:noProof/>
              <w:lang w:eastAsia="en-GB"/>
            </w:rPr>
          </w:pPr>
          <w:hyperlink w:anchor="_Toc175126651" w:history="1">
            <w:r w:rsidR="00220E40" w:rsidRPr="00E704BE">
              <w:rPr>
                <w:rStyle w:val="Hyperlink"/>
                <w:rFonts w:ascii="Calibri" w:hAnsi="Calibri" w:cs="Calibri"/>
                <w:noProof/>
                <w:lang w:val="en-US"/>
              </w:rPr>
              <w:t>3. Investment Appraisal.</w:t>
            </w:r>
            <w:r w:rsidR="00220E40">
              <w:rPr>
                <w:noProof/>
                <w:webHidden/>
              </w:rPr>
              <w:tab/>
            </w:r>
            <w:r w:rsidR="00220E40">
              <w:rPr>
                <w:noProof/>
                <w:webHidden/>
              </w:rPr>
              <w:fldChar w:fldCharType="begin"/>
            </w:r>
            <w:r w:rsidR="00220E40">
              <w:rPr>
                <w:noProof/>
                <w:webHidden/>
              </w:rPr>
              <w:instrText xml:space="preserve"> PAGEREF _Toc175126651 \h </w:instrText>
            </w:r>
            <w:r w:rsidR="00220E40">
              <w:rPr>
                <w:noProof/>
                <w:webHidden/>
              </w:rPr>
            </w:r>
            <w:r w:rsidR="00220E40">
              <w:rPr>
                <w:noProof/>
                <w:webHidden/>
              </w:rPr>
              <w:fldChar w:fldCharType="separate"/>
            </w:r>
            <w:r w:rsidR="00220E40">
              <w:rPr>
                <w:noProof/>
                <w:webHidden/>
              </w:rPr>
              <w:t>12</w:t>
            </w:r>
            <w:r w:rsidR="00220E40">
              <w:rPr>
                <w:noProof/>
                <w:webHidden/>
              </w:rPr>
              <w:fldChar w:fldCharType="end"/>
            </w:r>
          </w:hyperlink>
        </w:p>
        <w:p w14:paraId="4DF3450C" w14:textId="772E7035" w:rsidR="00220E40" w:rsidRDefault="00000000">
          <w:pPr>
            <w:pStyle w:val="TOC2"/>
            <w:tabs>
              <w:tab w:val="right" w:leader="dot" w:pos="9016"/>
            </w:tabs>
            <w:rPr>
              <w:rFonts w:eastAsiaTheme="minorEastAsia"/>
              <w:noProof/>
              <w:lang w:eastAsia="en-GB"/>
            </w:rPr>
          </w:pPr>
          <w:hyperlink w:anchor="_Toc175126652" w:history="1">
            <w:r w:rsidR="00220E40" w:rsidRPr="00E704BE">
              <w:rPr>
                <w:rStyle w:val="Hyperlink"/>
                <w:rFonts w:ascii="Calibri" w:hAnsi="Calibri" w:cs="Calibri"/>
                <w:noProof/>
                <w:lang w:val="en-US"/>
              </w:rPr>
              <w:t>3.1. Assumptions:</w:t>
            </w:r>
            <w:r w:rsidR="00220E40">
              <w:rPr>
                <w:noProof/>
                <w:webHidden/>
              </w:rPr>
              <w:tab/>
            </w:r>
            <w:r w:rsidR="00220E40">
              <w:rPr>
                <w:noProof/>
                <w:webHidden/>
              </w:rPr>
              <w:fldChar w:fldCharType="begin"/>
            </w:r>
            <w:r w:rsidR="00220E40">
              <w:rPr>
                <w:noProof/>
                <w:webHidden/>
              </w:rPr>
              <w:instrText xml:space="preserve"> PAGEREF _Toc175126652 \h </w:instrText>
            </w:r>
            <w:r w:rsidR="00220E40">
              <w:rPr>
                <w:noProof/>
                <w:webHidden/>
              </w:rPr>
            </w:r>
            <w:r w:rsidR="00220E40">
              <w:rPr>
                <w:noProof/>
                <w:webHidden/>
              </w:rPr>
              <w:fldChar w:fldCharType="separate"/>
            </w:r>
            <w:r w:rsidR="00220E40">
              <w:rPr>
                <w:noProof/>
                <w:webHidden/>
              </w:rPr>
              <w:t>12</w:t>
            </w:r>
            <w:r w:rsidR="00220E40">
              <w:rPr>
                <w:noProof/>
                <w:webHidden/>
              </w:rPr>
              <w:fldChar w:fldCharType="end"/>
            </w:r>
          </w:hyperlink>
        </w:p>
        <w:p w14:paraId="08ACB5B4" w14:textId="03B3D615" w:rsidR="00220E40" w:rsidRDefault="00000000">
          <w:pPr>
            <w:pStyle w:val="TOC3"/>
            <w:tabs>
              <w:tab w:val="right" w:leader="dot" w:pos="9016"/>
            </w:tabs>
            <w:rPr>
              <w:rFonts w:eastAsiaTheme="minorEastAsia"/>
              <w:noProof/>
              <w:lang w:eastAsia="en-GB"/>
            </w:rPr>
          </w:pPr>
          <w:hyperlink w:anchor="_Toc175126653" w:history="1">
            <w:r w:rsidR="00220E40" w:rsidRPr="00E704BE">
              <w:rPr>
                <w:rStyle w:val="Hyperlink"/>
                <w:rFonts w:ascii="Calibri" w:hAnsi="Calibri" w:cs="Calibri"/>
                <w:noProof/>
                <w:lang w:val="en-US"/>
              </w:rPr>
              <w:t>3.1.1. Payback period.</w:t>
            </w:r>
            <w:r w:rsidR="00220E40">
              <w:rPr>
                <w:noProof/>
                <w:webHidden/>
              </w:rPr>
              <w:tab/>
            </w:r>
            <w:r w:rsidR="00220E40">
              <w:rPr>
                <w:noProof/>
                <w:webHidden/>
              </w:rPr>
              <w:fldChar w:fldCharType="begin"/>
            </w:r>
            <w:r w:rsidR="00220E40">
              <w:rPr>
                <w:noProof/>
                <w:webHidden/>
              </w:rPr>
              <w:instrText xml:space="preserve"> PAGEREF _Toc175126653 \h </w:instrText>
            </w:r>
            <w:r w:rsidR="00220E40">
              <w:rPr>
                <w:noProof/>
                <w:webHidden/>
              </w:rPr>
            </w:r>
            <w:r w:rsidR="00220E40">
              <w:rPr>
                <w:noProof/>
                <w:webHidden/>
              </w:rPr>
              <w:fldChar w:fldCharType="separate"/>
            </w:r>
            <w:r w:rsidR="00220E40">
              <w:rPr>
                <w:noProof/>
                <w:webHidden/>
              </w:rPr>
              <w:t>12</w:t>
            </w:r>
            <w:r w:rsidR="00220E40">
              <w:rPr>
                <w:noProof/>
                <w:webHidden/>
              </w:rPr>
              <w:fldChar w:fldCharType="end"/>
            </w:r>
          </w:hyperlink>
        </w:p>
        <w:p w14:paraId="64C373C9" w14:textId="47E99464" w:rsidR="00220E40" w:rsidRDefault="00000000">
          <w:pPr>
            <w:pStyle w:val="TOC3"/>
            <w:tabs>
              <w:tab w:val="right" w:leader="dot" w:pos="9016"/>
            </w:tabs>
            <w:rPr>
              <w:rFonts w:eastAsiaTheme="minorEastAsia"/>
              <w:noProof/>
              <w:lang w:eastAsia="en-GB"/>
            </w:rPr>
          </w:pPr>
          <w:hyperlink w:anchor="_Toc175126654" w:history="1">
            <w:r w:rsidR="00220E40" w:rsidRPr="00E704BE">
              <w:rPr>
                <w:rStyle w:val="Hyperlink"/>
                <w:rFonts w:ascii="Calibri" w:hAnsi="Calibri" w:cs="Calibri"/>
                <w:noProof/>
                <w:lang w:val="en-US"/>
              </w:rPr>
              <w:t>3.1.2. Accounting Rate of Return (ARR):</w:t>
            </w:r>
            <w:r w:rsidR="00220E40">
              <w:rPr>
                <w:noProof/>
                <w:webHidden/>
              </w:rPr>
              <w:tab/>
            </w:r>
            <w:r w:rsidR="00220E40">
              <w:rPr>
                <w:noProof/>
                <w:webHidden/>
              </w:rPr>
              <w:fldChar w:fldCharType="begin"/>
            </w:r>
            <w:r w:rsidR="00220E40">
              <w:rPr>
                <w:noProof/>
                <w:webHidden/>
              </w:rPr>
              <w:instrText xml:space="preserve"> PAGEREF _Toc175126654 \h </w:instrText>
            </w:r>
            <w:r w:rsidR="00220E40">
              <w:rPr>
                <w:noProof/>
                <w:webHidden/>
              </w:rPr>
            </w:r>
            <w:r w:rsidR="00220E40">
              <w:rPr>
                <w:noProof/>
                <w:webHidden/>
              </w:rPr>
              <w:fldChar w:fldCharType="separate"/>
            </w:r>
            <w:r w:rsidR="00220E40">
              <w:rPr>
                <w:noProof/>
                <w:webHidden/>
              </w:rPr>
              <w:t>12</w:t>
            </w:r>
            <w:r w:rsidR="00220E40">
              <w:rPr>
                <w:noProof/>
                <w:webHidden/>
              </w:rPr>
              <w:fldChar w:fldCharType="end"/>
            </w:r>
          </w:hyperlink>
        </w:p>
        <w:p w14:paraId="393DC51B" w14:textId="0A28B82A" w:rsidR="00220E40" w:rsidRDefault="00000000">
          <w:pPr>
            <w:pStyle w:val="TOC3"/>
            <w:tabs>
              <w:tab w:val="right" w:leader="dot" w:pos="9016"/>
            </w:tabs>
            <w:rPr>
              <w:rFonts w:eastAsiaTheme="minorEastAsia"/>
              <w:noProof/>
              <w:lang w:eastAsia="en-GB"/>
            </w:rPr>
          </w:pPr>
          <w:hyperlink w:anchor="_Toc175126655" w:history="1">
            <w:r w:rsidR="00220E40" w:rsidRPr="00E704BE">
              <w:rPr>
                <w:rStyle w:val="Hyperlink"/>
                <w:rFonts w:ascii="Calibri" w:hAnsi="Calibri" w:cs="Calibri"/>
                <w:noProof/>
                <w:lang w:val="en-US"/>
              </w:rPr>
              <w:t>3.1.3. Net Profit Value:</w:t>
            </w:r>
            <w:r w:rsidR="00220E40">
              <w:rPr>
                <w:noProof/>
                <w:webHidden/>
              </w:rPr>
              <w:tab/>
            </w:r>
            <w:r w:rsidR="00220E40">
              <w:rPr>
                <w:noProof/>
                <w:webHidden/>
              </w:rPr>
              <w:fldChar w:fldCharType="begin"/>
            </w:r>
            <w:r w:rsidR="00220E40">
              <w:rPr>
                <w:noProof/>
                <w:webHidden/>
              </w:rPr>
              <w:instrText xml:space="preserve"> PAGEREF _Toc175126655 \h </w:instrText>
            </w:r>
            <w:r w:rsidR="00220E40">
              <w:rPr>
                <w:noProof/>
                <w:webHidden/>
              </w:rPr>
            </w:r>
            <w:r w:rsidR="00220E40">
              <w:rPr>
                <w:noProof/>
                <w:webHidden/>
              </w:rPr>
              <w:fldChar w:fldCharType="separate"/>
            </w:r>
            <w:r w:rsidR="00220E40">
              <w:rPr>
                <w:noProof/>
                <w:webHidden/>
              </w:rPr>
              <w:t>13</w:t>
            </w:r>
            <w:r w:rsidR="00220E40">
              <w:rPr>
                <w:noProof/>
                <w:webHidden/>
              </w:rPr>
              <w:fldChar w:fldCharType="end"/>
            </w:r>
          </w:hyperlink>
        </w:p>
        <w:p w14:paraId="11BF638B" w14:textId="5751FBCB" w:rsidR="00220E40" w:rsidRDefault="00000000">
          <w:pPr>
            <w:pStyle w:val="TOC2"/>
            <w:tabs>
              <w:tab w:val="right" w:leader="dot" w:pos="9016"/>
            </w:tabs>
            <w:rPr>
              <w:rFonts w:eastAsiaTheme="minorEastAsia"/>
              <w:noProof/>
              <w:lang w:eastAsia="en-GB"/>
            </w:rPr>
          </w:pPr>
          <w:hyperlink w:anchor="_Toc175126656" w:history="1">
            <w:r w:rsidR="00220E40" w:rsidRPr="00E704BE">
              <w:rPr>
                <w:rStyle w:val="Hyperlink"/>
                <w:rFonts w:ascii="Calibri" w:hAnsi="Calibri" w:cs="Calibri"/>
                <w:noProof/>
                <w:lang w:val="en-US"/>
              </w:rPr>
              <w:t>3.2. PBP, ARR, and NPV: Advantages and Shortcomings.</w:t>
            </w:r>
            <w:r w:rsidR="00220E40">
              <w:rPr>
                <w:noProof/>
                <w:webHidden/>
              </w:rPr>
              <w:tab/>
            </w:r>
            <w:r w:rsidR="00220E40">
              <w:rPr>
                <w:noProof/>
                <w:webHidden/>
              </w:rPr>
              <w:fldChar w:fldCharType="begin"/>
            </w:r>
            <w:r w:rsidR="00220E40">
              <w:rPr>
                <w:noProof/>
                <w:webHidden/>
              </w:rPr>
              <w:instrText xml:space="preserve"> PAGEREF _Toc175126656 \h </w:instrText>
            </w:r>
            <w:r w:rsidR="00220E40">
              <w:rPr>
                <w:noProof/>
                <w:webHidden/>
              </w:rPr>
            </w:r>
            <w:r w:rsidR="00220E40">
              <w:rPr>
                <w:noProof/>
                <w:webHidden/>
              </w:rPr>
              <w:fldChar w:fldCharType="separate"/>
            </w:r>
            <w:r w:rsidR="00220E40">
              <w:rPr>
                <w:noProof/>
                <w:webHidden/>
              </w:rPr>
              <w:t>14</w:t>
            </w:r>
            <w:r w:rsidR="00220E40">
              <w:rPr>
                <w:noProof/>
                <w:webHidden/>
              </w:rPr>
              <w:fldChar w:fldCharType="end"/>
            </w:r>
          </w:hyperlink>
        </w:p>
        <w:p w14:paraId="765A90F4" w14:textId="077AAE41" w:rsidR="00220E40" w:rsidRDefault="00000000">
          <w:pPr>
            <w:pStyle w:val="TOC3"/>
            <w:tabs>
              <w:tab w:val="right" w:leader="dot" w:pos="9016"/>
            </w:tabs>
            <w:rPr>
              <w:rFonts w:eastAsiaTheme="minorEastAsia"/>
              <w:noProof/>
              <w:lang w:eastAsia="en-GB"/>
            </w:rPr>
          </w:pPr>
          <w:hyperlink w:anchor="_Toc175126657" w:history="1">
            <w:r w:rsidR="00220E40" w:rsidRPr="00E704BE">
              <w:rPr>
                <w:rStyle w:val="Hyperlink"/>
                <w:rFonts w:ascii="Calibri" w:hAnsi="Calibri" w:cs="Calibri"/>
                <w:noProof/>
                <w:lang w:val="en-US"/>
              </w:rPr>
              <w:t>3.2.1. PBP: The Payback Period.</w:t>
            </w:r>
            <w:r w:rsidR="00220E40">
              <w:rPr>
                <w:noProof/>
                <w:webHidden/>
              </w:rPr>
              <w:tab/>
            </w:r>
            <w:r w:rsidR="00220E40">
              <w:rPr>
                <w:noProof/>
                <w:webHidden/>
              </w:rPr>
              <w:fldChar w:fldCharType="begin"/>
            </w:r>
            <w:r w:rsidR="00220E40">
              <w:rPr>
                <w:noProof/>
                <w:webHidden/>
              </w:rPr>
              <w:instrText xml:space="preserve"> PAGEREF _Toc175126657 \h </w:instrText>
            </w:r>
            <w:r w:rsidR="00220E40">
              <w:rPr>
                <w:noProof/>
                <w:webHidden/>
              </w:rPr>
            </w:r>
            <w:r w:rsidR="00220E40">
              <w:rPr>
                <w:noProof/>
                <w:webHidden/>
              </w:rPr>
              <w:fldChar w:fldCharType="separate"/>
            </w:r>
            <w:r w:rsidR="00220E40">
              <w:rPr>
                <w:noProof/>
                <w:webHidden/>
              </w:rPr>
              <w:t>14</w:t>
            </w:r>
            <w:r w:rsidR="00220E40">
              <w:rPr>
                <w:noProof/>
                <w:webHidden/>
              </w:rPr>
              <w:fldChar w:fldCharType="end"/>
            </w:r>
          </w:hyperlink>
        </w:p>
        <w:p w14:paraId="0B77C918" w14:textId="395AFB4A" w:rsidR="00220E40" w:rsidRDefault="00000000">
          <w:pPr>
            <w:pStyle w:val="TOC3"/>
            <w:tabs>
              <w:tab w:val="right" w:leader="dot" w:pos="9016"/>
            </w:tabs>
            <w:rPr>
              <w:rFonts w:eastAsiaTheme="minorEastAsia"/>
              <w:noProof/>
              <w:lang w:eastAsia="en-GB"/>
            </w:rPr>
          </w:pPr>
          <w:hyperlink w:anchor="_Toc175126658" w:history="1">
            <w:r w:rsidR="00220E40" w:rsidRPr="00E704BE">
              <w:rPr>
                <w:rStyle w:val="Hyperlink"/>
                <w:rFonts w:ascii="Calibri" w:hAnsi="Calibri" w:cs="Calibri"/>
                <w:noProof/>
                <w:lang w:val="en-US"/>
              </w:rPr>
              <w:t>3.2.2. ARR: Accounting Rate of Return.</w:t>
            </w:r>
            <w:r w:rsidR="00220E40">
              <w:rPr>
                <w:noProof/>
                <w:webHidden/>
              </w:rPr>
              <w:tab/>
            </w:r>
            <w:r w:rsidR="00220E40">
              <w:rPr>
                <w:noProof/>
                <w:webHidden/>
              </w:rPr>
              <w:fldChar w:fldCharType="begin"/>
            </w:r>
            <w:r w:rsidR="00220E40">
              <w:rPr>
                <w:noProof/>
                <w:webHidden/>
              </w:rPr>
              <w:instrText xml:space="preserve"> PAGEREF _Toc175126658 \h </w:instrText>
            </w:r>
            <w:r w:rsidR="00220E40">
              <w:rPr>
                <w:noProof/>
                <w:webHidden/>
              </w:rPr>
            </w:r>
            <w:r w:rsidR="00220E40">
              <w:rPr>
                <w:noProof/>
                <w:webHidden/>
              </w:rPr>
              <w:fldChar w:fldCharType="separate"/>
            </w:r>
            <w:r w:rsidR="00220E40">
              <w:rPr>
                <w:noProof/>
                <w:webHidden/>
              </w:rPr>
              <w:t>14</w:t>
            </w:r>
            <w:r w:rsidR="00220E40">
              <w:rPr>
                <w:noProof/>
                <w:webHidden/>
              </w:rPr>
              <w:fldChar w:fldCharType="end"/>
            </w:r>
          </w:hyperlink>
        </w:p>
        <w:p w14:paraId="0D6A594A" w14:textId="7A090104" w:rsidR="00220E40" w:rsidRDefault="00000000">
          <w:pPr>
            <w:pStyle w:val="TOC3"/>
            <w:tabs>
              <w:tab w:val="right" w:leader="dot" w:pos="9016"/>
            </w:tabs>
            <w:rPr>
              <w:rFonts w:eastAsiaTheme="minorEastAsia"/>
              <w:noProof/>
              <w:lang w:eastAsia="en-GB"/>
            </w:rPr>
          </w:pPr>
          <w:hyperlink w:anchor="_Toc175126659" w:history="1">
            <w:r w:rsidR="00220E40" w:rsidRPr="00E704BE">
              <w:rPr>
                <w:rStyle w:val="Hyperlink"/>
                <w:rFonts w:ascii="Calibri" w:hAnsi="Calibri" w:cs="Calibri"/>
                <w:noProof/>
                <w:lang w:val="en-US"/>
              </w:rPr>
              <w:t>3.2.3. NPV: NET Present Value.</w:t>
            </w:r>
            <w:r w:rsidR="00220E40">
              <w:rPr>
                <w:noProof/>
                <w:webHidden/>
              </w:rPr>
              <w:tab/>
            </w:r>
            <w:r w:rsidR="00220E40">
              <w:rPr>
                <w:noProof/>
                <w:webHidden/>
              </w:rPr>
              <w:fldChar w:fldCharType="begin"/>
            </w:r>
            <w:r w:rsidR="00220E40">
              <w:rPr>
                <w:noProof/>
                <w:webHidden/>
              </w:rPr>
              <w:instrText xml:space="preserve"> PAGEREF _Toc175126659 \h </w:instrText>
            </w:r>
            <w:r w:rsidR="00220E40">
              <w:rPr>
                <w:noProof/>
                <w:webHidden/>
              </w:rPr>
            </w:r>
            <w:r w:rsidR="00220E40">
              <w:rPr>
                <w:noProof/>
                <w:webHidden/>
              </w:rPr>
              <w:fldChar w:fldCharType="separate"/>
            </w:r>
            <w:r w:rsidR="00220E40">
              <w:rPr>
                <w:noProof/>
                <w:webHidden/>
              </w:rPr>
              <w:t>15</w:t>
            </w:r>
            <w:r w:rsidR="00220E40">
              <w:rPr>
                <w:noProof/>
                <w:webHidden/>
              </w:rPr>
              <w:fldChar w:fldCharType="end"/>
            </w:r>
          </w:hyperlink>
        </w:p>
        <w:p w14:paraId="43F02EDE" w14:textId="2CA9BCE7" w:rsidR="00220E40" w:rsidRDefault="00000000">
          <w:pPr>
            <w:pStyle w:val="TOC3"/>
            <w:tabs>
              <w:tab w:val="right" w:leader="dot" w:pos="9016"/>
            </w:tabs>
            <w:rPr>
              <w:rFonts w:eastAsiaTheme="minorEastAsia"/>
              <w:noProof/>
              <w:lang w:eastAsia="en-GB"/>
            </w:rPr>
          </w:pPr>
          <w:hyperlink w:anchor="_Toc175126660" w:history="1">
            <w:r w:rsidR="00220E40" w:rsidRPr="00E704BE">
              <w:rPr>
                <w:rStyle w:val="Hyperlink"/>
                <w:rFonts w:ascii="Calibri" w:eastAsia="Times New Roman" w:hAnsi="Calibri" w:cs="Calibri"/>
                <w:noProof/>
                <w:lang w:eastAsia="en-GB"/>
              </w:rPr>
              <w:t>Conclusion:</w:t>
            </w:r>
            <w:r w:rsidR="00220E40">
              <w:rPr>
                <w:noProof/>
                <w:webHidden/>
              </w:rPr>
              <w:tab/>
            </w:r>
            <w:r w:rsidR="00220E40">
              <w:rPr>
                <w:noProof/>
                <w:webHidden/>
              </w:rPr>
              <w:fldChar w:fldCharType="begin"/>
            </w:r>
            <w:r w:rsidR="00220E40">
              <w:rPr>
                <w:noProof/>
                <w:webHidden/>
              </w:rPr>
              <w:instrText xml:space="preserve"> PAGEREF _Toc175126660 \h </w:instrText>
            </w:r>
            <w:r w:rsidR="00220E40">
              <w:rPr>
                <w:noProof/>
                <w:webHidden/>
              </w:rPr>
            </w:r>
            <w:r w:rsidR="00220E40">
              <w:rPr>
                <w:noProof/>
                <w:webHidden/>
              </w:rPr>
              <w:fldChar w:fldCharType="separate"/>
            </w:r>
            <w:r w:rsidR="00220E40">
              <w:rPr>
                <w:noProof/>
                <w:webHidden/>
              </w:rPr>
              <w:t>16</w:t>
            </w:r>
            <w:r w:rsidR="00220E40">
              <w:rPr>
                <w:noProof/>
                <w:webHidden/>
              </w:rPr>
              <w:fldChar w:fldCharType="end"/>
            </w:r>
          </w:hyperlink>
        </w:p>
        <w:p w14:paraId="7042E352" w14:textId="4BB0B468" w:rsidR="00220E40" w:rsidRDefault="00000000">
          <w:pPr>
            <w:pStyle w:val="TOC1"/>
            <w:tabs>
              <w:tab w:val="right" w:leader="dot" w:pos="9016"/>
            </w:tabs>
            <w:rPr>
              <w:rFonts w:eastAsiaTheme="minorEastAsia"/>
              <w:noProof/>
              <w:lang w:eastAsia="en-GB"/>
            </w:rPr>
          </w:pPr>
          <w:hyperlink w:anchor="_Toc175126661" w:history="1">
            <w:r w:rsidR="00220E40" w:rsidRPr="00E704BE">
              <w:rPr>
                <w:rStyle w:val="Hyperlink"/>
                <w:rFonts w:ascii="Calibri" w:hAnsi="Calibri" w:cs="Calibri"/>
                <w:noProof/>
              </w:rPr>
              <w:t>4. References.</w:t>
            </w:r>
            <w:r w:rsidR="00220E40">
              <w:rPr>
                <w:noProof/>
                <w:webHidden/>
              </w:rPr>
              <w:tab/>
            </w:r>
            <w:r w:rsidR="00220E40">
              <w:rPr>
                <w:noProof/>
                <w:webHidden/>
              </w:rPr>
              <w:fldChar w:fldCharType="begin"/>
            </w:r>
            <w:r w:rsidR="00220E40">
              <w:rPr>
                <w:noProof/>
                <w:webHidden/>
              </w:rPr>
              <w:instrText xml:space="preserve"> PAGEREF _Toc175126661 \h </w:instrText>
            </w:r>
            <w:r w:rsidR="00220E40">
              <w:rPr>
                <w:noProof/>
                <w:webHidden/>
              </w:rPr>
            </w:r>
            <w:r w:rsidR="00220E40">
              <w:rPr>
                <w:noProof/>
                <w:webHidden/>
              </w:rPr>
              <w:fldChar w:fldCharType="separate"/>
            </w:r>
            <w:r w:rsidR="00220E40">
              <w:rPr>
                <w:noProof/>
                <w:webHidden/>
              </w:rPr>
              <w:t>17</w:t>
            </w:r>
            <w:r w:rsidR="00220E40">
              <w:rPr>
                <w:noProof/>
                <w:webHidden/>
              </w:rPr>
              <w:fldChar w:fldCharType="end"/>
            </w:r>
          </w:hyperlink>
        </w:p>
        <w:p w14:paraId="042A5F08" w14:textId="5117B77A" w:rsidR="00281C8F" w:rsidRPr="00716B90" w:rsidRDefault="00281C8F">
          <w:pPr>
            <w:rPr>
              <w:rFonts w:ascii="Calibri" w:hAnsi="Calibri" w:cs="Calibri"/>
            </w:rPr>
          </w:pPr>
          <w:r w:rsidRPr="00716B90">
            <w:rPr>
              <w:rFonts w:ascii="Calibri" w:hAnsi="Calibri" w:cs="Calibri"/>
              <w:b/>
              <w:bCs/>
              <w:noProof/>
            </w:rPr>
            <w:fldChar w:fldCharType="end"/>
          </w:r>
        </w:p>
      </w:sdtContent>
    </w:sdt>
    <w:p w14:paraId="07929B03" w14:textId="77777777" w:rsidR="00281C8F" w:rsidRPr="00716B90" w:rsidRDefault="00281C8F" w:rsidP="00281C8F">
      <w:pPr>
        <w:rPr>
          <w:rFonts w:ascii="Calibri" w:hAnsi="Calibri" w:cs="Calibri"/>
          <w:lang w:val="en-US"/>
        </w:rPr>
      </w:pPr>
    </w:p>
    <w:p w14:paraId="3828F58D" w14:textId="77777777" w:rsidR="00281C8F" w:rsidRPr="00716B90" w:rsidRDefault="00281C8F">
      <w:pPr>
        <w:rPr>
          <w:rFonts w:ascii="Calibri" w:eastAsiaTheme="majorEastAsia" w:hAnsi="Calibri" w:cs="Calibri"/>
          <w:color w:val="0F4761" w:themeColor="accent1" w:themeShade="BF"/>
          <w:lang w:val="en-US"/>
        </w:rPr>
      </w:pPr>
      <w:r w:rsidRPr="00716B90">
        <w:rPr>
          <w:rFonts w:ascii="Calibri" w:hAnsi="Calibri" w:cs="Calibri"/>
          <w:lang w:val="en-US"/>
        </w:rPr>
        <w:br w:type="page"/>
      </w:r>
    </w:p>
    <w:p w14:paraId="201B66A0" w14:textId="1E51835B" w:rsidR="005E15F5" w:rsidRPr="00716B90" w:rsidRDefault="00317597" w:rsidP="005E15F5">
      <w:pPr>
        <w:pStyle w:val="Heading1"/>
        <w:rPr>
          <w:rFonts w:ascii="Calibri" w:hAnsi="Calibri" w:cs="Calibri"/>
          <w:sz w:val="24"/>
          <w:szCs w:val="24"/>
          <w:lang w:val="en-US"/>
        </w:rPr>
      </w:pPr>
      <w:bookmarkStart w:id="0" w:name="_Toc175126629"/>
      <w:r w:rsidRPr="00716B90">
        <w:rPr>
          <w:rFonts w:ascii="Calibri" w:hAnsi="Calibri" w:cs="Calibri"/>
          <w:sz w:val="24"/>
          <w:szCs w:val="24"/>
          <w:lang w:val="en-US"/>
        </w:rPr>
        <w:lastRenderedPageBreak/>
        <w:t xml:space="preserve">1. </w:t>
      </w:r>
      <w:r w:rsidR="005E15F5" w:rsidRPr="00716B90">
        <w:rPr>
          <w:rFonts w:ascii="Calibri" w:hAnsi="Calibri" w:cs="Calibri"/>
          <w:sz w:val="24"/>
          <w:szCs w:val="24"/>
          <w:lang w:val="en-US"/>
        </w:rPr>
        <w:t>I</w:t>
      </w:r>
      <w:r w:rsidR="00E25FB1" w:rsidRPr="00716B90">
        <w:rPr>
          <w:rFonts w:ascii="Calibri" w:hAnsi="Calibri" w:cs="Calibri"/>
          <w:sz w:val="24"/>
          <w:szCs w:val="24"/>
          <w:lang w:val="en-US"/>
        </w:rPr>
        <w:t>ntroduction to Procter &amp; Gamble Company (P&amp;G)</w:t>
      </w:r>
      <w:r w:rsidR="00F60CB0" w:rsidRPr="00716B90">
        <w:rPr>
          <w:rFonts w:ascii="Calibri" w:hAnsi="Calibri" w:cs="Calibri"/>
          <w:sz w:val="24"/>
          <w:szCs w:val="24"/>
          <w:lang w:val="en-US"/>
        </w:rPr>
        <w:t>.</w:t>
      </w:r>
      <w:bookmarkEnd w:id="0"/>
    </w:p>
    <w:p w14:paraId="1543C0B8" w14:textId="1E63078F" w:rsidR="000864B6" w:rsidRPr="00716B90" w:rsidRDefault="00811745" w:rsidP="000864B6">
      <w:pPr>
        <w:jc w:val="both"/>
        <w:rPr>
          <w:rFonts w:ascii="Calibri" w:hAnsi="Calibri" w:cs="Calibri"/>
        </w:rPr>
      </w:pPr>
      <w:r w:rsidRPr="00716B90">
        <w:rPr>
          <w:rFonts w:ascii="Calibri" w:hAnsi="Calibri" w:cs="Calibri"/>
          <w:lang w:val="en-US"/>
        </w:rPr>
        <w:tab/>
      </w:r>
      <w:r w:rsidR="00CD5BEC" w:rsidRPr="00716B90">
        <w:rPr>
          <w:rFonts w:ascii="Calibri" w:hAnsi="Calibri" w:cs="Calibri"/>
        </w:rPr>
        <w:t>P&amp;G, a</w:t>
      </w:r>
      <w:r w:rsidR="00533CA5" w:rsidRPr="00716B90">
        <w:rPr>
          <w:rFonts w:ascii="Calibri" w:hAnsi="Calibri" w:cs="Calibri"/>
        </w:rPr>
        <w:t xml:space="preserve"> global consumer </w:t>
      </w:r>
      <w:r w:rsidR="00866F73" w:rsidRPr="00716B90">
        <w:rPr>
          <w:rFonts w:ascii="Calibri" w:hAnsi="Calibri" w:cs="Calibri"/>
        </w:rPr>
        <w:t>g</w:t>
      </w:r>
      <w:r w:rsidR="008104FF" w:rsidRPr="00716B90">
        <w:rPr>
          <w:rFonts w:ascii="Calibri" w:hAnsi="Calibri" w:cs="Calibri"/>
        </w:rPr>
        <w:t xml:space="preserve">oods company </w:t>
      </w:r>
      <w:r w:rsidR="00866F73" w:rsidRPr="00716B90">
        <w:rPr>
          <w:rFonts w:ascii="Calibri" w:hAnsi="Calibri" w:cs="Calibri"/>
        </w:rPr>
        <w:t xml:space="preserve">established </w:t>
      </w:r>
      <w:r w:rsidR="00882784" w:rsidRPr="00716B90">
        <w:rPr>
          <w:rFonts w:ascii="Calibri" w:hAnsi="Calibri" w:cs="Calibri"/>
        </w:rPr>
        <w:t xml:space="preserve">by </w:t>
      </w:r>
      <w:r w:rsidR="001A4C22" w:rsidRPr="00716B90">
        <w:rPr>
          <w:rFonts w:ascii="Calibri" w:hAnsi="Calibri" w:cs="Calibri"/>
        </w:rPr>
        <w:t xml:space="preserve">Procter &amp; </w:t>
      </w:r>
      <w:r w:rsidR="00882784" w:rsidRPr="00716B90">
        <w:rPr>
          <w:rFonts w:ascii="Calibri" w:hAnsi="Calibri" w:cs="Calibri"/>
        </w:rPr>
        <w:t>Gamble</w:t>
      </w:r>
      <w:r w:rsidR="001A4C22" w:rsidRPr="00716B90">
        <w:rPr>
          <w:rFonts w:ascii="Calibri" w:hAnsi="Calibri" w:cs="Calibri"/>
        </w:rPr>
        <w:t xml:space="preserve"> in </w:t>
      </w:r>
      <w:r w:rsidR="00544183" w:rsidRPr="00716B90">
        <w:rPr>
          <w:rFonts w:ascii="Calibri" w:hAnsi="Calibri" w:cs="Calibri"/>
        </w:rPr>
        <w:t>the year 1837</w:t>
      </w:r>
      <w:r w:rsidR="003F7ADB" w:rsidRPr="00716B90">
        <w:rPr>
          <w:rFonts w:ascii="Calibri" w:hAnsi="Calibri" w:cs="Calibri"/>
        </w:rPr>
        <w:t xml:space="preserve"> in </w:t>
      </w:r>
      <w:r w:rsidR="00664E0C" w:rsidRPr="00716B90">
        <w:rPr>
          <w:rFonts w:ascii="Calibri" w:hAnsi="Calibri" w:cs="Calibri"/>
        </w:rPr>
        <w:t>Cincinnati</w:t>
      </w:r>
      <w:r w:rsidR="00544183" w:rsidRPr="00716B90">
        <w:rPr>
          <w:rFonts w:ascii="Calibri" w:hAnsi="Calibri" w:cs="Calibri"/>
        </w:rPr>
        <w:t>,</w:t>
      </w:r>
      <w:r w:rsidR="00C31D3A" w:rsidRPr="00716B90">
        <w:rPr>
          <w:rFonts w:ascii="Calibri" w:hAnsi="Calibri" w:cs="Calibri"/>
        </w:rPr>
        <w:t xml:space="preserve"> Ohio.</w:t>
      </w:r>
      <w:r w:rsidR="00544183" w:rsidRPr="00716B90">
        <w:rPr>
          <w:rFonts w:ascii="Calibri" w:hAnsi="Calibri" w:cs="Calibri"/>
        </w:rPr>
        <w:t xml:space="preserve"> </w:t>
      </w:r>
      <w:r w:rsidR="00A52E6A" w:rsidRPr="00716B90">
        <w:rPr>
          <w:rFonts w:ascii="Calibri" w:hAnsi="Calibri" w:cs="Calibri"/>
        </w:rPr>
        <w:t>T</w:t>
      </w:r>
      <w:r w:rsidR="002F06B1" w:rsidRPr="00716B90">
        <w:rPr>
          <w:rFonts w:ascii="Calibri" w:hAnsi="Calibri" w:cs="Calibri"/>
        </w:rPr>
        <w:t xml:space="preserve">he British candle manufacturer </w:t>
      </w:r>
      <w:r w:rsidR="008762E0" w:rsidRPr="00716B90">
        <w:rPr>
          <w:rFonts w:ascii="Calibri" w:hAnsi="Calibri" w:cs="Calibri"/>
        </w:rPr>
        <w:t xml:space="preserve">William Procter began </w:t>
      </w:r>
      <w:r w:rsidR="00544183" w:rsidRPr="00716B90">
        <w:rPr>
          <w:rFonts w:ascii="Calibri" w:hAnsi="Calibri" w:cs="Calibri"/>
        </w:rPr>
        <w:t xml:space="preserve">in partnership with </w:t>
      </w:r>
      <w:r w:rsidR="00116D41" w:rsidRPr="00716B90">
        <w:rPr>
          <w:rFonts w:ascii="Calibri" w:hAnsi="Calibri" w:cs="Calibri"/>
        </w:rPr>
        <w:t xml:space="preserve">his father-in-law and </w:t>
      </w:r>
      <w:r w:rsidR="00614B4E" w:rsidRPr="00716B90">
        <w:rPr>
          <w:rFonts w:ascii="Calibri" w:hAnsi="Calibri" w:cs="Calibri"/>
        </w:rPr>
        <w:t xml:space="preserve">a </w:t>
      </w:r>
      <w:r w:rsidR="00116D41" w:rsidRPr="00716B90">
        <w:rPr>
          <w:rFonts w:ascii="Calibri" w:hAnsi="Calibri" w:cs="Calibri"/>
        </w:rPr>
        <w:t>bother-in-law</w:t>
      </w:r>
      <w:r w:rsidR="00967476" w:rsidRPr="00716B90">
        <w:rPr>
          <w:rFonts w:ascii="Calibri" w:hAnsi="Calibri" w:cs="Calibri"/>
        </w:rPr>
        <w:t xml:space="preserve"> James Gamble</w:t>
      </w:r>
      <w:r w:rsidR="00614B4E" w:rsidRPr="00716B90">
        <w:rPr>
          <w:rFonts w:ascii="Calibri" w:hAnsi="Calibri" w:cs="Calibri"/>
        </w:rPr>
        <w:t xml:space="preserve"> who is a soap manufacturer from </w:t>
      </w:r>
      <w:r w:rsidR="00F75C11" w:rsidRPr="00716B90">
        <w:rPr>
          <w:rFonts w:ascii="Calibri" w:hAnsi="Calibri" w:cs="Calibri"/>
        </w:rPr>
        <w:t>I</w:t>
      </w:r>
      <w:r w:rsidR="00614B4E" w:rsidRPr="00716B90">
        <w:rPr>
          <w:rFonts w:ascii="Calibri" w:hAnsi="Calibri" w:cs="Calibri"/>
        </w:rPr>
        <w:t>rish</w:t>
      </w:r>
      <w:r w:rsidR="00C90889" w:rsidRPr="00716B90">
        <w:rPr>
          <w:rFonts w:ascii="Calibri" w:hAnsi="Calibri" w:cs="Calibri"/>
        </w:rPr>
        <w:t xml:space="preserve"> (Muse, 2024).</w:t>
      </w:r>
      <w:r w:rsidR="009A32AA" w:rsidRPr="00716B90">
        <w:rPr>
          <w:rFonts w:ascii="Calibri" w:hAnsi="Calibri" w:cs="Calibri"/>
        </w:rPr>
        <w:t xml:space="preserve"> </w:t>
      </w:r>
    </w:p>
    <w:p w14:paraId="729A0E16" w14:textId="7EB28368" w:rsidR="00AC767E" w:rsidRPr="00716B90" w:rsidRDefault="00AC767E" w:rsidP="000864B6">
      <w:pPr>
        <w:jc w:val="both"/>
        <w:rPr>
          <w:rFonts w:ascii="Calibri" w:hAnsi="Calibri" w:cs="Calibri"/>
        </w:rPr>
      </w:pPr>
      <w:r w:rsidRPr="00716B90">
        <w:rPr>
          <w:rFonts w:ascii="Calibri" w:hAnsi="Calibri" w:cs="Calibri"/>
        </w:rPr>
        <w:tab/>
      </w:r>
      <w:r w:rsidR="00E46AA7" w:rsidRPr="00716B90">
        <w:rPr>
          <w:rFonts w:ascii="Calibri" w:hAnsi="Calibri" w:cs="Calibri"/>
        </w:rPr>
        <w:t>At the beginning of 20</w:t>
      </w:r>
      <w:r w:rsidR="00E46AA7" w:rsidRPr="00716B90">
        <w:rPr>
          <w:rFonts w:ascii="Calibri" w:hAnsi="Calibri" w:cs="Calibri"/>
          <w:vertAlign w:val="superscript"/>
        </w:rPr>
        <w:t>th</w:t>
      </w:r>
      <w:r w:rsidR="00E46AA7" w:rsidRPr="00716B90">
        <w:rPr>
          <w:rFonts w:ascii="Calibri" w:hAnsi="Calibri" w:cs="Calibri"/>
        </w:rPr>
        <w:t xml:space="preserve"> century, the P&amp;G was established as a global leader in consumer product sec</w:t>
      </w:r>
      <w:r w:rsidR="006078B1" w:rsidRPr="00716B90">
        <w:rPr>
          <w:rFonts w:ascii="Calibri" w:hAnsi="Calibri" w:cs="Calibri"/>
        </w:rPr>
        <w:t xml:space="preserve">tor. The organization valued enormous success in its extensive </w:t>
      </w:r>
      <w:r w:rsidR="00FC5B44" w:rsidRPr="00716B90">
        <w:rPr>
          <w:rFonts w:ascii="Calibri" w:hAnsi="Calibri" w:cs="Calibri"/>
        </w:rPr>
        <w:t xml:space="preserve">portfolio of new products after the </w:t>
      </w:r>
      <w:r w:rsidR="00D600A6" w:rsidRPr="00716B90">
        <w:rPr>
          <w:rFonts w:ascii="Calibri" w:hAnsi="Calibri" w:cs="Calibri"/>
        </w:rPr>
        <w:t xml:space="preserve">World War II, including Tide laundry detergent, Crest toothpaste, and Charmin toilet paper, </w:t>
      </w:r>
      <w:r w:rsidRPr="00716B90">
        <w:rPr>
          <w:rFonts w:ascii="Calibri" w:hAnsi="Calibri" w:cs="Calibri"/>
        </w:rPr>
        <w:t>as well as rapid growth into foreign markets. Effective manufacturing and stock management became crucial for the launch of these brands, accompanied by an enormous rise in consumer interest. P&amp;G felt compelled to apply cutting-edge operational analysis and management learning techniques, that aided in progress of these fields' expanding in the business world</w:t>
      </w:r>
      <w:r w:rsidR="00595E41" w:rsidRPr="00716B90">
        <w:rPr>
          <w:rFonts w:ascii="Calibri" w:hAnsi="Calibri" w:cs="Calibri"/>
        </w:rPr>
        <w:t xml:space="preserve"> (Devany)</w:t>
      </w:r>
      <w:r w:rsidRPr="00716B90">
        <w:rPr>
          <w:rFonts w:ascii="Calibri" w:hAnsi="Calibri" w:cs="Calibri"/>
        </w:rPr>
        <w:t>.</w:t>
      </w:r>
    </w:p>
    <w:p w14:paraId="58916279" w14:textId="600667C2" w:rsidR="000C6A79" w:rsidRPr="00716B90" w:rsidRDefault="000864B6" w:rsidP="009B71ED">
      <w:pPr>
        <w:jc w:val="both"/>
        <w:rPr>
          <w:rFonts w:ascii="Calibri" w:hAnsi="Calibri" w:cs="Calibri"/>
        </w:rPr>
      </w:pPr>
      <w:r w:rsidRPr="00716B90">
        <w:rPr>
          <w:rFonts w:ascii="Calibri" w:hAnsi="Calibri" w:cs="Calibri"/>
        </w:rPr>
        <w:tab/>
        <w:t>P&amp;G is at the leading edge of the list of firms worldwide that have successfully implemented the open innovation idea. Regarding its open innovation policy decisions P&amp;G succeeded in establishing over 2,000 partnerships with worldwide innovation partners</w:t>
      </w:r>
      <w:r w:rsidR="000E2587" w:rsidRPr="00716B90">
        <w:rPr>
          <w:rFonts w:ascii="Calibri" w:hAnsi="Calibri" w:cs="Calibri"/>
        </w:rPr>
        <w:t xml:space="preserve"> (Ozkan, 2015)</w:t>
      </w:r>
      <w:r w:rsidRPr="00716B90">
        <w:rPr>
          <w:rFonts w:ascii="Calibri" w:hAnsi="Calibri" w:cs="Calibri"/>
        </w:rPr>
        <w:t>.</w:t>
      </w:r>
      <w:r w:rsidR="00EC713A" w:rsidRPr="00716B90">
        <w:rPr>
          <w:rFonts w:ascii="Calibri" w:hAnsi="Calibri" w:cs="Calibri"/>
        </w:rPr>
        <w:t xml:space="preserve"> In</w:t>
      </w:r>
      <w:r w:rsidR="000C6A79" w:rsidRPr="00716B90">
        <w:rPr>
          <w:rFonts w:ascii="Calibri" w:eastAsia="Times New Roman" w:hAnsi="Calibri" w:cs="Calibri"/>
          <w:kern w:val="0"/>
          <w:lang w:eastAsia="en-GB"/>
          <w14:ligatures w14:val="none"/>
        </w:rPr>
        <w:t xml:space="preserve"> terms of corporate sustainability, P&amp;G is acknowledged and validated as an influential participant, achieving several certifications from completely neutral businesses </w:t>
      </w:r>
      <w:r w:rsidR="00FD48DD" w:rsidRPr="00716B90">
        <w:rPr>
          <w:rFonts w:ascii="Calibri" w:eastAsia="Times New Roman" w:hAnsi="Calibri" w:cs="Calibri"/>
          <w:kern w:val="0"/>
          <w:lang w:eastAsia="en-GB"/>
          <w14:ligatures w14:val="none"/>
        </w:rPr>
        <w:t>(Luca, 2019).</w:t>
      </w:r>
      <w:r w:rsidR="007027CF" w:rsidRPr="00716B90">
        <w:rPr>
          <w:rFonts w:ascii="Calibri" w:eastAsia="Times New Roman" w:hAnsi="Calibri" w:cs="Calibri"/>
          <w:kern w:val="0"/>
          <w:lang w:eastAsia="en-GB"/>
          <w14:ligatures w14:val="none"/>
        </w:rPr>
        <w:t xml:space="preserve"> </w:t>
      </w:r>
    </w:p>
    <w:p w14:paraId="616DE923" w14:textId="20279F5D" w:rsidR="005C7EBA" w:rsidRPr="00716B90" w:rsidRDefault="006F5272" w:rsidP="00530BE4">
      <w:pPr>
        <w:pStyle w:val="Heading2"/>
        <w:rPr>
          <w:rFonts w:ascii="Calibri" w:eastAsia="Times New Roman" w:hAnsi="Calibri" w:cs="Calibri"/>
          <w:sz w:val="24"/>
          <w:szCs w:val="24"/>
          <w:lang w:eastAsia="en-GB"/>
        </w:rPr>
      </w:pPr>
      <w:bookmarkStart w:id="1" w:name="_Toc175126630"/>
      <w:r w:rsidRPr="00716B90">
        <w:rPr>
          <w:rFonts w:ascii="Calibri" w:eastAsia="Times New Roman" w:hAnsi="Calibri" w:cs="Calibri"/>
          <w:sz w:val="24"/>
          <w:szCs w:val="24"/>
          <w:lang w:eastAsia="en-GB"/>
        </w:rPr>
        <w:t>1.1. Business Model and Market Position</w:t>
      </w:r>
      <w:r w:rsidR="00530BE4" w:rsidRPr="00716B90">
        <w:rPr>
          <w:rFonts w:ascii="Calibri" w:eastAsia="Times New Roman" w:hAnsi="Calibri" w:cs="Calibri"/>
          <w:sz w:val="24"/>
          <w:szCs w:val="24"/>
          <w:lang w:eastAsia="en-GB"/>
        </w:rPr>
        <w:t xml:space="preserve"> of P&amp;G.</w:t>
      </w:r>
      <w:bookmarkEnd w:id="1"/>
    </w:p>
    <w:p w14:paraId="25CFD1C2" w14:textId="1DD1B2A6" w:rsidR="00823638" w:rsidRPr="00716B90" w:rsidRDefault="00CE34C6" w:rsidP="00823638">
      <w:pPr>
        <w:jc w:val="both"/>
        <w:rPr>
          <w:rFonts w:ascii="Calibri" w:eastAsia="Times New Roman" w:hAnsi="Calibri" w:cs="Calibri"/>
          <w:kern w:val="0"/>
          <w:lang w:eastAsia="en-GB"/>
          <w14:ligatures w14:val="none"/>
        </w:rPr>
      </w:pPr>
      <w:r w:rsidRPr="00716B90">
        <w:rPr>
          <w:rFonts w:ascii="Calibri" w:hAnsi="Calibri" w:cs="Calibri"/>
          <w:lang w:val="en-US"/>
        </w:rPr>
        <w:tab/>
      </w:r>
      <w:r w:rsidR="00821587" w:rsidRPr="00716B90">
        <w:rPr>
          <w:rFonts w:ascii="Calibri" w:eastAsia="Times New Roman" w:hAnsi="Calibri" w:cs="Calibri"/>
          <w:kern w:val="0"/>
          <w:lang w:eastAsia="en-GB"/>
          <w14:ligatures w14:val="none"/>
        </w:rPr>
        <w:t xml:space="preserve">P&amp;G </w:t>
      </w:r>
      <w:r w:rsidR="00544B8E" w:rsidRPr="00716B90">
        <w:rPr>
          <w:rFonts w:ascii="Calibri" w:eastAsia="Times New Roman" w:hAnsi="Calibri" w:cs="Calibri"/>
          <w:kern w:val="0"/>
          <w:lang w:eastAsia="en-GB"/>
          <w14:ligatures w14:val="none"/>
        </w:rPr>
        <w:t>is recognized</w:t>
      </w:r>
      <w:r w:rsidR="00AE79F7" w:rsidRPr="00716B90">
        <w:rPr>
          <w:rFonts w:ascii="Calibri" w:eastAsia="Times New Roman" w:hAnsi="Calibri" w:cs="Calibri"/>
          <w:kern w:val="0"/>
          <w:lang w:eastAsia="en-GB"/>
          <w14:ligatures w14:val="none"/>
        </w:rPr>
        <w:t xml:space="preserve"> </w:t>
      </w:r>
      <w:r w:rsidR="00BF4C89" w:rsidRPr="00716B90">
        <w:rPr>
          <w:rFonts w:ascii="Calibri" w:eastAsia="Times New Roman" w:hAnsi="Calibri" w:cs="Calibri"/>
          <w:kern w:val="0"/>
          <w:lang w:eastAsia="en-GB"/>
          <w14:ligatures w14:val="none"/>
        </w:rPr>
        <w:t xml:space="preserve">for its everyday products, </w:t>
      </w:r>
      <w:r w:rsidR="004155B1" w:rsidRPr="00716B90">
        <w:rPr>
          <w:rFonts w:ascii="Calibri" w:eastAsia="Times New Roman" w:hAnsi="Calibri" w:cs="Calibri"/>
          <w:kern w:val="0"/>
          <w:lang w:eastAsia="en-GB"/>
          <w14:ligatures w14:val="none"/>
        </w:rPr>
        <w:t xml:space="preserve">with its </w:t>
      </w:r>
      <w:r w:rsidR="00544B8E" w:rsidRPr="00716B90">
        <w:rPr>
          <w:rFonts w:ascii="Calibri" w:eastAsia="Times New Roman" w:hAnsi="Calibri" w:cs="Calibri"/>
          <w:kern w:val="0"/>
          <w:lang w:eastAsia="en-GB"/>
          <w14:ligatures w14:val="none"/>
        </w:rPr>
        <w:t>extensive range of</w:t>
      </w:r>
      <w:r w:rsidR="00E62CB7" w:rsidRPr="00716B90">
        <w:rPr>
          <w:rFonts w:ascii="Calibri" w:eastAsia="Times New Roman" w:hAnsi="Calibri" w:cs="Calibri"/>
          <w:kern w:val="0"/>
          <w:lang w:eastAsia="en-GB"/>
          <w14:ligatures w14:val="none"/>
        </w:rPr>
        <w:t xml:space="preserve"> </w:t>
      </w:r>
      <w:r w:rsidR="00645BD3" w:rsidRPr="00716B90">
        <w:rPr>
          <w:rFonts w:ascii="Calibri" w:eastAsia="Times New Roman" w:hAnsi="Calibri" w:cs="Calibri"/>
          <w:kern w:val="0"/>
          <w:lang w:eastAsia="en-GB"/>
          <w14:ligatures w14:val="none"/>
        </w:rPr>
        <w:t>F</w:t>
      </w:r>
      <w:r w:rsidR="00E62CB7" w:rsidRPr="00716B90">
        <w:rPr>
          <w:rFonts w:ascii="Calibri" w:eastAsia="Times New Roman" w:hAnsi="Calibri" w:cs="Calibri"/>
          <w:kern w:val="0"/>
          <w:lang w:eastAsia="en-GB"/>
          <w14:ligatures w14:val="none"/>
        </w:rPr>
        <w:t>ast-</w:t>
      </w:r>
      <w:r w:rsidR="00645BD3" w:rsidRPr="00716B90">
        <w:rPr>
          <w:rFonts w:ascii="Calibri" w:eastAsia="Times New Roman" w:hAnsi="Calibri" w:cs="Calibri"/>
          <w:kern w:val="0"/>
          <w:lang w:eastAsia="en-GB"/>
          <w14:ligatures w14:val="none"/>
        </w:rPr>
        <w:t>Moving</w:t>
      </w:r>
      <w:r w:rsidR="00544B8E" w:rsidRPr="00716B90">
        <w:rPr>
          <w:rFonts w:ascii="Calibri" w:eastAsia="Times New Roman" w:hAnsi="Calibri" w:cs="Calibri"/>
          <w:kern w:val="0"/>
          <w:lang w:eastAsia="en-GB"/>
          <w14:ligatures w14:val="none"/>
        </w:rPr>
        <w:t xml:space="preserve"> consumer goods, from beauty care to home care products.</w:t>
      </w:r>
      <w:r w:rsidR="007861A4" w:rsidRPr="00716B90">
        <w:rPr>
          <w:rFonts w:ascii="Calibri" w:eastAsia="Times New Roman" w:hAnsi="Calibri" w:cs="Calibri"/>
          <w:kern w:val="0"/>
          <w:lang w:eastAsia="en-GB"/>
          <w14:ligatures w14:val="none"/>
        </w:rPr>
        <w:t xml:space="preserve"> </w:t>
      </w:r>
      <w:r w:rsidRPr="00716B90">
        <w:rPr>
          <w:rFonts w:ascii="Calibri" w:eastAsia="Times New Roman" w:hAnsi="Calibri" w:cs="Calibri"/>
          <w:kern w:val="0"/>
          <w:lang w:eastAsia="en-GB"/>
          <w14:ligatures w14:val="none"/>
        </w:rPr>
        <w:t>P&amp;G’s B</w:t>
      </w:r>
      <w:r w:rsidR="00D83F07" w:rsidRPr="00716B90">
        <w:rPr>
          <w:rFonts w:ascii="Calibri" w:eastAsia="Times New Roman" w:hAnsi="Calibri" w:cs="Calibri"/>
          <w:kern w:val="0"/>
          <w:lang w:eastAsia="en-GB"/>
          <w14:ligatures w14:val="none"/>
        </w:rPr>
        <w:t xml:space="preserve">usiness Strategy </w:t>
      </w:r>
      <w:r w:rsidR="00823638" w:rsidRPr="00716B90">
        <w:rPr>
          <w:rFonts w:ascii="Calibri" w:eastAsia="Times New Roman" w:hAnsi="Calibri" w:cs="Calibri"/>
          <w:kern w:val="0"/>
          <w:lang w:eastAsia="en-GB"/>
          <w14:ligatures w14:val="none"/>
        </w:rPr>
        <w:t>emphasizes</w:t>
      </w:r>
      <w:r w:rsidR="00D83F07" w:rsidRPr="00716B90">
        <w:rPr>
          <w:rFonts w:ascii="Calibri" w:eastAsia="Times New Roman" w:hAnsi="Calibri" w:cs="Calibri"/>
          <w:kern w:val="0"/>
          <w:lang w:eastAsia="en-GB"/>
          <w14:ligatures w14:val="none"/>
        </w:rPr>
        <w:t xml:space="preserve"> </w:t>
      </w:r>
      <w:r w:rsidR="00823638" w:rsidRPr="00716B90">
        <w:rPr>
          <w:rFonts w:ascii="Calibri" w:eastAsia="Times New Roman" w:hAnsi="Calibri" w:cs="Calibri"/>
          <w:kern w:val="0"/>
          <w:lang w:eastAsia="en-GB"/>
          <w14:ligatures w14:val="none"/>
        </w:rPr>
        <w:t xml:space="preserve">on </w:t>
      </w:r>
      <w:r w:rsidR="00D83F07" w:rsidRPr="00716B90">
        <w:rPr>
          <w:rFonts w:ascii="Calibri" w:eastAsia="Times New Roman" w:hAnsi="Calibri" w:cs="Calibri"/>
          <w:kern w:val="0"/>
          <w:lang w:eastAsia="en-GB"/>
          <w14:ligatures w14:val="none"/>
        </w:rPr>
        <w:t xml:space="preserve">creating and promoting premium goods of exceptional value and superior </w:t>
      </w:r>
      <w:r w:rsidR="00823638" w:rsidRPr="00716B90">
        <w:rPr>
          <w:rFonts w:ascii="Calibri" w:eastAsia="Times New Roman" w:hAnsi="Calibri" w:cs="Calibri"/>
          <w:kern w:val="0"/>
          <w:lang w:eastAsia="en-GB"/>
          <w14:ligatures w14:val="none"/>
        </w:rPr>
        <w:t>performance for customers globally.</w:t>
      </w:r>
      <w:r w:rsidR="00AB153B" w:rsidRPr="00716B90">
        <w:rPr>
          <w:rFonts w:ascii="Calibri" w:eastAsia="Times New Roman" w:hAnsi="Calibri" w:cs="Calibri"/>
          <w:kern w:val="0"/>
          <w:lang w:eastAsia="en-GB"/>
          <w14:ligatures w14:val="none"/>
        </w:rPr>
        <w:t xml:space="preserve"> </w:t>
      </w:r>
      <w:r w:rsidR="00554931" w:rsidRPr="00716B90">
        <w:rPr>
          <w:rFonts w:ascii="Calibri" w:eastAsia="Times New Roman" w:hAnsi="Calibri" w:cs="Calibri"/>
          <w:kern w:val="0"/>
          <w:lang w:eastAsia="en-GB"/>
          <w14:ligatures w14:val="none"/>
        </w:rPr>
        <w:t xml:space="preserve">P&amp;G’s innovation </w:t>
      </w:r>
      <w:r w:rsidR="006512E3" w:rsidRPr="00716B90">
        <w:rPr>
          <w:rFonts w:ascii="Calibri" w:eastAsia="Times New Roman" w:hAnsi="Calibri" w:cs="Calibri"/>
          <w:kern w:val="0"/>
          <w:lang w:eastAsia="en-GB"/>
          <w14:ligatures w14:val="none"/>
        </w:rPr>
        <w:t xml:space="preserve">has evolved throughout its products, with advancements in cutting-edge production and quality monitoring </w:t>
      </w:r>
      <w:r w:rsidR="00554931" w:rsidRPr="00716B90">
        <w:rPr>
          <w:rFonts w:ascii="Calibri" w:eastAsia="Times New Roman" w:hAnsi="Calibri" w:cs="Calibri"/>
          <w:kern w:val="0"/>
          <w:lang w:eastAsia="en-GB"/>
          <w14:ligatures w14:val="none"/>
        </w:rPr>
        <w:t>to maintain excellent standards. The emphasis on credibility increased customer</w:t>
      </w:r>
      <w:r w:rsidR="007A1D87" w:rsidRPr="00716B90">
        <w:rPr>
          <w:rFonts w:ascii="Calibri" w:eastAsia="Times New Roman" w:hAnsi="Calibri" w:cs="Calibri"/>
          <w:kern w:val="0"/>
          <w:lang w:eastAsia="en-GB"/>
          <w14:ligatures w14:val="none"/>
        </w:rPr>
        <w:t xml:space="preserve"> loyalty and confidence</w:t>
      </w:r>
      <w:r w:rsidR="006519F2" w:rsidRPr="00716B90">
        <w:rPr>
          <w:rFonts w:ascii="Calibri" w:eastAsia="Times New Roman" w:hAnsi="Calibri" w:cs="Calibri"/>
          <w:kern w:val="0"/>
          <w:lang w:eastAsia="en-GB"/>
          <w14:ligatures w14:val="none"/>
        </w:rPr>
        <w:t xml:space="preserve"> </w:t>
      </w:r>
      <w:r w:rsidR="006512E3" w:rsidRPr="00716B90">
        <w:rPr>
          <w:rFonts w:ascii="Calibri" w:eastAsia="Times New Roman" w:hAnsi="Calibri" w:cs="Calibri"/>
          <w:kern w:val="0"/>
          <w:lang w:eastAsia="en-GB"/>
          <w14:ligatures w14:val="none"/>
        </w:rPr>
        <w:t>enabling</w:t>
      </w:r>
      <w:r w:rsidR="006519F2" w:rsidRPr="00716B90">
        <w:rPr>
          <w:rFonts w:ascii="Calibri" w:eastAsia="Times New Roman" w:hAnsi="Calibri" w:cs="Calibri"/>
          <w:kern w:val="0"/>
          <w:lang w:eastAsia="en-GB"/>
          <w14:ligatures w14:val="none"/>
        </w:rPr>
        <w:t xml:space="preserve"> P&amp;G </w:t>
      </w:r>
      <w:r w:rsidR="00F866BC" w:rsidRPr="00716B90">
        <w:rPr>
          <w:rFonts w:ascii="Calibri" w:eastAsia="Times New Roman" w:hAnsi="Calibri" w:cs="Calibri"/>
          <w:kern w:val="0"/>
          <w:lang w:eastAsia="en-GB"/>
          <w14:ligatures w14:val="none"/>
        </w:rPr>
        <w:t>to set business standards and launch innovative product</w:t>
      </w:r>
      <w:r w:rsidR="000C27CE" w:rsidRPr="00716B90">
        <w:rPr>
          <w:rFonts w:ascii="Calibri" w:eastAsia="Times New Roman" w:hAnsi="Calibri" w:cs="Calibri"/>
          <w:kern w:val="0"/>
          <w:lang w:eastAsia="en-GB"/>
          <w14:ligatures w14:val="none"/>
        </w:rPr>
        <w:t>s</w:t>
      </w:r>
      <w:r w:rsidR="00C27A6B" w:rsidRPr="00716B90">
        <w:rPr>
          <w:rFonts w:ascii="Calibri" w:eastAsia="Times New Roman" w:hAnsi="Calibri" w:cs="Calibri"/>
          <w:kern w:val="0"/>
          <w:lang w:eastAsia="en-GB"/>
          <w14:ligatures w14:val="none"/>
        </w:rPr>
        <w:t xml:space="preserve"> (Sinha, 2024)</w:t>
      </w:r>
      <w:r w:rsidR="000C27CE" w:rsidRPr="00716B90">
        <w:rPr>
          <w:rFonts w:ascii="Calibri" w:eastAsia="Times New Roman" w:hAnsi="Calibri" w:cs="Calibri"/>
          <w:kern w:val="0"/>
          <w:lang w:eastAsia="en-GB"/>
          <w14:ligatures w14:val="none"/>
        </w:rPr>
        <w:t xml:space="preserve">. </w:t>
      </w:r>
    </w:p>
    <w:p w14:paraId="29FF254D" w14:textId="07386C6A" w:rsidR="00145FB9" w:rsidRPr="00716B90" w:rsidRDefault="00B35BB7" w:rsidP="00145FB9">
      <w:pPr>
        <w:spacing w:after="0"/>
        <w:jc w:val="both"/>
        <w:rPr>
          <w:rFonts w:ascii="Calibri" w:hAnsi="Calibri" w:cs="Calibri"/>
        </w:rPr>
      </w:pPr>
      <w:r w:rsidRPr="00716B90">
        <w:rPr>
          <w:rFonts w:ascii="Calibri" w:hAnsi="Calibri" w:cs="Calibri"/>
        </w:rPr>
        <w:tab/>
      </w:r>
      <w:r w:rsidR="00145FB9" w:rsidRPr="00716B90">
        <w:rPr>
          <w:rFonts w:ascii="Calibri" w:hAnsi="Calibri" w:cs="Calibri"/>
        </w:rPr>
        <w:t xml:space="preserve">Organizations ought to proceed cautiously </w:t>
      </w:r>
      <w:r w:rsidR="006512E3" w:rsidRPr="00716B90">
        <w:rPr>
          <w:rFonts w:ascii="Calibri" w:hAnsi="Calibri" w:cs="Calibri"/>
        </w:rPr>
        <w:t>when</w:t>
      </w:r>
      <w:r w:rsidR="00145FB9" w:rsidRPr="00716B90">
        <w:rPr>
          <w:rFonts w:ascii="Calibri" w:hAnsi="Calibri" w:cs="Calibri"/>
        </w:rPr>
        <w:t xml:space="preserve"> developing new business models. To stay with their present company structure and maximize their superiority in everyday goods, P&amp;G disrupted competition with items like the Swiffer mop and Febreze air freshener</w:t>
      </w:r>
    </w:p>
    <w:p w14:paraId="172C568C" w14:textId="3C101E2E" w:rsidR="00D83F07" w:rsidRPr="00716B90" w:rsidRDefault="00145FB9" w:rsidP="008A1B95">
      <w:pPr>
        <w:spacing w:after="0"/>
        <w:jc w:val="both"/>
        <w:rPr>
          <w:rFonts w:ascii="Calibri" w:hAnsi="Calibri" w:cs="Calibri"/>
        </w:rPr>
      </w:pPr>
      <w:r w:rsidRPr="00716B90">
        <w:rPr>
          <w:rFonts w:ascii="Calibri" w:hAnsi="Calibri" w:cs="Calibri"/>
        </w:rPr>
        <w:t>(Johnson, Christensen</w:t>
      </w:r>
      <w:r w:rsidR="006512E3" w:rsidRPr="00716B90">
        <w:rPr>
          <w:rFonts w:ascii="Calibri" w:hAnsi="Calibri" w:cs="Calibri"/>
        </w:rPr>
        <w:t>,</w:t>
      </w:r>
      <w:r w:rsidRPr="00716B90">
        <w:rPr>
          <w:rFonts w:ascii="Calibri" w:hAnsi="Calibri" w:cs="Calibri"/>
        </w:rPr>
        <w:t xml:space="preserve"> and </w:t>
      </w:r>
      <w:proofErr w:type="spellStart"/>
      <w:r w:rsidRPr="00716B90">
        <w:rPr>
          <w:rFonts w:ascii="Calibri" w:hAnsi="Calibri" w:cs="Calibri"/>
        </w:rPr>
        <w:t>Kagermann</w:t>
      </w:r>
      <w:proofErr w:type="spellEnd"/>
      <w:r w:rsidRPr="00716B90">
        <w:rPr>
          <w:rFonts w:ascii="Calibri" w:hAnsi="Calibri" w:cs="Calibri"/>
        </w:rPr>
        <w:t>, 2006).</w:t>
      </w:r>
      <w:r w:rsidR="008A1B95" w:rsidRPr="00716B90">
        <w:rPr>
          <w:rFonts w:ascii="Calibri" w:hAnsi="Calibri" w:cs="Calibri"/>
        </w:rPr>
        <w:t xml:space="preserve"> </w:t>
      </w:r>
      <w:r w:rsidR="00DD6C73" w:rsidRPr="00716B90">
        <w:rPr>
          <w:rFonts w:ascii="Calibri" w:eastAsia="Times New Roman" w:hAnsi="Calibri" w:cs="Calibri"/>
          <w:kern w:val="0"/>
          <w:lang w:eastAsia="en-GB"/>
          <w14:ligatures w14:val="none"/>
        </w:rPr>
        <w:t xml:space="preserve">P&amp;G competes in an extremely competitive business environment, </w:t>
      </w:r>
      <w:r w:rsidR="008E075C" w:rsidRPr="00716B90">
        <w:rPr>
          <w:rFonts w:ascii="Calibri" w:eastAsia="Times New Roman" w:hAnsi="Calibri" w:cs="Calibri"/>
          <w:kern w:val="0"/>
          <w:lang w:eastAsia="en-GB"/>
          <w14:ligatures w14:val="none"/>
        </w:rPr>
        <w:t xml:space="preserve">competing with both global </w:t>
      </w:r>
      <w:r w:rsidR="007915AB" w:rsidRPr="00716B90">
        <w:rPr>
          <w:rFonts w:ascii="Calibri" w:eastAsia="Times New Roman" w:hAnsi="Calibri" w:cs="Calibri"/>
          <w:kern w:val="0"/>
          <w:lang w:eastAsia="en-GB"/>
          <w14:ligatures w14:val="none"/>
        </w:rPr>
        <w:t xml:space="preserve">companies and local consumer </w:t>
      </w:r>
      <w:r w:rsidR="00323CF1" w:rsidRPr="00716B90">
        <w:rPr>
          <w:rFonts w:ascii="Calibri" w:eastAsia="Times New Roman" w:hAnsi="Calibri" w:cs="Calibri"/>
          <w:kern w:val="0"/>
          <w:lang w:eastAsia="en-GB"/>
          <w14:ligatures w14:val="none"/>
        </w:rPr>
        <w:t>products manufacturers</w:t>
      </w:r>
      <w:r w:rsidR="00742CDE" w:rsidRPr="00716B90">
        <w:rPr>
          <w:rFonts w:ascii="Calibri" w:eastAsia="Times New Roman" w:hAnsi="Calibri" w:cs="Calibri"/>
          <w:kern w:val="0"/>
          <w:lang w:eastAsia="en-GB"/>
          <w14:ligatures w14:val="none"/>
        </w:rPr>
        <w:t xml:space="preserve"> and the companies </w:t>
      </w:r>
      <w:r w:rsidR="00530BE4" w:rsidRPr="00716B90">
        <w:rPr>
          <w:rFonts w:ascii="Calibri" w:eastAsia="Times New Roman" w:hAnsi="Calibri" w:cs="Calibri"/>
          <w:kern w:val="0"/>
          <w:lang w:eastAsia="en-GB"/>
          <w14:ligatures w14:val="none"/>
        </w:rPr>
        <w:t>like Unilever</w:t>
      </w:r>
      <w:r w:rsidR="004557A0" w:rsidRPr="00716B90">
        <w:rPr>
          <w:rFonts w:ascii="Calibri" w:eastAsia="Times New Roman" w:hAnsi="Calibri" w:cs="Calibri"/>
          <w:kern w:val="0"/>
          <w:lang w:eastAsia="en-GB"/>
          <w14:ligatures w14:val="none"/>
        </w:rPr>
        <w:t>, Johnson &amp; Johnson, Colgate, L’Oreal, Nestle, and Henkel are some of the key competitors of P&amp;G (Johnson, 2023).</w:t>
      </w:r>
      <w:r w:rsidR="004557A0" w:rsidRPr="00716B90">
        <w:rPr>
          <w:rFonts w:ascii="Calibri" w:hAnsi="Calibri" w:cs="Calibri"/>
        </w:rPr>
        <w:t xml:space="preserve"> </w:t>
      </w:r>
    </w:p>
    <w:p w14:paraId="6AC14CA2" w14:textId="63308D4F" w:rsidR="009E260A" w:rsidRPr="00716B90" w:rsidRDefault="00454675" w:rsidP="00446073">
      <w:pPr>
        <w:spacing w:after="0"/>
        <w:jc w:val="both"/>
        <w:rPr>
          <w:rFonts w:ascii="Calibri" w:hAnsi="Calibri" w:cs="Calibri"/>
        </w:rPr>
      </w:pPr>
      <w:r w:rsidRPr="00716B90">
        <w:rPr>
          <w:rFonts w:ascii="Calibri" w:hAnsi="Calibri" w:cs="Calibri"/>
        </w:rPr>
        <w:tab/>
      </w:r>
    </w:p>
    <w:p w14:paraId="1C011A28" w14:textId="7FDB35AD" w:rsidR="00446073" w:rsidRPr="00716B90" w:rsidRDefault="009E260A" w:rsidP="00446073">
      <w:pPr>
        <w:spacing w:after="0"/>
        <w:jc w:val="both"/>
        <w:rPr>
          <w:rFonts w:ascii="Calibri" w:hAnsi="Calibri" w:cs="Calibri"/>
        </w:rPr>
      </w:pPr>
      <w:r w:rsidRPr="00716B90">
        <w:rPr>
          <w:rFonts w:ascii="Calibri" w:hAnsi="Calibri" w:cs="Calibri"/>
        </w:rPr>
        <w:tab/>
        <w:t xml:space="preserve">The organization recorded $21.4 billion in net revenues for </w:t>
      </w:r>
      <w:r w:rsidR="006512E3" w:rsidRPr="00716B90">
        <w:rPr>
          <w:rFonts w:ascii="Calibri" w:hAnsi="Calibri" w:cs="Calibri"/>
        </w:rPr>
        <w:t>the</w:t>
      </w:r>
      <w:r w:rsidRPr="00716B90">
        <w:rPr>
          <w:rFonts w:ascii="Calibri" w:hAnsi="Calibri" w:cs="Calibri"/>
        </w:rPr>
        <w:t xml:space="preserve"> second quarter of its fiscal year 2024, a 3% rise over the </w:t>
      </w:r>
      <w:r w:rsidR="009F14C1" w:rsidRPr="00716B90">
        <w:rPr>
          <w:rFonts w:ascii="Calibri" w:hAnsi="Calibri" w:cs="Calibri"/>
        </w:rPr>
        <w:t xml:space="preserve">same </w:t>
      </w:r>
      <w:r w:rsidR="00634FF5" w:rsidRPr="00716B90">
        <w:rPr>
          <w:rFonts w:ascii="Calibri" w:hAnsi="Calibri" w:cs="Calibri"/>
        </w:rPr>
        <w:t>period</w:t>
      </w:r>
      <w:r w:rsidRPr="00716B90">
        <w:rPr>
          <w:rFonts w:ascii="Calibri" w:hAnsi="Calibri" w:cs="Calibri"/>
        </w:rPr>
        <w:t xml:space="preserve"> </w:t>
      </w:r>
      <w:r w:rsidR="00634FF5" w:rsidRPr="00716B90">
        <w:rPr>
          <w:rFonts w:ascii="Calibri" w:hAnsi="Calibri" w:cs="Calibri"/>
        </w:rPr>
        <w:t xml:space="preserve">of </w:t>
      </w:r>
      <w:r w:rsidR="006512E3" w:rsidRPr="00716B90">
        <w:rPr>
          <w:rFonts w:ascii="Calibri" w:hAnsi="Calibri" w:cs="Calibri"/>
        </w:rPr>
        <w:t>the previous</w:t>
      </w:r>
      <w:r w:rsidRPr="00716B90">
        <w:rPr>
          <w:rFonts w:ascii="Calibri" w:hAnsi="Calibri" w:cs="Calibri"/>
        </w:rPr>
        <w:t xml:space="preserve"> year. Sales of organic goods went up 4%, particularly due to popularity in the household, grooming, and beauty categories</w:t>
      </w:r>
      <w:r w:rsidR="00E66F83" w:rsidRPr="00716B90">
        <w:rPr>
          <w:rFonts w:ascii="Calibri" w:hAnsi="Calibri" w:cs="Calibri"/>
        </w:rPr>
        <w:t xml:space="preserve"> </w:t>
      </w:r>
      <w:r w:rsidR="00E66F83" w:rsidRPr="00716B90">
        <w:rPr>
          <w:rFonts w:ascii="Calibri" w:hAnsi="Calibri" w:cs="Calibri"/>
        </w:rPr>
        <w:lastRenderedPageBreak/>
        <w:t>(Sutcliffe, 2024)</w:t>
      </w:r>
      <w:r w:rsidR="00BC1862" w:rsidRPr="00716B90">
        <w:rPr>
          <w:rFonts w:ascii="Calibri" w:hAnsi="Calibri" w:cs="Calibri"/>
        </w:rPr>
        <w:t xml:space="preserve">. </w:t>
      </w:r>
      <w:r w:rsidR="0008214E" w:rsidRPr="00716B90">
        <w:rPr>
          <w:rFonts w:ascii="Calibri" w:hAnsi="Calibri" w:cs="Calibri"/>
        </w:rPr>
        <w:t xml:space="preserve">The market for the business's daily-use items, especially in the developing and home-care groups, was high, with overall revenues </w:t>
      </w:r>
      <w:r w:rsidR="008C3E97" w:rsidRPr="00716B90">
        <w:rPr>
          <w:rFonts w:ascii="Calibri" w:hAnsi="Calibri" w:cs="Calibri"/>
        </w:rPr>
        <w:t xml:space="preserve">of P&amp;G </w:t>
      </w:r>
      <w:r w:rsidR="0008214E" w:rsidRPr="00716B90">
        <w:rPr>
          <w:rFonts w:ascii="Calibri" w:hAnsi="Calibri" w:cs="Calibri"/>
        </w:rPr>
        <w:t>increasing by 4% in the USA and 3% in Europe</w:t>
      </w:r>
      <w:r w:rsidR="00BE3D36" w:rsidRPr="00716B90">
        <w:rPr>
          <w:rFonts w:ascii="Calibri" w:hAnsi="Calibri" w:cs="Calibri"/>
        </w:rPr>
        <w:t xml:space="preserve"> (Rajesh, 2024)</w:t>
      </w:r>
      <w:r w:rsidR="0008214E" w:rsidRPr="00716B90">
        <w:rPr>
          <w:rFonts w:ascii="Calibri" w:hAnsi="Calibri" w:cs="Calibri"/>
        </w:rPr>
        <w:t xml:space="preserve">. </w:t>
      </w:r>
      <w:r w:rsidR="00446073" w:rsidRPr="00716B90">
        <w:rPr>
          <w:rFonts w:ascii="Calibri" w:hAnsi="Calibri" w:cs="Calibri"/>
        </w:rPr>
        <w:t>Over the course of three years, P&amp;G's tackle raised revenues by 16%. In adaptation to evolving marketplace dynamics, its business is now emphasizing on hiking the price of newly developed or redesigned products</w:t>
      </w:r>
      <w:r w:rsidR="000A12E5" w:rsidRPr="00716B90">
        <w:rPr>
          <w:rFonts w:ascii="Calibri" w:hAnsi="Calibri" w:cs="Calibri"/>
        </w:rPr>
        <w:t xml:space="preserve"> </w:t>
      </w:r>
      <w:r w:rsidR="00244C8E" w:rsidRPr="00716B90">
        <w:rPr>
          <w:rFonts w:ascii="Calibri" w:hAnsi="Calibri" w:cs="Calibri"/>
        </w:rPr>
        <w:t>(Hazeley, 2024).</w:t>
      </w:r>
    </w:p>
    <w:p w14:paraId="200F0402" w14:textId="77777777" w:rsidR="004637FD" w:rsidRPr="00716B90" w:rsidRDefault="004637FD" w:rsidP="00446073">
      <w:pPr>
        <w:spacing w:after="0"/>
        <w:jc w:val="both"/>
        <w:rPr>
          <w:rFonts w:ascii="Calibri" w:hAnsi="Calibri" w:cs="Calibri"/>
        </w:rPr>
      </w:pPr>
    </w:p>
    <w:p w14:paraId="1EA45D9B" w14:textId="1461D465" w:rsidR="0008214E" w:rsidRPr="00716B90" w:rsidRDefault="00172744" w:rsidP="00B971A6">
      <w:pPr>
        <w:spacing w:after="0"/>
        <w:jc w:val="both"/>
        <w:rPr>
          <w:rFonts w:ascii="Calibri" w:hAnsi="Calibri" w:cs="Calibri"/>
        </w:rPr>
      </w:pPr>
      <w:r w:rsidRPr="00716B90">
        <w:rPr>
          <w:rFonts w:ascii="Calibri" w:hAnsi="Calibri" w:cs="Calibri"/>
        </w:rPr>
        <w:tab/>
      </w:r>
      <w:r w:rsidR="004637FD" w:rsidRPr="00716B90">
        <w:rPr>
          <w:rFonts w:ascii="Calibri" w:hAnsi="Calibri" w:cs="Calibri"/>
        </w:rPr>
        <w:t>The present</w:t>
      </w:r>
      <w:r w:rsidR="000369E3" w:rsidRPr="00716B90">
        <w:rPr>
          <w:rFonts w:ascii="Calibri" w:hAnsi="Calibri" w:cs="Calibri"/>
        </w:rPr>
        <w:t xml:space="preserve"> </w:t>
      </w:r>
      <w:r w:rsidR="00F94952" w:rsidRPr="00716B90">
        <w:rPr>
          <w:rFonts w:ascii="Calibri" w:hAnsi="Calibri" w:cs="Calibri"/>
        </w:rPr>
        <w:t xml:space="preserve">P&amp;G’s Chairman of the </w:t>
      </w:r>
      <w:r w:rsidR="004637FD" w:rsidRPr="00716B90">
        <w:rPr>
          <w:rFonts w:ascii="Calibri" w:hAnsi="Calibri" w:cs="Calibri"/>
        </w:rPr>
        <w:t xml:space="preserve">Board, </w:t>
      </w:r>
      <w:r w:rsidR="00F94952" w:rsidRPr="00716B90">
        <w:rPr>
          <w:rFonts w:ascii="Calibri" w:hAnsi="Calibri" w:cs="Calibri"/>
        </w:rPr>
        <w:t>President</w:t>
      </w:r>
      <w:r w:rsidR="006512E3" w:rsidRPr="00716B90">
        <w:rPr>
          <w:rFonts w:ascii="Calibri" w:hAnsi="Calibri" w:cs="Calibri"/>
        </w:rPr>
        <w:t>,</w:t>
      </w:r>
      <w:r w:rsidR="00F94952" w:rsidRPr="00716B90">
        <w:rPr>
          <w:rFonts w:ascii="Calibri" w:hAnsi="Calibri" w:cs="Calibri"/>
        </w:rPr>
        <w:t xml:space="preserve"> and Chief Executive Officer</w:t>
      </w:r>
      <w:r w:rsidR="000369E3" w:rsidRPr="00716B90">
        <w:rPr>
          <w:rFonts w:ascii="Calibri" w:hAnsi="Calibri" w:cs="Calibri"/>
        </w:rPr>
        <w:t xml:space="preserve"> is</w:t>
      </w:r>
      <w:r w:rsidR="00A60FC9" w:rsidRPr="00716B90">
        <w:rPr>
          <w:rFonts w:ascii="Calibri" w:hAnsi="Calibri" w:cs="Calibri"/>
        </w:rPr>
        <w:t xml:space="preserve"> MR.</w:t>
      </w:r>
      <w:r w:rsidR="004637FD" w:rsidRPr="00716B90">
        <w:rPr>
          <w:rFonts w:ascii="Calibri" w:hAnsi="Calibri" w:cs="Calibri"/>
        </w:rPr>
        <w:t xml:space="preserve"> J</w:t>
      </w:r>
      <w:r w:rsidR="000369E3" w:rsidRPr="00716B90">
        <w:rPr>
          <w:rFonts w:ascii="Calibri" w:hAnsi="Calibri" w:cs="Calibri"/>
        </w:rPr>
        <w:t>on Moeller</w:t>
      </w:r>
      <w:r w:rsidR="002319F3" w:rsidRPr="00716B90">
        <w:rPr>
          <w:rFonts w:ascii="Calibri" w:hAnsi="Calibri" w:cs="Calibri"/>
        </w:rPr>
        <w:t xml:space="preserve"> and Mr. Shailesh G. </w:t>
      </w:r>
      <w:proofErr w:type="spellStart"/>
      <w:r w:rsidR="002319F3" w:rsidRPr="00716B90">
        <w:rPr>
          <w:rFonts w:ascii="Calibri" w:hAnsi="Calibri" w:cs="Calibri"/>
        </w:rPr>
        <w:t>Jejurikar</w:t>
      </w:r>
      <w:proofErr w:type="spellEnd"/>
      <w:r w:rsidR="002319F3" w:rsidRPr="00716B90">
        <w:rPr>
          <w:rFonts w:ascii="Calibri" w:hAnsi="Calibri" w:cs="Calibri"/>
        </w:rPr>
        <w:t xml:space="preserve"> is the present </w:t>
      </w:r>
      <w:r w:rsidR="00DA1A3E" w:rsidRPr="00716B90">
        <w:rPr>
          <w:rFonts w:ascii="Calibri" w:hAnsi="Calibri" w:cs="Calibri"/>
        </w:rPr>
        <w:t xml:space="preserve">Chief operating officer </w:t>
      </w:r>
      <w:r w:rsidR="00B11232" w:rsidRPr="00716B90">
        <w:rPr>
          <w:rFonts w:ascii="Calibri" w:hAnsi="Calibri" w:cs="Calibri"/>
        </w:rPr>
        <w:t xml:space="preserve">at P&amp;G </w:t>
      </w:r>
      <w:r w:rsidR="00DA1AE8" w:rsidRPr="00716B90">
        <w:rPr>
          <w:rFonts w:ascii="Calibri" w:hAnsi="Calibri" w:cs="Calibri"/>
        </w:rPr>
        <w:t>(Procter and Gamble, 2024)</w:t>
      </w:r>
    </w:p>
    <w:p w14:paraId="6FD67D69" w14:textId="60E02904" w:rsidR="009B71ED" w:rsidRPr="00716B90" w:rsidRDefault="008A5317" w:rsidP="00274F6B">
      <w:pPr>
        <w:pStyle w:val="Heading1"/>
        <w:rPr>
          <w:rFonts w:ascii="Calibri" w:hAnsi="Calibri" w:cs="Calibri"/>
          <w:sz w:val="24"/>
          <w:szCs w:val="24"/>
          <w:lang w:val="en-US"/>
        </w:rPr>
      </w:pPr>
      <w:bookmarkStart w:id="2" w:name="_Toc175126631"/>
      <w:r w:rsidRPr="00716B90">
        <w:rPr>
          <w:rFonts w:ascii="Calibri" w:hAnsi="Calibri" w:cs="Calibri"/>
          <w:sz w:val="24"/>
          <w:szCs w:val="24"/>
          <w:lang w:val="en-US"/>
        </w:rPr>
        <w:t xml:space="preserve">2. </w:t>
      </w:r>
      <w:r w:rsidR="00274F6B" w:rsidRPr="00716B90">
        <w:rPr>
          <w:rFonts w:ascii="Calibri" w:hAnsi="Calibri" w:cs="Calibri"/>
          <w:sz w:val="24"/>
          <w:szCs w:val="24"/>
          <w:lang w:val="en-US"/>
        </w:rPr>
        <w:t>Financial Performance of Procter and Gamble Company.</w:t>
      </w:r>
      <w:bookmarkEnd w:id="2"/>
      <w:r w:rsidR="00274F6B" w:rsidRPr="00716B90">
        <w:rPr>
          <w:rFonts w:ascii="Calibri" w:hAnsi="Calibri" w:cs="Calibri"/>
          <w:sz w:val="24"/>
          <w:szCs w:val="24"/>
          <w:lang w:val="en-US"/>
        </w:rPr>
        <w:t xml:space="preserve"> </w:t>
      </w:r>
    </w:p>
    <w:p w14:paraId="3E2BAE6B" w14:textId="28CE6619" w:rsidR="00C821C6" w:rsidRPr="00716B90" w:rsidRDefault="00C821C6" w:rsidP="00B8591B">
      <w:pPr>
        <w:spacing w:after="0" w:line="240" w:lineRule="auto"/>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 xml:space="preserve">One of the primary and crucial aspects of a firm, from within to outside, is its financial success. Financial reports are essential standards for monitoring business performance given that they show how long a company can suffer. A financial report evaluates how management handles </w:t>
      </w:r>
      <w:r w:rsidR="006512E3" w:rsidRPr="00716B90">
        <w:rPr>
          <w:rFonts w:ascii="Calibri" w:eastAsia="Times New Roman" w:hAnsi="Calibri" w:cs="Calibri"/>
          <w:kern w:val="0"/>
          <w:lang w:eastAsia="en-GB"/>
          <w14:ligatures w14:val="none"/>
        </w:rPr>
        <w:t>decisions</w:t>
      </w:r>
      <w:r w:rsidRPr="00716B90">
        <w:rPr>
          <w:rFonts w:ascii="Calibri" w:eastAsia="Times New Roman" w:hAnsi="Calibri" w:cs="Calibri"/>
          <w:kern w:val="0"/>
          <w:lang w:eastAsia="en-GB"/>
          <w14:ligatures w14:val="none"/>
        </w:rPr>
        <w:t xml:space="preserve"> to allocate resources and the company's financial standing. Financial ratio analysis measures profitability, circumstances, and productivity. </w:t>
      </w:r>
      <w:r w:rsidR="006512E3" w:rsidRPr="00716B90">
        <w:rPr>
          <w:rFonts w:ascii="Calibri" w:eastAsia="Times New Roman" w:hAnsi="Calibri" w:cs="Calibri"/>
          <w:kern w:val="0"/>
          <w:lang w:eastAsia="en-GB"/>
          <w14:ligatures w14:val="none"/>
        </w:rPr>
        <w:t>Dupont's</w:t>
      </w:r>
      <w:r w:rsidRPr="00716B90">
        <w:rPr>
          <w:rFonts w:ascii="Calibri" w:eastAsia="Times New Roman" w:hAnsi="Calibri" w:cs="Calibri"/>
          <w:kern w:val="0"/>
          <w:lang w:eastAsia="en-GB"/>
          <w14:ligatures w14:val="none"/>
        </w:rPr>
        <w:t xml:space="preserve"> analysis uses ratios from the financial statement and balance sheet to estimate profitability. These methods assess a company's overall conformance with good financial practices</w:t>
      </w:r>
      <w:r w:rsidR="00B53DFA" w:rsidRPr="00716B90">
        <w:rPr>
          <w:rFonts w:ascii="Calibri" w:eastAsia="Times New Roman" w:hAnsi="Calibri" w:cs="Calibri"/>
          <w:kern w:val="0"/>
          <w:lang w:eastAsia="en-GB"/>
          <w14:ligatures w14:val="none"/>
        </w:rPr>
        <w:t xml:space="preserve"> (</w:t>
      </w:r>
      <w:r w:rsidR="00B53DFA" w:rsidRPr="00716B90">
        <w:rPr>
          <w:rFonts w:ascii="Calibri" w:hAnsi="Calibri" w:cs="Calibri"/>
          <w:color w:val="222222"/>
          <w:shd w:val="clear" w:color="auto" w:fill="FFFFFF"/>
        </w:rPr>
        <w:t>Sari and Daryanto, 2021).</w:t>
      </w:r>
      <w:r w:rsidR="001E7C6B" w:rsidRPr="00716B90">
        <w:rPr>
          <w:rFonts w:ascii="Calibri" w:hAnsi="Calibri" w:cs="Calibri"/>
          <w:color w:val="222222"/>
          <w:shd w:val="clear" w:color="auto" w:fill="FFFFFF"/>
        </w:rPr>
        <w:t xml:space="preserve"> </w:t>
      </w:r>
    </w:p>
    <w:p w14:paraId="16534A7A" w14:textId="77777777" w:rsidR="009653C7" w:rsidRPr="00716B90" w:rsidRDefault="009653C7" w:rsidP="00004BF8">
      <w:pPr>
        <w:spacing w:after="0" w:line="240" w:lineRule="auto"/>
        <w:jc w:val="both"/>
        <w:rPr>
          <w:rFonts w:ascii="Calibri" w:eastAsia="Times New Roman" w:hAnsi="Calibri" w:cs="Calibri"/>
          <w:kern w:val="0"/>
          <w:lang w:eastAsia="en-GB"/>
          <w14:ligatures w14:val="none"/>
        </w:rPr>
      </w:pPr>
    </w:p>
    <w:p w14:paraId="16386F34" w14:textId="27B62E33" w:rsidR="006F5854" w:rsidRPr="00716B90" w:rsidRDefault="0062649E" w:rsidP="0062649E">
      <w:pPr>
        <w:pStyle w:val="Heading2"/>
        <w:rPr>
          <w:rFonts w:ascii="Calibri" w:eastAsia="Times New Roman" w:hAnsi="Calibri" w:cs="Calibri"/>
          <w:sz w:val="24"/>
          <w:szCs w:val="24"/>
          <w:lang w:eastAsia="en-GB"/>
        </w:rPr>
      </w:pPr>
      <w:bookmarkStart w:id="3" w:name="_Toc175126632"/>
      <w:r w:rsidRPr="00716B90">
        <w:rPr>
          <w:rFonts w:ascii="Calibri" w:eastAsia="Times New Roman" w:hAnsi="Calibri" w:cs="Calibri"/>
          <w:sz w:val="24"/>
          <w:szCs w:val="24"/>
          <w:lang w:eastAsia="en-GB"/>
        </w:rPr>
        <w:t>2.</w:t>
      </w:r>
      <w:r w:rsidR="00645260" w:rsidRPr="00716B90">
        <w:rPr>
          <w:rFonts w:ascii="Calibri" w:eastAsia="Times New Roman" w:hAnsi="Calibri" w:cs="Calibri"/>
          <w:sz w:val="24"/>
          <w:szCs w:val="24"/>
          <w:lang w:eastAsia="en-GB"/>
        </w:rPr>
        <w:t xml:space="preserve">1. </w:t>
      </w:r>
      <w:r w:rsidR="002714FD" w:rsidRPr="00716B90">
        <w:rPr>
          <w:rFonts w:ascii="Calibri" w:eastAsia="Times New Roman" w:hAnsi="Calibri" w:cs="Calibri"/>
          <w:sz w:val="24"/>
          <w:szCs w:val="24"/>
          <w:lang w:eastAsia="en-GB"/>
        </w:rPr>
        <w:t>Profitability Analysis</w:t>
      </w:r>
      <w:bookmarkEnd w:id="3"/>
      <w:r w:rsidR="006F5854" w:rsidRPr="00716B90">
        <w:rPr>
          <w:rFonts w:ascii="Calibri" w:eastAsia="Times New Roman" w:hAnsi="Calibri" w:cs="Calibri"/>
          <w:sz w:val="24"/>
          <w:szCs w:val="24"/>
          <w:lang w:eastAsia="en-GB"/>
        </w:rPr>
        <w:tab/>
      </w:r>
    </w:p>
    <w:p w14:paraId="57263E6B" w14:textId="4CDBD023" w:rsidR="00790B7E" w:rsidRPr="00716B90" w:rsidRDefault="00CD266C" w:rsidP="00790B7E">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FD6FFB" w:rsidRPr="00716B90">
        <w:rPr>
          <w:rFonts w:ascii="Calibri" w:eastAsia="Times New Roman" w:hAnsi="Calibri" w:cs="Calibri"/>
          <w:kern w:val="0"/>
          <w:lang w:eastAsia="en-GB"/>
          <w14:ligatures w14:val="none"/>
        </w:rPr>
        <w:t>A profi</w:t>
      </w:r>
      <w:r w:rsidR="00EB5AB0" w:rsidRPr="00716B90">
        <w:rPr>
          <w:rFonts w:ascii="Calibri" w:eastAsia="Times New Roman" w:hAnsi="Calibri" w:cs="Calibri"/>
          <w:kern w:val="0"/>
          <w:lang w:eastAsia="en-GB"/>
          <w14:ligatures w14:val="none"/>
        </w:rPr>
        <w:t xml:space="preserve">tability ratio is </w:t>
      </w:r>
      <w:r w:rsidR="00FD6FFB" w:rsidRPr="00716B90">
        <w:rPr>
          <w:rFonts w:ascii="Calibri" w:eastAsia="Times New Roman" w:hAnsi="Calibri" w:cs="Calibri"/>
          <w:kern w:val="0"/>
          <w:lang w:eastAsia="en-GB"/>
          <w14:ligatures w14:val="none"/>
        </w:rPr>
        <w:t>frequently utilized to assess an organization's ability for generating revenue over a specific amount of time</w:t>
      </w:r>
      <w:r w:rsidR="00445550" w:rsidRPr="00716B90">
        <w:rPr>
          <w:rFonts w:ascii="Calibri" w:eastAsia="Times New Roman" w:hAnsi="Calibri" w:cs="Calibri"/>
          <w:kern w:val="0"/>
          <w:lang w:eastAsia="en-GB"/>
          <w14:ligatures w14:val="none"/>
        </w:rPr>
        <w:t xml:space="preserve"> (</w:t>
      </w:r>
      <w:r w:rsidR="00445550" w:rsidRPr="00716B90">
        <w:rPr>
          <w:rFonts w:ascii="Calibri" w:hAnsi="Calibri" w:cs="Calibri"/>
        </w:rPr>
        <w:t>Daryanto, Maharani, and Wiradjaja, 2021)</w:t>
      </w:r>
      <w:r w:rsidR="00FD6FFB" w:rsidRPr="00716B90">
        <w:rPr>
          <w:rFonts w:ascii="Calibri" w:eastAsia="Times New Roman" w:hAnsi="Calibri" w:cs="Calibri"/>
          <w:kern w:val="0"/>
          <w:lang w:eastAsia="en-GB"/>
          <w14:ligatures w14:val="none"/>
        </w:rPr>
        <w:t xml:space="preserve">. </w:t>
      </w:r>
      <w:r w:rsidR="00790B7E" w:rsidRPr="00716B90">
        <w:rPr>
          <w:rFonts w:ascii="Calibri" w:eastAsia="Times New Roman" w:hAnsi="Calibri" w:cs="Calibri"/>
          <w:kern w:val="0"/>
          <w:lang w:eastAsia="en-GB"/>
          <w14:ligatures w14:val="none"/>
        </w:rPr>
        <w:t>Profitability is essential to safeguarding a business's continued success because it shows the possibility that the business has excellent prospects for the future</w:t>
      </w:r>
      <w:r w:rsidR="00660B99" w:rsidRPr="00716B90">
        <w:rPr>
          <w:rFonts w:ascii="Calibri" w:eastAsia="Times New Roman" w:hAnsi="Calibri" w:cs="Calibri"/>
          <w:kern w:val="0"/>
          <w:lang w:eastAsia="en-GB"/>
          <w14:ligatures w14:val="none"/>
        </w:rPr>
        <w:t xml:space="preserve"> (</w:t>
      </w:r>
      <w:r w:rsidR="00660B99" w:rsidRPr="00716B90">
        <w:rPr>
          <w:rFonts w:ascii="Calibri" w:hAnsi="Calibri" w:cs="Calibri"/>
        </w:rPr>
        <w:t>Yusuf &amp; Surjaatmadja, 2018).</w:t>
      </w:r>
    </w:p>
    <w:p w14:paraId="42944BDC" w14:textId="0758163B" w:rsidR="003E7B1F" w:rsidRPr="00716B90" w:rsidRDefault="00790B7E" w:rsidP="00645260">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 xml:space="preserve"> </w:t>
      </w:r>
      <w:r w:rsidR="00974128" w:rsidRPr="00716B90">
        <w:rPr>
          <w:rFonts w:ascii="Calibri" w:eastAsia="Times New Roman" w:hAnsi="Calibri" w:cs="Calibri"/>
          <w:kern w:val="0"/>
          <w:lang w:eastAsia="en-GB"/>
          <w14:ligatures w14:val="none"/>
        </w:rPr>
        <w:tab/>
      </w:r>
      <w:r w:rsidR="00B3399B" w:rsidRPr="00716B90">
        <w:rPr>
          <w:rFonts w:ascii="Calibri" w:eastAsia="Times New Roman" w:hAnsi="Calibri" w:cs="Calibri"/>
          <w:kern w:val="0"/>
          <w:lang w:eastAsia="en-GB"/>
          <w14:ligatures w14:val="none"/>
        </w:rPr>
        <w:t>P&amp;G’s prof</w:t>
      </w:r>
      <w:r w:rsidR="003E7B1F" w:rsidRPr="00716B90">
        <w:rPr>
          <w:rFonts w:ascii="Calibri" w:eastAsia="Times New Roman" w:hAnsi="Calibri" w:cs="Calibri"/>
          <w:kern w:val="0"/>
          <w:lang w:eastAsia="en-GB"/>
          <w14:ligatures w14:val="none"/>
        </w:rPr>
        <w:t xml:space="preserve">itability </w:t>
      </w:r>
      <w:r w:rsidR="006512E3" w:rsidRPr="00716B90">
        <w:rPr>
          <w:rFonts w:ascii="Calibri" w:eastAsia="Times New Roman" w:hAnsi="Calibri" w:cs="Calibri"/>
          <w:kern w:val="0"/>
          <w:lang w:eastAsia="en-GB"/>
          <w14:ligatures w14:val="none"/>
        </w:rPr>
        <w:t>measures</w:t>
      </w:r>
      <w:r w:rsidR="003E7B1F" w:rsidRPr="00716B90">
        <w:rPr>
          <w:rFonts w:ascii="Calibri" w:eastAsia="Times New Roman" w:hAnsi="Calibri" w:cs="Calibri"/>
          <w:kern w:val="0"/>
          <w:lang w:eastAsia="en-GB"/>
          <w14:ligatures w14:val="none"/>
        </w:rPr>
        <w:t xml:space="preserve">, especially Gross and net profit margins, </w:t>
      </w:r>
      <w:r w:rsidR="00DB31A9" w:rsidRPr="00716B90">
        <w:rPr>
          <w:rFonts w:ascii="Calibri" w:eastAsia="Times New Roman" w:hAnsi="Calibri" w:cs="Calibri"/>
          <w:kern w:val="0"/>
          <w:lang w:eastAsia="en-GB"/>
          <w14:ligatures w14:val="none"/>
        </w:rPr>
        <w:t>must be evaluated to the ones of Nestl</w:t>
      </w:r>
      <w:r w:rsidR="001E3E33" w:rsidRPr="00716B90">
        <w:rPr>
          <w:rFonts w:ascii="Calibri" w:eastAsia="Times New Roman" w:hAnsi="Calibri" w:cs="Calibri"/>
          <w:kern w:val="0"/>
          <w:lang w:eastAsia="en-GB"/>
          <w14:ligatures w14:val="none"/>
        </w:rPr>
        <w:t>e</w:t>
      </w:r>
      <w:r w:rsidR="00DB31A9" w:rsidRPr="00716B90">
        <w:rPr>
          <w:rFonts w:ascii="Calibri" w:eastAsia="Times New Roman" w:hAnsi="Calibri" w:cs="Calibri"/>
          <w:kern w:val="0"/>
          <w:lang w:eastAsia="en-GB"/>
          <w14:ligatures w14:val="none"/>
        </w:rPr>
        <w:t xml:space="preserve"> and the industry standard. </w:t>
      </w:r>
      <w:r w:rsidR="00532241" w:rsidRPr="00716B90">
        <w:rPr>
          <w:rFonts w:ascii="Calibri" w:eastAsia="Times New Roman" w:hAnsi="Calibri" w:cs="Calibri"/>
          <w:kern w:val="0"/>
          <w:lang w:eastAsia="en-GB"/>
          <w14:ligatures w14:val="none"/>
        </w:rPr>
        <w:t xml:space="preserve">P&amp;G’s gross profit margin </w:t>
      </w:r>
      <w:r w:rsidR="001E3E33" w:rsidRPr="00716B90">
        <w:rPr>
          <w:rFonts w:ascii="Calibri" w:eastAsia="Times New Roman" w:hAnsi="Calibri" w:cs="Calibri"/>
          <w:kern w:val="0"/>
          <w:lang w:eastAsia="en-GB"/>
          <w14:ligatures w14:val="none"/>
        </w:rPr>
        <w:t>was</w:t>
      </w:r>
      <w:r w:rsidR="003E7B1F" w:rsidRPr="00716B90">
        <w:rPr>
          <w:rFonts w:ascii="Calibri" w:eastAsia="Times New Roman" w:hAnsi="Calibri" w:cs="Calibri"/>
          <w:kern w:val="0"/>
          <w:lang w:eastAsia="en-GB"/>
          <w14:ligatures w14:val="none"/>
        </w:rPr>
        <w:t xml:space="preserve"> projected to have continued high throughout the last five years, according to effective cost control. However, the net </w:t>
      </w:r>
      <w:r w:rsidR="006512E3" w:rsidRPr="00716B90">
        <w:rPr>
          <w:rFonts w:ascii="Calibri" w:eastAsia="Times New Roman" w:hAnsi="Calibri" w:cs="Calibri"/>
          <w:kern w:val="0"/>
          <w:lang w:eastAsia="en-GB"/>
          <w14:ligatures w14:val="none"/>
        </w:rPr>
        <w:t>profit</w:t>
      </w:r>
      <w:r w:rsidR="003E7B1F" w:rsidRPr="00716B90">
        <w:rPr>
          <w:rFonts w:ascii="Calibri" w:eastAsia="Times New Roman" w:hAnsi="Calibri" w:cs="Calibri"/>
          <w:kern w:val="0"/>
          <w:lang w:eastAsia="en-GB"/>
          <w14:ligatures w14:val="none"/>
        </w:rPr>
        <w:t xml:space="preserve"> margin may have drifted due to rising marketing charges and costs for raw materials. A steady or operating ROA and ROE </w:t>
      </w:r>
      <w:r w:rsidR="006512E3" w:rsidRPr="00716B90">
        <w:rPr>
          <w:rFonts w:ascii="Calibri" w:eastAsia="Times New Roman" w:hAnsi="Calibri" w:cs="Calibri"/>
          <w:kern w:val="0"/>
          <w:lang w:eastAsia="en-GB"/>
          <w14:ligatures w14:val="none"/>
        </w:rPr>
        <w:t>imply</w:t>
      </w:r>
      <w:r w:rsidR="003E7B1F" w:rsidRPr="00716B90">
        <w:rPr>
          <w:rFonts w:ascii="Calibri" w:eastAsia="Times New Roman" w:hAnsi="Calibri" w:cs="Calibri"/>
          <w:kern w:val="0"/>
          <w:lang w:eastAsia="en-GB"/>
          <w14:ligatures w14:val="none"/>
        </w:rPr>
        <w:t xml:space="preserve"> efficient use of resources and high shareholder returns, but a fall might suggest difficulties </w:t>
      </w:r>
      <w:r w:rsidR="006512E3" w:rsidRPr="00716B90">
        <w:rPr>
          <w:rFonts w:ascii="Calibri" w:eastAsia="Times New Roman" w:hAnsi="Calibri" w:cs="Calibri"/>
          <w:kern w:val="0"/>
          <w:lang w:eastAsia="en-GB"/>
          <w14:ligatures w14:val="none"/>
        </w:rPr>
        <w:t xml:space="preserve">in </w:t>
      </w:r>
      <w:r w:rsidR="003E7B1F" w:rsidRPr="00716B90">
        <w:rPr>
          <w:rFonts w:ascii="Calibri" w:eastAsia="Times New Roman" w:hAnsi="Calibri" w:cs="Calibri"/>
          <w:kern w:val="0"/>
          <w:lang w:eastAsia="en-GB"/>
          <w14:ligatures w14:val="none"/>
        </w:rPr>
        <w:t xml:space="preserve">keeping up profitable growth given </w:t>
      </w:r>
      <w:r w:rsidR="00645260" w:rsidRPr="00716B90">
        <w:rPr>
          <w:rFonts w:ascii="Calibri" w:eastAsia="Times New Roman" w:hAnsi="Calibri" w:cs="Calibri"/>
          <w:kern w:val="0"/>
          <w:lang w:eastAsia="en-GB"/>
          <w14:ligatures w14:val="none"/>
        </w:rPr>
        <w:t>an</w:t>
      </w:r>
      <w:r w:rsidR="003E7B1F" w:rsidRPr="00716B90">
        <w:rPr>
          <w:rFonts w:ascii="Calibri" w:eastAsia="Times New Roman" w:hAnsi="Calibri" w:cs="Calibri"/>
          <w:kern w:val="0"/>
          <w:lang w:eastAsia="en-GB"/>
          <w14:ligatures w14:val="none"/>
        </w:rPr>
        <w:t xml:space="preserve"> asset-based increase.</w:t>
      </w:r>
    </w:p>
    <w:tbl>
      <w:tblPr>
        <w:tblW w:w="9067" w:type="dxa"/>
        <w:tblLook w:val="04A0" w:firstRow="1" w:lastRow="0" w:firstColumn="1" w:lastColumn="0" w:noHBand="0" w:noVBand="1"/>
      </w:tblPr>
      <w:tblGrid>
        <w:gridCol w:w="2486"/>
        <w:gridCol w:w="1012"/>
        <w:gridCol w:w="1012"/>
        <w:gridCol w:w="1012"/>
        <w:gridCol w:w="1012"/>
        <w:gridCol w:w="1012"/>
        <w:gridCol w:w="1521"/>
      </w:tblGrid>
      <w:tr w:rsidR="00DB25BB" w:rsidRPr="00716B90" w14:paraId="33EEFDEB" w14:textId="77777777" w:rsidTr="002C0746">
        <w:trPr>
          <w:trHeight w:val="927"/>
        </w:trPr>
        <w:tc>
          <w:tcPr>
            <w:tcW w:w="7546"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E28F0A8" w14:textId="19D50534"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xml:space="preserve">Key Financial Ratios of P&amp;G for the </w:t>
            </w:r>
            <w:r w:rsidR="006512E3" w:rsidRPr="00716B90">
              <w:rPr>
                <w:rFonts w:ascii="Calibri" w:eastAsia="Times New Roman" w:hAnsi="Calibri" w:cs="Calibri"/>
                <w:b/>
                <w:bCs/>
                <w:color w:val="000000"/>
                <w:kern w:val="0"/>
                <w:lang w:eastAsia="en-GB"/>
                <w14:ligatures w14:val="none"/>
              </w:rPr>
              <w:t>Last</w:t>
            </w:r>
            <w:r w:rsidRPr="00716B90">
              <w:rPr>
                <w:rFonts w:ascii="Calibri" w:eastAsia="Times New Roman" w:hAnsi="Calibri" w:cs="Calibri"/>
                <w:b/>
                <w:bCs/>
                <w:color w:val="000000"/>
                <w:kern w:val="0"/>
                <w:lang w:eastAsia="en-GB"/>
                <w14:ligatures w14:val="none"/>
              </w:rPr>
              <w:t xml:space="preserve"> Five Years</w:t>
            </w:r>
          </w:p>
        </w:tc>
        <w:tc>
          <w:tcPr>
            <w:tcW w:w="1521" w:type="dxa"/>
            <w:tcBorders>
              <w:top w:val="single" w:sz="4" w:space="0" w:color="auto"/>
              <w:left w:val="nil"/>
              <w:bottom w:val="single" w:sz="4" w:space="0" w:color="auto"/>
              <w:right w:val="single" w:sz="4" w:space="0" w:color="auto"/>
            </w:tcBorders>
            <w:shd w:val="clear" w:color="auto" w:fill="auto"/>
            <w:vAlign w:val="bottom"/>
            <w:hideMark/>
          </w:tcPr>
          <w:p w14:paraId="43A534FF"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Nestle Financial Ratios</w:t>
            </w:r>
          </w:p>
        </w:tc>
      </w:tr>
      <w:tr w:rsidR="00DB25BB" w:rsidRPr="00716B90" w14:paraId="169EB0E4" w14:textId="77777777" w:rsidTr="002C0746">
        <w:trPr>
          <w:trHeight w:val="282"/>
        </w:trPr>
        <w:tc>
          <w:tcPr>
            <w:tcW w:w="9067" w:type="dxa"/>
            <w:gridSpan w:val="7"/>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28FEDB2"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Profitability Ratios</w:t>
            </w:r>
          </w:p>
        </w:tc>
      </w:tr>
      <w:tr w:rsidR="002C0746" w:rsidRPr="00716B90" w14:paraId="707ADA92" w14:textId="77777777" w:rsidTr="002C0746">
        <w:trPr>
          <w:trHeight w:val="282"/>
        </w:trPr>
        <w:tc>
          <w:tcPr>
            <w:tcW w:w="2486" w:type="dxa"/>
            <w:tcBorders>
              <w:top w:val="nil"/>
              <w:left w:val="single" w:sz="4" w:space="0" w:color="auto"/>
              <w:bottom w:val="single" w:sz="4" w:space="0" w:color="auto"/>
              <w:right w:val="single" w:sz="4" w:space="0" w:color="auto"/>
            </w:tcBorders>
            <w:shd w:val="clear" w:color="auto" w:fill="auto"/>
            <w:noWrap/>
            <w:vAlign w:val="center"/>
            <w:hideMark/>
          </w:tcPr>
          <w:p w14:paraId="60F4CB9B"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w:t>
            </w:r>
          </w:p>
        </w:tc>
        <w:tc>
          <w:tcPr>
            <w:tcW w:w="1012" w:type="dxa"/>
            <w:tcBorders>
              <w:top w:val="nil"/>
              <w:left w:val="nil"/>
              <w:bottom w:val="single" w:sz="4" w:space="0" w:color="auto"/>
              <w:right w:val="single" w:sz="4" w:space="0" w:color="auto"/>
            </w:tcBorders>
            <w:shd w:val="clear" w:color="000000" w:fill="C0E6F5"/>
            <w:noWrap/>
            <w:vAlign w:val="center"/>
            <w:hideMark/>
          </w:tcPr>
          <w:p w14:paraId="2A33DCAA"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c>
          <w:tcPr>
            <w:tcW w:w="1012" w:type="dxa"/>
            <w:tcBorders>
              <w:top w:val="nil"/>
              <w:left w:val="nil"/>
              <w:bottom w:val="single" w:sz="4" w:space="0" w:color="auto"/>
              <w:right w:val="single" w:sz="4" w:space="0" w:color="auto"/>
            </w:tcBorders>
            <w:shd w:val="clear" w:color="000000" w:fill="C0E6F5"/>
            <w:noWrap/>
            <w:vAlign w:val="center"/>
            <w:hideMark/>
          </w:tcPr>
          <w:p w14:paraId="22A53A0E"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2022</w:t>
            </w:r>
          </w:p>
        </w:tc>
        <w:tc>
          <w:tcPr>
            <w:tcW w:w="1012" w:type="dxa"/>
            <w:tcBorders>
              <w:top w:val="nil"/>
              <w:left w:val="nil"/>
              <w:bottom w:val="single" w:sz="4" w:space="0" w:color="auto"/>
              <w:right w:val="single" w:sz="4" w:space="0" w:color="auto"/>
            </w:tcBorders>
            <w:shd w:val="clear" w:color="000000" w:fill="C0E6F5"/>
            <w:noWrap/>
            <w:vAlign w:val="center"/>
            <w:hideMark/>
          </w:tcPr>
          <w:p w14:paraId="37B0EBD3"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2021</w:t>
            </w:r>
          </w:p>
        </w:tc>
        <w:tc>
          <w:tcPr>
            <w:tcW w:w="1012" w:type="dxa"/>
            <w:tcBorders>
              <w:top w:val="nil"/>
              <w:left w:val="nil"/>
              <w:bottom w:val="single" w:sz="4" w:space="0" w:color="auto"/>
              <w:right w:val="single" w:sz="4" w:space="0" w:color="auto"/>
            </w:tcBorders>
            <w:shd w:val="clear" w:color="000000" w:fill="C0E6F5"/>
            <w:noWrap/>
            <w:vAlign w:val="center"/>
            <w:hideMark/>
          </w:tcPr>
          <w:p w14:paraId="1953D519"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2020</w:t>
            </w:r>
          </w:p>
        </w:tc>
        <w:tc>
          <w:tcPr>
            <w:tcW w:w="1012" w:type="dxa"/>
            <w:tcBorders>
              <w:top w:val="nil"/>
              <w:left w:val="nil"/>
              <w:bottom w:val="single" w:sz="4" w:space="0" w:color="auto"/>
              <w:right w:val="single" w:sz="4" w:space="0" w:color="auto"/>
            </w:tcBorders>
            <w:shd w:val="clear" w:color="000000" w:fill="C0E6F5"/>
            <w:noWrap/>
            <w:vAlign w:val="center"/>
            <w:hideMark/>
          </w:tcPr>
          <w:p w14:paraId="4022D296"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2019</w:t>
            </w:r>
          </w:p>
        </w:tc>
        <w:tc>
          <w:tcPr>
            <w:tcW w:w="1521" w:type="dxa"/>
            <w:tcBorders>
              <w:top w:val="nil"/>
              <w:left w:val="nil"/>
              <w:bottom w:val="single" w:sz="4" w:space="0" w:color="auto"/>
              <w:right w:val="single" w:sz="4" w:space="0" w:color="auto"/>
            </w:tcBorders>
            <w:shd w:val="clear" w:color="000000" w:fill="C0E6F5"/>
            <w:noWrap/>
            <w:vAlign w:val="bottom"/>
            <w:hideMark/>
          </w:tcPr>
          <w:p w14:paraId="12F5884E"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r>
      <w:tr w:rsidR="00DB25BB" w:rsidRPr="00716B90" w14:paraId="0D1E0891" w14:textId="77777777" w:rsidTr="002C0746">
        <w:trPr>
          <w:trHeight w:val="282"/>
        </w:trPr>
        <w:tc>
          <w:tcPr>
            <w:tcW w:w="2486" w:type="dxa"/>
            <w:tcBorders>
              <w:top w:val="nil"/>
              <w:left w:val="single" w:sz="4" w:space="0" w:color="auto"/>
              <w:bottom w:val="single" w:sz="4" w:space="0" w:color="auto"/>
              <w:right w:val="single" w:sz="4" w:space="0" w:color="auto"/>
            </w:tcBorders>
            <w:shd w:val="clear" w:color="000000" w:fill="C0E6F5"/>
            <w:noWrap/>
            <w:vAlign w:val="center"/>
            <w:hideMark/>
          </w:tcPr>
          <w:p w14:paraId="342002C2"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Gross Profit Margin</w:t>
            </w:r>
          </w:p>
        </w:tc>
        <w:tc>
          <w:tcPr>
            <w:tcW w:w="1012" w:type="dxa"/>
            <w:tcBorders>
              <w:top w:val="nil"/>
              <w:left w:val="nil"/>
              <w:bottom w:val="single" w:sz="4" w:space="0" w:color="auto"/>
              <w:right w:val="single" w:sz="4" w:space="0" w:color="auto"/>
            </w:tcBorders>
            <w:shd w:val="clear" w:color="auto" w:fill="auto"/>
            <w:noWrap/>
            <w:vAlign w:val="bottom"/>
            <w:hideMark/>
          </w:tcPr>
          <w:p w14:paraId="4B169FB9"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47.8575</w:t>
            </w:r>
          </w:p>
        </w:tc>
        <w:tc>
          <w:tcPr>
            <w:tcW w:w="1012" w:type="dxa"/>
            <w:tcBorders>
              <w:top w:val="nil"/>
              <w:left w:val="nil"/>
              <w:bottom w:val="single" w:sz="4" w:space="0" w:color="auto"/>
              <w:right w:val="single" w:sz="4" w:space="0" w:color="auto"/>
            </w:tcBorders>
            <w:shd w:val="clear" w:color="auto" w:fill="auto"/>
            <w:noWrap/>
            <w:vAlign w:val="bottom"/>
            <w:hideMark/>
          </w:tcPr>
          <w:p w14:paraId="3DFA4E7B"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47.4266</w:t>
            </w:r>
          </w:p>
        </w:tc>
        <w:tc>
          <w:tcPr>
            <w:tcW w:w="1012" w:type="dxa"/>
            <w:tcBorders>
              <w:top w:val="nil"/>
              <w:left w:val="nil"/>
              <w:bottom w:val="single" w:sz="4" w:space="0" w:color="auto"/>
              <w:right w:val="single" w:sz="4" w:space="0" w:color="auto"/>
            </w:tcBorders>
            <w:shd w:val="clear" w:color="auto" w:fill="auto"/>
            <w:noWrap/>
            <w:vAlign w:val="bottom"/>
            <w:hideMark/>
          </w:tcPr>
          <w:p w14:paraId="46A18918"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51.2494</w:t>
            </w:r>
          </w:p>
        </w:tc>
        <w:tc>
          <w:tcPr>
            <w:tcW w:w="1012" w:type="dxa"/>
            <w:tcBorders>
              <w:top w:val="nil"/>
              <w:left w:val="nil"/>
              <w:bottom w:val="single" w:sz="4" w:space="0" w:color="auto"/>
              <w:right w:val="single" w:sz="4" w:space="0" w:color="auto"/>
            </w:tcBorders>
            <w:shd w:val="clear" w:color="auto" w:fill="auto"/>
            <w:noWrap/>
            <w:vAlign w:val="bottom"/>
            <w:hideMark/>
          </w:tcPr>
          <w:p w14:paraId="3E153157"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50.3171</w:t>
            </w:r>
          </w:p>
        </w:tc>
        <w:tc>
          <w:tcPr>
            <w:tcW w:w="1012" w:type="dxa"/>
            <w:tcBorders>
              <w:top w:val="nil"/>
              <w:left w:val="nil"/>
              <w:bottom w:val="single" w:sz="4" w:space="0" w:color="auto"/>
              <w:right w:val="single" w:sz="4" w:space="0" w:color="auto"/>
            </w:tcBorders>
            <w:shd w:val="clear" w:color="auto" w:fill="auto"/>
            <w:noWrap/>
            <w:vAlign w:val="bottom"/>
            <w:hideMark/>
          </w:tcPr>
          <w:p w14:paraId="4E12A55B"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48.6319</w:t>
            </w:r>
          </w:p>
        </w:tc>
        <w:tc>
          <w:tcPr>
            <w:tcW w:w="1521" w:type="dxa"/>
            <w:tcBorders>
              <w:top w:val="nil"/>
              <w:left w:val="nil"/>
              <w:bottom w:val="single" w:sz="4" w:space="0" w:color="auto"/>
              <w:right w:val="single" w:sz="4" w:space="0" w:color="auto"/>
            </w:tcBorders>
            <w:shd w:val="clear" w:color="auto" w:fill="auto"/>
            <w:noWrap/>
            <w:vAlign w:val="bottom"/>
            <w:hideMark/>
          </w:tcPr>
          <w:p w14:paraId="3C5E6A3A"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46.0874</w:t>
            </w:r>
          </w:p>
        </w:tc>
      </w:tr>
      <w:tr w:rsidR="00DB25BB" w:rsidRPr="00716B90" w14:paraId="37CA6AB0" w14:textId="77777777" w:rsidTr="002C0746">
        <w:trPr>
          <w:trHeight w:val="282"/>
        </w:trPr>
        <w:tc>
          <w:tcPr>
            <w:tcW w:w="2486" w:type="dxa"/>
            <w:tcBorders>
              <w:top w:val="nil"/>
              <w:left w:val="single" w:sz="4" w:space="0" w:color="auto"/>
              <w:bottom w:val="single" w:sz="4" w:space="0" w:color="auto"/>
              <w:right w:val="single" w:sz="4" w:space="0" w:color="auto"/>
            </w:tcBorders>
            <w:shd w:val="clear" w:color="000000" w:fill="C0E6F5"/>
            <w:noWrap/>
            <w:vAlign w:val="center"/>
            <w:hideMark/>
          </w:tcPr>
          <w:p w14:paraId="543B5FD1"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Net Profit Margin</w:t>
            </w:r>
          </w:p>
        </w:tc>
        <w:tc>
          <w:tcPr>
            <w:tcW w:w="1012" w:type="dxa"/>
            <w:tcBorders>
              <w:top w:val="nil"/>
              <w:left w:val="nil"/>
              <w:bottom w:val="single" w:sz="4" w:space="0" w:color="auto"/>
              <w:right w:val="single" w:sz="4" w:space="0" w:color="auto"/>
            </w:tcBorders>
            <w:shd w:val="clear" w:color="auto" w:fill="auto"/>
            <w:noWrap/>
            <w:vAlign w:val="bottom"/>
            <w:hideMark/>
          </w:tcPr>
          <w:p w14:paraId="04D7B729"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17.5243</w:t>
            </w:r>
          </w:p>
        </w:tc>
        <w:tc>
          <w:tcPr>
            <w:tcW w:w="1012" w:type="dxa"/>
            <w:tcBorders>
              <w:top w:val="nil"/>
              <w:left w:val="nil"/>
              <w:bottom w:val="single" w:sz="4" w:space="0" w:color="auto"/>
              <w:right w:val="single" w:sz="4" w:space="0" w:color="auto"/>
            </w:tcBorders>
            <w:shd w:val="clear" w:color="auto" w:fill="auto"/>
            <w:noWrap/>
            <w:vAlign w:val="bottom"/>
            <w:hideMark/>
          </w:tcPr>
          <w:p w14:paraId="629A5864"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18.0341</w:t>
            </w:r>
          </w:p>
        </w:tc>
        <w:tc>
          <w:tcPr>
            <w:tcW w:w="1012" w:type="dxa"/>
            <w:tcBorders>
              <w:top w:val="nil"/>
              <w:left w:val="nil"/>
              <w:bottom w:val="single" w:sz="4" w:space="0" w:color="auto"/>
              <w:right w:val="single" w:sz="4" w:space="0" w:color="auto"/>
            </w:tcBorders>
            <w:shd w:val="clear" w:color="auto" w:fill="auto"/>
            <w:noWrap/>
            <w:vAlign w:val="bottom"/>
            <w:hideMark/>
          </w:tcPr>
          <w:p w14:paraId="563DCC85"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18.4385</w:t>
            </w:r>
          </w:p>
        </w:tc>
        <w:tc>
          <w:tcPr>
            <w:tcW w:w="1012" w:type="dxa"/>
            <w:tcBorders>
              <w:top w:val="nil"/>
              <w:left w:val="nil"/>
              <w:bottom w:val="single" w:sz="4" w:space="0" w:color="auto"/>
              <w:right w:val="single" w:sz="4" w:space="0" w:color="auto"/>
            </w:tcBorders>
            <w:shd w:val="clear" w:color="auto" w:fill="auto"/>
            <w:noWrap/>
            <w:vAlign w:val="bottom"/>
            <w:hideMark/>
          </w:tcPr>
          <w:p w14:paraId="1BDBDC24"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17.9901</w:t>
            </w:r>
          </w:p>
        </w:tc>
        <w:tc>
          <w:tcPr>
            <w:tcW w:w="1012" w:type="dxa"/>
            <w:tcBorders>
              <w:top w:val="nil"/>
              <w:left w:val="nil"/>
              <w:bottom w:val="single" w:sz="4" w:space="0" w:color="auto"/>
              <w:right w:val="single" w:sz="4" w:space="0" w:color="auto"/>
            </w:tcBorders>
            <w:shd w:val="clear" w:color="auto" w:fill="auto"/>
            <w:noWrap/>
            <w:vAlign w:val="bottom"/>
            <w:hideMark/>
          </w:tcPr>
          <w:p w14:paraId="5C99120A"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5.3691</w:t>
            </w:r>
          </w:p>
        </w:tc>
        <w:tc>
          <w:tcPr>
            <w:tcW w:w="1521" w:type="dxa"/>
            <w:tcBorders>
              <w:top w:val="nil"/>
              <w:left w:val="nil"/>
              <w:bottom w:val="single" w:sz="4" w:space="0" w:color="auto"/>
              <w:right w:val="single" w:sz="4" w:space="0" w:color="auto"/>
            </w:tcBorders>
            <w:shd w:val="clear" w:color="auto" w:fill="auto"/>
            <w:noWrap/>
            <w:vAlign w:val="bottom"/>
            <w:hideMark/>
          </w:tcPr>
          <w:p w14:paraId="7755F5FA"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12.0074</w:t>
            </w:r>
          </w:p>
        </w:tc>
      </w:tr>
      <w:tr w:rsidR="00DB25BB" w:rsidRPr="00716B90" w14:paraId="2ED19555" w14:textId="77777777" w:rsidTr="002C0746">
        <w:trPr>
          <w:trHeight w:val="282"/>
        </w:trPr>
        <w:tc>
          <w:tcPr>
            <w:tcW w:w="2486" w:type="dxa"/>
            <w:tcBorders>
              <w:top w:val="nil"/>
              <w:left w:val="single" w:sz="4" w:space="0" w:color="auto"/>
              <w:bottom w:val="single" w:sz="4" w:space="0" w:color="auto"/>
              <w:right w:val="single" w:sz="4" w:space="0" w:color="auto"/>
            </w:tcBorders>
            <w:shd w:val="clear" w:color="000000" w:fill="C0E6F5"/>
            <w:noWrap/>
            <w:vAlign w:val="center"/>
            <w:hideMark/>
          </w:tcPr>
          <w:p w14:paraId="6B6BA6F2" w14:textId="3F167AE8"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xml:space="preserve">Return on Assets </w:t>
            </w:r>
          </w:p>
        </w:tc>
        <w:tc>
          <w:tcPr>
            <w:tcW w:w="1012" w:type="dxa"/>
            <w:tcBorders>
              <w:top w:val="nil"/>
              <w:left w:val="nil"/>
              <w:bottom w:val="single" w:sz="4" w:space="0" w:color="auto"/>
              <w:right w:val="single" w:sz="4" w:space="0" w:color="auto"/>
            </w:tcBorders>
            <w:shd w:val="clear" w:color="auto" w:fill="auto"/>
            <w:noWrap/>
            <w:vAlign w:val="bottom"/>
            <w:hideMark/>
          </w:tcPr>
          <w:p w14:paraId="1BF076EC"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12.1974</w:t>
            </w:r>
          </w:p>
        </w:tc>
        <w:tc>
          <w:tcPr>
            <w:tcW w:w="1012" w:type="dxa"/>
            <w:tcBorders>
              <w:top w:val="nil"/>
              <w:left w:val="nil"/>
              <w:bottom w:val="single" w:sz="4" w:space="0" w:color="auto"/>
              <w:right w:val="single" w:sz="4" w:space="0" w:color="auto"/>
            </w:tcBorders>
            <w:shd w:val="clear" w:color="auto" w:fill="auto"/>
            <w:noWrap/>
            <w:vAlign w:val="bottom"/>
            <w:hideMark/>
          </w:tcPr>
          <w:p w14:paraId="730EE983"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12.6212</w:t>
            </w:r>
          </w:p>
        </w:tc>
        <w:tc>
          <w:tcPr>
            <w:tcW w:w="1012" w:type="dxa"/>
            <w:tcBorders>
              <w:top w:val="nil"/>
              <w:left w:val="nil"/>
              <w:bottom w:val="single" w:sz="4" w:space="0" w:color="auto"/>
              <w:right w:val="single" w:sz="4" w:space="0" w:color="auto"/>
            </w:tcBorders>
            <w:shd w:val="clear" w:color="auto" w:fill="auto"/>
            <w:noWrap/>
            <w:vAlign w:val="bottom"/>
            <w:hideMark/>
          </w:tcPr>
          <w:p w14:paraId="1E21461F"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12.0295</w:t>
            </w:r>
          </w:p>
        </w:tc>
        <w:tc>
          <w:tcPr>
            <w:tcW w:w="1012" w:type="dxa"/>
            <w:tcBorders>
              <w:top w:val="nil"/>
              <w:left w:val="nil"/>
              <w:bottom w:val="single" w:sz="4" w:space="0" w:color="auto"/>
              <w:right w:val="single" w:sz="4" w:space="0" w:color="auto"/>
            </w:tcBorders>
            <w:shd w:val="clear" w:color="auto" w:fill="auto"/>
            <w:noWrap/>
            <w:vAlign w:val="bottom"/>
            <w:hideMark/>
          </w:tcPr>
          <w:p w14:paraId="7D8BCCBA"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10.8558</w:t>
            </w:r>
          </w:p>
        </w:tc>
        <w:tc>
          <w:tcPr>
            <w:tcW w:w="1012" w:type="dxa"/>
            <w:tcBorders>
              <w:top w:val="nil"/>
              <w:left w:val="nil"/>
              <w:bottom w:val="single" w:sz="4" w:space="0" w:color="auto"/>
              <w:right w:val="single" w:sz="4" w:space="0" w:color="auto"/>
            </w:tcBorders>
            <w:shd w:val="clear" w:color="auto" w:fill="auto"/>
            <w:noWrap/>
            <w:vAlign w:val="bottom"/>
            <w:hideMark/>
          </w:tcPr>
          <w:p w14:paraId="773A07FC"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3.4458</w:t>
            </w:r>
          </w:p>
        </w:tc>
        <w:tc>
          <w:tcPr>
            <w:tcW w:w="1521" w:type="dxa"/>
            <w:tcBorders>
              <w:top w:val="nil"/>
              <w:left w:val="nil"/>
              <w:bottom w:val="single" w:sz="4" w:space="0" w:color="auto"/>
              <w:right w:val="single" w:sz="4" w:space="0" w:color="auto"/>
            </w:tcBorders>
            <w:shd w:val="clear" w:color="auto" w:fill="auto"/>
            <w:noWrap/>
            <w:vAlign w:val="bottom"/>
            <w:hideMark/>
          </w:tcPr>
          <w:p w14:paraId="085137AD"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9.0944</w:t>
            </w:r>
          </w:p>
        </w:tc>
      </w:tr>
      <w:tr w:rsidR="00DB25BB" w:rsidRPr="00716B90" w14:paraId="074B7FBB" w14:textId="77777777" w:rsidTr="002C0746">
        <w:trPr>
          <w:trHeight w:val="282"/>
        </w:trPr>
        <w:tc>
          <w:tcPr>
            <w:tcW w:w="2486" w:type="dxa"/>
            <w:tcBorders>
              <w:top w:val="nil"/>
              <w:left w:val="single" w:sz="4" w:space="0" w:color="auto"/>
              <w:bottom w:val="single" w:sz="4" w:space="0" w:color="auto"/>
              <w:right w:val="single" w:sz="4" w:space="0" w:color="auto"/>
            </w:tcBorders>
            <w:shd w:val="clear" w:color="000000" w:fill="C0E6F5"/>
            <w:noWrap/>
            <w:vAlign w:val="center"/>
            <w:hideMark/>
          </w:tcPr>
          <w:p w14:paraId="395A9B2C" w14:textId="77777777" w:rsidR="00DB25BB" w:rsidRPr="00716B90" w:rsidRDefault="00DB25BB" w:rsidP="00DB25BB">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lastRenderedPageBreak/>
              <w:t xml:space="preserve">Return on Equity </w:t>
            </w:r>
          </w:p>
        </w:tc>
        <w:tc>
          <w:tcPr>
            <w:tcW w:w="1012" w:type="dxa"/>
            <w:tcBorders>
              <w:top w:val="nil"/>
              <w:left w:val="nil"/>
              <w:bottom w:val="single" w:sz="4" w:space="0" w:color="auto"/>
              <w:right w:val="single" w:sz="4" w:space="0" w:color="auto"/>
            </w:tcBorders>
            <w:shd w:val="clear" w:color="auto" w:fill="auto"/>
            <w:noWrap/>
            <w:vAlign w:val="bottom"/>
            <w:hideMark/>
          </w:tcPr>
          <w:p w14:paraId="63FFB0C9"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31.8687</w:t>
            </w:r>
          </w:p>
        </w:tc>
        <w:tc>
          <w:tcPr>
            <w:tcW w:w="1012" w:type="dxa"/>
            <w:tcBorders>
              <w:top w:val="nil"/>
              <w:left w:val="nil"/>
              <w:bottom w:val="single" w:sz="4" w:space="0" w:color="auto"/>
              <w:right w:val="single" w:sz="4" w:space="0" w:color="auto"/>
            </w:tcBorders>
            <w:shd w:val="clear" w:color="auto" w:fill="auto"/>
            <w:noWrap/>
            <w:vAlign w:val="bottom"/>
            <w:hideMark/>
          </w:tcPr>
          <w:p w14:paraId="632E0C00"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32.151</w:t>
            </w:r>
          </w:p>
        </w:tc>
        <w:tc>
          <w:tcPr>
            <w:tcW w:w="1012" w:type="dxa"/>
            <w:tcBorders>
              <w:top w:val="nil"/>
              <w:left w:val="nil"/>
              <w:bottom w:val="single" w:sz="4" w:space="0" w:color="auto"/>
              <w:right w:val="single" w:sz="4" w:space="0" w:color="auto"/>
            </w:tcBorders>
            <w:shd w:val="clear" w:color="auto" w:fill="auto"/>
            <w:noWrap/>
            <w:vAlign w:val="bottom"/>
            <w:hideMark/>
          </w:tcPr>
          <w:p w14:paraId="788F34F0"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31.3472</w:t>
            </w:r>
          </w:p>
        </w:tc>
        <w:tc>
          <w:tcPr>
            <w:tcW w:w="1012" w:type="dxa"/>
            <w:tcBorders>
              <w:top w:val="nil"/>
              <w:left w:val="nil"/>
              <w:bottom w:val="single" w:sz="4" w:space="0" w:color="auto"/>
              <w:right w:val="single" w:sz="4" w:space="0" w:color="auto"/>
            </w:tcBorders>
            <w:shd w:val="clear" w:color="auto" w:fill="auto"/>
            <w:noWrap/>
            <w:vAlign w:val="bottom"/>
            <w:hideMark/>
          </w:tcPr>
          <w:p w14:paraId="28EECC55"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28.4966</w:t>
            </w:r>
          </w:p>
        </w:tc>
        <w:tc>
          <w:tcPr>
            <w:tcW w:w="1012" w:type="dxa"/>
            <w:tcBorders>
              <w:top w:val="nil"/>
              <w:left w:val="nil"/>
              <w:bottom w:val="single" w:sz="4" w:space="0" w:color="auto"/>
              <w:right w:val="single" w:sz="4" w:space="0" w:color="auto"/>
            </w:tcBorders>
            <w:shd w:val="clear" w:color="auto" w:fill="auto"/>
            <w:noWrap/>
            <w:vAlign w:val="bottom"/>
            <w:hideMark/>
          </w:tcPr>
          <w:p w14:paraId="6C219724"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8.5014</w:t>
            </w:r>
          </w:p>
        </w:tc>
        <w:tc>
          <w:tcPr>
            <w:tcW w:w="1521" w:type="dxa"/>
            <w:tcBorders>
              <w:top w:val="nil"/>
              <w:left w:val="nil"/>
              <w:bottom w:val="single" w:sz="4" w:space="0" w:color="auto"/>
              <w:right w:val="single" w:sz="4" w:space="0" w:color="auto"/>
            </w:tcBorders>
            <w:shd w:val="clear" w:color="auto" w:fill="auto"/>
            <w:noWrap/>
            <w:vAlign w:val="bottom"/>
            <w:hideMark/>
          </w:tcPr>
          <w:p w14:paraId="5FB03E1B" w14:textId="77777777" w:rsidR="00DB25BB" w:rsidRPr="00716B90" w:rsidRDefault="00DB25BB" w:rsidP="00DB25BB">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31.6294</w:t>
            </w:r>
          </w:p>
        </w:tc>
      </w:tr>
    </w:tbl>
    <w:p w14:paraId="7A7C83C0" w14:textId="6148A1B5" w:rsidR="002714FD" w:rsidRPr="00716B90" w:rsidRDefault="00BA4C73" w:rsidP="00BA4C73">
      <w:pPr>
        <w:jc w:val="center"/>
        <w:rPr>
          <w:rFonts w:ascii="Calibri" w:hAnsi="Calibri" w:cs="Calibri"/>
          <w:lang w:val="en-US"/>
        </w:rPr>
      </w:pPr>
      <w:r>
        <w:rPr>
          <w:rFonts w:ascii="Calibri" w:hAnsi="Calibri" w:cs="Calibri"/>
          <w:lang w:val="en-US"/>
        </w:rPr>
        <w:t>(Source: Macrotrends, 2024)</w:t>
      </w:r>
    </w:p>
    <w:p w14:paraId="72B3DAA0" w14:textId="1B74E9EC" w:rsidR="007E1F1A" w:rsidRPr="00716B90" w:rsidRDefault="00B30C5F" w:rsidP="00B30C5F">
      <w:pPr>
        <w:pStyle w:val="Heading3"/>
        <w:rPr>
          <w:rFonts w:ascii="Calibri" w:hAnsi="Calibri" w:cs="Calibri"/>
          <w:sz w:val="24"/>
          <w:szCs w:val="24"/>
          <w:lang w:val="en-US"/>
        </w:rPr>
      </w:pPr>
      <w:bookmarkStart w:id="4" w:name="_Toc175126633"/>
      <w:r w:rsidRPr="00716B90">
        <w:rPr>
          <w:rFonts w:ascii="Calibri" w:hAnsi="Calibri" w:cs="Calibri"/>
          <w:sz w:val="24"/>
          <w:szCs w:val="24"/>
          <w:lang w:val="en-US"/>
        </w:rPr>
        <w:t>2.1.1. Gross Profit Margin.</w:t>
      </w:r>
      <w:bookmarkEnd w:id="4"/>
    </w:p>
    <w:p w14:paraId="53078FD1" w14:textId="274EC883" w:rsidR="008B7610" w:rsidRPr="00716B90" w:rsidRDefault="00505EFE" w:rsidP="008B7610">
      <w:pPr>
        <w:jc w:val="both"/>
        <w:rPr>
          <w:rFonts w:ascii="Calibri" w:eastAsia="Times New Roman" w:hAnsi="Calibri" w:cs="Calibri"/>
          <w:kern w:val="0"/>
          <w:lang w:eastAsia="en-GB"/>
          <w14:ligatures w14:val="none"/>
        </w:rPr>
      </w:pPr>
      <w:r w:rsidRPr="00716B90">
        <w:rPr>
          <w:rFonts w:ascii="Calibri" w:hAnsi="Calibri" w:cs="Calibri"/>
          <w:lang w:val="en-US"/>
        </w:rPr>
        <w:tab/>
      </w:r>
      <w:r w:rsidR="008B7610" w:rsidRPr="00716B90">
        <w:rPr>
          <w:rFonts w:ascii="Calibri" w:eastAsia="Times New Roman" w:hAnsi="Calibri" w:cs="Calibri"/>
          <w:kern w:val="0"/>
          <w:lang w:eastAsia="en-GB"/>
          <w14:ligatures w14:val="none"/>
        </w:rPr>
        <w:t xml:space="preserve">The fraction of the sale that stays after the organization has paid for its products is known as the gross profit margin. Therefore, a business's large gross profit margin (GPM) could be </w:t>
      </w:r>
      <w:r w:rsidR="001972BC" w:rsidRPr="00716B90">
        <w:rPr>
          <w:rFonts w:ascii="Calibri" w:eastAsia="Times New Roman" w:hAnsi="Calibri" w:cs="Calibri"/>
          <w:kern w:val="0"/>
          <w:lang w:eastAsia="en-GB"/>
          <w14:ligatures w14:val="none"/>
        </w:rPr>
        <w:t>favourable</w:t>
      </w:r>
      <w:r w:rsidR="008B7610" w:rsidRPr="00716B90">
        <w:rPr>
          <w:rFonts w:ascii="Calibri" w:eastAsia="Times New Roman" w:hAnsi="Calibri" w:cs="Calibri"/>
          <w:kern w:val="0"/>
          <w:lang w:eastAsia="en-GB"/>
          <w14:ligatures w14:val="none"/>
        </w:rPr>
        <w:t xml:space="preserve"> given that it means that the overall cost of selling products is low</w:t>
      </w:r>
      <w:r w:rsidR="00CE278C" w:rsidRPr="00716B90">
        <w:rPr>
          <w:rFonts w:ascii="Calibri" w:eastAsia="Times New Roman" w:hAnsi="Calibri" w:cs="Calibri"/>
          <w:kern w:val="0"/>
          <w:lang w:eastAsia="en-GB"/>
          <w14:ligatures w14:val="none"/>
        </w:rPr>
        <w:t xml:space="preserve"> </w:t>
      </w:r>
      <w:r w:rsidR="00164BE2" w:rsidRPr="00716B90">
        <w:rPr>
          <w:rFonts w:ascii="Calibri" w:eastAsia="Times New Roman" w:hAnsi="Calibri" w:cs="Calibri"/>
          <w:kern w:val="0"/>
          <w:lang w:eastAsia="en-GB"/>
          <w14:ligatures w14:val="none"/>
        </w:rPr>
        <w:t>(</w:t>
      </w:r>
      <w:proofErr w:type="spellStart"/>
      <w:r w:rsidR="00B31832" w:rsidRPr="00716B90">
        <w:rPr>
          <w:rFonts w:ascii="Calibri" w:hAnsi="Calibri" w:cs="Calibri"/>
        </w:rPr>
        <w:t>Nariswari</w:t>
      </w:r>
      <w:proofErr w:type="spellEnd"/>
      <w:r w:rsidR="00164BE2" w:rsidRPr="00716B90">
        <w:rPr>
          <w:rFonts w:ascii="Calibri" w:hAnsi="Calibri" w:cs="Calibri"/>
        </w:rPr>
        <w:t xml:space="preserve"> </w:t>
      </w:r>
      <w:r w:rsidR="00B31832" w:rsidRPr="00716B90">
        <w:rPr>
          <w:rFonts w:ascii="Calibri" w:hAnsi="Calibri" w:cs="Calibri"/>
        </w:rPr>
        <w:t>and Nugraha</w:t>
      </w:r>
      <w:r w:rsidR="00164BE2" w:rsidRPr="00716B90">
        <w:rPr>
          <w:rFonts w:ascii="Calibri" w:hAnsi="Calibri" w:cs="Calibri"/>
        </w:rPr>
        <w:t xml:space="preserve"> </w:t>
      </w:r>
      <w:r w:rsidR="00B31832" w:rsidRPr="00716B90">
        <w:rPr>
          <w:rFonts w:ascii="Calibri" w:hAnsi="Calibri" w:cs="Calibri"/>
        </w:rPr>
        <w:t>2020)</w:t>
      </w:r>
      <w:r w:rsidR="00164BE2" w:rsidRPr="00716B90">
        <w:rPr>
          <w:rFonts w:ascii="Calibri" w:hAnsi="Calibri" w:cs="Calibri"/>
        </w:rPr>
        <w:t>.</w:t>
      </w:r>
      <w:r w:rsidR="00727F75" w:rsidRPr="00716B90">
        <w:rPr>
          <w:rFonts w:ascii="Calibri" w:hAnsi="Calibri" w:cs="Calibri"/>
        </w:rPr>
        <w:t xml:space="preserve"> The gross profit margin formula is shown below:</w:t>
      </w:r>
    </w:p>
    <w:p w14:paraId="737C23AC" w14:textId="6D6BC937" w:rsidR="00E15937" w:rsidRPr="00716B90" w:rsidRDefault="00E15937" w:rsidP="00E15937">
      <w:pPr>
        <w:jc w:val="center"/>
        <w:rPr>
          <w:rFonts w:ascii="Calibri" w:hAnsi="Calibri" w:cs="Calibri"/>
          <w:b/>
          <w:bCs/>
        </w:rPr>
      </w:pPr>
      <w:r w:rsidRPr="00716B90">
        <w:rPr>
          <w:rFonts w:ascii="Calibri" w:hAnsi="Calibri" w:cs="Calibri"/>
          <w:lang w:val="en-US"/>
        </w:rPr>
        <w:tab/>
      </w:r>
      <w:r w:rsidRPr="00716B90">
        <w:rPr>
          <w:rFonts w:ascii="Calibri" w:hAnsi="Calibri" w:cs="Calibri"/>
          <w:b/>
          <w:bCs/>
        </w:rPr>
        <w:t>Gross Profit Margin = (Gross Profit / Revenue)​ × 100</w:t>
      </w:r>
    </w:p>
    <w:p w14:paraId="3CF6BA05" w14:textId="6DE4514C" w:rsidR="00902956" w:rsidRPr="00716B90" w:rsidRDefault="008B7610" w:rsidP="00902956">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A1380D" w:rsidRPr="00716B90">
        <w:rPr>
          <w:rFonts w:ascii="Calibri" w:eastAsia="Times New Roman" w:hAnsi="Calibri" w:cs="Calibri"/>
          <w:kern w:val="0"/>
          <w:lang w:eastAsia="en-GB"/>
          <w14:ligatures w14:val="none"/>
        </w:rPr>
        <w:t xml:space="preserve">P&amp;G keeps a steady gross profit margin of about fifty percent over the last five years, </w:t>
      </w:r>
      <w:r w:rsidR="006512E3" w:rsidRPr="00716B90">
        <w:rPr>
          <w:rFonts w:ascii="Calibri" w:eastAsia="Times New Roman" w:hAnsi="Calibri" w:cs="Calibri"/>
          <w:kern w:val="0"/>
          <w:lang w:eastAsia="en-GB"/>
          <w14:ligatures w14:val="none"/>
        </w:rPr>
        <w:t>which</w:t>
      </w:r>
      <w:r w:rsidR="00A1380D" w:rsidRPr="00716B90">
        <w:rPr>
          <w:rFonts w:ascii="Calibri" w:eastAsia="Times New Roman" w:hAnsi="Calibri" w:cs="Calibri"/>
          <w:kern w:val="0"/>
          <w:lang w:eastAsia="en-GB"/>
          <w14:ligatures w14:val="none"/>
        </w:rPr>
        <w:t xml:space="preserve"> makes it an ideal margin</w:t>
      </w:r>
      <w:r w:rsidR="00A42A78" w:rsidRPr="00716B90">
        <w:rPr>
          <w:rFonts w:ascii="Calibri" w:eastAsia="Times New Roman" w:hAnsi="Calibri" w:cs="Calibri"/>
          <w:kern w:val="0"/>
          <w:lang w:eastAsia="en-GB"/>
          <w14:ligatures w14:val="none"/>
        </w:rPr>
        <w:t xml:space="preserve"> (W</w:t>
      </w:r>
      <w:r w:rsidR="00586061" w:rsidRPr="00716B90">
        <w:rPr>
          <w:rFonts w:ascii="Calibri" w:eastAsia="Times New Roman" w:hAnsi="Calibri" w:cs="Calibri"/>
          <w:kern w:val="0"/>
          <w:lang w:eastAsia="en-GB"/>
          <w14:ligatures w14:val="none"/>
        </w:rPr>
        <w:t>ang, 2022</w:t>
      </w:r>
      <w:r w:rsidR="00A42A78" w:rsidRPr="00716B90">
        <w:rPr>
          <w:rFonts w:ascii="Calibri" w:eastAsia="Times New Roman" w:hAnsi="Calibri" w:cs="Calibri"/>
          <w:kern w:val="0"/>
          <w:lang w:eastAsia="en-GB"/>
          <w14:ligatures w14:val="none"/>
        </w:rPr>
        <w:t>)</w:t>
      </w:r>
      <w:r w:rsidR="00586061" w:rsidRPr="00716B90">
        <w:rPr>
          <w:rFonts w:ascii="Calibri" w:eastAsia="Times New Roman" w:hAnsi="Calibri" w:cs="Calibri"/>
          <w:kern w:val="0"/>
          <w:lang w:eastAsia="en-GB"/>
          <w14:ligatures w14:val="none"/>
        </w:rPr>
        <w:t>.</w:t>
      </w:r>
      <w:r w:rsidR="00A1380D" w:rsidRPr="00716B90">
        <w:rPr>
          <w:rFonts w:ascii="Calibri" w:eastAsia="Times New Roman" w:hAnsi="Calibri" w:cs="Calibri"/>
          <w:kern w:val="0"/>
          <w:lang w:eastAsia="en-GB"/>
          <w14:ligatures w14:val="none"/>
        </w:rPr>
        <w:t xml:space="preserve"> </w:t>
      </w:r>
      <w:r w:rsidR="0053497C" w:rsidRPr="00716B90">
        <w:rPr>
          <w:rFonts w:ascii="Calibri" w:eastAsia="Times New Roman" w:hAnsi="Calibri" w:cs="Calibri"/>
          <w:kern w:val="0"/>
          <w:lang w:eastAsia="en-GB"/>
          <w14:ligatures w14:val="none"/>
        </w:rPr>
        <w:t>Even as prices continued to fall in America, the firm's profit margin remained higher than displayed, as reported by experts. Profit margins continued robust in European markets, which aided P&amp;G's performance</w:t>
      </w:r>
      <w:r w:rsidR="00921515" w:rsidRPr="00716B90">
        <w:rPr>
          <w:rFonts w:ascii="Calibri" w:eastAsia="Times New Roman" w:hAnsi="Calibri" w:cs="Calibri"/>
          <w:kern w:val="0"/>
          <w:lang w:eastAsia="en-GB"/>
          <w14:ligatures w14:val="none"/>
        </w:rPr>
        <w:t xml:space="preserve"> (Rajesh, 2024)</w:t>
      </w:r>
      <w:r w:rsidR="00D72262" w:rsidRPr="00716B90">
        <w:rPr>
          <w:rFonts w:ascii="Calibri" w:eastAsia="Times New Roman" w:hAnsi="Calibri" w:cs="Calibri"/>
          <w:kern w:val="0"/>
          <w:lang w:eastAsia="en-GB"/>
          <w14:ligatures w14:val="none"/>
        </w:rPr>
        <w:t>, in</w:t>
      </w:r>
      <w:r w:rsidR="00DB4835" w:rsidRPr="00716B90">
        <w:rPr>
          <w:rFonts w:ascii="Calibri" w:eastAsia="Times New Roman" w:hAnsi="Calibri" w:cs="Calibri"/>
          <w:kern w:val="0"/>
          <w:lang w:eastAsia="en-GB"/>
          <w14:ligatures w14:val="none"/>
        </w:rPr>
        <w:t xml:space="preserve"> the past five years, P&amp;G’s gross </w:t>
      </w:r>
      <w:r w:rsidR="00B04FB6" w:rsidRPr="00716B90">
        <w:rPr>
          <w:rFonts w:ascii="Calibri" w:eastAsia="Times New Roman" w:hAnsi="Calibri" w:cs="Calibri"/>
          <w:kern w:val="0"/>
          <w:lang w:eastAsia="en-GB"/>
          <w14:ligatures w14:val="none"/>
        </w:rPr>
        <w:t xml:space="preserve">profit margin varied </w:t>
      </w:r>
      <w:r w:rsidR="00902956" w:rsidRPr="00716B90">
        <w:rPr>
          <w:rFonts w:ascii="Calibri" w:eastAsia="Times New Roman" w:hAnsi="Calibri" w:cs="Calibri"/>
          <w:kern w:val="0"/>
          <w:lang w:eastAsia="en-GB"/>
          <w14:ligatures w14:val="none"/>
        </w:rPr>
        <w:t>between</w:t>
      </w:r>
      <w:r w:rsidR="00B04FB6" w:rsidRPr="00716B90">
        <w:rPr>
          <w:rFonts w:ascii="Calibri" w:eastAsia="Times New Roman" w:hAnsi="Calibri" w:cs="Calibri"/>
          <w:kern w:val="0"/>
          <w:lang w:eastAsia="en-GB"/>
          <w14:ligatures w14:val="none"/>
        </w:rPr>
        <w:t xml:space="preserve"> 47.43</w:t>
      </w:r>
      <w:r w:rsidR="001D0896" w:rsidRPr="00716B90">
        <w:rPr>
          <w:rFonts w:ascii="Calibri" w:eastAsia="Times New Roman" w:hAnsi="Calibri" w:cs="Calibri"/>
          <w:kern w:val="0"/>
          <w:lang w:eastAsia="en-GB"/>
          <w14:ligatures w14:val="none"/>
        </w:rPr>
        <w:t>%</w:t>
      </w:r>
      <w:r w:rsidR="0023356C" w:rsidRPr="00716B90">
        <w:rPr>
          <w:rFonts w:ascii="Calibri" w:eastAsia="Times New Roman" w:hAnsi="Calibri" w:cs="Calibri"/>
          <w:kern w:val="0"/>
          <w:lang w:eastAsia="en-GB"/>
          <w14:ligatures w14:val="none"/>
        </w:rPr>
        <w:t xml:space="preserve"> and 51.25</w:t>
      </w:r>
      <w:r w:rsidR="001D0896" w:rsidRPr="00716B90">
        <w:rPr>
          <w:rFonts w:ascii="Calibri" w:eastAsia="Times New Roman" w:hAnsi="Calibri" w:cs="Calibri"/>
          <w:kern w:val="0"/>
          <w:lang w:eastAsia="en-GB"/>
          <w14:ligatures w14:val="none"/>
        </w:rPr>
        <w:t>%</w:t>
      </w:r>
      <w:r w:rsidR="0023356C" w:rsidRPr="00716B90">
        <w:rPr>
          <w:rFonts w:ascii="Calibri" w:eastAsia="Times New Roman" w:hAnsi="Calibri" w:cs="Calibri"/>
          <w:kern w:val="0"/>
          <w:lang w:eastAsia="en-GB"/>
          <w14:ligatures w14:val="none"/>
        </w:rPr>
        <w:t>, reflecting relatively excellent cost control and market strength. However, there is an apparent decrease from 51.25</w:t>
      </w:r>
      <w:r w:rsidR="00CE1EAF" w:rsidRPr="00716B90">
        <w:rPr>
          <w:rFonts w:ascii="Calibri" w:eastAsia="Times New Roman" w:hAnsi="Calibri" w:cs="Calibri"/>
          <w:kern w:val="0"/>
          <w:lang w:eastAsia="en-GB"/>
          <w14:ligatures w14:val="none"/>
        </w:rPr>
        <w:t>%</w:t>
      </w:r>
      <w:r w:rsidR="0023356C" w:rsidRPr="00716B90">
        <w:rPr>
          <w:rFonts w:ascii="Calibri" w:eastAsia="Times New Roman" w:hAnsi="Calibri" w:cs="Calibri"/>
          <w:kern w:val="0"/>
          <w:lang w:eastAsia="en-GB"/>
          <w14:ligatures w14:val="none"/>
        </w:rPr>
        <w:t xml:space="preserve"> in 2021 to 47.86</w:t>
      </w:r>
      <w:r w:rsidR="00CE1EAF" w:rsidRPr="00716B90">
        <w:rPr>
          <w:rFonts w:ascii="Calibri" w:eastAsia="Times New Roman" w:hAnsi="Calibri" w:cs="Calibri"/>
          <w:kern w:val="0"/>
          <w:lang w:eastAsia="en-GB"/>
          <w14:ligatures w14:val="none"/>
        </w:rPr>
        <w:t>%</w:t>
      </w:r>
      <w:r w:rsidR="0023356C" w:rsidRPr="00716B90">
        <w:rPr>
          <w:rFonts w:ascii="Calibri" w:eastAsia="Times New Roman" w:hAnsi="Calibri" w:cs="Calibri"/>
          <w:kern w:val="0"/>
          <w:lang w:eastAsia="en-GB"/>
          <w14:ligatures w14:val="none"/>
        </w:rPr>
        <w:t xml:space="preserve"> in 2021</w:t>
      </w:r>
      <w:r w:rsidR="00902956" w:rsidRPr="00716B90">
        <w:rPr>
          <w:rFonts w:ascii="Calibri" w:eastAsia="Times New Roman" w:hAnsi="Calibri" w:cs="Calibri"/>
          <w:kern w:val="0"/>
          <w:lang w:eastAsia="en-GB"/>
          <w14:ligatures w14:val="none"/>
        </w:rPr>
        <w:t>, that may be due to increased pressure on expenditures or challenges with keeping prices higher.</w:t>
      </w:r>
      <w:r w:rsidR="008837FA" w:rsidRPr="00716B90">
        <w:rPr>
          <w:rFonts w:ascii="Calibri" w:eastAsia="Times New Roman" w:hAnsi="Calibri" w:cs="Calibri"/>
          <w:kern w:val="0"/>
          <w:lang w:eastAsia="en-GB"/>
          <w14:ligatures w14:val="none"/>
        </w:rPr>
        <w:t xml:space="preserve"> In the year 2023 the Nestle company has </w:t>
      </w:r>
      <w:r w:rsidR="0014267D" w:rsidRPr="00716B90">
        <w:rPr>
          <w:rFonts w:ascii="Calibri" w:eastAsia="Times New Roman" w:hAnsi="Calibri" w:cs="Calibri"/>
          <w:kern w:val="0"/>
          <w:lang w:eastAsia="en-GB"/>
          <w14:ligatures w14:val="none"/>
        </w:rPr>
        <w:t>a gross profit margin of 46.09</w:t>
      </w:r>
      <w:r w:rsidR="00CE1EAF" w:rsidRPr="00716B90">
        <w:rPr>
          <w:rFonts w:ascii="Calibri" w:eastAsia="Times New Roman" w:hAnsi="Calibri" w:cs="Calibri"/>
          <w:kern w:val="0"/>
          <w:lang w:eastAsia="en-GB"/>
          <w14:ligatures w14:val="none"/>
        </w:rPr>
        <w:t>%</w:t>
      </w:r>
      <w:r w:rsidR="0014267D" w:rsidRPr="00716B90">
        <w:rPr>
          <w:rFonts w:ascii="Calibri" w:eastAsia="Times New Roman" w:hAnsi="Calibri" w:cs="Calibri"/>
          <w:kern w:val="0"/>
          <w:lang w:eastAsia="en-GB"/>
          <w14:ligatures w14:val="none"/>
        </w:rPr>
        <w:t xml:space="preserve"> which is slightly less than P&amp;G company. </w:t>
      </w:r>
    </w:p>
    <w:p w14:paraId="5562490B" w14:textId="3CDE0673" w:rsidR="004A6060" w:rsidRPr="00716B90" w:rsidRDefault="00E22148" w:rsidP="00902956">
      <w:pPr>
        <w:jc w:val="both"/>
        <w:rPr>
          <w:rFonts w:ascii="Calibri" w:hAnsi="Calibri" w:cs="Calibri"/>
        </w:rPr>
      </w:pPr>
      <w:r w:rsidRPr="00716B90">
        <w:rPr>
          <w:rFonts w:ascii="Calibri" w:eastAsia="Times New Roman" w:hAnsi="Calibri" w:cs="Calibri"/>
          <w:kern w:val="0"/>
          <w:lang w:eastAsia="en-GB"/>
          <w14:ligatures w14:val="none"/>
        </w:rPr>
        <w:tab/>
      </w:r>
      <w:r w:rsidR="007E3B19" w:rsidRPr="00716B90">
        <w:rPr>
          <w:rFonts w:ascii="Calibri" w:eastAsia="Times New Roman" w:hAnsi="Calibri" w:cs="Calibri"/>
          <w:kern w:val="0"/>
          <w:lang w:eastAsia="en-GB"/>
          <w14:ligatures w14:val="none"/>
        </w:rPr>
        <w:t xml:space="preserve">P&amp;G </w:t>
      </w:r>
      <w:r w:rsidR="006512E3" w:rsidRPr="00716B90">
        <w:rPr>
          <w:rFonts w:ascii="Calibri" w:eastAsia="Times New Roman" w:hAnsi="Calibri" w:cs="Calibri"/>
          <w:kern w:val="0"/>
          <w:lang w:eastAsia="en-GB"/>
          <w14:ligatures w14:val="none"/>
        </w:rPr>
        <w:t>has</w:t>
      </w:r>
      <w:r w:rsidR="007E3B19" w:rsidRPr="00716B90">
        <w:rPr>
          <w:rFonts w:ascii="Calibri" w:eastAsia="Times New Roman" w:hAnsi="Calibri" w:cs="Calibri"/>
          <w:kern w:val="0"/>
          <w:lang w:eastAsia="en-GB"/>
          <w14:ligatures w14:val="none"/>
        </w:rPr>
        <w:t xml:space="preserve"> frequently topped Nestle in terms of Gross profit margin, demonstrating stronger pricing strength or cost control. On the flip side, the recent drop in P&amp;G's margins can be a warning of impending concerns like growing prices for raw materials or </w:t>
      </w:r>
      <w:r w:rsidR="006512E3" w:rsidRPr="00716B90">
        <w:rPr>
          <w:rFonts w:ascii="Calibri" w:eastAsia="Times New Roman" w:hAnsi="Calibri" w:cs="Calibri"/>
          <w:kern w:val="0"/>
          <w:lang w:eastAsia="en-GB"/>
          <w14:ligatures w14:val="none"/>
        </w:rPr>
        <w:t>threats</w:t>
      </w:r>
      <w:r w:rsidR="007E3B19" w:rsidRPr="00716B90">
        <w:rPr>
          <w:rFonts w:ascii="Calibri" w:eastAsia="Times New Roman" w:hAnsi="Calibri" w:cs="Calibri"/>
          <w:kern w:val="0"/>
          <w:lang w:eastAsia="en-GB"/>
          <w14:ligatures w14:val="none"/>
        </w:rPr>
        <w:t xml:space="preserve"> from competitors to lower prices.</w:t>
      </w:r>
    </w:p>
    <w:p w14:paraId="00BE60E4" w14:textId="60A29908" w:rsidR="00505EFE" w:rsidRPr="00716B90" w:rsidRDefault="0023356C" w:rsidP="002F3A9C">
      <w:pPr>
        <w:pStyle w:val="Heading3"/>
        <w:rPr>
          <w:rFonts w:ascii="Calibri" w:hAnsi="Calibri" w:cs="Calibri"/>
          <w:sz w:val="24"/>
          <w:szCs w:val="24"/>
          <w:lang w:val="en-US"/>
        </w:rPr>
      </w:pPr>
      <w:r w:rsidRPr="00716B90">
        <w:rPr>
          <w:rFonts w:ascii="Calibri" w:hAnsi="Calibri" w:cs="Calibri"/>
          <w:sz w:val="24"/>
          <w:szCs w:val="24"/>
          <w:lang w:val="en-US"/>
        </w:rPr>
        <w:t xml:space="preserve"> </w:t>
      </w:r>
      <w:bookmarkStart w:id="5" w:name="_Toc175126634"/>
      <w:r w:rsidR="002F3A9C" w:rsidRPr="00716B90">
        <w:rPr>
          <w:rFonts w:ascii="Calibri" w:hAnsi="Calibri" w:cs="Calibri"/>
          <w:sz w:val="24"/>
          <w:szCs w:val="24"/>
          <w:lang w:val="en-US"/>
        </w:rPr>
        <w:t>2.1.2. Net Profit Margin.</w:t>
      </w:r>
      <w:bookmarkEnd w:id="5"/>
      <w:r w:rsidR="002F3A9C" w:rsidRPr="00716B90">
        <w:rPr>
          <w:rFonts w:ascii="Calibri" w:hAnsi="Calibri" w:cs="Calibri"/>
          <w:sz w:val="24"/>
          <w:szCs w:val="24"/>
          <w:lang w:val="en-US"/>
        </w:rPr>
        <w:t xml:space="preserve"> </w:t>
      </w:r>
    </w:p>
    <w:p w14:paraId="091A0109" w14:textId="30993AF7" w:rsidR="00E15937" w:rsidRPr="00716B90" w:rsidRDefault="000637E3" w:rsidP="00925926">
      <w:pPr>
        <w:jc w:val="both"/>
        <w:rPr>
          <w:rFonts w:ascii="Calibri" w:hAnsi="Calibri" w:cs="Calibri"/>
        </w:rPr>
      </w:pPr>
      <w:r w:rsidRPr="00716B90">
        <w:rPr>
          <w:rFonts w:ascii="Calibri" w:hAnsi="Calibri" w:cs="Calibri"/>
        </w:rPr>
        <w:tab/>
      </w:r>
      <w:r w:rsidR="00515837" w:rsidRPr="00716B90">
        <w:rPr>
          <w:rFonts w:ascii="Calibri" w:hAnsi="Calibri" w:cs="Calibri"/>
        </w:rPr>
        <w:t xml:space="preserve">The ratio of net profit (Net Profit), or sales without </w:t>
      </w:r>
      <w:r w:rsidR="00925926" w:rsidRPr="00716B90">
        <w:rPr>
          <w:rFonts w:ascii="Calibri" w:hAnsi="Calibri" w:cs="Calibri"/>
        </w:rPr>
        <w:t>other expenses along with taxes, to sales</w:t>
      </w:r>
      <w:r w:rsidR="006512E3" w:rsidRPr="00716B90">
        <w:rPr>
          <w:rFonts w:ascii="Calibri" w:hAnsi="Calibri" w:cs="Calibri"/>
        </w:rPr>
        <w:t>,</w:t>
      </w:r>
      <w:r w:rsidR="00925926" w:rsidRPr="00716B90">
        <w:rPr>
          <w:rFonts w:ascii="Calibri" w:hAnsi="Calibri" w:cs="Calibri"/>
        </w:rPr>
        <w:t xml:space="preserve"> is known as net profit margin (NPM), the performance of </w:t>
      </w:r>
      <w:r w:rsidR="006512E3" w:rsidRPr="00716B90">
        <w:rPr>
          <w:rFonts w:ascii="Calibri" w:hAnsi="Calibri" w:cs="Calibri"/>
        </w:rPr>
        <w:t>an</w:t>
      </w:r>
      <w:r w:rsidR="00925926" w:rsidRPr="00716B90">
        <w:rPr>
          <w:rFonts w:ascii="Calibri" w:hAnsi="Calibri" w:cs="Calibri"/>
        </w:rPr>
        <w:t xml:space="preserve"> organization is better </w:t>
      </w:r>
      <w:r w:rsidR="00672EC0" w:rsidRPr="00716B90">
        <w:rPr>
          <w:rFonts w:ascii="Calibri" w:hAnsi="Calibri" w:cs="Calibri"/>
        </w:rPr>
        <w:t>when they have higher net profit margins</w:t>
      </w:r>
      <w:r w:rsidR="00882CAA" w:rsidRPr="00716B90">
        <w:rPr>
          <w:rFonts w:ascii="Calibri" w:hAnsi="Calibri" w:cs="Calibri"/>
        </w:rPr>
        <w:t xml:space="preserve"> (Su</w:t>
      </w:r>
      <w:r w:rsidR="00AF6D40" w:rsidRPr="00716B90">
        <w:rPr>
          <w:rFonts w:ascii="Calibri" w:hAnsi="Calibri" w:cs="Calibri"/>
        </w:rPr>
        <w:t>naryo, 2020</w:t>
      </w:r>
      <w:r w:rsidR="00882CAA" w:rsidRPr="00716B90">
        <w:rPr>
          <w:rFonts w:ascii="Calibri" w:hAnsi="Calibri" w:cs="Calibri"/>
        </w:rPr>
        <w:t>).</w:t>
      </w:r>
      <w:r w:rsidR="005F3C8D" w:rsidRPr="00716B90">
        <w:rPr>
          <w:rFonts w:ascii="Calibri" w:hAnsi="Calibri" w:cs="Calibri"/>
        </w:rPr>
        <w:t xml:space="preserve"> The below formula shows how to calculate the net profit margin:</w:t>
      </w:r>
    </w:p>
    <w:p w14:paraId="354B7A67" w14:textId="1127A912" w:rsidR="00DD400F" w:rsidRPr="00716B90" w:rsidRDefault="005954E3" w:rsidP="005336A2">
      <w:pPr>
        <w:jc w:val="center"/>
        <w:rPr>
          <w:rFonts w:ascii="Calibri" w:hAnsi="Calibri" w:cs="Calibri"/>
          <w:b/>
          <w:bCs/>
        </w:rPr>
      </w:pPr>
      <w:r w:rsidRPr="00716B90">
        <w:rPr>
          <w:rFonts w:ascii="Calibri" w:hAnsi="Calibri" w:cs="Calibri"/>
          <w:b/>
          <w:bCs/>
        </w:rPr>
        <w:t>Net Profit Margin = (</w:t>
      </w:r>
      <w:r w:rsidR="002034FA" w:rsidRPr="00716B90">
        <w:rPr>
          <w:rFonts w:ascii="Calibri" w:hAnsi="Calibri" w:cs="Calibri"/>
          <w:b/>
          <w:bCs/>
        </w:rPr>
        <w:t>Net Income</w:t>
      </w:r>
      <w:r w:rsidR="00004550" w:rsidRPr="00716B90">
        <w:rPr>
          <w:rFonts w:ascii="Calibri" w:hAnsi="Calibri" w:cs="Calibri"/>
          <w:b/>
          <w:bCs/>
        </w:rPr>
        <w:t xml:space="preserve"> </w:t>
      </w:r>
      <w:r w:rsidR="002034FA" w:rsidRPr="00716B90">
        <w:rPr>
          <w:rFonts w:ascii="Calibri" w:hAnsi="Calibri" w:cs="Calibri"/>
          <w:b/>
          <w:bCs/>
        </w:rPr>
        <w:t>/</w:t>
      </w:r>
      <w:r w:rsidR="00004550" w:rsidRPr="00716B90">
        <w:rPr>
          <w:rFonts w:ascii="Calibri" w:hAnsi="Calibri" w:cs="Calibri"/>
          <w:b/>
          <w:bCs/>
        </w:rPr>
        <w:t xml:space="preserve"> </w:t>
      </w:r>
      <w:r w:rsidR="0034312F" w:rsidRPr="00716B90">
        <w:rPr>
          <w:rFonts w:ascii="Calibri" w:hAnsi="Calibri" w:cs="Calibri"/>
          <w:b/>
          <w:bCs/>
        </w:rPr>
        <w:t>Revenue) x</w:t>
      </w:r>
      <w:r w:rsidR="00870EB0" w:rsidRPr="00716B90">
        <w:rPr>
          <w:rFonts w:ascii="Calibri" w:hAnsi="Calibri" w:cs="Calibri"/>
          <w:b/>
          <w:bCs/>
        </w:rPr>
        <w:t xml:space="preserve"> </w:t>
      </w:r>
      <w:r w:rsidR="002034FA" w:rsidRPr="00716B90">
        <w:rPr>
          <w:rFonts w:ascii="Calibri" w:hAnsi="Calibri" w:cs="Calibri"/>
          <w:b/>
          <w:bCs/>
        </w:rPr>
        <w:t>100</w:t>
      </w:r>
    </w:p>
    <w:p w14:paraId="532ECF4E" w14:textId="6E490B4F" w:rsidR="00B30C5F" w:rsidRPr="00716B90" w:rsidRDefault="00DD400F" w:rsidP="007E3B19">
      <w:pPr>
        <w:jc w:val="both"/>
        <w:rPr>
          <w:rFonts w:ascii="Calibri" w:hAnsi="Calibri" w:cs="Calibri"/>
        </w:rPr>
      </w:pPr>
      <w:r w:rsidRPr="00716B90">
        <w:rPr>
          <w:rFonts w:ascii="Calibri" w:hAnsi="Calibri" w:cs="Calibri"/>
          <w:lang w:val="en-US"/>
        </w:rPr>
        <w:tab/>
      </w:r>
      <w:r w:rsidR="007E3B19" w:rsidRPr="00716B90">
        <w:rPr>
          <w:rFonts w:ascii="Calibri" w:hAnsi="Calibri" w:cs="Calibri"/>
        </w:rPr>
        <w:t xml:space="preserve"> </w:t>
      </w:r>
      <w:r w:rsidR="009E59BE" w:rsidRPr="00716B90">
        <w:rPr>
          <w:rFonts w:ascii="Calibri" w:eastAsia="Times New Roman" w:hAnsi="Calibri" w:cs="Calibri"/>
          <w:kern w:val="0"/>
          <w:lang w:eastAsia="en-GB"/>
          <w14:ligatures w14:val="none"/>
        </w:rPr>
        <w:t xml:space="preserve">In the most recent years, P&amp;G’s profitability has been declining and its capability to acquire cash from business operations has diminished. </w:t>
      </w:r>
      <w:r w:rsidR="007B4ADF" w:rsidRPr="00716B90">
        <w:rPr>
          <w:rFonts w:ascii="Calibri" w:eastAsia="Times New Roman" w:hAnsi="Calibri" w:cs="Calibri"/>
          <w:kern w:val="0"/>
          <w:lang w:eastAsia="en-GB"/>
          <w14:ligatures w14:val="none"/>
        </w:rPr>
        <w:t>likewise,</w:t>
      </w:r>
      <w:r w:rsidR="009E59BE" w:rsidRPr="00716B90">
        <w:rPr>
          <w:rFonts w:ascii="Calibri" w:eastAsia="Times New Roman" w:hAnsi="Calibri" w:cs="Calibri"/>
          <w:kern w:val="0"/>
          <w:lang w:eastAsia="en-GB"/>
          <w14:ligatures w14:val="none"/>
        </w:rPr>
        <w:t xml:space="preserve"> the firm's long-term reorganization plan involves substantial financing to cover </w:t>
      </w:r>
      <w:r w:rsidR="006512E3" w:rsidRPr="00716B90">
        <w:rPr>
          <w:rFonts w:ascii="Calibri" w:eastAsia="Times New Roman" w:hAnsi="Calibri" w:cs="Calibri"/>
          <w:kern w:val="0"/>
          <w:lang w:eastAsia="en-GB"/>
          <w14:ligatures w14:val="none"/>
        </w:rPr>
        <w:t>expenditures</w:t>
      </w:r>
      <w:r w:rsidR="00860BB6" w:rsidRPr="00716B90">
        <w:rPr>
          <w:rFonts w:ascii="Calibri" w:eastAsia="Times New Roman" w:hAnsi="Calibri" w:cs="Calibri"/>
          <w:kern w:val="0"/>
          <w:lang w:eastAsia="en-GB"/>
          <w14:ligatures w14:val="none"/>
        </w:rPr>
        <w:t xml:space="preserve"> (W</w:t>
      </w:r>
      <w:r w:rsidR="00E41C65" w:rsidRPr="00716B90">
        <w:rPr>
          <w:rFonts w:ascii="Calibri" w:eastAsia="Times New Roman" w:hAnsi="Calibri" w:cs="Calibri"/>
          <w:kern w:val="0"/>
          <w:lang w:eastAsia="en-GB"/>
          <w14:ligatures w14:val="none"/>
        </w:rPr>
        <w:t>ang, 2022</w:t>
      </w:r>
      <w:r w:rsidR="00860BB6" w:rsidRPr="00716B90">
        <w:rPr>
          <w:rFonts w:ascii="Calibri" w:eastAsia="Times New Roman" w:hAnsi="Calibri" w:cs="Calibri"/>
          <w:kern w:val="0"/>
          <w:lang w:eastAsia="en-GB"/>
          <w14:ligatures w14:val="none"/>
        </w:rPr>
        <w:t>)</w:t>
      </w:r>
      <w:r w:rsidR="00E41C65" w:rsidRPr="00716B90">
        <w:rPr>
          <w:rFonts w:ascii="Calibri" w:eastAsia="Times New Roman" w:hAnsi="Calibri" w:cs="Calibri"/>
          <w:kern w:val="0"/>
          <w:lang w:eastAsia="en-GB"/>
          <w14:ligatures w14:val="none"/>
        </w:rPr>
        <w:t>,</w:t>
      </w:r>
      <w:r w:rsidR="007B4ADF" w:rsidRPr="00716B90">
        <w:rPr>
          <w:rFonts w:ascii="Calibri" w:hAnsi="Calibri" w:cs="Calibri"/>
        </w:rPr>
        <w:t xml:space="preserve"> </w:t>
      </w:r>
      <w:r w:rsidR="005854D8" w:rsidRPr="00716B90">
        <w:rPr>
          <w:rFonts w:ascii="Calibri" w:eastAsia="Times New Roman" w:hAnsi="Calibri" w:cs="Calibri"/>
          <w:kern w:val="0"/>
          <w:lang w:eastAsia="en-GB"/>
          <w14:ligatures w14:val="none"/>
        </w:rPr>
        <w:t xml:space="preserve">With the notable exception of 2019, when it fell to 5.37%, P&amp;G's net profit margin has stayed consistent during </w:t>
      </w:r>
      <w:r w:rsidR="00EA05C6" w:rsidRPr="00716B90">
        <w:rPr>
          <w:rFonts w:ascii="Calibri" w:eastAsia="Times New Roman" w:hAnsi="Calibri" w:cs="Calibri"/>
          <w:kern w:val="0"/>
          <w:lang w:eastAsia="en-GB"/>
          <w14:ligatures w14:val="none"/>
        </w:rPr>
        <w:t>most of</w:t>
      </w:r>
      <w:r w:rsidR="005854D8" w:rsidRPr="00716B90">
        <w:rPr>
          <w:rFonts w:ascii="Calibri" w:eastAsia="Times New Roman" w:hAnsi="Calibri" w:cs="Calibri"/>
          <w:kern w:val="0"/>
          <w:lang w:eastAsia="en-GB"/>
          <w14:ligatures w14:val="none"/>
        </w:rPr>
        <w:t xml:space="preserve"> the </w:t>
      </w:r>
      <w:r w:rsidR="00CE1EAF" w:rsidRPr="00716B90">
        <w:rPr>
          <w:rFonts w:ascii="Calibri" w:eastAsia="Times New Roman" w:hAnsi="Calibri" w:cs="Calibri"/>
          <w:kern w:val="0"/>
          <w:lang w:eastAsia="en-GB"/>
          <w14:ligatures w14:val="none"/>
        </w:rPr>
        <w:t>period</w:t>
      </w:r>
      <w:r w:rsidR="005854D8" w:rsidRPr="00716B90">
        <w:rPr>
          <w:rFonts w:ascii="Calibri" w:eastAsia="Times New Roman" w:hAnsi="Calibri" w:cs="Calibri"/>
          <w:kern w:val="0"/>
          <w:lang w:eastAsia="en-GB"/>
          <w14:ligatures w14:val="none"/>
        </w:rPr>
        <w:t>, ranging from 17</w:t>
      </w:r>
      <w:r w:rsidR="007C695A" w:rsidRPr="00716B90">
        <w:rPr>
          <w:rFonts w:ascii="Calibri" w:eastAsia="Times New Roman" w:hAnsi="Calibri" w:cs="Calibri"/>
          <w:kern w:val="0"/>
          <w:lang w:eastAsia="en-GB"/>
          <w14:ligatures w14:val="none"/>
        </w:rPr>
        <w:t>%</w:t>
      </w:r>
      <w:r w:rsidR="005854D8" w:rsidRPr="00716B90">
        <w:rPr>
          <w:rFonts w:ascii="Calibri" w:eastAsia="Times New Roman" w:hAnsi="Calibri" w:cs="Calibri"/>
          <w:kern w:val="0"/>
          <w:lang w:eastAsia="en-GB"/>
          <w14:ligatures w14:val="none"/>
        </w:rPr>
        <w:t xml:space="preserve"> to 18%. This similarity, especially in recent years, reflects effective cost management and effectiveness in operation</w:t>
      </w:r>
      <w:r w:rsidR="00A97D8D" w:rsidRPr="00716B90">
        <w:rPr>
          <w:rFonts w:ascii="Calibri" w:eastAsia="Times New Roman" w:hAnsi="Calibri" w:cs="Calibri"/>
          <w:kern w:val="0"/>
          <w:lang w:eastAsia="en-GB"/>
          <w14:ligatures w14:val="none"/>
        </w:rPr>
        <w:t xml:space="preserve">, and the </w:t>
      </w:r>
      <w:r w:rsidR="00B4518C" w:rsidRPr="00716B90">
        <w:rPr>
          <w:rFonts w:ascii="Calibri" w:eastAsia="Times New Roman" w:hAnsi="Calibri" w:cs="Calibri"/>
          <w:kern w:val="0"/>
          <w:lang w:eastAsia="en-GB"/>
          <w14:ligatures w14:val="none"/>
        </w:rPr>
        <w:t>Net profit margin of Nestle in the year 2023 is 12.01</w:t>
      </w:r>
      <w:r w:rsidR="001D0896" w:rsidRPr="00716B90">
        <w:rPr>
          <w:rFonts w:ascii="Calibri" w:eastAsia="Times New Roman" w:hAnsi="Calibri" w:cs="Calibri"/>
          <w:kern w:val="0"/>
          <w:lang w:eastAsia="en-GB"/>
          <w14:ligatures w14:val="none"/>
        </w:rPr>
        <w:t>%</w:t>
      </w:r>
      <w:r w:rsidR="00B4518C" w:rsidRPr="00716B90">
        <w:rPr>
          <w:rFonts w:ascii="Calibri" w:eastAsia="Times New Roman" w:hAnsi="Calibri" w:cs="Calibri"/>
          <w:kern w:val="0"/>
          <w:lang w:eastAsia="en-GB"/>
          <w14:ligatures w14:val="none"/>
        </w:rPr>
        <w:t xml:space="preserve"> </w:t>
      </w:r>
      <w:r w:rsidR="00EA05C6" w:rsidRPr="00716B90">
        <w:rPr>
          <w:rFonts w:ascii="Calibri" w:eastAsia="Times New Roman" w:hAnsi="Calibri" w:cs="Calibri"/>
          <w:kern w:val="0"/>
          <w:lang w:eastAsia="en-GB"/>
          <w14:ligatures w14:val="none"/>
        </w:rPr>
        <w:t xml:space="preserve">which is less </w:t>
      </w:r>
      <w:r w:rsidR="006512E3" w:rsidRPr="00716B90">
        <w:rPr>
          <w:rFonts w:ascii="Calibri" w:eastAsia="Times New Roman" w:hAnsi="Calibri" w:cs="Calibri"/>
          <w:kern w:val="0"/>
          <w:lang w:eastAsia="en-GB"/>
          <w14:ligatures w14:val="none"/>
        </w:rPr>
        <w:t>than</w:t>
      </w:r>
      <w:r w:rsidR="00EA05C6" w:rsidRPr="00716B90">
        <w:rPr>
          <w:rFonts w:ascii="Calibri" w:eastAsia="Times New Roman" w:hAnsi="Calibri" w:cs="Calibri"/>
          <w:kern w:val="0"/>
          <w:lang w:eastAsia="en-GB"/>
          <w14:ligatures w14:val="none"/>
        </w:rPr>
        <w:t xml:space="preserve"> P&amp;G. </w:t>
      </w:r>
    </w:p>
    <w:p w14:paraId="771E02BF" w14:textId="60591451" w:rsidR="00A60707" w:rsidRPr="00716B90" w:rsidRDefault="00417A65" w:rsidP="00A60707">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45032D" w:rsidRPr="00716B90">
        <w:rPr>
          <w:rFonts w:ascii="Calibri" w:eastAsia="Times New Roman" w:hAnsi="Calibri" w:cs="Calibri"/>
          <w:kern w:val="0"/>
          <w:lang w:eastAsia="en-GB"/>
          <w14:ligatures w14:val="none"/>
        </w:rPr>
        <w:t xml:space="preserve">P&amp;G’s better profitability is made clear that </w:t>
      </w:r>
      <w:r w:rsidR="00BE62C1" w:rsidRPr="00716B90">
        <w:rPr>
          <w:rFonts w:ascii="Calibri" w:eastAsia="Times New Roman" w:hAnsi="Calibri" w:cs="Calibri"/>
          <w:kern w:val="0"/>
          <w:lang w:eastAsia="en-GB"/>
          <w14:ligatures w14:val="none"/>
        </w:rPr>
        <w:t>its net profit margin is gr</w:t>
      </w:r>
      <w:r w:rsidR="00A60707" w:rsidRPr="00716B90">
        <w:rPr>
          <w:rFonts w:ascii="Calibri" w:eastAsia="Times New Roman" w:hAnsi="Calibri" w:cs="Calibri"/>
          <w:kern w:val="0"/>
          <w:lang w:eastAsia="en-GB"/>
          <w14:ligatures w14:val="none"/>
        </w:rPr>
        <w:t xml:space="preserve">eatly above Nestle’s. This variation proves that P&amp;G is more effective at transforming income into </w:t>
      </w:r>
      <w:r w:rsidR="00A60707" w:rsidRPr="00716B90">
        <w:rPr>
          <w:rFonts w:ascii="Calibri" w:eastAsia="Times New Roman" w:hAnsi="Calibri" w:cs="Calibri"/>
          <w:kern w:val="0"/>
          <w:lang w:eastAsia="en-GB"/>
          <w14:ligatures w14:val="none"/>
        </w:rPr>
        <w:lastRenderedPageBreak/>
        <w:t xml:space="preserve">substantial profit, perhaps </w:t>
      </w:r>
      <w:r w:rsidR="004146F8" w:rsidRPr="00716B90">
        <w:rPr>
          <w:rFonts w:ascii="Calibri" w:eastAsia="Times New Roman" w:hAnsi="Calibri" w:cs="Calibri"/>
          <w:kern w:val="0"/>
          <w:lang w:eastAsia="en-GB"/>
          <w14:ligatures w14:val="none"/>
        </w:rPr>
        <w:t>because of</w:t>
      </w:r>
      <w:r w:rsidR="00A60707" w:rsidRPr="00716B90">
        <w:rPr>
          <w:rFonts w:ascii="Calibri" w:eastAsia="Times New Roman" w:hAnsi="Calibri" w:cs="Calibri"/>
          <w:kern w:val="0"/>
          <w:lang w:eastAsia="en-GB"/>
          <w14:ligatures w14:val="none"/>
        </w:rPr>
        <w:t xml:space="preserve"> more comprehensive tax planning or reduced</w:t>
      </w:r>
      <w:r w:rsidR="004146F8" w:rsidRPr="00716B90">
        <w:rPr>
          <w:rFonts w:ascii="Calibri" w:eastAsia="Times New Roman" w:hAnsi="Calibri" w:cs="Calibri"/>
          <w:kern w:val="0"/>
          <w:lang w:eastAsia="en-GB"/>
          <w14:ligatures w14:val="none"/>
        </w:rPr>
        <w:t xml:space="preserve"> operating ex</w:t>
      </w:r>
      <w:r w:rsidR="009D177F" w:rsidRPr="00716B90">
        <w:rPr>
          <w:rFonts w:ascii="Calibri" w:eastAsia="Times New Roman" w:hAnsi="Calibri" w:cs="Calibri"/>
          <w:kern w:val="0"/>
          <w:lang w:eastAsia="en-GB"/>
          <w14:ligatures w14:val="none"/>
        </w:rPr>
        <w:t xml:space="preserve">penses. </w:t>
      </w:r>
    </w:p>
    <w:p w14:paraId="5168A21D" w14:textId="4CDF2488" w:rsidR="0036197C" w:rsidRPr="00716B90" w:rsidRDefault="0036197C" w:rsidP="00E1198C">
      <w:pPr>
        <w:pStyle w:val="Heading3"/>
        <w:rPr>
          <w:rFonts w:ascii="Calibri" w:hAnsi="Calibri" w:cs="Calibri"/>
          <w:sz w:val="24"/>
          <w:szCs w:val="24"/>
          <w:lang w:val="en-US"/>
        </w:rPr>
      </w:pPr>
      <w:bookmarkStart w:id="6" w:name="_Toc175126635"/>
      <w:r w:rsidRPr="00716B90">
        <w:rPr>
          <w:rFonts w:ascii="Calibri" w:hAnsi="Calibri" w:cs="Calibri"/>
          <w:sz w:val="24"/>
          <w:szCs w:val="24"/>
          <w:lang w:val="en-US"/>
        </w:rPr>
        <w:t xml:space="preserve">2.1.3. </w:t>
      </w:r>
      <w:r w:rsidR="007F009B" w:rsidRPr="00716B90">
        <w:rPr>
          <w:rFonts w:ascii="Calibri" w:hAnsi="Calibri" w:cs="Calibri"/>
          <w:sz w:val="24"/>
          <w:szCs w:val="24"/>
          <w:lang w:val="en-US"/>
        </w:rPr>
        <w:t>ROA: Return on Assets.</w:t>
      </w:r>
      <w:bookmarkEnd w:id="6"/>
    </w:p>
    <w:p w14:paraId="117E1570" w14:textId="48E231E1" w:rsidR="005336A2" w:rsidRPr="00716B90" w:rsidRDefault="005915AB" w:rsidP="005915AB">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 xml:space="preserve">The capacity of a business to generate revenues or profit (profitability) at its current state including earnings, resources, and capital resources can be determined by a financial ratio called return on assets (ROA). A quick summary of an organization's effectiveness in relation to its financial resources is given by ROA </w:t>
      </w:r>
      <w:r w:rsidR="0046039A" w:rsidRPr="00716B90">
        <w:rPr>
          <w:rFonts w:ascii="Calibri" w:eastAsia="Times New Roman" w:hAnsi="Calibri" w:cs="Calibri"/>
          <w:kern w:val="0"/>
          <w:lang w:eastAsia="en-GB"/>
          <w14:ligatures w14:val="none"/>
        </w:rPr>
        <w:t>(</w:t>
      </w:r>
      <w:proofErr w:type="gramStart"/>
      <w:r w:rsidR="006E206F" w:rsidRPr="00716B90">
        <w:rPr>
          <w:rFonts w:ascii="Calibri" w:hAnsi="Calibri" w:cs="Calibri"/>
        </w:rPr>
        <w:t xml:space="preserve">Suardana,  </w:t>
      </w:r>
      <w:proofErr w:type="spellStart"/>
      <w:r w:rsidR="006E206F" w:rsidRPr="00716B90">
        <w:rPr>
          <w:rFonts w:ascii="Calibri" w:hAnsi="Calibri" w:cs="Calibri"/>
        </w:rPr>
        <w:t>Astawa</w:t>
      </w:r>
      <w:proofErr w:type="spellEnd"/>
      <w:proofErr w:type="gramEnd"/>
      <w:r w:rsidR="006E206F" w:rsidRPr="00716B90">
        <w:rPr>
          <w:rFonts w:ascii="Calibri" w:hAnsi="Calibri" w:cs="Calibri"/>
        </w:rPr>
        <w:t>, and Martini, 2018).</w:t>
      </w:r>
      <w:r w:rsidR="005F3C8D" w:rsidRPr="00716B90">
        <w:rPr>
          <w:rFonts w:ascii="Calibri" w:hAnsi="Calibri" w:cs="Calibri"/>
        </w:rPr>
        <w:t xml:space="preserve"> The formula for return on assets is shown </w:t>
      </w:r>
      <w:r w:rsidR="006512E3" w:rsidRPr="00716B90">
        <w:rPr>
          <w:rFonts w:ascii="Calibri" w:hAnsi="Calibri" w:cs="Calibri"/>
        </w:rPr>
        <w:t>below</w:t>
      </w:r>
      <w:r w:rsidR="005F3C8D" w:rsidRPr="00716B90">
        <w:rPr>
          <w:rFonts w:ascii="Calibri" w:hAnsi="Calibri" w:cs="Calibri"/>
        </w:rPr>
        <w:t>:</w:t>
      </w:r>
    </w:p>
    <w:p w14:paraId="1A1A878F" w14:textId="447A7E97" w:rsidR="00A72557" w:rsidRPr="00716B90" w:rsidRDefault="00CD4806" w:rsidP="005056E2">
      <w:pPr>
        <w:jc w:val="center"/>
        <w:rPr>
          <w:rFonts w:ascii="Calibri" w:eastAsia="Times New Roman" w:hAnsi="Calibri" w:cs="Calibri"/>
          <w:b/>
          <w:bCs/>
          <w:kern w:val="0"/>
          <w:lang w:eastAsia="en-GB"/>
          <w14:ligatures w14:val="none"/>
        </w:rPr>
      </w:pPr>
      <w:r w:rsidRPr="00716B90">
        <w:rPr>
          <w:rFonts w:ascii="Calibri" w:eastAsia="Times New Roman" w:hAnsi="Calibri" w:cs="Calibri"/>
          <w:b/>
          <w:bCs/>
          <w:kern w:val="0"/>
          <w:lang w:eastAsia="en-GB"/>
          <w14:ligatures w14:val="none"/>
        </w:rPr>
        <w:t>Return on Asse</w:t>
      </w:r>
      <w:r w:rsidR="003F4483" w:rsidRPr="00716B90">
        <w:rPr>
          <w:rFonts w:ascii="Calibri" w:eastAsia="Times New Roman" w:hAnsi="Calibri" w:cs="Calibri"/>
          <w:b/>
          <w:bCs/>
          <w:kern w:val="0"/>
          <w:lang w:eastAsia="en-GB"/>
          <w14:ligatures w14:val="none"/>
        </w:rPr>
        <w:t>ts</w:t>
      </w:r>
      <w:r w:rsidR="007C2F64" w:rsidRPr="00716B90">
        <w:rPr>
          <w:rFonts w:ascii="Calibri" w:eastAsia="Times New Roman" w:hAnsi="Calibri" w:cs="Calibri"/>
          <w:b/>
          <w:bCs/>
          <w:kern w:val="0"/>
          <w:lang w:eastAsia="en-GB"/>
          <w14:ligatures w14:val="none"/>
        </w:rPr>
        <w:t xml:space="preserve"> (ROA)</w:t>
      </w:r>
      <w:r w:rsidR="003F4483" w:rsidRPr="00716B90">
        <w:rPr>
          <w:rFonts w:ascii="Calibri" w:eastAsia="Times New Roman" w:hAnsi="Calibri" w:cs="Calibri"/>
          <w:b/>
          <w:bCs/>
          <w:kern w:val="0"/>
          <w:lang w:eastAsia="en-GB"/>
          <w14:ligatures w14:val="none"/>
        </w:rPr>
        <w:t xml:space="preserve"> = (Net Income / Total Assets) x 100</w:t>
      </w:r>
    </w:p>
    <w:p w14:paraId="00FA0C53" w14:textId="7E601725" w:rsidR="00AF39ED" w:rsidRPr="00716B90" w:rsidRDefault="00710A97" w:rsidP="00603474">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P&amp;G will have an excellent ratio of roughly 3% in 2019 and 1</w:t>
      </w:r>
      <w:r w:rsidR="00007C94" w:rsidRPr="00716B90">
        <w:rPr>
          <w:rFonts w:ascii="Calibri" w:eastAsia="Times New Roman" w:hAnsi="Calibri" w:cs="Calibri"/>
          <w:kern w:val="0"/>
          <w:lang w:eastAsia="en-GB"/>
          <w14:ligatures w14:val="none"/>
        </w:rPr>
        <w:t>2</w:t>
      </w:r>
      <w:r w:rsidRPr="00716B90">
        <w:rPr>
          <w:rFonts w:ascii="Calibri" w:eastAsia="Times New Roman" w:hAnsi="Calibri" w:cs="Calibri"/>
          <w:kern w:val="0"/>
          <w:lang w:eastAsia="en-GB"/>
          <w14:ligatures w14:val="none"/>
        </w:rPr>
        <w:t xml:space="preserve">% in 2021. It implies P&amp;G was unable to properly use its resources in 2019, but it exhibited effective resource utilization in 2020 and </w:t>
      </w:r>
      <w:r w:rsidR="0010712D" w:rsidRPr="00716B90">
        <w:rPr>
          <w:rFonts w:ascii="Calibri" w:eastAsia="Times New Roman" w:hAnsi="Calibri" w:cs="Calibri"/>
          <w:kern w:val="0"/>
          <w:lang w:eastAsia="en-GB"/>
          <w14:ligatures w14:val="none"/>
        </w:rPr>
        <w:t>after</w:t>
      </w:r>
      <w:r w:rsidR="00180E0A" w:rsidRPr="00716B90">
        <w:rPr>
          <w:rFonts w:ascii="Calibri" w:eastAsia="Times New Roman" w:hAnsi="Calibri" w:cs="Calibri"/>
          <w:kern w:val="0"/>
          <w:lang w:eastAsia="en-GB"/>
          <w14:ligatures w14:val="none"/>
        </w:rPr>
        <w:t xml:space="preserve"> that which</w:t>
      </w:r>
      <w:r w:rsidRPr="00716B90">
        <w:rPr>
          <w:rFonts w:ascii="Calibri" w:eastAsia="Times New Roman" w:hAnsi="Calibri" w:cs="Calibri"/>
          <w:kern w:val="0"/>
          <w:lang w:eastAsia="en-GB"/>
          <w14:ligatures w14:val="none"/>
        </w:rPr>
        <w:t xml:space="preserve"> provide</w:t>
      </w:r>
      <w:r w:rsidR="00180E0A" w:rsidRPr="00716B90">
        <w:rPr>
          <w:rFonts w:ascii="Calibri" w:eastAsia="Times New Roman" w:hAnsi="Calibri" w:cs="Calibri"/>
          <w:kern w:val="0"/>
          <w:lang w:eastAsia="en-GB"/>
          <w14:ligatures w14:val="none"/>
        </w:rPr>
        <w:t>s</w:t>
      </w:r>
      <w:r w:rsidRPr="00716B90">
        <w:rPr>
          <w:rFonts w:ascii="Calibri" w:eastAsia="Times New Roman" w:hAnsi="Calibri" w:cs="Calibri"/>
          <w:kern w:val="0"/>
          <w:lang w:eastAsia="en-GB"/>
          <w14:ligatures w14:val="none"/>
        </w:rPr>
        <w:t xml:space="preserve"> substantial returns and value that exceeds investors' worth</w:t>
      </w:r>
      <w:r w:rsidR="006B337F" w:rsidRPr="00716B90">
        <w:rPr>
          <w:rFonts w:ascii="Calibri" w:eastAsia="Times New Roman" w:hAnsi="Calibri" w:cs="Calibri"/>
          <w:kern w:val="0"/>
          <w:lang w:eastAsia="en-GB"/>
          <w14:ligatures w14:val="none"/>
        </w:rPr>
        <w:t xml:space="preserve"> (Shaikh, </w:t>
      </w:r>
      <w:proofErr w:type="spellStart"/>
      <w:r w:rsidR="006B337F" w:rsidRPr="00716B90">
        <w:rPr>
          <w:rFonts w:ascii="Calibri" w:eastAsia="Times New Roman" w:hAnsi="Calibri" w:cs="Calibri"/>
          <w:kern w:val="0"/>
          <w:lang w:eastAsia="en-GB"/>
          <w14:ligatures w14:val="none"/>
        </w:rPr>
        <w:t>Solangi</w:t>
      </w:r>
      <w:proofErr w:type="spellEnd"/>
      <w:r w:rsidR="006B337F" w:rsidRPr="00716B90">
        <w:rPr>
          <w:rFonts w:ascii="Calibri" w:eastAsia="Times New Roman" w:hAnsi="Calibri" w:cs="Calibri"/>
          <w:kern w:val="0"/>
          <w:lang w:eastAsia="en-GB"/>
          <w14:ligatures w14:val="none"/>
        </w:rPr>
        <w:t>, and Raza, 2022)</w:t>
      </w:r>
      <w:r w:rsidR="00882346" w:rsidRPr="00716B90">
        <w:rPr>
          <w:rFonts w:ascii="Calibri" w:eastAsia="Times New Roman" w:hAnsi="Calibri" w:cs="Calibri"/>
          <w:kern w:val="0"/>
          <w:lang w:eastAsia="en-GB"/>
          <w14:ligatures w14:val="none"/>
        </w:rPr>
        <w:t xml:space="preserve">. </w:t>
      </w:r>
      <w:r w:rsidRPr="00716B90">
        <w:rPr>
          <w:rFonts w:ascii="Calibri" w:eastAsia="Times New Roman" w:hAnsi="Calibri" w:cs="Calibri"/>
          <w:kern w:val="0"/>
          <w:lang w:eastAsia="en-GB"/>
          <w14:ligatures w14:val="none"/>
        </w:rPr>
        <w:t xml:space="preserve"> </w:t>
      </w:r>
      <w:r w:rsidR="00AD3998" w:rsidRPr="00716B90">
        <w:rPr>
          <w:rFonts w:ascii="Calibri" w:eastAsia="Times New Roman" w:hAnsi="Calibri" w:cs="Calibri"/>
          <w:kern w:val="0"/>
          <w:lang w:eastAsia="en-GB"/>
          <w14:ligatures w14:val="none"/>
        </w:rPr>
        <w:t>P&amp;G’s return on assets (ROA) improved stead</w:t>
      </w:r>
      <w:r w:rsidR="009A0472" w:rsidRPr="00716B90">
        <w:rPr>
          <w:rFonts w:ascii="Calibri" w:eastAsia="Times New Roman" w:hAnsi="Calibri" w:cs="Calibri"/>
          <w:kern w:val="0"/>
          <w:lang w:eastAsia="en-GB"/>
          <w14:ligatures w14:val="none"/>
        </w:rPr>
        <w:t xml:space="preserve">ily over time, from 3.45% in 2019 to 12.20% in 2023, </w:t>
      </w:r>
      <w:r w:rsidR="00AF39ED" w:rsidRPr="00716B90">
        <w:rPr>
          <w:rFonts w:ascii="Calibri" w:eastAsia="Times New Roman" w:hAnsi="Calibri" w:cs="Calibri"/>
          <w:kern w:val="0"/>
          <w:lang w:eastAsia="en-GB"/>
          <w14:ligatures w14:val="none"/>
        </w:rPr>
        <w:t>reflecting greater efficiency in asset usage,</w:t>
      </w:r>
      <w:r w:rsidR="002624F6" w:rsidRPr="00716B90">
        <w:rPr>
          <w:rFonts w:ascii="Calibri" w:eastAsia="Times New Roman" w:hAnsi="Calibri" w:cs="Calibri"/>
          <w:kern w:val="0"/>
          <w:lang w:eastAsia="en-GB"/>
          <w14:ligatures w14:val="none"/>
        </w:rPr>
        <w:t xml:space="preserve"> </w:t>
      </w:r>
      <w:r w:rsidR="00AF39ED" w:rsidRPr="00716B90">
        <w:rPr>
          <w:rFonts w:ascii="Calibri" w:eastAsia="Times New Roman" w:hAnsi="Calibri" w:cs="Calibri"/>
          <w:kern w:val="0"/>
          <w:lang w:eastAsia="en-GB"/>
          <w14:ligatures w14:val="none"/>
        </w:rPr>
        <w:t xml:space="preserve">while the </w:t>
      </w:r>
      <w:r w:rsidR="002624F6" w:rsidRPr="00716B90">
        <w:rPr>
          <w:rFonts w:ascii="Calibri" w:eastAsia="Times New Roman" w:hAnsi="Calibri" w:cs="Calibri"/>
          <w:kern w:val="0"/>
          <w:lang w:eastAsia="en-GB"/>
          <w14:ligatures w14:val="none"/>
        </w:rPr>
        <w:t xml:space="preserve">return on assets of Nestle in the year of 2023 stands at </w:t>
      </w:r>
      <w:r w:rsidR="002E5A87" w:rsidRPr="00716B90">
        <w:rPr>
          <w:rFonts w:ascii="Calibri" w:eastAsia="Times New Roman" w:hAnsi="Calibri" w:cs="Calibri"/>
          <w:kern w:val="0"/>
          <w:lang w:eastAsia="en-GB"/>
          <w14:ligatures w14:val="none"/>
        </w:rPr>
        <w:t xml:space="preserve">9.09% which is less than P&amp;G. </w:t>
      </w:r>
      <w:r w:rsidR="002624F6" w:rsidRPr="00716B90">
        <w:rPr>
          <w:rFonts w:ascii="Calibri" w:eastAsia="Times New Roman" w:hAnsi="Calibri" w:cs="Calibri"/>
          <w:kern w:val="0"/>
          <w:lang w:eastAsia="en-GB"/>
          <w14:ligatures w14:val="none"/>
        </w:rPr>
        <w:t xml:space="preserve"> </w:t>
      </w:r>
    </w:p>
    <w:p w14:paraId="2B5A8471" w14:textId="163DCD95" w:rsidR="00133EF8" w:rsidRPr="00716B90" w:rsidRDefault="00417A65" w:rsidP="00133EF8">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133EF8" w:rsidRPr="00716B90">
        <w:rPr>
          <w:rFonts w:ascii="Calibri" w:eastAsia="Times New Roman" w:hAnsi="Calibri" w:cs="Calibri"/>
          <w:kern w:val="0"/>
          <w:lang w:eastAsia="en-GB"/>
          <w14:ligatures w14:val="none"/>
        </w:rPr>
        <w:t>P&amp;G performed better in ROA than Nestl</w:t>
      </w:r>
      <w:r w:rsidR="001070F7" w:rsidRPr="00716B90">
        <w:rPr>
          <w:rFonts w:ascii="Calibri" w:eastAsia="Times New Roman" w:hAnsi="Calibri" w:cs="Calibri"/>
          <w:kern w:val="0"/>
          <w:lang w:eastAsia="en-GB"/>
          <w14:ligatures w14:val="none"/>
        </w:rPr>
        <w:t>e</w:t>
      </w:r>
      <w:r w:rsidR="00133EF8" w:rsidRPr="00716B90">
        <w:rPr>
          <w:rFonts w:ascii="Calibri" w:eastAsia="Times New Roman" w:hAnsi="Calibri" w:cs="Calibri"/>
          <w:kern w:val="0"/>
          <w:lang w:eastAsia="en-GB"/>
          <w14:ligatures w14:val="none"/>
        </w:rPr>
        <w:t xml:space="preserve">, displaying a higher efficiency when it comes to </w:t>
      </w:r>
      <w:r w:rsidR="007E5175" w:rsidRPr="00716B90">
        <w:rPr>
          <w:rFonts w:ascii="Calibri" w:eastAsia="Times New Roman" w:hAnsi="Calibri" w:cs="Calibri"/>
          <w:kern w:val="0"/>
          <w:lang w:eastAsia="en-GB"/>
          <w14:ligatures w14:val="none"/>
        </w:rPr>
        <w:t xml:space="preserve">the </w:t>
      </w:r>
      <w:r w:rsidR="00133EF8" w:rsidRPr="00716B90">
        <w:rPr>
          <w:rFonts w:ascii="Calibri" w:eastAsia="Times New Roman" w:hAnsi="Calibri" w:cs="Calibri"/>
          <w:kern w:val="0"/>
          <w:lang w:eastAsia="en-GB"/>
          <w14:ligatures w14:val="none"/>
        </w:rPr>
        <w:t xml:space="preserve">use of its resources </w:t>
      </w:r>
      <w:r w:rsidR="001070F7" w:rsidRPr="00716B90">
        <w:rPr>
          <w:rFonts w:ascii="Calibri" w:eastAsia="Times New Roman" w:hAnsi="Calibri" w:cs="Calibri"/>
          <w:kern w:val="0"/>
          <w:lang w:eastAsia="en-GB"/>
          <w14:ligatures w14:val="none"/>
        </w:rPr>
        <w:t>by</w:t>
      </w:r>
      <w:r w:rsidR="00133EF8" w:rsidRPr="00716B90">
        <w:rPr>
          <w:rFonts w:ascii="Calibri" w:eastAsia="Times New Roman" w:hAnsi="Calibri" w:cs="Calibri"/>
          <w:kern w:val="0"/>
          <w:lang w:eastAsia="en-GB"/>
          <w14:ligatures w14:val="none"/>
        </w:rPr>
        <w:t xml:space="preserve"> generating profits. Performance can be the result of far more </w:t>
      </w:r>
      <w:proofErr w:type="spellStart"/>
      <w:r w:rsidR="007E5175" w:rsidRPr="00716B90">
        <w:rPr>
          <w:rFonts w:ascii="Calibri" w:eastAsia="Times New Roman" w:hAnsi="Calibri" w:cs="Calibri"/>
          <w:kern w:val="0"/>
          <w:lang w:eastAsia="en-GB"/>
          <w14:ligatures w14:val="none"/>
        </w:rPr>
        <w:t>skillfully</w:t>
      </w:r>
      <w:proofErr w:type="spellEnd"/>
      <w:r w:rsidR="00133EF8" w:rsidRPr="00716B90">
        <w:rPr>
          <w:rFonts w:ascii="Calibri" w:eastAsia="Times New Roman" w:hAnsi="Calibri" w:cs="Calibri"/>
          <w:kern w:val="0"/>
          <w:lang w:eastAsia="en-GB"/>
          <w14:ligatures w14:val="none"/>
        </w:rPr>
        <w:t xml:space="preserve"> utilized capital assets or stronger operational leadership.</w:t>
      </w:r>
    </w:p>
    <w:p w14:paraId="59479A58" w14:textId="420F475D" w:rsidR="007F009B" w:rsidRPr="00716B90" w:rsidRDefault="00423908" w:rsidP="00423908">
      <w:pPr>
        <w:pStyle w:val="Heading3"/>
        <w:rPr>
          <w:rFonts w:ascii="Calibri" w:hAnsi="Calibri" w:cs="Calibri"/>
          <w:sz w:val="24"/>
          <w:szCs w:val="24"/>
          <w:lang w:val="en-US"/>
        </w:rPr>
      </w:pPr>
      <w:bookmarkStart w:id="7" w:name="_Toc175126636"/>
      <w:r w:rsidRPr="00716B90">
        <w:rPr>
          <w:rFonts w:ascii="Calibri" w:hAnsi="Calibri" w:cs="Calibri"/>
          <w:sz w:val="24"/>
          <w:szCs w:val="24"/>
          <w:lang w:val="en-US"/>
        </w:rPr>
        <w:t>2.1.4.</w:t>
      </w:r>
      <w:r w:rsidR="00320EF6" w:rsidRPr="00716B90">
        <w:rPr>
          <w:rFonts w:ascii="Calibri" w:hAnsi="Calibri" w:cs="Calibri"/>
          <w:sz w:val="24"/>
          <w:szCs w:val="24"/>
          <w:lang w:val="en-US"/>
        </w:rPr>
        <w:t xml:space="preserve"> ROE: Return on Equity.</w:t>
      </w:r>
      <w:bookmarkEnd w:id="7"/>
    </w:p>
    <w:p w14:paraId="3720CB9F" w14:textId="7EBAEC2A" w:rsidR="00220DE3" w:rsidRPr="00716B90" w:rsidRDefault="00725465" w:rsidP="00287C84">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C5053C" w:rsidRPr="00716B90">
        <w:rPr>
          <w:rFonts w:ascii="Calibri" w:eastAsia="Times New Roman" w:hAnsi="Calibri" w:cs="Calibri"/>
          <w:kern w:val="0"/>
          <w:lang w:eastAsia="en-GB"/>
          <w14:ligatures w14:val="none"/>
        </w:rPr>
        <w:t xml:space="preserve">The ratio is used to </w:t>
      </w:r>
      <w:r w:rsidR="007E5175" w:rsidRPr="00716B90">
        <w:rPr>
          <w:rFonts w:ascii="Calibri" w:eastAsia="Times New Roman" w:hAnsi="Calibri" w:cs="Calibri"/>
          <w:kern w:val="0"/>
          <w:lang w:eastAsia="en-GB"/>
          <w14:ligatures w14:val="none"/>
        </w:rPr>
        <w:t>evaluate</w:t>
      </w:r>
      <w:r w:rsidR="00220DE3" w:rsidRPr="00716B90">
        <w:rPr>
          <w:rFonts w:ascii="Calibri" w:eastAsia="Times New Roman" w:hAnsi="Calibri" w:cs="Calibri"/>
          <w:kern w:val="0"/>
          <w:lang w:eastAsia="en-GB"/>
          <w14:ligatures w14:val="none"/>
        </w:rPr>
        <w:t xml:space="preserve"> how well a firm is making profits for its shareholders; a rate of return on equity (ROE) of greater than 12% is seen as acceptable</w:t>
      </w:r>
      <w:r w:rsidR="00796D67" w:rsidRPr="00716B90">
        <w:rPr>
          <w:rFonts w:ascii="Calibri" w:eastAsia="Times New Roman" w:hAnsi="Calibri" w:cs="Calibri"/>
          <w:kern w:val="0"/>
          <w:lang w:eastAsia="en-GB"/>
          <w14:ligatures w14:val="none"/>
        </w:rPr>
        <w:t>, and</w:t>
      </w:r>
      <w:r w:rsidR="00220DE3" w:rsidRPr="00716B90">
        <w:rPr>
          <w:rFonts w:ascii="Calibri" w:eastAsia="Times New Roman" w:hAnsi="Calibri" w:cs="Calibri"/>
          <w:kern w:val="0"/>
          <w:lang w:eastAsia="en-GB"/>
          <w14:ligatures w14:val="none"/>
        </w:rPr>
        <w:t xml:space="preserve"> </w:t>
      </w:r>
      <w:r w:rsidR="00E05EC0" w:rsidRPr="00716B90">
        <w:rPr>
          <w:rFonts w:ascii="Calibri" w:eastAsia="Times New Roman" w:hAnsi="Calibri" w:cs="Calibri"/>
          <w:kern w:val="0"/>
          <w:lang w:eastAsia="en-GB"/>
          <w14:ligatures w14:val="none"/>
        </w:rPr>
        <w:t>Share</w:t>
      </w:r>
      <w:r w:rsidR="00796D67" w:rsidRPr="00716B90">
        <w:rPr>
          <w:rFonts w:ascii="Calibri" w:eastAsia="Times New Roman" w:hAnsi="Calibri" w:cs="Calibri"/>
          <w:kern w:val="0"/>
          <w:lang w:eastAsia="en-GB"/>
          <w14:ligatures w14:val="none"/>
        </w:rPr>
        <w:t>s are</w:t>
      </w:r>
      <w:r w:rsidR="00E05EC0" w:rsidRPr="00716B90">
        <w:rPr>
          <w:rFonts w:ascii="Calibri" w:eastAsia="Times New Roman" w:hAnsi="Calibri" w:cs="Calibri"/>
          <w:kern w:val="0"/>
          <w:lang w:eastAsia="en-GB"/>
          <w14:ligatures w14:val="none"/>
        </w:rPr>
        <w:t xml:space="preserve"> the most p</w:t>
      </w:r>
      <w:r w:rsidR="00796D67" w:rsidRPr="00716B90">
        <w:rPr>
          <w:rFonts w:ascii="Calibri" w:eastAsia="Times New Roman" w:hAnsi="Calibri" w:cs="Calibri"/>
          <w:kern w:val="0"/>
          <w:lang w:eastAsia="en-GB"/>
          <w14:ligatures w14:val="none"/>
        </w:rPr>
        <w:t>opular way of raising funds from the public</w:t>
      </w:r>
      <w:r w:rsidRPr="00716B90">
        <w:rPr>
          <w:rFonts w:ascii="Calibri" w:eastAsia="Times New Roman" w:hAnsi="Calibri" w:cs="Calibri"/>
          <w:kern w:val="0"/>
          <w:lang w:eastAsia="en-GB"/>
          <w14:ligatures w14:val="none"/>
        </w:rPr>
        <w:t xml:space="preserve"> (</w:t>
      </w:r>
      <w:proofErr w:type="spellStart"/>
      <w:r w:rsidRPr="00716B90">
        <w:rPr>
          <w:rFonts w:ascii="Calibri" w:hAnsi="Calibri" w:cs="Calibri"/>
        </w:rPr>
        <w:t>Ichsani</w:t>
      </w:r>
      <w:proofErr w:type="spellEnd"/>
      <w:r w:rsidRPr="00716B90">
        <w:rPr>
          <w:rFonts w:ascii="Calibri" w:hAnsi="Calibri" w:cs="Calibri"/>
        </w:rPr>
        <w:t xml:space="preserve">, and </w:t>
      </w:r>
      <w:proofErr w:type="spellStart"/>
      <w:r w:rsidRPr="00716B90">
        <w:rPr>
          <w:rFonts w:ascii="Calibri" w:hAnsi="Calibri" w:cs="Calibri"/>
        </w:rPr>
        <w:t>Suhardi</w:t>
      </w:r>
      <w:proofErr w:type="spellEnd"/>
      <w:r w:rsidRPr="00716B90">
        <w:rPr>
          <w:rFonts w:ascii="Calibri" w:hAnsi="Calibri" w:cs="Calibri"/>
        </w:rPr>
        <w:t>, 2015).</w:t>
      </w:r>
      <w:r w:rsidR="00280D60" w:rsidRPr="00716B90">
        <w:rPr>
          <w:rFonts w:ascii="Calibri" w:hAnsi="Calibri" w:cs="Calibri"/>
        </w:rPr>
        <w:t xml:space="preserve"> </w:t>
      </w:r>
      <w:r w:rsidR="00287C84" w:rsidRPr="00716B90">
        <w:rPr>
          <w:rFonts w:ascii="Calibri" w:hAnsi="Calibri" w:cs="Calibri"/>
        </w:rPr>
        <w:t>The return</w:t>
      </w:r>
      <w:r w:rsidR="00EB1345" w:rsidRPr="00716B90">
        <w:rPr>
          <w:rFonts w:ascii="Calibri" w:hAnsi="Calibri" w:cs="Calibri"/>
        </w:rPr>
        <w:t xml:space="preserve"> on equity</w:t>
      </w:r>
      <w:r w:rsidR="00280D60" w:rsidRPr="00716B90">
        <w:rPr>
          <w:rFonts w:ascii="Calibri" w:hAnsi="Calibri" w:cs="Calibri"/>
        </w:rPr>
        <w:t xml:space="preserve"> formula </w:t>
      </w:r>
      <w:r w:rsidR="00EB1345" w:rsidRPr="00716B90">
        <w:rPr>
          <w:rFonts w:ascii="Calibri" w:hAnsi="Calibri" w:cs="Calibri"/>
        </w:rPr>
        <w:t xml:space="preserve">is </w:t>
      </w:r>
      <w:r w:rsidR="00280D60" w:rsidRPr="00716B90">
        <w:rPr>
          <w:rFonts w:ascii="Calibri" w:hAnsi="Calibri" w:cs="Calibri"/>
        </w:rPr>
        <w:t>show</w:t>
      </w:r>
      <w:r w:rsidR="00EB1345" w:rsidRPr="00716B90">
        <w:rPr>
          <w:rFonts w:ascii="Calibri" w:hAnsi="Calibri" w:cs="Calibri"/>
        </w:rPr>
        <w:t>n below:</w:t>
      </w:r>
      <w:r w:rsidR="00280D60" w:rsidRPr="00716B90">
        <w:rPr>
          <w:rFonts w:ascii="Calibri" w:hAnsi="Calibri" w:cs="Calibri"/>
        </w:rPr>
        <w:t xml:space="preserve"> </w:t>
      </w:r>
    </w:p>
    <w:p w14:paraId="0B399A25" w14:textId="65A647E3" w:rsidR="00320EF6" w:rsidRPr="00716B90" w:rsidRDefault="00F665E4" w:rsidP="00AE7541">
      <w:pPr>
        <w:jc w:val="center"/>
        <w:rPr>
          <w:rFonts w:ascii="Calibri" w:hAnsi="Calibri" w:cs="Calibri"/>
          <w:b/>
          <w:bCs/>
          <w:lang w:val="en-US"/>
        </w:rPr>
      </w:pPr>
      <w:r w:rsidRPr="00716B90">
        <w:rPr>
          <w:rFonts w:ascii="Calibri" w:eastAsia="Times New Roman" w:hAnsi="Calibri" w:cs="Calibri"/>
          <w:b/>
          <w:bCs/>
          <w:kern w:val="0"/>
          <w:lang w:eastAsia="en-GB"/>
          <w14:ligatures w14:val="none"/>
        </w:rPr>
        <w:t>Return on Equity</w:t>
      </w:r>
      <w:r w:rsidR="007C2F64" w:rsidRPr="00716B90">
        <w:rPr>
          <w:rFonts w:ascii="Calibri" w:eastAsia="Times New Roman" w:hAnsi="Calibri" w:cs="Calibri"/>
          <w:b/>
          <w:bCs/>
          <w:kern w:val="0"/>
          <w:lang w:eastAsia="en-GB"/>
          <w14:ligatures w14:val="none"/>
        </w:rPr>
        <w:t xml:space="preserve"> (ROE)</w:t>
      </w:r>
      <w:r w:rsidR="00AE7541" w:rsidRPr="00716B90">
        <w:rPr>
          <w:rFonts w:ascii="Calibri" w:eastAsia="Times New Roman" w:hAnsi="Calibri" w:cs="Calibri"/>
          <w:b/>
          <w:bCs/>
          <w:kern w:val="0"/>
          <w:lang w:eastAsia="en-GB"/>
          <w14:ligatures w14:val="none"/>
        </w:rPr>
        <w:t xml:space="preserve"> = (Net Income / Shareholder’s Equity) x 100</w:t>
      </w:r>
    </w:p>
    <w:p w14:paraId="7AAC418B" w14:textId="347F0F99" w:rsidR="00EE1769" w:rsidRPr="00716B90" w:rsidRDefault="00EE1769" w:rsidP="0019583A">
      <w:pPr>
        <w:jc w:val="both"/>
        <w:rPr>
          <w:rFonts w:ascii="Calibri" w:eastAsia="Times New Roman" w:hAnsi="Calibri" w:cs="Calibri"/>
          <w:kern w:val="0"/>
          <w:lang w:eastAsia="en-GB"/>
          <w14:ligatures w14:val="none"/>
        </w:rPr>
      </w:pPr>
      <w:r w:rsidRPr="00716B90">
        <w:rPr>
          <w:rFonts w:ascii="Calibri" w:hAnsi="Calibri" w:cs="Calibri"/>
        </w:rPr>
        <w:tab/>
      </w:r>
      <w:r w:rsidRPr="00716B90">
        <w:rPr>
          <w:rFonts w:ascii="Calibri" w:eastAsia="Times New Roman" w:hAnsi="Calibri" w:cs="Calibri"/>
          <w:kern w:val="0"/>
          <w:lang w:eastAsia="en-GB"/>
          <w14:ligatures w14:val="none"/>
        </w:rPr>
        <w:t>P&amp;G</w:t>
      </w:r>
      <w:r w:rsidR="00D22EAC" w:rsidRPr="00716B90">
        <w:rPr>
          <w:rFonts w:ascii="Calibri" w:eastAsia="Times New Roman" w:hAnsi="Calibri" w:cs="Calibri"/>
          <w:kern w:val="0"/>
          <w:lang w:eastAsia="en-GB"/>
          <w14:ligatures w14:val="none"/>
        </w:rPr>
        <w:t xml:space="preserve">’s return on equity (ROE) Grew tremendously </w:t>
      </w:r>
      <w:r w:rsidR="007E5175" w:rsidRPr="00716B90">
        <w:rPr>
          <w:rFonts w:ascii="Calibri" w:eastAsia="Times New Roman" w:hAnsi="Calibri" w:cs="Calibri"/>
          <w:kern w:val="0"/>
          <w:lang w:eastAsia="en-GB"/>
          <w14:ligatures w14:val="none"/>
        </w:rPr>
        <w:t>from</w:t>
      </w:r>
      <w:r w:rsidR="00D22EAC" w:rsidRPr="00716B90">
        <w:rPr>
          <w:rFonts w:ascii="Calibri" w:eastAsia="Times New Roman" w:hAnsi="Calibri" w:cs="Calibri"/>
          <w:kern w:val="0"/>
          <w:lang w:eastAsia="en-GB"/>
          <w14:ligatures w14:val="none"/>
        </w:rPr>
        <w:t xml:space="preserve"> </w:t>
      </w:r>
      <w:r w:rsidR="00A103AE" w:rsidRPr="00716B90">
        <w:rPr>
          <w:rFonts w:ascii="Calibri" w:eastAsia="Times New Roman" w:hAnsi="Calibri" w:cs="Calibri"/>
          <w:kern w:val="0"/>
          <w:lang w:eastAsia="en-GB"/>
          <w14:ligatures w14:val="none"/>
        </w:rPr>
        <w:t>8.5% in 2019 to 31.87% in 2023,</w:t>
      </w:r>
      <w:r w:rsidR="00A103AE" w:rsidRPr="00716B90">
        <w:rPr>
          <w:rFonts w:ascii="Calibri" w:hAnsi="Calibri" w:cs="Calibri"/>
        </w:rPr>
        <w:t xml:space="preserve"> </w:t>
      </w:r>
      <w:r w:rsidRPr="00716B90">
        <w:rPr>
          <w:rFonts w:ascii="Calibri" w:eastAsia="Times New Roman" w:hAnsi="Calibri" w:cs="Calibri"/>
          <w:kern w:val="0"/>
          <w:lang w:eastAsia="en-GB"/>
          <w14:ligatures w14:val="none"/>
        </w:rPr>
        <w:t xml:space="preserve">which suggests that the organization is using the equity of shareholders productively </w:t>
      </w:r>
      <w:r w:rsidR="007E5175" w:rsidRPr="00716B90">
        <w:rPr>
          <w:rFonts w:ascii="Calibri" w:eastAsia="Times New Roman" w:hAnsi="Calibri" w:cs="Calibri"/>
          <w:kern w:val="0"/>
          <w:lang w:eastAsia="en-GB"/>
          <w14:ligatures w14:val="none"/>
        </w:rPr>
        <w:t>to generate</w:t>
      </w:r>
      <w:r w:rsidRPr="00716B90">
        <w:rPr>
          <w:rFonts w:ascii="Calibri" w:eastAsia="Times New Roman" w:hAnsi="Calibri" w:cs="Calibri"/>
          <w:kern w:val="0"/>
          <w:lang w:eastAsia="en-GB"/>
          <w14:ligatures w14:val="none"/>
        </w:rPr>
        <w:t xml:space="preserve"> profits.</w:t>
      </w:r>
      <w:r w:rsidR="00066335" w:rsidRPr="00716B90">
        <w:rPr>
          <w:rFonts w:ascii="Calibri" w:eastAsia="Times New Roman" w:hAnsi="Calibri" w:cs="Calibri"/>
          <w:kern w:val="0"/>
          <w:lang w:eastAsia="en-GB"/>
          <w14:ligatures w14:val="none"/>
        </w:rPr>
        <w:t xml:space="preserve"> The decreased return </w:t>
      </w:r>
      <w:r w:rsidR="00E87530" w:rsidRPr="00716B90">
        <w:rPr>
          <w:rFonts w:ascii="Calibri" w:eastAsia="Times New Roman" w:hAnsi="Calibri" w:cs="Calibri"/>
          <w:kern w:val="0"/>
          <w:lang w:eastAsia="en-GB"/>
          <w14:ligatures w14:val="none"/>
        </w:rPr>
        <w:t xml:space="preserve">on equity in 2019 and an improvement </w:t>
      </w:r>
      <w:r w:rsidR="007107EB" w:rsidRPr="00716B90">
        <w:rPr>
          <w:rFonts w:ascii="Calibri" w:eastAsia="Times New Roman" w:hAnsi="Calibri" w:cs="Calibri"/>
          <w:kern w:val="0"/>
          <w:lang w:eastAsia="en-GB"/>
          <w14:ligatures w14:val="none"/>
        </w:rPr>
        <w:t xml:space="preserve">in 2020, demonstrated the outcomes </w:t>
      </w:r>
      <w:r w:rsidR="002111B0" w:rsidRPr="00716B90">
        <w:rPr>
          <w:rFonts w:ascii="Calibri" w:eastAsia="Times New Roman" w:hAnsi="Calibri" w:cs="Calibri"/>
          <w:kern w:val="0"/>
          <w:lang w:eastAsia="en-GB"/>
          <w14:ligatures w14:val="none"/>
        </w:rPr>
        <w:t xml:space="preserve">that </w:t>
      </w:r>
      <w:r w:rsidR="007E5175" w:rsidRPr="00716B90">
        <w:rPr>
          <w:rFonts w:ascii="Calibri" w:eastAsia="Times New Roman" w:hAnsi="Calibri" w:cs="Calibri"/>
          <w:kern w:val="0"/>
          <w:lang w:eastAsia="en-GB"/>
          <w14:ligatures w14:val="none"/>
        </w:rPr>
        <w:t>Buzz</w:t>
      </w:r>
      <w:r w:rsidR="002111B0" w:rsidRPr="00716B90">
        <w:rPr>
          <w:rFonts w:ascii="Calibri" w:eastAsia="Times New Roman" w:hAnsi="Calibri" w:cs="Calibri"/>
          <w:kern w:val="0"/>
          <w:lang w:eastAsia="en-GB"/>
          <w14:ligatures w14:val="none"/>
        </w:rPr>
        <w:t xml:space="preserve"> </w:t>
      </w:r>
      <w:r w:rsidR="007E5175" w:rsidRPr="00716B90">
        <w:rPr>
          <w:rFonts w:ascii="Calibri" w:eastAsia="Times New Roman" w:hAnsi="Calibri" w:cs="Calibri"/>
          <w:kern w:val="0"/>
          <w:lang w:eastAsia="en-GB"/>
          <w14:ligatures w14:val="none"/>
        </w:rPr>
        <w:t>Light Up</w:t>
      </w:r>
      <w:r w:rsidR="002111B0" w:rsidRPr="00716B90">
        <w:rPr>
          <w:rFonts w:ascii="Calibri" w:eastAsia="Times New Roman" w:hAnsi="Calibri" w:cs="Calibri"/>
          <w:kern w:val="0"/>
          <w:lang w:eastAsia="en-GB"/>
          <w14:ligatures w14:val="none"/>
        </w:rPr>
        <w:t xml:space="preserve"> has achieved with its investment dec</w:t>
      </w:r>
      <w:r w:rsidR="00907173" w:rsidRPr="00716B90">
        <w:rPr>
          <w:rFonts w:ascii="Calibri" w:eastAsia="Times New Roman" w:hAnsi="Calibri" w:cs="Calibri"/>
          <w:kern w:val="0"/>
          <w:lang w:eastAsia="en-GB"/>
          <w14:ligatures w14:val="none"/>
        </w:rPr>
        <w:t xml:space="preserve">isions during the 2020 and later years (Shaikh, </w:t>
      </w:r>
      <w:proofErr w:type="spellStart"/>
      <w:r w:rsidR="00907173" w:rsidRPr="00716B90">
        <w:rPr>
          <w:rFonts w:ascii="Calibri" w:eastAsia="Times New Roman" w:hAnsi="Calibri" w:cs="Calibri"/>
          <w:kern w:val="0"/>
          <w:lang w:eastAsia="en-GB"/>
          <w14:ligatures w14:val="none"/>
        </w:rPr>
        <w:t>Solangi</w:t>
      </w:r>
      <w:proofErr w:type="spellEnd"/>
      <w:r w:rsidR="00907173" w:rsidRPr="00716B90">
        <w:rPr>
          <w:rFonts w:ascii="Calibri" w:eastAsia="Times New Roman" w:hAnsi="Calibri" w:cs="Calibri"/>
          <w:kern w:val="0"/>
          <w:lang w:eastAsia="en-GB"/>
          <w14:ligatures w14:val="none"/>
        </w:rPr>
        <w:t xml:space="preserve">, and Raza, 2022). </w:t>
      </w:r>
      <w:r w:rsidR="00A103AE" w:rsidRPr="00716B90">
        <w:rPr>
          <w:rFonts w:ascii="Calibri" w:eastAsia="Times New Roman" w:hAnsi="Calibri" w:cs="Calibri"/>
          <w:kern w:val="0"/>
          <w:lang w:eastAsia="en-GB"/>
          <w14:ligatures w14:val="none"/>
        </w:rPr>
        <w:t xml:space="preserve"> On the other hand, Nestle’s Return on equity in the year </w:t>
      </w:r>
      <w:r w:rsidR="00472F93" w:rsidRPr="00716B90">
        <w:rPr>
          <w:rFonts w:ascii="Calibri" w:eastAsia="Times New Roman" w:hAnsi="Calibri" w:cs="Calibri"/>
          <w:kern w:val="0"/>
          <w:lang w:eastAsia="en-GB"/>
          <w14:ligatures w14:val="none"/>
        </w:rPr>
        <w:t xml:space="preserve">of </w:t>
      </w:r>
      <w:r w:rsidR="00C07E5D" w:rsidRPr="00716B90">
        <w:rPr>
          <w:rFonts w:ascii="Calibri" w:eastAsia="Times New Roman" w:hAnsi="Calibri" w:cs="Calibri"/>
          <w:kern w:val="0"/>
          <w:lang w:eastAsia="en-GB"/>
          <w14:ligatures w14:val="none"/>
        </w:rPr>
        <w:t xml:space="preserve">2023 is at 31.63% which is </w:t>
      </w:r>
      <w:r w:rsidR="00472F93" w:rsidRPr="00716B90">
        <w:rPr>
          <w:rFonts w:ascii="Calibri" w:eastAsia="Times New Roman" w:hAnsi="Calibri" w:cs="Calibri"/>
          <w:kern w:val="0"/>
          <w:lang w:eastAsia="en-GB"/>
          <w14:ligatures w14:val="none"/>
        </w:rPr>
        <w:t xml:space="preserve">almost like P&amp;G company. </w:t>
      </w:r>
    </w:p>
    <w:p w14:paraId="39848D00" w14:textId="5472BBF8" w:rsidR="00EA05C6" w:rsidRPr="00716B90" w:rsidRDefault="0001273E" w:rsidP="007E3B19">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EF2CBC" w:rsidRPr="00716B90">
        <w:rPr>
          <w:rFonts w:ascii="Calibri" w:eastAsia="Times New Roman" w:hAnsi="Calibri" w:cs="Calibri"/>
          <w:kern w:val="0"/>
          <w:lang w:eastAsia="en-GB"/>
          <w14:ligatures w14:val="none"/>
        </w:rPr>
        <w:t>The similarity between P&amp;G and Nestle’s return on equity demonst</w:t>
      </w:r>
      <w:r w:rsidR="0030220C" w:rsidRPr="00716B90">
        <w:rPr>
          <w:rFonts w:ascii="Calibri" w:eastAsia="Times New Roman" w:hAnsi="Calibri" w:cs="Calibri"/>
          <w:kern w:val="0"/>
          <w:lang w:eastAsia="en-GB"/>
          <w14:ligatures w14:val="none"/>
        </w:rPr>
        <w:t>rates that both organizations are identically excellent a</w:t>
      </w:r>
      <w:r w:rsidR="00DE7458" w:rsidRPr="00716B90">
        <w:rPr>
          <w:rFonts w:ascii="Calibri" w:eastAsia="Times New Roman" w:hAnsi="Calibri" w:cs="Calibri"/>
          <w:kern w:val="0"/>
          <w:lang w:eastAsia="en-GB"/>
          <w14:ligatures w14:val="none"/>
        </w:rPr>
        <w:t xml:space="preserve">t </w:t>
      </w:r>
      <w:r w:rsidR="00C71974" w:rsidRPr="00716B90">
        <w:rPr>
          <w:rFonts w:ascii="Calibri" w:eastAsia="Times New Roman" w:hAnsi="Calibri" w:cs="Calibri"/>
          <w:kern w:val="0"/>
          <w:lang w:eastAsia="en-GB"/>
          <w14:ligatures w14:val="none"/>
        </w:rPr>
        <w:t>earning returns on equity. P&amp;G has grown over time, emphasizing effective financial leadership and wise leveraging usage.</w:t>
      </w:r>
      <w:r w:rsidR="00472F93" w:rsidRPr="00716B90">
        <w:rPr>
          <w:rFonts w:ascii="Calibri" w:eastAsia="Times New Roman" w:hAnsi="Calibri" w:cs="Calibri"/>
          <w:kern w:val="0"/>
          <w:lang w:eastAsia="en-GB"/>
          <w14:ligatures w14:val="none"/>
        </w:rPr>
        <w:t xml:space="preserve"> </w:t>
      </w:r>
    </w:p>
    <w:p w14:paraId="01A71EFA" w14:textId="26827E8A" w:rsidR="00306B63" w:rsidRPr="00716B90" w:rsidRDefault="00CC4EEA" w:rsidP="00423B4C">
      <w:pPr>
        <w:pStyle w:val="Heading2"/>
        <w:rPr>
          <w:rFonts w:ascii="Calibri" w:hAnsi="Calibri" w:cs="Calibri"/>
          <w:sz w:val="24"/>
          <w:szCs w:val="24"/>
          <w:lang w:val="en-US"/>
        </w:rPr>
      </w:pPr>
      <w:bookmarkStart w:id="8" w:name="_Toc175126637"/>
      <w:r w:rsidRPr="00716B90">
        <w:rPr>
          <w:rFonts w:ascii="Calibri" w:eastAsia="Times New Roman" w:hAnsi="Calibri" w:cs="Calibri"/>
          <w:sz w:val="24"/>
          <w:szCs w:val="24"/>
          <w:lang w:eastAsia="en-GB"/>
        </w:rPr>
        <w:t xml:space="preserve">2.2. </w:t>
      </w:r>
      <w:r w:rsidR="00423B4C" w:rsidRPr="00716B90">
        <w:rPr>
          <w:rFonts w:ascii="Calibri" w:eastAsia="Times New Roman" w:hAnsi="Calibri" w:cs="Calibri"/>
          <w:sz w:val="24"/>
          <w:szCs w:val="24"/>
          <w:lang w:eastAsia="en-GB"/>
        </w:rPr>
        <w:t>Liquidity Analysis.</w:t>
      </w:r>
      <w:bookmarkEnd w:id="8"/>
      <w:r w:rsidR="00423B4C" w:rsidRPr="00716B90">
        <w:rPr>
          <w:rFonts w:ascii="Calibri" w:eastAsia="Times New Roman" w:hAnsi="Calibri" w:cs="Calibri"/>
          <w:sz w:val="24"/>
          <w:szCs w:val="24"/>
          <w:lang w:eastAsia="en-GB"/>
        </w:rPr>
        <w:t xml:space="preserve"> </w:t>
      </w:r>
      <w:r w:rsidR="005C7EBA" w:rsidRPr="00716B90">
        <w:rPr>
          <w:rFonts w:ascii="Calibri" w:eastAsia="Times New Roman" w:hAnsi="Calibri" w:cs="Calibri"/>
          <w:sz w:val="24"/>
          <w:szCs w:val="24"/>
          <w:lang w:eastAsia="en-GB"/>
        </w:rPr>
        <w:tab/>
      </w:r>
      <w:r w:rsidR="00306B63" w:rsidRPr="00716B90">
        <w:rPr>
          <w:rFonts w:ascii="Calibri" w:hAnsi="Calibri" w:cs="Calibri"/>
          <w:sz w:val="24"/>
          <w:szCs w:val="24"/>
          <w:lang w:val="en-US"/>
        </w:rPr>
        <w:tab/>
      </w:r>
    </w:p>
    <w:p w14:paraId="1F8F4CAE" w14:textId="43141F8A" w:rsidR="00E55F29" w:rsidRPr="00716B90" w:rsidRDefault="008E4938" w:rsidP="003E7291">
      <w:pPr>
        <w:jc w:val="both"/>
        <w:rPr>
          <w:rFonts w:ascii="Calibri" w:hAnsi="Calibri" w:cs="Calibri"/>
          <w:lang w:val="en-US"/>
        </w:rPr>
      </w:pPr>
      <w:r w:rsidRPr="00716B90">
        <w:rPr>
          <w:rFonts w:ascii="Calibri" w:hAnsi="Calibri" w:cs="Calibri"/>
          <w:lang w:val="en-US"/>
        </w:rPr>
        <w:tab/>
      </w:r>
      <w:r w:rsidR="000E0CE1" w:rsidRPr="00716B90">
        <w:rPr>
          <w:rFonts w:ascii="Calibri" w:eastAsia="Times New Roman" w:hAnsi="Calibri" w:cs="Calibri"/>
          <w:kern w:val="0"/>
          <w:lang w:eastAsia="en-GB"/>
          <w14:ligatures w14:val="none"/>
        </w:rPr>
        <w:t xml:space="preserve">Any business that aspires to meet its existing financial commitments, which involve short-term operational and financial expenses as well as expiring long-term debt, must </w:t>
      </w:r>
      <w:r w:rsidR="000E0CE1" w:rsidRPr="00716B90">
        <w:rPr>
          <w:rFonts w:ascii="Calibri" w:eastAsia="Times New Roman" w:hAnsi="Calibri" w:cs="Calibri"/>
          <w:kern w:val="0"/>
          <w:lang w:eastAsia="en-GB"/>
          <w14:ligatures w14:val="none"/>
        </w:rPr>
        <w:lastRenderedPageBreak/>
        <w:t xml:space="preserve">control its liquidity. Every company uses ratios of liquidity, which include the current ratio, </w:t>
      </w:r>
      <w:r w:rsidR="001B0830" w:rsidRPr="00716B90">
        <w:rPr>
          <w:rFonts w:ascii="Calibri" w:eastAsia="Times New Roman" w:hAnsi="Calibri" w:cs="Calibri"/>
          <w:kern w:val="0"/>
          <w:lang w:eastAsia="en-GB"/>
          <w14:ligatures w14:val="none"/>
        </w:rPr>
        <w:t xml:space="preserve">and quick ratio, </w:t>
      </w:r>
      <w:r w:rsidR="000E0CE1" w:rsidRPr="00716B90">
        <w:rPr>
          <w:rFonts w:ascii="Calibri" w:eastAsia="Times New Roman" w:hAnsi="Calibri" w:cs="Calibri"/>
          <w:kern w:val="0"/>
          <w:lang w:eastAsia="en-GB"/>
          <w14:ligatures w14:val="none"/>
        </w:rPr>
        <w:t>in order for handling its liquidity</w:t>
      </w:r>
      <w:r w:rsidR="0067408C" w:rsidRPr="00716B90">
        <w:rPr>
          <w:rFonts w:ascii="Calibri" w:eastAsia="Times New Roman" w:hAnsi="Calibri" w:cs="Calibri"/>
          <w:kern w:val="0"/>
          <w:lang w:eastAsia="en-GB"/>
          <w14:ligatures w14:val="none"/>
        </w:rPr>
        <w:t xml:space="preserve"> that</w:t>
      </w:r>
      <w:r w:rsidR="005C05C9" w:rsidRPr="00716B90">
        <w:rPr>
          <w:rFonts w:ascii="Calibri" w:eastAsia="Times New Roman" w:hAnsi="Calibri" w:cs="Calibri"/>
          <w:kern w:val="0"/>
          <w:lang w:eastAsia="en-GB"/>
          <w14:ligatures w14:val="none"/>
        </w:rPr>
        <w:t xml:space="preserve"> which</w:t>
      </w:r>
      <w:r w:rsidR="0067408C" w:rsidRPr="00716B90">
        <w:rPr>
          <w:rFonts w:ascii="Calibri" w:eastAsia="Times New Roman" w:hAnsi="Calibri" w:cs="Calibri"/>
          <w:kern w:val="0"/>
          <w:lang w:eastAsia="en-GB"/>
          <w14:ligatures w14:val="none"/>
        </w:rPr>
        <w:t xml:space="preserve"> greatly </w:t>
      </w:r>
      <w:r w:rsidR="00AC7FAA" w:rsidRPr="00716B90">
        <w:rPr>
          <w:rFonts w:ascii="Calibri" w:eastAsia="Times New Roman" w:hAnsi="Calibri" w:cs="Calibri"/>
          <w:kern w:val="0"/>
          <w:lang w:eastAsia="en-GB"/>
          <w14:ligatures w14:val="none"/>
        </w:rPr>
        <w:t>affect</w:t>
      </w:r>
      <w:r w:rsidR="0067408C" w:rsidRPr="00716B90">
        <w:rPr>
          <w:rFonts w:ascii="Calibri" w:eastAsia="Times New Roman" w:hAnsi="Calibri" w:cs="Calibri"/>
          <w:kern w:val="0"/>
          <w:lang w:eastAsia="en-GB"/>
          <w14:ligatures w14:val="none"/>
        </w:rPr>
        <w:t xml:space="preserve"> their profitability</w:t>
      </w:r>
      <w:r w:rsidR="00AC7FAA" w:rsidRPr="00716B90">
        <w:rPr>
          <w:rFonts w:ascii="Calibri" w:eastAsia="Times New Roman" w:hAnsi="Calibri" w:cs="Calibri"/>
          <w:kern w:val="0"/>
          <w:lang w:eastAsia="en-GB"/>
          <w14:ligatures w14:val="none"/>
        </w:rPr>
        <w:t xml:space="preserve"> (</w:t>
      </w:r>
      <w:r w:rsidR="00AC7FAA" w:rsidRPr="00716B90">
        <w:rPr>
          <w:rFonts w:ascii="Calibri" w:hAnsi="Calibri" w:cs="Calibri"/>
        </w:rPr>
        <w:t>Saleem, and Rehman, 2011).</w:t>
      </w:r>
      <w:r w:rsidR="00232A37" w:rsidRPr="00716B90">
        <w:rPr>
          <w:rFonts w:ascii="Calibri" w:hAnsi="Calibri" w:cs="Calibri"/>
        </w:rPr>
        <w:t xml:space="preserve"> In simple terms </w:t>
      </w:r>
      <w:r w:rsidR="00CD1F19" w:rsidRPr="00716B90">
        <w:rPr>
          <w:rFonts w:ascii="Calibri" w:hAnsi="Calibri" w:cs="Calibri"/>
        </w:rPr>
        <w:t xml:space="preserve">liquidity ratio is defined as </w:t>
      </w:r>
      <w:r w:rsidR="006C404B" w:rsidRPr="00716B90">
        <w:rPr>
          <w:rFonts w:ascii="Calibri" w:hAnsi="Calibri" w:cs="Calibri"/>
        </w:rPr>
        <w:t xml:space="preserve">it is </w:t>
      </w:r>
      <w:r w:rsidR="00CD1F19" w:rsidRPr="00716B90">
        <w:rPr>
          <w:rFonts w:ascii="Calibri" w:hAnsi="Calibri" w:cs="Calibri"/>
        </w:rPr>
        <w:t xml:space="preserve">the </w:t>
      </w:r>
      <w:r w:rsidR="006C404B" w:rsidRPr="00716B90">
        <w:rPr>
          <w:rFonts w:ascii="Calibri" w:hAnsi="Calibri" w:cs="Calibri"/>
        </w:rPr>
        <w:t>capacity of</w:t>
      </w:r>
      <w:r w:rsidR="000059B0" w:rsidRPr="00716B90">
        <w:rPr>
          <w:rFonts w:ascii="Calibri" w:hAnsi="Calibri" w:cs="Calibri"/>
        </w:rPr>
        <w:t xml:space="preserve"> an</w:t>
      </w:r>
      <w:r w:rsidR="006C404B" w:rsidRPr="00716B90">
        <w:rPr>
          <w:rFonts w:ascii="Calibri" w:hAnsi="Calibri" w:cs="Calibri"/>
        </w:rPr>
        <w:t xml:space="preserve"> organization to cover its short-term </w:t>
      </w:r>
      <w:r w:rsidR="009D5A75" w:rsidRPr="00716B90">
        <w:rPr>
          <w:rFonts w:ascii="Calibri" w:hAnsi="Calibri" w:cs="Calibri"/>
        </w:rPr>
        <w:t>liabilities</w:t>
      </w:r>
      <w:r w:rsidR="004604F0" w:rsidRPr="00716B90">
        <w:rPr>
          <w:rFonts w:ascii="Calibri" w:hAnsi="Calibri" w:cs="Calibri"/>
        </w:rPr>
        <w:t xml:space="preserve"> </w:t>
      </w:r>
      <w:r w:rsidR="00637680" w:rsidRPr="00716B90">
        <w:rPr>
          <w:rFonts w:ascii="Calibri" w:hAnsi="Calibri" w:cs="Calibri"/>
        </w:rPr>
        <w:t>(</w:t>
      </w:r>
      <w:r w:rsidR="004604F0" w:rsidRPr="00716B90">
        <w:rPr>
          <w:rFonts w:ascii="Calibri" w:hAnsi="Calibri" w:cs="Calibri"/>
        </w:rPr>
        <w:t xml:space="preserve">Suardana </w:t>
      </w:r>
      <w:r w:rsidR="004604F0" w:rsidRPr="00716B90">
        <w:rPr>
          <w:rFonts w:ascii="Calibri" w:hAnsi="Calibri" w:cs="Calibri"/>
          <w:i/>
          <w:iCs/>
        </w:rPr>
        <w:t>et al</w:t>
      </w:r>
      <w:r w:rsidR="004604F0" w:rsidRPr="00716B90">
        <w:rPr>
          <w:rFonts w:ascii="Calibri" w:hAnsi="Calibri" w:cs="Calibri"/>
        </w:rPr>
        <w:t xml:space="preserve">., </w:t>
      </w:r>
      <w:r w:rsidR="00637680" w:rsidRPr="00716B90">
        <w:rPr>
          <w:rFonts w:ascii="Calibri" w:hAnsi="Calibri" w:cs="Calibri"/>
        </w:rPr>
        <w:t>2018).</w:t>
      </w:r>
      <w:r w:rsidR="00E55F29" w:rsidRPr="00716B90">
        <w:rPr>
          <w:rFonts w:ascii="Calibri" w:hAnsi="Calibri" w:cs="Calibri"/>
        </w:rPr>
        <w:t xml:space="preserve"> </w:t>
      </w:r>
    </w:p>
    <w:tbl>
      <w:tblPr>
        <w:tblW w:w="9077" w:type="dxa"/>
        <w:tblLook w:val="04A0" w:firstRow="1" w:lastRow="0" w:firstColumn="1" w:lastColumn="0" w:noHBand="0" w:noVBand="1"/>
      </w:tblPr>
      <w:tblGrid>
        <w:gridCol w:w="2163"/>
        <w:gridCol w:w="1059"/>
        <w:gridCol w:w="1058"/>
        <w:gridCol w:w="1058"/>
        <w:gridCol w:w="1058"/>
        <w:gridCol w:w="1060"/>
        <w:gridCol w:w="1621"/>
      </w:tblGrid>
      <w:tr w:rsidR="00EA3D61" w:rsidRPr="00716B90" w14:paraId="508F6E45" w14:textId="77777777" w:rsidTr="00BA4C73">
        <w:trPr>
          <w:trHeight w:val="553"/>
        </w:trPr>
        <w:tc>
          <w:tcPr>
            <w:tcW w:w="7456"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217FA1C" w14:textId="4BED72C0"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xml:space="preserve">Key Financial Ratios of P&amp;G for the </w:t>
            </w:r>
            <w:r w:rsidR="007E5175" w:rsidRPr="00716B90">
              <w:rPr>
                <w:rFonts w:ascii="Calibri" w:eastAsia="Times New Roman" w:hAnsi="Calibri" w:cs="Calibri"/>
                <w:b/>
                <w:bCs/>
                <w:color w:val="000000"/>
                <w:kern w:val="0"/>
                <w:lang w:eastAsia="en-GB"/>
                <w14:ligatures w14:val="none"/>
              </w:rPr>
              <w:t>Last</w:t>
            </w:r>
            <w:r w:rsidRPr="00716B90">
              <w:rPr>
                <w:rFonts w:ascii="Calibri" w:eastAsia="Times New Roman" w:hAnsi="Calibri" w:cs="Calibri"/>
                <w:b/>
                <w:bCs/>
                <w:color w:val="000000"/>
                <w:kern w:val="0"/>
                <w:lang w:eastAsia="en-GB"/>
                <w14:ligatures w14:val="none"/>
              </w:rPr>
              <w:t xml:space="preserve"> Five Years</w:t>
            </w:r>
          </w:p>
        </w:tc>
        <w:tc>
          <w:tcPr>
            <w:tcW w:w="1621" w:type="dxa"/>
            <w:tcBorders>
              <w:top w:val="single" w:sz="4" w:space="0" w:color="auto"/>
              <w:left w:val="nil"/>
              <w:bottom w:val="single" w:sz="4" w:space="0" w:color="auto"/>
              <w:right w:val="single" w:sz="4" w:space="0" w:color="auto"/>
            </w:tcBorders>
            <w:shd w:val="clear" w:color="auto" w:fill="auto"/>
            <w:vAlign w:val="bottom"/>
            <w:hideMark/>
          </w:tcPr>
          <w:p w14:paraId="6CE2B6E5" w14:textId="77777777"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Nestle Financial Ratios</w:t>
            </w:r>
          </w:p>
        </w:tc>
      </w:tr>
      <w:tr w:rsidR="00EA3D61" w:rsidRPr="00716B90" w14:paraId="1E60B7FC" w14:textId="77777777" w:rsidTr="002C0746">
        <w:trPr>
          <w:trHeight w:val="276"/>
        </w:trPr>
        <w:tc>
          <w:tcPr>
            <w:tcW w:w="9077" w:type="dxa"/>
            <w:gridSpan w:val="7"/>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9864062" w14:textId="77777777"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Liquidity Ratios</w:t>
            </w:r>
          </w:p>
        </w:tc>
      </w:tr>
      <w:tr w:rsidR="002C0746" w:rsidRPr="00716B90" w14:paraId="3D9CA5AC" w14:textId="77777777" w:rsidTr="00BA4C73">
        <w:trPr>
          <w:trHeight w:val="276"/>
        </w:trPr>
        <w:tc>
          <w:tcPr>
            <w:tcW w:w="2163" w:type="dxa"/>
            <w:tcBorders>
              <w:top w:val="nil"/>
              <w:left w:val="single" w:sz="4" w:space="0" w:color="auto"/>
              <w:bottom w:val="single" w:sz="4" w:space="0" w:color="auto"/>
              <w:right w:val="single" w:sz="4" w:space="0" w:color="auto"/>
            </w:tcBorders>
            <w:shd w:val="clear" w:color="auto" w:fill="auto"/>
            <w:noWrap/>
            <w:vAlign w:val="bottom"/>
            <w:hideMark/>
          </w:tcPr>
          <w:p w14:paraId="7F7F03DA" w14:textId="77777777"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w:t>
            </w:r>
          </w:p>
        </w:tc>
        <w:tc>
          <w:tcPr>
            <w:tcW w:w="1059" w:type="dxa"/>
            <w:tcBorders>
              <w:top w:val="nil"/>
              <w:left w:val="nil"/>
              <w:bottom w:val="single" w:sz="4" w:space="0" w:color="auto"/>
              <w:right w:val="single" w:sz="4" w:space="0" w:color="auto"/>
            </w:tcBorders>
            <w:shd w:val="clear" w:color="000000" w:fill="C0E6F5"/>
            <w:noWrap/>
            <w:vAlign w:val="center"/>
            <w:hideMark/>
          </w:tcPr>
          <w:p w14:paraId="46C3C312"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c>
          <w:tcPr>
            <w:tcW w:w="1058" w:type="dxa"/>
            <w:tcBorders>
              <w:top w:val="nil"/>
              <w:left w:val="nil"/>
              <w:bottom w:val="single" w:sz="4" w:space="0" w:color="auto"/>
              <w:right w:val="single" w:sz="4" w:space="0" w:color="auto"/>
            </w:tcBorders>
            <w:shd w:val="clear" w:color="000000" w:fill="C0E6F5"/>
            <w:noWrap/>
            <w:vAlign w:val="center"/>
            <w:hideMark/>
          </w:tcPr>
          <w:p w14:paraId="5F1F7390"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2022</w:t>
            </w:r>
          </w:p>
        </w:tc>
        <w:tc>
          <w:tcPr>
            <w:tcW w:w="1058" w:type="dxa"/>
            <w:tcBorders>
              <w:top w:val="nil"/>
              <w:left w:val="nil"/>
              <w:bottom w:val="single" w:sz="4" w:space="0" w:color="auto"/>
              <w:right w:val="single" w:sz="4" w:space="0" w:color="auto"/>
            </w:tcBorders>
            <w:shd w:val="clear" w:color="000000" w:fill="C0E6F5"/>
            <w:noWrap/>
            <w:vAlign w:val="center"/>
            <w:hideMark/>
          </w:tcPr>
          <w:p w14:paraId="54A135FA"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2021</w:t>
            </w:r>
          </w:p>
        </w:tc>
        <w:tc>
          <w:tcPr>
            <w:tcW w:w="1058" w:type="dxa"/>
            <w:tcBorders>
              <w:top w:val="nil"/>
              <w:left w:val="nil"/>
              <w:bottom w:val="single" w:sz="4" w:space="0" w:color="auto"/>
              <w:right w:val="single" w:sz="4" w:space="0" w:color="auto"/>
            </w:tcBorders>
            <w:shd w:val="clear" w:color="000000" w:fill="C0E6F5"/>
            <w:noWrap/>
            <w:vAlign w:val="center"/>
            <w:hideMark/>
          </w:tcPr>
          <w:p w14:paraId="47A0896B"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2020</w:t>
            </w:r>
          </w:p>
        </w:tc>
        <w:tc>
          <w:tcPr>
            <w:tcW w:w="1060" w:type="dxa"/>
            <w:tcBorders>
              <w:top w:val="nil"/>
              <w:left w:val="nil"/>
              <w:bottom w:val="single" w:sz="4" w:space="0" w:color="auto"/>
              <w:right w:val="single" w:sz="4" w:space="0" w:color="auto"/>
            </w:tcBorders>
            <w:shd w:val="clear" w:color="000000" w:fill="C0E6F5"/>
            <w:noWrap/>
            <w:vAlign w:val="center"/>
            <w:hideMark/>
          </w:tcPr>
          <w:p w14:paraId="74C4A04A"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2019</w:t>
            </w:r>
          </w:p>
        </w:tc>
        <w:tc>
          <w:tcPr>
            <w:tcW w:w="1621" w:type="dxa"/>
            <w:tcBorders>
              <w:top w:val="nil"/>
              <w:left w:val="nil"/>
              <w:bottom w:val="single" w:sz="4" w:space="0" w:color="auto"/>
              <w:right w:val="single" w:sz="4" w:space="0" w:color="auto"/>
            </w:tcBorders>
            <w:shd w:val="clear" w:color="000000" w:fill="C0E6F5"/>
            <w:noWrap/>
            <w:vAlign w:val="bottom"/>
            <w:hideMark/>
          </w:tcPr>
          <w:p w14:paraId="36462F98"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r>
      <w:tr w:rsidR="00EA3D61" w:rsidRPr="00716B90" w14:paraId="669C2474" w14:textId="77777777" w:rsidTr="00BA4C73">
        <w:trPr>
          <w:trHeight w:val="276"/>
        </w:trPr>
        <w:tc>
          <w:tcPr>
            <w:tcW w:w="2163" w:type="dxa"/>
            <w:tcBorders>
              <w:top w:val="nil"/>
              <w:left w:val="single" w:sz="4" w:space="0" w:color="auto"/>
              <w:bottom w:val="single" w:sz="4" w:space="0" w:color="auto"/>
              <w:right w:val="single" w:sz="4" w:space="0" w:color="auto"/>
            </w:tcBorders>
            <w:shd w:val="clear" w:color="000000" w:fill="C0E6F5"/>
            <w:noWrap/>
            <w:vAlign w:val="center"/>
            <w:hideMark/>
          </w:tcPr>
          <w:p w14:paraId="3D8C8DF4" w14:textId="77777777"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Current Ratio</w:t>
            </w:r>
          </w:p>
        </w:tc>
        <w:tc>
          <w:tcPr>
            <w:tcW w:w="1059" w:type="dxa"/>
            <w:tcBorders>
              <w:top w:val="nil"/>
              <w:left w:val="nil"/>
              <w:bottom w:val="single" w:sz="4" w:space="0" w:color="auto"/>
              <w:right w:val="single" w:sz="4" w:space="0" w:color="auto"/>
            </w:tcBorders>
            <w:shd w:val="clear" w:color="auto" w:fill="auto"/>
            <w:noWrap/>
            <w:vAlign w:val="bottom"/>
            <w:hideMark/>
          </w:tcPr>
          <w:p w14:paraId="542E94A5"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0.6334</w:t>
            </w:r>
          </w:p>
        </w:tc>
        <w:tc>
          <w:tcPr>
            <w:tcW w:w="1058" w:type="dxa"/>
            <w:tcBorders>
              <w:top w:val="nil"/>
              <w:left w:val="nil"/>
              <w:bottom w:val="single" w:sz="4" w:space="0" w:color="auto"/>
              <w:right w:val="single" w:sz="4" w:space="0" w:color="auto"/>
            </w:tcBorders>
            <w:shd w:val="clear" w:color="auto" w:fill="auto"/>
            <w:noWrap/>
            <w:vAlign w:val="bottom"/>
            <w:hideMark/>
          </w:tcPr>
          <w:p w14:paraId="1A0950F7"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0.6545</w:t>
            </w:r>
          </w:p>
        </w:tc>
        <w:tc>
          <w:tcPr>
            <w:tcW w:w="1058" w:type="dxa"/>
            <w:tcBorders>
              <w:top w:val="nil"/>
              <w:left w:val="nil"/>
              <w:bottom w:val="single" w:sz="4" w:space="0" w:color="auto"/>
              <w:right w:val="single" w:sz="4" w:space="0" w:color="auto"/>
            </w:tcBorders>
            <w:shd w:val="clear" w:color="auto" w:fill="auto"/>
            <w:noWrap/>
            <w:vAlign w:val="bottom"/>
            <w:hideMark/>
          </w:tcPr>
          <w:p w14:paraId="7273D118"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0.6969</w:t>
            </w:r>
          </w:p>
        </w:tc>
        <w:tc>
          <w:tcPr>
            <w:tcW w:w="1058" w:type="dxa"/>
            <w:tcBorders>
              <w:top w:val="nil"/>
              <w:left w:val="nil"/>
              <w:bottom w:val="single" w:sz="4" w:space="0" w:color="auto"/>
              <w:right w:val="single" w:sz="4" w:space="0" w:color="auto"/>
            </w:tcBorders>
            <w:shd w:val="clear" w:color="auto" w:fill="auto"/>
            <w:noWrap/>
            <w:vAlign w:val="bottom"/>
            <w:hideMark/>
          </w:tcPr>
          <w:p w14:paraId="60297CDA"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0.8487</w:t>
            </w:r>
          </w:p>
        </w:tc>
        <w:tc>
          <w:tcPr>
            <w:tcW w:w="1060" w:type="dxa"/>
            <w:tcBorders>
              <w:top w:val="nil"/>
              <w:left w:val="nil"/>
              <w:bottom w:val="single" w:sz="4" w:space="0" w:color="auto"/>
              <w:right w:val="single" w:sz="4" w:space="0" w:color="auto"/>
            </w:tcBorders>
            <w:shd w:val="clear" w:color="auto" w:fill="auto"/>
            <w:noWrap/>
            <w:vAlign w:val="bottom"/>
            <w:hideMark/>
          </w:tcPr>
          <w:p w14:paraId="32A7B035"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0.7488</w:t>
            </w:r>
          </w:p>
        </w:tc>
        <w:tc>
          <w:tcPr>
            <w:tcW w:w="1621" w:type="dxa"/>
            <w:tcBorders>
              <w:top w:val="nil"/>
              <w:left w:val="nil"/>
              <w:bottom w:val="single" w:sz="4" w:space="0" w:color="auto"/>
              <w:right w:val="single" w:sz="4" w:space="0" w:color="auto"/>
            </w:tcBorders>
            <w:shd w:val="clear" w:color="auto" w:fill="auto"/>
            <w:noWrap/>
            <w:vAlign w:val="bottom"/>
            <w:hideMark/>
          </w:tcPr>
          <w:p w14:paraId="661FA224"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0.8321</w:t>
            </w:r>
          </w:p>
        </w:tc>
      </w:tr>
      <w:tr w:rsidR="00EA3D61" w:rsidRPr="00716B90" w14:paraId="71D1F515" w14:textId="77777777" w:rsidTr="00BA4C73">
        <w:trPr>
          <w:trHeight w:val="276"/>
        </w:trPr>
        <w:tc>
          <w:tcPr>
            <w:tcW w:w="2163" w:type="dxa"/>
            <w:tcBorders>
              <w:top w:val="nil"/>
              <w:left w:val="single" w:sz="4" w:space="0" w:color="auto"/>
              <w:bottom w:val="single" w:sz="4" w:space="0" w:color="auto"/>
              <w:right w:val="single" w:sz="4" w:space="0" w:color="auto"/>
            </w:tcBorders>
            <w:shd w:val="clear" w:color="000000" w:fill="C0E6F5"/>
            <w:noWrap/>
            <w:vAlign w:val="center"/>
            <w:hideMark/>
          </w:tcPr>
          <w:p w14:paraId="0F2F6D21" w14:textId="77777777" w:rsidR="00EA3D61" w:rsidRPr="00716B90" w:rsidRDefault="00EA3D61" w:rsidP="00EA3D61">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Quick Ratio</w:t>
            </w:r>
          </w:p>
        </w:tc>
        <w:tc>
          <w:tcPr>
            <w:tcW w:w="1059" w:type="dxa"/>
            <w:tcBorders>
              <w:top w:val="nil"/>
              <w:left w:val="nil"/>
              <w:bottom w:val="single" w:sz="4" w:space="0" w:color="auto"/>
              <w:right w:val="single" w:sz="4" w:space="0" w:color="auto"/>
            </w:tcBorders>
            <w:shd w:val="clear" w:color="auto" w:fill="auto"/>
            <w:noWrap/>
            <w:vAlign w:val="bottom"/>
            <w:hideMark/>
          </w:tcPr>
          <w:p w14:paraId="297A4F8D"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0.44</w:t>
            </w:r>
          </w:p>
        </w:tc>
        <w:tc>
          <w:tcPr>
            <w:tcW w:w="1058" w:type="dxa"/>
            <w:tcBorders>
              <w:top w:val="nil"/>
              <w:left w:val="nil"/>
              <w:bottom w:val="single" w:sz="4" w:space="0" w:color="auto"/>
              <w:right w:val="single" w:sz="4" w:space="0" w:color="auto"/>
            </w:tcBorders>
            <w:shd w:val="clear" w:color="auto" w:fill="auto"/>
            <w:noWrap/>
            <w:vAlign w:val="bottom"/>
            <w:hideMark/>
          </w:tcPr>
          <w:p w14:paraId="544A8F6A"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0.45</w:t>
            </w:r>
          </w:p>
        </w:tc>
        <w:tc>
          <w:tcPr>
            <w:tcW w:w="1058" w:type="dxa"/>
            <w:tcBorders>
              <w:top w:val="nil"/>
              <w:left w:val="nil"/>
              <w:bottom w:val="single" w:sz="4" w:space="0" w:color="auto"/>
              <w:right w:val="single" w:sz="4" w:space="0" w:color="auto"/>
            </w:tcBorders>
            <w:shd w:val="clear" w:color="auto" w:fill="auto"/>
            <w:noWrap/>
            <w:vAlign w:val="bottom"/>
            <w:hideMark/>
          </w:tcPr>
          <w:p w14:paraId="4B6CC261"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0.52</w:t>
            </w:r>
          </w:p>
        </w:tc>
        <w:tc>
          <w:tcPr>
            <w:tcW w:w="1058" w:type="dxa"/>
            <w:tcBorders>
              <w:top w:val="nil"/>
              <w:left w:val="nil"/>
              <w:bottom w:val="single" w:sz="4" w:space="0" w:color="auto"/>
              <w:right w:val="single" w:sz="4" w:space="0" w:color="auto"/>
            </w:tcBorders>
            <w:shd w:val="clear" w:color="auto" w:fill="auto"/>
            <w:noWrap/>
            <w:vAlign w:val="bottom"/>
            <w:hideMark/>
          </w:tcPr>
          <w:p w14:paraId="2669DA28"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0.68</w:t>
            </w:r>
          </w:p>
        </w:tc>
        <w:tc>
          <w:tcPr>
            <w:tcW w:w="1060" w:type="dxa"/>
            <w:tcBorders>
              <w:top w:val="nil"/>
              <w:left w:val="nil"/>
              <w:bottom w:val="single" w:sz="4" w:space="0" w:color="auto"/>
              <w:right w:val="single" w:sz="4" w:space="0" w:color="auto"/>
            </w:tcBorders>
            <w:shd w:val="clear" w:color="auto" w:fill="auto"/>
            <w:noWrap/>
            <w:vAlign w:val="bottom"/>
            <w:hideMark/>
          </w:tcPr>
          <w:p w14:paraId="45E2FEFB"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0.58</w:t>
            </w:r>
          </w:p>
        </w:tc>
        <w:tc>
          <w:tcPr>
            <w:tcW w:w="1621" w:type="dxa"/>
            <w:tcBorders>
              <w:top w:val="nil"/>
              <w:left w:val="nil"/>
              <w:bottom w:val="single" w:sz="4" w:space="0" w:color="auto"/>
              <w:right w:val="single" w:sz="4" w:space="0" w:color="auto"/>
            </w:tcBorders>
            <w:shd w:val="clear" w:color="auto" w:fill="auto"/>
            <w:noWrap/>
            <w:vAlign w:val="bottom"/>
            <w:hideMark/>
          </w:tcPr>
          <w:p w14:paraId="305CC3D8" w14:textId="77777777" w:rsidR="00EA3D61" w:rsidRPr="00716B90" w:rsidRDefault="00EA3D61" w:rsidP="00EA3D61">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0.46</w:t>
            </w:r>
          </w:p>
        </w:tc>
      </w:tr>
    </w:tbl>
    <w:p w14:paraId="44CA603E" w14:textId="304A3FB0" w:rsidR="00FF4240" w:rsidRPr="00BA4C73" w:rsidRDefault="00BA4C73" w:rsidP="00BA4C73">
      <w:pPr>
        <w:jc w:val="center"/>
        <w:rPr>
          <w:rFonts w:ascii="Calibri" w:hAnsi="Calibri" w:cs="Calibri"/>
          <w:lang w:val="en-US"/>
        </w:rPr>
      </w:pPr>
      <w:r>
        <w:rPr>
          <w:rFonts w:ascii="Calibri" w:hAnsi="Calibri" w:cs="Calibri"/>
          <w:lang w:val="en-US"/>
        </w:rPr>
        <w:t>(Source: Macrotrends, 2024)</w:t>
      </w:r>
    </w:p>
    <w:p w14:paraId="14EEBD17" w14:textId="042A46D3" w:rsidR="007B68FA" w:rsidRPr="00716B90" w:rsidRDefault="008F773E" w:rsidP="003E7291">
      <w:pPr>
        <w:jc w:val="both"/>
        <w:rPr>
          <w:rFonts w:ascii="Calibri" w:hAnsi="Calibri" w:cs="Calibri"/>
        </w:rPr>
      </w:pPr>
      <w:r w:rsidRPr="00716B90">
        <w:rPr>
          <w:rFonts w:ascii="Calibri" w:eastAsia="Times New Roman" w:hAnsi="Calibri" w:cs="Calibri"/>
          <w:kern w:val="0"/>
          <w:lang w:eastAsia="en-GB"/>
          <w14:ligatures w14:val="none"/>
        </w:rPr>
        <w:tab/>
      </w:r>
      <w:r w:rsidR="007B68FA" w:rsidRPr="00716B90">
        <w:rPr>
          <w:rFonts w:ascii="Calibri" w:eastAsia="Times New Roman" w:hAnsi="Calibri" w:cs="Calibri"/>
          <w:kern w:val="0"/>
          <w:lang w:eastAsia="en-GB"/>
          <w14:ligatures w14:val="none"/>
        </w:rPr>
        <w:t>The quick and current ratios will show P&amp;G’s capacity to pay short-term debts. The ratio that is greater than one suggests sufficient liquidity, however</w:t>
      </w:r>
      <w:r w:rsidR="007E5175" w:rsidRPr="00716B90">
        <w:rPr>
          <w:rFonts w:ascii="Calibri" w:eastAsia="Times New Roman" w:hAnsi="Calibri" w:cs="Calibri"/>
          <w:kern w:val="0"/>
          <w:lang w:eastAsia="en-GB"/>
          <w14:ligatures w14:val="none"/>
        </w:rPr>
        <w:t>,</w:t>
      </w:r>
      <w:r w:rsidR="007B68FA" w:rsidRPr="00716B90">
        <w:rPr>
          <w:rFonts w:ascii="Calibri" w:eastAsia="Times New Roman" w:hAnsi="Calibri" w:cs="Calibri"/>
          <w:kern w:val="0"/>
          <w:lang w:eastAsia="en-GB"/>
          <w14:ligatures w14:val="none"/>
        </w:rPr>
        <w:t xml:space="preserve"> an unusually high ratio suggests that the firm is not effectively managing its assets. </w:t>
      </w:r>
      <w:r w:rsidR="00454A54" w:rsidRPr="00716B90">
        <w:rPr>
          <w:rFonts w:ascii="Calibri" w:eastAsia="Times New Roman" w:hAnsi="Calibri" w:cs="Calibri"/>
          <w:kern w:val="0"/>
          <w:lang w:eastAsia="en-GB"/>
          <w14:ligatures w14:val="none"/>
        </w:rPr>
        <w:t xml:space="preserve"> </w:t>
      </w:r>
      <w:r w:rsidR="007B68FA" w:rsidRPr="00716B90">
        <w:rPr>
          <w:rFonts w:ascii="Calibri" w:eastAsia="Times New Roman" w:hAnsi="Calibri" w:cs="Calibri"/>
          <w:kern w:val="0"/>
          <w:lang w:eastAsia="en-GB"/>
          <w14:ligatures w14:val="none"/>
        </w:rPr>
        <w:t>When it comes to P&amp;G’s ratio of liquidity to Nestle’s demonstrates the way the business maintains its financial resources when compared to its competitors.</w:t>
      </w:r>
      <w:r w:rsidR="00454A54" w:rsidRPr="00716B90">
        <w:rPr>
          <w:rFonts w:ascii="Calibri" w:eastAsia="Times New Roman" w:hAnsi="Calibri" w:cs="Calibri"/>
          <w:kern w:val="0"/>
          <w:lang w:eastAsia="en-GB"/>
          <w14:ligatures w14:val="none"/>
        </w:rPr>
        <w:t xml:space="preserve"> </w:t>
      </w:r>
    </w:p>
    <w:p w14:paraId="1C355A59" w14:textId="7B36CDCC" w:rsidR="00CC612F" w:rsidRPr="00716B90" w:rsidRDefault="00CC612F" w:rsidP="00CC612F">
      <w:pPr>
        <w:pStyle w:val="Heading3"/>
        <w:rPr>
          <w:rFonts w:ascii="Calibri" w:hAnsi="Calibri" w:cs="Calibri"/>
          <w:sz w:val="24"/>
          <w:szCs w:val="24"/>
          <w:lang w:val="en-US"/>
        </w:rPr>
      </w:pPr>
      <w:bookmarkStart w:id="9" w:name="_Toc175126638"/>
      <w:r w:rsidRPr="00716B90">
        <w:rPr>
          <w:rFonts w:ascii="Calibri" w:hAnsi="Calibri" w:cs="Calibri"/>
          <w:sz w:val="24"/>
          <w:szCs w:val="24"/>
          <w:lang w:val="en-US"/>
        </w:rPr>
        <w:t>2.2.1 Current Ratio.</w:t>
      </w:r>
      <w:bookmarkEnd w:id="9"/>
      <w:r w:rsidRPr="00716B90">
        <w:rPr>
          <w:rFonts w:ascii="Calibri" w:hAnsi="Calibri" w:cs="Calibri"/>
          <w:sz w:val="24"/>
          <w:szCs w:val="24"/>
          <w:lang w:val="en-US"/>
        </w:rPr>
        <w:t xml:space="preserve"> </w:t>
      </w:r>
    </w:p>
    <w:p w14:paraId="5227B23B" w14:textId="6A7A8184" w:rsidR="007513EA" w:rsidRPr="00716B90" w:rsidRDefault="007513EA" w:rsidP="007513EA">
      <w:pPr>
        <w:jc w:val="both"/>
        <w:rPr>
          <w:rFonts w:ascii="Calibri" w:eastAsia="Times New Roman" w:hAnsi="Calibri" w:cs="Calibri"/>
          <w:kern w:val="0"/>
          <w:lang w:eastAsia="en-GB"/>
          <w14:ligatures w14:val="none"/>
        </w:rPr>
      </w:pPr>
      <w:r w:rsidRPr="00716B90">
        <w:rPr>
          <w:rFonts w:ascii="Calibri" w:eastAsia="Times New Roman" w:hAnsi="Calibri" w:cs="Calibri"/>
          <w:b/>
          <w:bCs/>
          <w:kern w:val="0"/>
          <w:lang w:eastAsia="en-GB"/>
          <w14:ligatures w14:val="none"/>
        </w:rPr>
        <w:tab/>
      </w:r>
      <w:r w:rsidR="007E5175" w:rsidRPr="00716B90">
        <w:rPr>
          <w:rFonts w:ascii="Calibri" w:eastAsia="Times New Roman" w:hAnsi="Calibri" w:cs="Calibri"/>
          <w:kern w:val="0"/>
          <w:lang w:eastAsia="en-GB"/>
          <w14:ligatures w14:val="none"/>
        </w:rPr>
        <w:t>The current</w:t>
      </w:r>
      <w:r w:rsidR="00CB35DC" w:rsidRPr="00716B90">
        <w:rPr>
          <w:rFonts w:ascii="Calibri" w:eastAsia="Times New Roman" w:hAnsi="Calibri" w:cs="Calibri"/>
          <w:kern w:val="0"/>
          <w:lang w:eastAsia="en-GB"/>
          <w14:ligatures w14:val="none"/>
        </w:rPr>
        <w:t xml:space="preserve"> ratio</w:t>
      </w:r>
      <w:r w:rsidRPr="00716B90">
        <w:rPr>
          <w:rFonts w:ascii="Calibri" w:eastAsia="Times New Roman" w:hAnsi="Calibri" w:cs="Calibri"/>
          <w:kern w:val="0"/>
          <w:lang w:eastAsia="en-GB"/>
          <w14:ligatures w14:val="none"/>
        </w:rPr>
        <w:t xml:space="preserve"> is utilized for evaluating how well a business will be likely to use </w:t>
      </w:r>
      <w:r w:rsidR="0054794C" w:rsidRPr="00716B90">
        <w:rPr>
          <w:rFonts w:ascii="Calibri" w:eastAsia="Times New Roman" w:hAnsi="Calibri" w:cs="Calibri"/>
          <w:kern w:val="0"/>
          <w:lang w:eastAsia="en-GB"/>
          <w14:ligatures w14:val="none"/>
        </w:rPr>
        <w:t>all</w:t>
      </w:r>
      <w:r w:rsidRPr="00716B90">
        <w:rPr>
          <w:rFonts w:ascii="Calibri" w:eastAsia="Times New Roman" w:hAnsi="Calibri" w:cs="Calibri"/>
          <w:kern w:val="0"/>
          <w:lang w:eastAsia="en-GB"/>
          <w14:ligatures w14:val="none"/>
        </w:rPr>
        <w:t xml:space="preserve"> its present assets to pay off the immediate liabilities that are scheduled due</w:t>
      </w:r>
      <w:r w:rsidR="0054794C" w:rsidRPr="00716B90">
        <w:rPr>
          <w:rFonts w:ascii="Calibri" w:eastAsia="Times New Roman" w:hAnsi="Calibri" w:cs="Calibri"/>
          <w:kern w:val="0"/>
          <w:lang w:eastAsia="en-GB"/>
          <w14:ligatures w14:val="none"/>
        </w:rPr>
        <w:t xml:space="preserve">, as stated differently, this CR reflects </w:t>
      </w:r>
      <w:r w:rsidR="007E5175" w:rsidRPr="00716B90">
        <w:rPr>
          <w:rFonts w:ascii="Calibri" w:eastAsia="Times New Roman" w:hAnsi="Calibri" w:cs="Calibri"/>
          <w:kern w:val="0"/>
          <w:lang w:eastAsia="en-GB"/>
          <w14:ligatures w14:val="none"/>
        </w:rPr>
        <w:t xml:space="preserve">the </w:t>
      </w:r>
      <w:r w:rsidR="0054794C" w:rsidRPr="00716B90">
        <w:rPr>
          <w:rFonts w:ascii="Calibri" w:eastAsia="Times New Roman" w:hAnsi="Calibri" w:cs="Calibri"/>
          <w:kern w:val="0"/>
          <w:lang w:eastAsia="en-GB"/>
          <w14:ligatures w14:val="none"/>
        </w:rPr>
        <w:t>present firm utilization of assets as a percentage of the overall current liabilities. As a result, dividing the number of the total present assets by the total present liabilities yields the current ratio</w:t>
      </w:r>
      <w:r w:rsidR="00086486" w:rsidRPr="00716B90">
        <w:rPr>
          <w:rFonts w:ascii="Calibri" w:eastAsia="Times New Roman" w:hAnsi="Calibri" w:cs="Calibri"/>
          <w:kern w:val="0"/>
          <w:lang w:eastAsia="en-GB"/>
          <w14:ligatures w14:val="none"/>
        </w:rPr>
        <w:t xml:space="preserve"> (</w:t>
      </w:r>
      <w:r w:rsidR="00086486" w:rsidRPr="00716B90">
        <w:rPr>
          <w:rFonts w:ascii="Calibri" w:hAnsi="Calibri" w:cs="Calibri"/>
        </w:rPr>
        <w:t>Husna, and Satria, 2019).</w:t>
      </w:r>
      <w:r w:rsidR="008017B7" w:rsidRPr="00716B90">
        <w:rPr>
          <w:rFonts w:ascii="Calibri" w:hAnsi="Calibri" w:cs="Calibri"/>
        </w:rPr>
        <w:t xml:space="preserve"> The following formula</w:t>
      </w:r>
      <w:r w:rsidR="00280D60" w:rsidRPr="00716B90">
        <w:rPr>
          <w:rFonts w:ascii="Calibri" w:hAnsi="Calibri" w:cs="Calibri"/>
        </w:rPr>
        <w:t xml:space="preserve"> show</w:t>
      </w:r>
      <w:r w:rsidR="00EF2526" w:rsidRPr="00716B90">
        <w:rPr>
          <w:rFonts w:ascii="Calibri" w:hAnsi="Calibri" w:cs="Calibri"/>
        </w:rPr>
        <w:t>s</w:t>
      </w:r>
      <w:r w:rsidR="00280D60" w:rsidRPr="00716B90">
        <w:rPr>
          <w:rFonts w:ascii="Calibri" w:hAnsi="Calibri" w:cs="Calibri"/>
        </w:rPr>
        <w:t xml:space="preserve"> how to calculate</w:t>
      </w:r>
      <w:r w:rsidR="00BF53B3" w:rsidRPr="00716B90">
        <w:rPr>
          <w:rFonts w:ascii="Calibri" w:hAnsi="Calibri" w:cs="Calibri"/>
        </w:rPr>
        <w:t xml:space="preserve"> the current ratio</w:t>
      </w:r>
      <w:r w:rsidR="00280D60" w:rsidRPr="00716B90">
        <w:rPr>
          <w:rFonts w:ascii="Calibri" w:hAnsi="Calibri" w:cs="Calibri"/>
        </w:rPr>
        <w:t xml:space="preserve">: </w:t>
      </w:r>
    </w:p>
    <w:p w14:paraId="6C700BFA" w14:textId="3A7268B5" w:rsidR="00DE6E94" w:rsidRPr="00716B90" w:rsidRDefault="00DE6E94" w:rsidP="00DE6E94">
      <w:pPr>
        <w:jc w:val="center"/>
        <w:rPr>
          <w:rFonts w:ascii="Calibri" w:eastAsia="Times New Roman" w:hAnsi="Calibri" w:cs="Calibri"/>
          <w:b/>
          <w:bCs/>
          <w:kern w:val="0"/>
          <w:lang w:eastAsia="en-GB"/>
          <w14:ligatures w14:val="none"/>
        </w:rPr>
      </w:pPr>
      <w:r w:rsidRPr="00716B90">
        <w:rPr>
          <w:rFonts w:ascii="Calibri" w:eastAsia="Times New Roman" w:hAnsi="Calibri" w:cs="Calibri"/>
          <w:b/>
          <w:bCs/>
          <w:kern w:val="0"/>
          <w:lang w:eastAsia="en-GB"/>
          <w14:ligatures w14:val="none"/>
        </w:rPr>
        <w:t>Current Ratio = (Current Assets / Current Liabilities) x 100</w:t>
      </w:r>
    </w:p>
    <w:p w14:paraId="358E926C" w14:textId="24CBF1DB" w:rsidR="00DE6E94" w:rsidRPr="00716B90" w:rsidRDefault="003B4892" w:rsidP="009C1AEA">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 xml:space="preserve">P&amp;G's standard current ratio during the previous five years is </w:t>
      </w:r>
      <w:r w:rsidR="00B858C0" w:rsidRPr="00716B90">
        <w:rPr>
          <w:rFonts w:ascii="Calibri" w:eastAsia="Times New Roman" w:hAnsi="Calibri" w:cs="Calibri"/>
          <w:kern w:val="0"/>
          <w:lang w:eastAsia="en-GB"/>
          <w14:ligatures w14:val="none"/>
        </w:rPr>
        <w:t>around 7</w:t>
      </w:r>
      <w:r w:rsidRPr="00716B90">
        <w:rPr>
          <w:rFonts w:ascii="Calibri" w:eastAsia="Times New Roman" w:hAnsi="Calibri" w:cs="Calibri"/>
          <w:kern w:val="0"/>
          <w:lang w:eastAsia="en-GB"/>
          <w14:ligatures w14:val="none"/>
        </w:rPr>
        <w:t>, displaying a declining trend. P&amp;G's 2020 current ratio of 0.85 shows the business might find it difficult to cover its present financial obligations</w:t>
      </w:r>
      <w:r w:rsidR="00DD05E7" w:rsidRPr="00716B90">
        <w:rPr>
          <w:rFonts w:ascii="Calibri" w:eastAsia="Times New Roman" w:hAnsi="Calibri" w:cs="Calibri"/>
          <w:kern w:val="0"/>
          <w:lang w:eastAsia="en-GB"/>
          <w14:ligatures w14:val="none"/>
        </w:rPr>
        <w:t xml:space="preserve"> </w:t>
      </w:r>
      <w:r w:rsidR="00DD05E7" w:rsidRPr="00716B90">
        <w:rPr>
          <w:rFonts w:ascii="Calibri" w:hAnsi="Calibri" w:cs="Calibri"/>
        </w:rPr>
        <w:t>(Wang, 2022)</w:t>
      </w:r>
      <w:r w:rsidRPr="00716B90">
        <w:rPr>
          <w:rFonts w:ascii="Calibri" w:eastAsia="Times New Roman" w:hAnsi="Calibri" w:cs="Calibri"/>
          <w:kern w:val="0"/>
          <w:lang w:eastAsia="en-GB"/>
          <w14:ligatures w14:val="none"/>
        </w:rPr>
        <w:t xml:space="preserve">, </w:t>
      </w:r>
      <w:r w:rsidR="00227787" w:rsidRPr="00716B90">
        <w:rPr>
          <w:rFonts w:ascii="Calibri" w:eastAsia="Times New Roman" w:hAnsi="Calibri" w:cs="Calibri"/>
          <w:kern w:val="0"/>
          <w:lang w:eastAsia="en-GB"/>
          <w14:ligatures w14:val="none"/>
        </w:rPr>
        <w:t>and Nestle</w:t>
      </w:r>
      <w:r w:rsidR="004618A2" w:rsidRPr="00716B90">
        <w:rPr>
          <w:rFonts w:ascii="Calibri" w:eastAsia="Times New Roman" w:hAnsi="Calibri" w:cs="Calibri"/>
          <w:kern w:val="0"/>
          <w:lang w:eastAsia="en-GB"/>
          <w14:ligatures w14:val="none"/>
        </w:rPr>
        <w:t>’s</w:t>
      </w:r>
      <w:r w:rsidR="00227787" w:rsidRPr="00716B90">
        <w:rPr>
          <w:rFonts w:ascii="Calibri" w:eastAsia="Times New Roman" w:hAnsi="Calibri" w:cs="Calibri"/>
          <w:kern w:val="0"/>
          <w:lang w:eastAsia="en-GB"/>
          <w14:ligatures w14:val="none"/>
        </w:rPr>
        <w:t xml:space="preserve"> current ratio in the year </w:t>
      </w:r>
      <w:r w:rsidR="004349B8" w:rsidRPr="00716B90">
        <w:rPr>
          <w:rFonts w:ascii="Calibri" w:eastAsia="Times New Roman" w:hAnsi="Calibri" w:cs="Calibri"/>
          <w:kern w:val="0"/>
          <w:lang w:eastAsia="en-GB"/>
          <w14:ligatures w14:val="none"/>
        </w:rPr>
        <w:t xml:space="preserve">2023 is 0.83 </w:t>
      </w:r>
      <w:r w:rsidR="004618A2" w:rsidRPr="00716B90">
        <w:rPr>
          <w:rFonts w:ascii="Calibri" w:eastAsia="Times New Roman" w:hAnsi="Calibri" w:cs="Calibri"/>
          <w:kern w:val="0"/>
          <w:lang w:eastAsia="en-GB"/>
          <w14:ligatures w14:val="none"/>
        </w:rPr>
        <w:t>which is higher than P&amp;G company</w:t>
      </w:r>
      <w:r w:rsidR="00F91065" w:rsidRPr="00716B90">
        <w:rPr>
          <w:rFonts w:ascii="Calibri" w:eastAsia="Times New Roman" w:hAnsi="Calibri" w:cs="Calibri"/>
          <w:kern w:val="0"/>
          <w:lang w:eastAsia="en-GB"/>
          <w14:ligatures w14:val="none"/>
        </w:rPr>
        <w:t xml:space="preserve"> in the same year</w:t>
      </w:r>
      <w:r w:rsidR="004618A2" w:rsidRPr="00716B90">
        <w:rPr>
          <w:rFonts w:ascii="Calibri" w:eastAsia="Times New Roman" w:hAnsi="Calibri" w:cs="Calibri"/>
          <w:kern w:val="0"/>
          <w:lang w:eastAsia="en-GB"/>
          <w14:ligatures w14:val="none"/>
        </w:rPr>
        <w:t xml:space="preserve">. </w:t>
      </w:r>
    </w:p>
    <w:p w14:paraId="43565EF2" w14:textId="35E2E270" w:rsidR="008978E0" w:rsidRPr="00716B90" w:rsidRDefault="007B68FA" w:rsidP="009C1AEA">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r>
      <w:r w:rsidR="002725ED" w:rsidRPr="00716B90">
        <w:rPr>
          <w:rFonts w:ascii="Calibri" w:eastAsia="Times New Roman" w:hAnsi="Calibri" w:cs="Calibri"/>
          <w:kern w:val="0"/>
          <w:lang w:eastAsia="en-GB"/>
          <w14:ligatures w14:val="none"/>
        </w:rPr>
        <w:t xml:space="preserve">Compared to P&amp;G which maintained a current Ratio of </w:t>
      </w:r>
      <w:r w:rsidR="00431DCD" w:rsidRPr="00716B90">
        <w:rPr>
          <w:rFonts w:ascii="Calibri" w:eastAsia="Times New Roman" w:hAnsi="Calibri" w:cs="Calibri"/>
          <w:kern w:val="0"/>
          <w:lang w:eastAsia="en-GB"/>
          <w14:ligatures w14:val="none"/>
        </w:rPr>
        <w:t xml:space="preserve">0.63, Nestle has a higher liquidity ratio </w:t>
      </w:r>
      <w:r w:rsidR="00F62BB6" w:rsidRPr="00716B90">
        <w:rPr>
          <w:rFonts w:ascii="Calibri" w:eastAsia="Times New Roman" w:hAnsi="Calibri" w:cs="Calibri"/>
          <w:kern w:val="0"/>
          <w:lang w:eastAsia="en-GB"/>
          <w14:ligatures w14:val="none"/>
        </w:rPr>
        <w:t>of</w:t>
      </w:r>
      <w:r w:rsidR="00431DCD" w:rsidRPr="00716B90">
        <w:rPr>
          <w:rFonts w:ascii="Calibri" w:eastAsia="Times New Roman" w:hAnsi="Calibri" w:cs="Calibri"/>
          <w:kern w:val="0"/>
          <w:lang w:eastAsia="en-GB"/>
          <w14:ligatures w14:val="none"/>
        </w:rPr>
        <w:t xml:space="preserve"> 0.8</w:t>
      </w:r>
      <w:r w:rsidR="008978E0" w:rsidRPr="00716B90">
        <w:rPr>
          <w:rFonts w:ascii="Calibri" w:eastAsia="Times New Roman" w:hAnsi="Calibri" w:cs="Calibri"/>
          <w:kern w:val="0"/>
          <w:lang w:eastAsia="en-GB"/>
          <w14:ligatures w14:val="none"/>
        </w:rPr>
        <w:t xml:space="preserve">3, this indicates that Nestlé has a less reckless approach to managing its liquidity, resulting in it being more capable </w:t>
      </w:r>
      <w:r w:rsidR="00F62BB6" w:rsidRPr="00716B90">
        <w:rPr>
          <w:rFonts w:ascii="Calibri" w:eastAsia="Times New Roman" w:hAnsi="Calibri" w:cs="Calibri"/>
          <w:kern w:val="0"/>
          <w:lang w:eastAsia="en-GB"/>
          <w14:ligatures w14:val="none"/>
        </w:rPr>
        <w:t>of fulfilling</w:t>
      </w:r>
      <w:r w:rsidR="008978E0" w:rsidRPr="00716B90">
        <w:rPr>
          <w:rFonts w:ascii="Calibri" w:eastAsia="Times New Roman" w:hAnsi="Calibri" w:cs="Calibri"/>
          <w:kern w:val="0"/>
          <w:lang w:eastAsia="en-GB"/>
          <w14:ligatures w14:val="none"/>
        </w:rPr>
        <w:t xml:space="preserve"> its immediate responsibilities.</w:t>
      </w:r>
    </w:p>
    <w:p w14:paraId="52856176" w14:textId="6EFDAEEF" w:rsidR="00F87349" w:rsidRPr="00716B90" w:rsidRDefault="00F87349" w:rsidP="00F87349">
      <w:pPr>
        <w:pStyle w:val="Heading3"/>
        <w:rPr>
          <w:rFonts w:ascii="Calibri" w:hAnsi="Calibri" w:cs="Calibri"/>
          <w:sz w:val="24"/>
          <w:szCs w:val="24"/>
          <w:lang w:val="en-US"/>
        </w:rPr>
      </w:pPr>
      <w:bookmarkStart w:id="10" w:name="_Toc175126639"/>
      <w:r w:rsidRPr="00716B90">
        <w:rPr>
          <w:rFonts w:ascii="Calibri" w:hAnsi="Calibri" w:cs="Calibri"/>
          <w:sz w:val="24"/>
          <w:szCs w:val="24"/>
          <w:lang w:val="en-US"/>
        </w:rPr>
        <w:t>2.2.</w:t>
      </w:r>
      <w:r w:rsidR="00995F5A" w:rsidRPr="00716B90">
        <w:rPr>
          <w:rFonts w:ascii="Calibri" w:hAnsi="Calibri" w:cs="Calibri"/>
          <w:sz w:val="24"/>
          <w:szCs w:val="24"/>
          <w:lang w:val="en-US"/>
        </w:rPr>
        <w:t>2</w:t>
      </w:r>
      <w:r w:rsidRPr="00716B90">
        <w:rPr>
          <w:rFonts w:ascii="Calibri" w:hAnsi="Calibri" w:cs="Calibri"/>
          <w:sz w:val="24"/>
          <w:szCs w:val="24"/>
          <w:lang w:val="en-US"/>
        </w:rPr>
        <w:t>. Quick Ratio.</w:t>
      </w:r>
      <w:bookmarkEnd w:id="10"/>
      <w:r w:rsidRPr="00716B90">
        <w:rPr>
          <w:rFonts w:ascii="Calibri" w:hAnsi="Calibri" w:cs="Calibri"/>
          <w:sz w:val="24"/>
          <w:szCs w:val="24"/>
          <w:lang w:val="en-US"/>
        </w:rPr>
        <w:t xml:space="preserve"> </w:t>
      </w:r>
    </w:p>
    <w:p w14:paraId="08A49302" w14:textId="77394D3F" w:rsidR="00086486" w:rsidRPr="00716B90" w:rsidRDefault="001E7120" w:rsidP="001E7120">
      <w:pPr>
        <w:jc w:val="both"/>
        <w:rPr>
          <w:rFonts w:ascii="Calibri" w:hAnsi="Calibri" w:cs="Calibri"/>
        </w:rPr>
      </w:pPr>
      <w:r w:rsidRPr="00716B90">
        <w:rPr>
          <w:rFonts w:ascii="Calibri" w:hAnsi="Calibri" w:cs="Calibri"/>
          <w:b/>
          <w:bCs/>
          <w:lang w:val="en-US"/>
        </w:rPr>
        <w:tab/>
      </w:r>
      <w:r w:rsidR="00657F1C" w:rsidRPr="00716B90">
        <w:rPr>
          <w:rFonts w:ascii="Calibri" w:hAnsi="Calibri" w:cs="Calibri"/>
          <w:lang w:val="en-US"/>
        </w:rPr>
        <w:t xml:space="preserve">The </w:t>
      </w:r>
      <w:r w:rsidR="005B09DD" w:rsidRPr="00716B90">
        <w:rPr>
          <w:rFonts w:ascii="Calibri" w:hAnsi="Calibri" w:cs="Calibri"/>
          <w:lang w:val="en-US"/>
        </w:rPr>
        <w:t xml:space="preserve">organization’s liquidity </w:t>
      </w:r>
      <w:r w:rsidR="005B09DD" w:rsidRPr="00716B90">
        <w:rPr>
          <w:rFonts w:ascii="Calibri" w:hAnsi="Calibri" w:cs="Calibri"/>
        </w:rPr>
        <w:t xml:space="preserve">indicates how fully prepared it is to pay short-term debts on </w:t>
      </w:r>
      <w:r w:rsidR="00F62BB6" w:rsidRPr="00716B90">
        <w:rPr>
          <w:rFonts w:ascii="Calibri" w:hAnsi="Calibri" w:cs="Calibri"/>
        </w:rPr>
        <w:t>schedule</w:t>
      </w:r>
      <w:r w:rsidR="005B09DD" w:rsidRPr="00716B90">
        <w:rPr>
          <w:rFonts w:ascii="Calibri" w:hAnsi="Calibri" w:cs="Calibri"/>
        </w:rPr>
        <w:t xml:space="preserve">. One statistical approach to measure a company's the possible ability to effectively pay back debts in the </w:t>
      </w:r>
      <w:r w:rsidR="009040C0" w:rsidRPr="00716B90">
        <w:rPr>
          <w:rFonts w:ascii="Calibri" w:hAnsi="Calibri" w:cs="Calibri"/>
        </w:rPr>
        <w:t>given time is the quick ratio</w:t>
      </w:r>
      <w:r w:rsidR="00B010FD" w:rsidRPr="00716B90">
        <w:rPr>
          <w:rFonts w:ascii="Calibri" w:hAnsi="Calibri" w:cs="Calibri"/>
        </w:rPr>
        <w:t xml:space="preserve"> (Martina, </w:t>
      </w:r>
      <w:proofErr w:type="spellStart"/>
      <w:r w:rsidR="00B010FD" w:rsidRPr="00716B90">
        <w:rPr>
          <w:rFonts w:ascii="Calibri" w:hAnsi="Calibri" w:cs="Calibri"/>
        </w:rPr>
        <w:t>Sadalia</w:t>
      </w:r>
      <w:proofErr w:type="spellEnd"/>
      <w:r w:rsidR="00B010FD" w:rsidRPr="00716B90">
        <w:rPr>
          <w:rFonts w:ascii="Calibri" w:hAnsi="Calibri" w:cs="Calibri"/>
        </w:rPr>
        <w:t>, and Bukit, 2019).</w:t>
      </w:r>
      <w:r w:rsidR="005244AC" w:rsidRPr="00716B90">
        <w:rPr>
          <w:rFonts w:ascii="Calibri" w:hAnsi="Calibri" w:cs="Calibri"/>
        </w:rPr>
        <w:t xml:space="preserve"> The quick ratio is calculated as below:</w:t>
      </w:r>
    </w:p>
    <w:p w14:paraId="2A5099DA" w14:textId="0488A167" w:rsidR="00393F8A" w:rsidRPr="00716B90" w:rsidRDefault="004F7D31" w:rsidP="006D7124">
      <w:pPr>
        <w:jc w:val="center"/>
        <w:rPr>
          <w:rFonts w:ascii="Calibri" w:hAnsi="Calibri" w:cs="Calibri"/>
          <w:b/>
          <w:bCs/>
          <w:lang w:val="en-US"/>
        </w:rPr>
      </w:pPr>
      <w:r w:rsidRPr="00716B90">
        <w:rPr>
          <w:rFonts w:ascii="Calibri" w:hAnsi="Calibri" w:cs="Calibri"/>
          <w:b/>
          <w:bCs/>
          <w:lang w:val="en-US"/>
        </w:rPr>
        <w:lastRenderedPageBreak/>
        <w:t>Quick Ratio = (</w:t>
      </w:r>
      <w:r w:rsidR="00A23A5E" w:rsidRPr="00716B90">
        <w:rPr>
          <w:rFonts w:ascii="Calibri" w:hAnsi="Calibri" w:cs="Calibri"/>
          <w:b/>
          <w:bCs/>
          <w:lang w:val="en-US"/>
        </w:rPr>
        <w:t>Current Assets – Inventory / Current L</w:t>
      </w:r>
      <w:r w:rsidR="006D7124" w:rsidRPr="00716B90">
        <w:rPr>
          <w:rFonts w:ascii="Calibri" w:hAnsi="Calibri" w:cs="Calibri"/>
          <w:b/>
          <w:bCs/>
          <w:lang w:val="en-US"/>
        </w:rPr>
        <w:t>iabilities</w:t>
      </w:r>
      <w:r w:rsidRPr="00716B90">
        <w:rPr>
          <w:rFonts w:ascii="Calibri" w:hAnsi="Calibri" w:cs="Calibri"/>
          <w:b/>
          <w:bCs/>
          <w:lang w:val="en-US"/>
        </w:rPr>
        <w:t>) x 100</w:t>
      </w:r>
    </w:p>
    <w:p w14:paraId="45E27031" w14:textId="675636DC" w:rsidR="006D7124" w:rsidRPr="00716B90" w:rsidRDefault="006D7124" w:rsidP="006D7124">
      <w:pPr>
        <w:jc w:val="both"/>
        <w:rPr>
          <w:rFonts w:ascii="Calibri" w:hAnsi="Calibri" w:cs="Calibri"/>
        </w:rPr>
      </w:pPr>
      <w:r w:rsidRPr="00716B90">
        <w:rPr>
          <w:rFonts w:ascii="Calibri" w:hAnsi="Calibri" w:cs="Calibri"/>
          <w:b/>
          <w:bCs/>
          <w:lang w:val="en-US"/>
        </w:rPr>
        <w:tab/>
      </w:r>
      <w:r w:rsidR="00F62BB6" w:rsidRPr="00716B90">
        <w:rPr>
          <w:rFonts w:ascii="Calibri" w:hAnsi="Calibri" w:cs="Calibri"/>
          <w:lang w:val="en-US"/>
        </w:rPr>
        <w:t>The quick</w:t>
      </w:r>
      <w:r w:rsidR="004A1DD1" w:rsidRPr="00716B90">
        <w:rPr>
          <w:rFonts w:ascii="Calibri" w:hAnsi="Calibri" w:cs="Calibri"/>
          <w:lang w:val="en-US"/>
        </w:rPr>
        <w:t xml:space="preserve"> </w:t>
      </w:r>
      <w:r w:rsidR="00F62BB6" w:rsidRPr="00716B90">
        <w:rPr>
          <w:rFonts w:ascii="Calibri" w:hAnsi="Calibri" w:cs="Calibri"/>
          <w:lang w:val="en-US"/>
        </w:rPr>
        <w:t>ratio</w:t>
      </w:r>
      <w:r w:rsidR="004A1DD1" w:rsidRPr="00716B90">
        <w:rPr>
          <w:rFonts w:ascii="Calibri" w:hAnsi="Calibri" w:cs="Calibri"/>
          <w:lang w:val="en-US"/>
        </w:rPr>
        <w:t xml:space="preserve"> of P&amp;G </w:t>
      </w:r>
      <w:r w:rsidR="004F4A2D" w:rsidRPr="00716B90">
        <w:rPr>
          <w:rFonts w:ascii="Calibri" w:hAnsi="Calibri" w:cs="Calibri"/>
          <w:lang w:val="en-US"/>
        </w:rPr>
        <w:t>in the year 2020 is 0.68 and it is decreased when comp</w:t>
      </w:r>
      <w:r w:rsidR="00EB06F2" w:rsidRPr="00716B90">
        <w:rPr>
          <w:rFonts w:ascii="Calibri" w:hAnsi="Calibri" w:cs="Calibri"/>
          <w:lang w:val="en-US"/>
        </w:rPr>
        <w:t>ared to the year 2023, which is 0.44</w:t>
      </w:r>
      <w:r w:rsidR="00D4203C" w:rsidRPr="00716B90">
        <w:rPr>
          <w:rFonts w:ascii="Calibri" w:hAnsi="Calibri" w:cs="Calibri"/>
          <w:lang w:val="en-US"/>
        </w:rPr>
        <w:t xml:space="preserve">, which shows the </w:t>
      </w:r>
      <w:r w:rsidR="00B21FB7" w:rsidRPr="00716B90">
        <w:rPr>
          <w:rFonts w:ascii="Calibri" w:hAnsi="Calibri" w:cs="Calibri"/>
          <w:lang w:val="en-US"/>
        </w:rPr>
        <w:t>reduced</w:t>
      </w:r>
      <w:r w:rsidR="001578C2" w:rsidRPr="00716B90">
        <w:rPr>
          <w:rFonts w:ascii="Calibri" w:hAnsi="Calibri" w:cs="Calibri"/>
          <w:lang w:val="en-US"/>
        </w:rPr>
        <w:t xml:space="preserve"> ability to </w:t>
      </w:r>
      <w:r w:rsidR="00057F0A" w:rsidRPr="00716B90">
        <w:rPr>
          <w:rFonts w:ascii="Calibri" w:hAnsi="Calibri" w:cs="Calibri"/>
          <w:lang w:val="en-US"/>
        </w:rPr>
        <w:t xml:space="preserve">meet </w:t>
      </w:r>
      <w:r w:rsidR="001D4984" w:rsidRPr="00716B90">
        <w:rPr>
          <w:rFonts w:ascii="Calibri" w:hAnsi="Calibri" w:cs="Calibri"/>
          <w:lang w:val="en-US"/>
        </w:rPr>
        <w:t xml:space="preserve">near </w:t>
      </w:r>
      <w:r w:rsidR="003A1FBE" w:rsidRPr="00716B90">
        <w:rPr>
          <w:rFonts w:ascii="Calibri" w:hAnsi="Calibri" w:cs="Calibri"/>
          <w:lang w:val="en-US"/>
        </w:rPr>
        <w:t>feature</w:t>
      </w:r>
      <w:r w:rsidR="001D4984" w:rsidRPr="00716B90">
        <w:rPr>
          <w:rFonts w:ascii="Calibri" w:hAnsi="Calibri" w:cs="Calibri"/>
          <w:lang w:val="en-US"/>
        </w:rPr>
        <w:t xml:space="preserve"> liabilities w</w:t>
      </w:r>
      <w:r w:rsidR="00B21FB7" w:rsidRPr="00716B90">
        <w:rPr>
          <w:rFonts w:ascii="Calibri" w:hAnsi="Calibri" w:cs="Calibri"/>
          <w:lang w:val="en-US"/>
        </w:rPr>
        <w:t>ithout depending on inventory</w:t>
      </w:r>
      <w:r w:rsidR="003A1FBE" w:rsidRPr="00716B90">
        <w:rPr>
          <w:rFonts w:ascii="Calibri" w:hAnsi="Calibri" w:cs="Calibri"/>
          <w:lang w:val="en-US"/>
        </w:rPr>
        <w:t xml:space="preserve">, </w:t>
      </w:r>
      <w:r w:rsidR="00A63060" w:rsidRPr="00716B90">
        <w:rPr>
          <w:rFonts w:ascii="Calibri" w:hAnsi="Calibri" w:cs="Calibri"/>
          <w:lang w:val="en-US"/>
        </w:rPr>
        <w:t xml:space="preserve">In the year 2023 Nestle’s quick ratio is 0.46 </w:t>
      </w:r>
      <w:r w:rsidR="00754182" w:rsidRPr="00716B90">
        <w:rPr>
          <w:rFonts w:ascii="Calibri" w:hAnsi="Calibri" w:cs="Calibri"/>
          <w:lang w:val="en-US"/>
        </w:rPr>
        <w:t>which is slightly higher than P&amp;G.</w:t>
      </w:r>
      <w:r w:rsidR="00EC34BC" w:rsidRPr="00716B90">
        <w:rPr>
          <w:rFonts w:ascii="Calibri" w:hAnsi="Calibri" w:cs="Calibri"/>
          <w:lang w:val="en-US"/>
        </w:rPr>
        <w:t xml:space="preserve"> </w:t>
      </w:r>
      <w:r w:rsidR="00EC34BC" w:rsidRPr="00716B90">
        <w:rPr>
          <w:rFonts w:ascii="Calibri" w:hAnsi="Calibri" w:cs="Calibri"/>
        </w:rPr>
        <w:t xml:space="preserve">Given the business model of the organization, the commodities retail sector, such as P&amp;G, has basically zero accounts outstanding due to a substantial </w:t>
      </w:r>
      <w:r w:rsidR="00032079" w:rsidRPr="00716B90">
        <w:rPr>
          <w:rFonts w:ascii="Calibri" w:hAnsi="Calibri" w:cs="Calibri"/>
        </w:rPr>
        <w:t>number</w:t>
      </w:r>
      <w:r w:rsidR="00EC34BC" w:rsidRPr="00716B90">
        <w:rPr>
          <w:rFonts w:ascii="Calibri" w:hAnsi="Calibri" w:cs="Calibri"/>
        </w:rPr>
        <w:t xml:space="preserve"> of financial transactions, hence a quick ratio of under one is equally feasible. It is not an indication that an organization's solvency is unstable</w:t>
      </w:r>
      <w:r w:rsidR="00821CF6" w:rsidRPr="00716B90">
        <w:rPr>
          <w:rFonts w:ascii="Calibri" w:hAnsi="Calibri" w:cs="Calibri"/>
        </w:rPr>
        <w:t xml:space="preserve"> (Wang, </w:t>
      </w:r>
      <w:r w:rsidR="00D3016F" w:rsidRPr="00716B90">
        <w:rPr>
          <w:rFonts w:ascii="Calibri" w:hAnsi="Calibri" w:cs="Calibri"/>
        </w:rPr>
        <w:t>2022</w:t>
      </w:r>
      <w:r w:rsidR="00821CF6" w:rsidRPr="00716B90">
        <w:rPr>
          <w:rFonts w:ascii="Calibri" w:hAnsi="Calibri" w:cs="Calibri"/>
        </w:rPr>
        <w:t>)</w:t>
      </w:r>
      <w:r w:rsidR="00EC34BC" w:rsidRPr="00716B90">
        <w:rPr>
          <w:rFonts w:ascii="Calibri" w:hAnsi="Calibri" w:cs="Calibri"/>
        </w:rPr>
        <w:t xml:space="preserve">.  </w:t>
      </w:r>
    </w:p>
    <w:p w14:paraId="7D5F146E" w14:textId="55EF7558" w:rsidR="004618A2" w:rsidRPr="00716B90" w:rsidRDefault="007B68FA" w:rsidP="00DE6E94">
      <w:pPr>
        <w:jc w:val="both"/>
        <w:rPr>
          <w:rFonts w:ascii="Calibri" w:hAnsi="Calibri" w:cs="Calibri"/>
        </w:rPr>
      </w:pPr>
      <w:r w:rsidRPr="00716B90">
        <w:rPr>
          <w:rFonts w:ascii="Calibri" w:hAnsi="Calibri" w:cs="Calibri"/>
          <w:lang w:val="en-US"/>
        </w:rPr>
        <w:tab/>
      </w:r>
      <w:r w:rsidR="00C75361" w:rsidRPr="00716B90">
        <w:rPr>
          <w:rFonts w:ascii="Calibri" w:hAnsi="Calibri" w:cs="Calibri"/>
        </w:rPr>
        <w:t xml:space="preserve">Despite the Quick Ratios of both businesses </w:t>
      </w:r>
      <w:r w:rsidR="00D23598" w:rsidRPr="00716B90">
        <w:rPr>
          <w:rFonts w:ascii="Calibri" w:hAnsi="Calibri" w:cs="Calibri"/>
        </w:rPr>
        <w:t>being</w:t>
      </w:r>
      <w:r w:rsidR="00C75361" w:rsidRPr="00716B90">
        <w:rPr>
          <w:rFonts w:ascii="Calibri" w:hAnsi="Calibri" w:cs="Calibri"/>
        </w:rPr>
        <w:t xml:space="preserve"> insignificant, Nestlé's is relatively larger. It means that though neither organization is in the most favourable possible situation in terms of liquidity in the short term, Nestlé is in a slightly stronger its place. </w:t>
      </w:r>
    </w:p>
    <w:p w14:paraId="4883D4C6" w14:textId="5B9CDC0B" w:rsidR="00C04125" w:rsidRPr="00716B90" w:rsidRDefault="00C04125" w:rsidP="00C04125">
      <w:pPr>
        <w:pStyle w:val="Heading2"/>
        <w:rPr>
          <w:rFonts w:ascii="Calibri" w:eastAsia="Times New Roman" w:hAnsi="Calibri" w:cs="Calibri"/>
          <w:sz w:val="24"/>
          <w:szCs w:val="24"/>
          <w:lang w:eastAsia="en-GB"/>
        </w:rPr>
      </w:pPr>
      <w:bookmarkStart w:id="11" w:name="_Toc175126640"/>
      <w:r w:rsidRPr="00716B90">
        <w:rPr>
          <w:rFonts w:ascii="Calibri" w:eastAsia="Times New Roman" w:hAnsi="Calibri" w:cs="Calibri"/>
          <w:sz w:val="24"/>
          <w:szCs w:val="24"/>
          <w:lang w:eastAsia="en-GB"/>
        </w:rPr>
        <w:t>2.3. Gearing Analysis.</w:t>
      </w:r>
      <w:bookmarkEnd w:id="11"/>
      <w:r w:rsidRPr="00716B90">
        <w:rPr>
          <w:rFonts w:ascii="Calibri" w:eastAsia="Times New Roman" w:hAnsi="Calibri" w:cs="Calibri"/>
          <w:sz w:val="24"/>
          <w:szCs w:val="24"/>
          <w:lang w:eastAsia="en-GB"/>
        </w:rPr>
        <w:t xml:space="preserve"> </w:t>
      </w:r>
    </w:p>
    <w:p w14:paraId="7A43DB5B" w14:textId="199CD1C9" w:rsidR="00C04125" w:rsidRPr="00716B90" w:rsidRDefault="00C04125" w:rsidP="009952B5">
      <w:pPr>
        <w:jc w:val="both"/>
        <w:rPr>
          <w:rFonts w:ascii="Calibri" w:eastAsia="Times New Roman" w:hAnsi="Calibri" w:cs="Calibri"/>
          <w:kern w:val="0"/>
          <w:lang w:eastAsia="en-GB"/>
          <w14:ligatures w14:val="none"/>
        </w:rPr>
      </w:pPr>
      <w:r w:rsidRPr="00716B90">
        <w:rPr>
          <w:rFonts w:ascii="Calibri" w:hAnsi="Calibri" w:cs="Calibri"/>
          <w:lang w:eastAsia="en-GB"/>
        </w:rPr>
        <w:tab/>
      </w:r>
      <w:r w:rsidR="00096E0C" w:rsidRPr="00716B90">
        <w:rPr>
          <w:rFonts w:ascii="Calibri" w:hAnsi="Calibri" w:cs="Calibri"/>
          <w:lang w:eastAsia="en-GB"/>
        </w:rPr>
        <w:t xml:space="preserve"> </w:t>
      </w:r>
      <w:r w:rsidR="009952B5" w:rsidRPr="00716B90">
        <w:rPr>
          <w:rFonts w:ascii="Calibri" w:eastAsia="Times New Roman" w:hAnsi="Calibri" w:cs="Calibri"/>
          <w:kern w:val="0"/>
          <w:lang w:eastAsia="en-GB"/>
          <w14:ligatures w14:val="none"/>
        </w:rPr>
        <w:t xml:space="preserve">One </w:t>
      </w:r>
      <w:r w:rsidR="00E429A4" w:rsidRPr="00716B90">
        <w:rPr>
          <w:rFonts w:ascii="Calibri" w:eastAsia="Times New Roman" w:hAnsi="Calibri" w:cs="Calibri"/>
          <w:kern w:val="0"/>
          <w:lang w:eastAsia="en-GB"/>
          <w14:ligatures w14:val="none"/>
        </w:rPr>
        <w:t xml:space="preserve">of the </w:t>
      </w:r>
      <w:r w:rsidR="009952B5" w:rsidRPr="00716B90">
        <w:rPr>
          <w:rFonts w:ascii="Calibri" w:eastAsia="Times New Roman" w:hAnsi="Calibri" w:cs="Calibri"/>
          <w:kern w:val="0"/>
          <w:lang w:eastAsia="en-GB"/>
          <w14:ligatures w14:val="none"/>
        </w:rPr>
        <w:t>indicator</w:t>
      </w:r>
      <w:r w:rsidR="00E429A4" w:rsidRPr="00716B90">
        <w:rPr>
          <w:rFonts w:ascii="Calibri" w:eastAsia="Times New Roman" w:hAnsi="Calibri" w:cs="Calibri"/>
          <w:kern w:val="0"/>
          <w:lang w:eastAsia="en-GB"/>
          <w14:ligatures w14:val="none"/>
        </w:rPr>
        <w:t>s</w:t>
      </w:r>
      <w:r w:rsidR="009952B5" w:rsidRPr="00716B90">
        <w:rPr>
          <w:rFonts w:ascii="Calibri" w:eastAsia="Times New Roman" w:hAnsi="Calibri" w:cs="Calibri"/>
          <w:kern w:val="0"/>
          <w:lang w:eastAsia="en-GB"/>
          <w14:ligatures w14:val="none"/>
        </w:rPr>
        <w:t xml:space="preserve"> of financial strength is the gearing ratio. The ratio for long-term debt to equity is referred to as the gearing ratio, and it is utilized for calculating the amount of leverage. This business's high level of financial risk appears in its high gearing ratio and financial leveraging. The adverse outcome regarding the business's economic threat or problem is that it will adversely affect public </w:t>
      </w:r>
      <w:r w:rsidR="00D23598" w:rsidRPr="00716B90">
        <w:rPr>
          <w:rFonts w:ascii="Calibri" w:eastAsia="Times New Roman" w:hAnsi="Calibri" w:cs="Calibri"/>
          <w:kern w:val="0"/>
          <w:lang w:eastAsia="en-GB"/>
          <w14:ligatures w14:val="none"/>
        </w:rPr>
        <w:t>opinion</w:t>
      </w:r>
      <w:r w:rsidR="009952B5" w:rsidRPr="00716B90">
        <w:rPr>
          <w:rFonts w:ascii="Calibri" w:eastAsia="Times New Roman" w:hAnsi="Calibri" w:cs="Calibri"/>
          <w:kern w:val="0"/>
          <w:lang w:eastAsia="en-GB"/>
          <w14:ligatures w14:val="none"/>
        </w:rPr>
        <w:t xml:space="preserve"> about the company </w:t>
      </w:r>
      <w:r w:rsidR="00E429A4" w:rsidRPr="00716B90">
        <w:rPr>
          <w:rFonts w:ascii="Calibri" w:hAnsi="Calibri" w:cs="Calibri"/>
        </w:rPr>
        <w:t xml:space="preserve">(Suardana </w:t>
      </w:r>
      <w:r w:rsidR="00E429A4" w:rsidRPr="00716B90">
        <w:rPr>
          <w:rFonts w:ascii="Calibri" w:hAnsi="Calibri" w:cs="Calibri"/>
          <w:i/>
          <w:iCs/>
        </w:rPr>
        <w:t>et al</w:t>
      </w:r>
      <w:r w:rsidR="00E429A4" w:rsidRPr="00716B90">
        <w:rPr>
          <w:rFonts w:ascii="Calibri" w:hAnsi="Calibri" w:cs="Calibri"/>
        </w:rPr>
        <w:t xml:space="preserve">., 2018). </w:t>
      </w:r>
    </w:p>
    <w:tbl>
      <w:tblPr>
        <w:tblW w:w="9011" w:type="dxa"/>
        <w:tblLook w:val="04A0" w:firstRow="1" w:lastRow="0" w:firstColumn="1" w:lastColumn="0" w:noHBand="0" w:noVBand="1"/>
      </w:tblPr>
      <w:tblGrid>
        <w:gridCol w:w="2796"/>
        <w:gridCol w:w="921"/>
        <w:gridCol w:w="921"/>
        <w:gridCol w:w="921"/>
        <w:gridCol w:w="921"/>
        <w:gridCol w:w="922"/>
        <w:gridCol w:w="1609"/>
      </w:tblGrid>
      <w:tr w:rsidR="00747AF9" w:rsidRPr="00716B90" w14:paraId="0ECFBCE2" w14:textId="77777777" w:rsidTr="002C0746">
        <w:trPr>
          <w:trHeight w:val="601"/>
        </w:trPr>
        <w:tc>
          <w:tcPr>
            <w:tcW w:w="7402"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2190AF" w14:textId="46534650"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xml:space="preserve">Key Financial Ratios of P&amp;G for the </w:t>
            </w:r>
            <w:r w:rsidR="00D23598" w:rsidRPr="00716B90">
              <w:rPr>
                <w:rFonts w:ascii="Calibri" w:eastAsia="Times New Roman" w:hAnsi="Calibri" w:cs="Calibri"/>
                <w:b/>
                <w:bCs/>
                <w:color w:val="000000"/>
                <w:kern w:val="0"/>
                <w:lang w:eastAsia="en-GB"/>
                <w14:ligatures w14:val="none"/>
              </w:rPr>
              <w:t>Last</w:t>
            </w:r>
            <w:r w:rsidRPr="00716B90">
              <w:rPr>
                <w:rFonts w:ascii="Calibri" w:eastAsia="Times New Roman" w:hAnsi="Calibri" w:cs="Calibri"/>
                <w:b/>
                <w:bCs/>
                <w:color w:val="000000"/>
                <w:kern w:val="0"/>
                <w:lang w:eastAsia="en-GB"/>
                <w14:ligatures w14:val="none"/>
              </w:rPr>
              <w:t xml:space="preserve"> Five Years</w:t>
            </w:r>
          </w:p>
        </w:tc>
        <w:tc>
          <w:tcPr>
            <w:tcW w:w="1609" w:type="dxa"/>
            <w:tcBorders>
              <w:top w:val="single" w:sz="4" w:space="0" w:color="auto"/>
              <w:left w:val="nil"/>
              <w:bottom w:val="single" w:sz="4" w:space="0" w:color="auto"/>
              <w:right w:val="single" w:sz="4" w:space="0" w:color="auto"/>
            </w:tcBorders>
            <w:shd w:val="clear" w:color="auto" w:fill="auto"/>
            <w:vAlign w:val="bottom"/>
            <w:hideMark/>
          </w:tcPr>
          <w:p w14:paraId="26B87E3D"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Nestle Financial Ratios</w:t>
            </w:r>
          </w:p>
        </w:tc>
      </w:tr>
      <w:tr w:rsidR="00747AF9" w:rsidRPr="00716B90" w14:paraId="2A882543" w14:textId="77777777" w:rsidTr="002C0746">
        <w:trPr>
          <w:trHeight w:val="300"/>
        </w:trPr>
        <w:tc>
          <w:tcPr>
            <w:tcW w:w="9011" w:type="dxa"/>
            <w:gridSpan w:val="7"/>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28DF1F5" w14:textId="7AFFE512"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Gearing Ratios</w:t>
            </w:r>
          </w:p>
        </w:tc>
      </w:tr>
      <w:tr w:rsidR="002C0746" w:rsidRPr="00716B90" w14:paraId="3949A3B0" w14:textId="77777777" w:rsidTr="00BA4C73">
        <w:trPr>
          <w:trHeight w:val="300"/>
        </w:trPr>
        <w:tc>
          <w:tcPr>
            <w:tcW w:w="2796" w:type="dxa"/>
            <w:tcBorders>
              <w:top w:val="nil"/>
              <w:left w:val="single" w:sz="4" w:space="0" w:color="auto"/>
              <w:bottom w:val="single" w:sz="4" w:space="0" w:color="auto"/>
              <w:right w:val="single" w:sz="4" w:space="0" w:color="auto"/>
            </w:tcBorders>
            <w:shd w:val="clear" w:color="auto" w:fill="auto"/>
            <w:noWrap/>
            <w:vAlign w:val="bottom"/>
            <w:hideMark/>
          </w:tcPr>
          <w:p w14:paraId="440A4C56"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w:t>
            </w:r>
          </w:p>
        </w:tc>
        <w:tc>
          <w:tcPr>
            <w:tcW w:w="921" w:type="dxa"/>
            <w:tcBorders>
              <w:top w:val="nil"/>
              <w:left w:val="nil"/>
              <w:bottom w:val="single" w:sz="4" w:space="0" w:color="auto"/>
              <w:right w:val="single" w:sz="4" w:space="0" w:color="auto"/>
            </w:tcBorders>
            <w:shd w:val="clear" w:color="000000" w:fill="C0E6F5"/>
            <w:noWrap/>
            <w:vAlign w:val="center"/>
            <w:hideMark/>
          </w:tcPr>
          <w:p w14:paraId="5A1F66A4"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c>
          <w:tcPr>
            <w:tcW w:w="921" w:type="dxa"/>
            <w:tcBorders>
              <w:top w:val="nil"/>
              <w:left w:val="nil"/>
              <w:bottom w:val="single" w:sz="4" w:space="0" w:color="auto"/>
              <w:right w:val="single" w:sz="4" w:space="0" w:color="auto"/>
            </w:tcBorders>
            <w:shd w:val="clear" w:color="000000" w:fill="C0E6F5"/>
            <w:noWrap/>
            <w:vAlign w:val="center"/>
            <w:hideMark/>
          </w:tcPr>
          <w:p w14:paraId="01B194E6"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2022</w:t>
            </w:r>
          </w:p>
        </w:tc>
        <w:tc>
          <w:tcPr>
            <w:tcW w:w="921" w:type="dxa"/>
            <w:tcBorders>
              <w:top w:val="nil"/>
              <w:left w:val="nil"/>
              <w:bottom w:val="single" w:sz="4" w:space="0" w:color="auto"/>
              <w:right w:val="single" w:sz="4" w:space="0" w:color="auto"/>
            </w:tcBorders>
            <w:shd w:val="clear" w:color="000000" w:fill="C0E6F5"/>
            <w:noWrap/>
            <w:vAlign w:val="center"/>
            <w:hideMark/>
          </w:tcPr>
          <w:p w14:paraId="14A9DD93"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2021</w:t>
            </w:r>
          </w:p>
        </w:tc>
        <w:tc>
          <w:tcPr>
            <w:tcW w:w="921" w:type="dxa"/>
            <w:tcBorders>
              <w:top w:val="nil"/>
              <w:left w:val="nil"/>
              <w:bottom w:val="single" w:sz="4" w:space="0" w:color="auto"/>
              <w:right w:val="single" w:sz="4" w:space="0" w:color="auto"/>
            </w:tcBorders>
            <w:shd w:val="clear" w:color="000000" w:fill="C0E6F5"/>
            <w:noWrap/>
            <w:vAlign w:val="center"/>
            <w:hideMark/>
          </w:tcPr>
          <w:p w14:paraId="53A615B6"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2020</w:t>
            </w:r>
          </w:p>
        </w:tc>
        <w:tc>
          <w:tcPr>
            <w:tcW w:w="922" w:type="dxa"/>
            <w:tcBorders>
              <w:top w:val="nil"/>
              <w:left w:val="nil"/>
              <w:bottom w:val="single" w:sz="4" w:space="0" w:color="auto"/>
              <w:right w:val="single" w:sz="4" w:space="0" w:color="auto"/>
            </w:tcBorders>
            <w:shd w:val="clear" w:color="000000" w:fill="C0E6F5"/>
            <w:noWrap/>
            <w:vAlign w:val="center"/>
            <w:hideMark/>
          </w:tcPr>
          <w:p w14:paraId="259BD8A3"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2019</w:t>
            </w:r>
          </w:p>
        </w:tc>
        <w:tc>
          <w:tcPr>
            <w:tcW w:w="1609" w:type="dxa"/>
            <w:tcBorders>
              <w:top w:val="nil"/>
              <w:left w:val="nil"/>
              <w:bottom w:val="single" w:sz="4" w:space="0" w:color="auto"/>
              <w:right w:val="single" w:sz="4" w:space="0" w:color="auto"/>
            </w:tcBorders>
            <w:shd w:val="clear" w:color="000000" w:fill="C0E6F5"/>
            <w:noWrap/>
            <w:vAlign w:val="bottom"/>
            <w:hideMark/>
          </w:tcPr>
          <w:p w14:paraId="66D29FCF"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r>
      <w:tr w:rsidR="00747AF9" w:rsidRPr="00716B90" w14:paraId="3987DC44" w14:textId="77777777" w:rsidTr="00BA4C73">
        <w:trPr>
          <w:trHeight w:val="300"/>
        </w:trPr>
        <w:tc>
          <w:tcPr>
            <w:tcW w:w="2796" w:type="dxa"/>
            <w:tcBorders>
              <w:top w:val="nil"/>
              <w:left w:val="single" w:sz="4" w:space="0" w:color="auto"/>
              <w:bottom w:val="single" w:sz="4" w:space="0" w:color="auto"/>
              <w:right w:val="single" w:sz="4" w:space="0" w:color="auto"/>
            </w:tcBorders>
            <w:shd w:val="clear" w:color="000000" w:fill="C0E6F5"/>
            <w:noWrap/>
            <w:vAlign w:val="center"/>
            <w:hideMark/>
          </w:tcPr>
          <w:p w14:paraId="59196875"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Debt to Equity Ratio</w:t>
            </w:r>
          </w:p>
        </w:tc>
        <w:tc>
          <w:tcPr>
            <w:tcW w:w="921" w:type="dxa"/>
            <w:tcBorders>
              <w:top w:val="nil"/>
              <w:left w:val="nil"/>
              <w:bottom w:val="single" w:sz="4" w:space="0" w:color="auto"/>
              <w:right w:val="single" w:sz="4" w:space="0" w:color="auto"/>
            </w:tcBorders>
            <w:shd w:val="clear" w:color="auto" w:fill="auto"/>
            <w:noWrap/>
            <w:vAlign w:val="bottom"/>
            <w:hideMark/>
          </w:tcPr>
          <w:p w14:paraId="3EC94252"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0.7353</w:t>
            </w:r>
          </w:p>
        </w:tc>
        <w:tc>
          <w:tcPr>
            <w:tcW w:w="921" w:type="dxa"/>
            <w:tcBorders>
              <w:top w:val="nil"/>
              <w:left w:val="nil"/>
              <w:bottom w:val="single" w:sz="4" w:space="0" w:color="auto"/>
              <w:right w:val="single" w:sz="4" w:space="0" w:color="auto"/>
            </w:tcBorders>
            <w:shd w:val="clear" w:color="auto" w:fill="auto"/>
            <w:noWrap/>
            <w:vAlign w:val="bottom"/>
            <w:hideMark/>
          </w:tcPr>
          <w:p w14:paraId="4A021A42"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0.6722</w:t>
            </w:r>
          </w:p>
        </w:tc>
        <w:tc>
          <w:tcPr>
            <w:tcW w:w="921" w:type="dxa"/>
            <w:tcBorders>
              <w:top w:val="nil"/>
              <w:left w:val="nil"/>
              <w:bottom w:val="single" w:sz="4" w:space="0" w:color="auto"/>
              <w:right w:val="single" w:sz="4" w:space="0" w:color="auto"/>
            </w:tcBorders>
            <w:shd w:val="clear" w:color="auto" w:fill="auto"/>
            <w:noWrap/>
            <w:vAlign w:val="bottom"/>
            <w:hideMark/>
          </w:tcPr>
          <w:p w14:paraId="4DB620FB"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0.6856</w:t>
            </w:r>
          </w:p>
        </w:tc>
        <w:tc>
          <w:tcPr>
            <w:tcW w:w="921" w:type="dxa"/>
            <w:tcBorders>
              <w:top w:val="nil"/>
              <w:left w:val="nil"/>
              <w:bottom w:val="single" w:sz="4" w:space="0" w:color="auto"/>
              <w:right w:val="single" w:sz="4" w:space="0" w:color="auto"/>
            </w:tcBorders>
            <w:shd w:val="clear" w:color="auto" w:fill="auto"/>
            <w:noWrap/>
            <w:vAlign w:val="bottom"/>
            <w:hideMark/>
          </w:tcPr>
          <w:p w14:paraId="5F1C1034"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0.7406</w:t>
            </w:r>
          </w:p>
        </w:tc>
        <w:tc>
          <w:tcPr>
            <w:tcW w:w="922" w:type="dxa"/>
            <w:tcBorders>
              <w:top w:val="nil"/>
              <w:left w:val="nil"/>
              <w:bottom w:val="single" w:sz="4" w:space="0" w:color="auto"/>
              <w:right w:val="single" w:sz="4" w:space="0" w:color="auto"/>
            </w:tcBorders>
            <w:shd w:val="clear" w:color="auto" w:fill="auto"/>
            <w:noWrap/>
            <w:vAlign w:val="bottom"/>
            <w:hideMark/>
          </w:tcPr>
          <w:p w14:paraId="52A67E9F"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0.6325</w:t>
            </w:r>
          </w:p>
        </w:tc>
        <w:tc>
          <w:tcPr>
            <w:tcW w:w="1609" w:type="dxa"/>
            <w:tcBorders>
              <w:top w:val="nil"/>
              <w:left w:val="nil"/>
              <w:bottom w:val="single" w:sz="4" w:space="0" w:color="auto"/>
              <w:right w:val="single" w:sz="4" w:space="0" w:color="auto"/>
            </w:tcBorders>
            <w:shd w:val="clear" w:color="auto" w:fill="auto"/>
            <w:noWrap/>
            <w:vAlign w:val="bottom"/>
            <w:hideMark/>
          </w:tcPr>
          <w:p w14:paraId="58546A89"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1.5182</w:t>
            </w:r>
          </w:p>
        </w:tc>
      </w:tr>
    </w:tbl>
    <w:p w14:paraId="725325EB" w14:textId="7484188E" w:rsidR="00FF4240" w:rsidRPr="00BA4C73" w:rsidRDefault="00BA4C73" w:rsidP="00BA4C73">
      <w:pPr>
        <w:jc w:val="center"/>
        <w:rPr>
          <w:rFonts w:ascii="Calibri" w:hAnsi="Calibri" w:cs="Calibri"/>
          <w:lang w:val="en-US"/>
        </w:rPr>
      </w:pPr>
      <w:r>
        <w:rPr>
          <w:rFonts w:ascii="Calibri" w:hAnsi="Calibri" w:cs="Calibri"/>
          <w:lang w:val="en-US"/>
        </w:rPr>
        <w:t>(Source: Macrotrends, 2024)</w:t>
      </w:r>
    </w:p>
    <w:p w14:paraId="3536721F" w14:textId="674C26C3" w:rsidR="008B7E2F" w:rsidRPr="00716B90" w:rsidRDefault="008B7E2F" w:rsidP="00D72584">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 xml:space="preserve">The Debt-to-Equity ratio of P&amp;G is crucial to </w:t>
      </w:r>
      <w:r w:rsidR="00BD6027" w:rsidRPr="00716B90">
        <w:rPr>
          <w:rFonts w:ascii="Calibri" w:eastAsia="Times New Roman" w:hAnsi="Calibri" w:cs="Calibri"/>
          <w:kern w:val="0"/>
          <w:lang w:eastAsia="en-GB"/>
          <w14:ligatures w14:val="none"/>
        </w:rPr>
        <w:t>analysing</w:t>
      </w:r>
      <w:r w:rsidRPr="00716B90">
        <w:rPr>
          <w:rFonts w:ascii="Calibri" w:eastAsia="Times New Roman" w:hAnsi="Calibri" w:cs="Calibri"/>
          <w:kern w:val="0"/>
          <w:lang w:eastAsia="en-GB"/>
          <w14:ligatures w14:val="none"/>
        </w:rPr>
        <w:t xml:space="preserve"> the business’s financial strength and debt management capability. A lower debt to equity than the industry standard average shows a more conservative capital structure, </w:t>
      </w:r>
      <w:r w:rsidR="00D23598" w:rsidRPr="00716B90">
        <w:rPr>
          <w:rFonts w:ascii="Calibri" w:eastAsia="Times New Roman" w:hAnsi="Calibri" w:cs="Calibri"/>
          <w:kern w:val="0"/>
          <w:lang w:eastAsia="en-GB"/>
          <w14:ligatures w14:val="none"/>
        </w:rPr>
        <w:t>which</w:t>
      </w:r>
      <w:r w:rsidRPr="00716B90">
        <w:rPr>
          <w:rFonts w:ascii="Calibri" w:eastAsia="Times New Roman" w:hAnsi="Calibri" w:cs="Calibri"/>
          <w:kern w:val="0"/>
          <w:lang w:eastAsia="en-GB"/>
          <w14:ligatures w14:val="none"/>
        </w:rPr>
        <w:t xml:space="preserve"> might be helpful in </w:t>
      </w:r>
      <w:r w:rsidR="00BD6027" w:rsidRPr="00716B90">
        <w:rPr>
          <w:rFonts w:ascii="Calibri" w:eastAsia="Times New Roman" w:hAnsi="Calibri" w:cs="Calibri"/>
          <w:kern w:val="0"/>
          <w:lang w:eastAsia="en-GB"/>
          <w14:ligatures w14:val="none"/>
        </w:rPr>
        <w:t>a</w:t>
      </w:r>
      <w:r w:rsidR="00D23598" w:rsidRPr="00716B90">
        <w:rPr>
          <w:rFonts w:ascii="Calibri" w:eastAsia="Times New Roman" w:hAnsi="Calibri" w:cs="Calibri"/>
          <w:kern w:val="0"/>
          <w:lang w:eastAsia="en-GB"/>
          <w14:ligatures w14:val="none"/>
        </w:rPr>
        <w:t xml:space="preserve"> </w:t>
      </w:r>
      <w:r w:rsidRPr="00716B90">
        <w:rPr>
          <w:rFonts w:ascii="Calibri" w:eastAsia="Times New Roman" w:hAnsi="Calibri" w:cs="Calibri"/>
          <w:kern w:val="0"/>
          <w:lang w:eastAsia="en-GB"/>
          <w14:ligatures w14:val="none"/>
        </w:rPr>
        <w:t>market with high volatility.</w:t>
      </w:r>
    </w:p>
    <w:p w14:paraId="01632BBA" w14:textId="3484FD6E" w:rsidR="00B7641F" w:rsidRPr="00716B90" w:rsidRDefault="00B7641F" w:rsidP="00603EF7">
      <w:pPr>
        <w:pStyle w:val="Heading3"/>
        <w:rPr>
          <w:rFonts w:ascii="Calibri" w:hAnsi="Calibri" w:cs="Calibri"/>
          <w:sz w:val="24"/>
          <w:szCs w:val="24"/>
          <w:lang w:val="en-US"/>
        </w:rPr>
      </w:pPr>
      <w:bookmarkStart w:id="12" w:name="_Toc175126641"/>
      <w:r w:rsidRPr="00716B90">
        <w:rPr>
          <w:rFonts w:ascii="Calibri" w:hAnsi="Calibri" w:cs="Calibri"/>
          <w:sz w:val="24"/>
          <w:szCs w:val="24"/>
          <w:lang w:val="en-US"/>
        </w:rPr>
        <w:t>2.3.1. Debt to Equity Ratio.</w:t>
      </w:r>
      <w:bookmarkEnd w:id="12"/>
    </w:p>
    <w:p w14:paraId="2046D845" w14:textId="7876EFD8" w:rsidR="0081762C" w:rsidRPr="00716B90" w:rsidRDefault="007D5027" w:rsidP="007D5027">
      <w:pPr>
        <w:jc w:val="both"/>
        <w:rPr>
          <w:rFonts w:ascii="Calibri" w:hAnsi="Calibri" w:cs="Calibri"/>
          <w:lang w:eastAsia="en-GB"/>
        </w:rPr>
      </w:pPr>
      <w:r w:rsidRPr="00716B90">
        <w:rPr>
          <w:rFonts w:ascii="Calibri" w:eastAsia="Times New Roman" w:hAnsi="Calibri" w:cs="Calibri"/>
          <w:kern w:val="0"/>
          <w:lang w:eastAsia="en-GB"/>
          <w14:ligatures w14:val="none"/>
        </w:rPr>
        <w:tab/>
      </w:r>
      <w:r w:rsidR="00CC792A" w:rsidRPr="00716B90">
        <w:rPr>
          <w:rFonts w:ascii="Calibri" w:hAnsi="Calibri" w:cs="Calibri"/>
          <w:lang w:eastAsia="en-GB"/>
        </w:rPr>
        <w:t xml:space="preserve"> </w:t>
      </w:r>
      <w:r w:rsidR="005C2488" w:rsidRPr="00716B90">
        <w:rPr>
          <w:rFonts w:ascii="Calibri" w:hAnsi="Calibri" w:cs="Calibri"/>
          <w:lang w:eastAsia="en-GB"/>
        </w:rPr>
        <w:t xml:space="preserve">Among of the most common ratios is the debt-to-equity ratio (DER), that compares the overall amount of borrowing—including existing liabilities—with the total amount of equity. It is described as a measure utilized to evaluate the financial records that </w:t>
      </w:r>
      <w:r w:rsidR="00D23598" w:rsidRPr="00716B90">
        <w:rPr>
          <w:rFonts w:ascii="Calibri" w:hAnsi="Calibri" w:cs="Calibri"/>
          <w:lang w:eastAsia="en-GB"/>
        </w:rPr>
        <w:t>indicate</w:t>
      </w:r>
      <w:r w:rsidR="005C2488" w:rsidRPr="00716B90">
        <w:rPr>
          <w:rFonts w:ascii="Calibri" w:hAnsi="Calibri" w:cs="Calibri"/>
          <w:lang w:eastAsia="en-GB"/>
        </w:rPr>
        <w:t xml:space="preserve"> the level of collateral that a creditor is entitled to</w:t>
      </w:r>
      <w:r w:rsidR="00875F7F" w:rsidRPr="00716B90">
        <w:rPr>
          <w:rFonts w:ascii="Calibri" w:hAnsi="Calibri" w:cs="Calibri"/>
          <w:lang w:eastAsia="en-GB"/>
        </w:rPr>
        <w:t xml:space="preserve"> (Kamar, 2017).</w:t>
      </w:r>
      <w:r w:rsidR="00A542F9" w:rsidRPr="00716B90">
        <w:rPr>
          <w:rFonts w:ascii="Calibri" w:hAnsi="Calibri" w:cs="Calibri"/>
          <w:lang w:eastAsia="en-GB"/>
        </w:rPr>
        <w:t xml:space="preserve"> </w:t>
      </w:r>
      <w:r w:rsidR="00F76E78" w:rsidRPr="00716B90">
        <w:rPr>
          <w:rFonts w:ascii="Calibri" w:hAnsi="Calibri" w:cs="Calibri"/>
          <w:lang w:eastAsia="en-GB"/>
        </w:rPr>
        <w:t xml:space="preserve">The </w:t>
      </w:r>
      <w:r w:rsidR="00E61DB4" w:rsidRPr="00716B90">
        <w:rPr>
          <w:rFonts w:ascii="Calibri" w:hAnsi="Calibri" w:cs="Calibri"/>
          <w:lang w:eastAsia="en-GB"/>
        </w:rPr>
        <w:t>Debt-to-Equity</w:t>
      </w:r>
      <w:r w:rsidR="00F76E78" w:rsidRPr="00716B90">
        <w:rPr>
          <w:rFonts w:ascii="Calibri" w:hAnsi="Calibri" w:cs="Calibri"/>
          <w:lang w:eastAsia="en-GB"/>
        </w:rPr>
        <w:t xml:space="preserve"> ratio can be calculated as </w:t>
      </w:r>
      <w:r w:rsidR="00D23598" w:rsidRPr="00716B90">
        <w:rPr>
          <w:rFonts w:ascii="Calibri" w:hAnsi="Calibri" w:cs="Calibri"/>
          <w:lang w:eastAsia="en-GB"/>
        </w:rPr>
        <w:t>shown</w:t>
      </w:r>
      <w:r w:rsidR="00F76E78" w:rsidRPr="00716B90">
        <w:rPr>
          <w:rFonts w:ascii="Calibri" w:hAnsi="Calibri" w:cs="Calibri"/>
          <w:lang w:eastAsia="en-GB"/>
        </w:rPr>
        <w:t xml:space="preserve"> below:</w:t>
      </w:r>
    </w:p>
    <w:p w14:paraId="390FDC70" w14:textId="217D02A1" w:rsidR="009B31BE" w:rsidRPr="00716B90" w:rsidRDefault="00B7641F" w:rsidP="00BC1566">
      <w:pPr>
        <w:jc w:val="center"/>
        <w:rPr>
          <w:rFonts w:ascii="Calibri" w:hAnsi="Calibri" w:cs="Calibri"/>
          <w:b/>
          <w:bCs/>
          <w:lang w:eastAsia="en-GB"/>
        </w:rPr>
      </w:pPr>
      <w:r w:rsidRPr="00716B90">
        <w:rPr>
          <w:rFonts w:ascii="Calibri" w:hAnsi="Calibri" w:cs="Calibri"/>
          <w:b/>
          <w:bCs/>
          <w:lang w:eastAsia="en-GB"/>
        </w:rPr>
        <w:t>Debt to Equity Ratio = (</w:t>
      </w:r>
      <w:r w:rsidR="00823B03" w:rsidRPr="00716B90">
        <w:rPr>
          <w:rFonts w:ascii="Calibri" w:hAnsi="Calibri" w:cs="Calibri"/>
          <w:b/>
          <w:bCs/>
          <w:lang w:eastAsia="en-GB"/>
        </w:rPr>
        <w:t>Total Liabilities</w:t>
      </w:r>
      <w:r w:rsidR="00D913DC" w:rsidRPr="00716B90">
        <w:rPr>
          <w:rFonts w:ascii="Calibri" w:hAnsi="Calibri" w:cs="Calibri"/>
          <w:b/>
          <w:bCs/>
          <w:lang w:eastAsia="en-GB"/>
        </w:rPr>
        <w:t xml:space="preserve"> / Shareholder’s Equity</w:t>
      </w:r>
      <w:r w:rsidRPr="00716B90">
        <w:rPr>
          <w:rFonts w:ascii="Calibri" w:hAnsi="Calibri" w:cs="Calibri"/>
          <w:b/>
          <w:bCs/>
          <w:lang w:eastAsia="en-GB"/>
        </w:rPr>
        <w:t>) x 100</w:t>
      </w:r>
      <w:r w:rsidR="00294A20" w:rsidRPr="00716B90">
        <w:rPr>
          <w:rFonts w:ascii="Calibri" w:hAnsi="Calibri" w:cs="Calibri"/>
          <w:lang w:eastAsia="en-GB"/>
        </w:rPr>
        <w:t xml:space="preserve"> </w:t>
      </w:r>
      <w:r w:rsidR="006654EE" w:rsidRPr="00716B90">
        <w:rPr>
          <w:rFonts w:ascii="Calibri" w:hAnsi="Calibri" w:cs="Calibri"/>
          <w:lang w:eastAsia="en-GB"/>
        </w:rPr>
        <w:t xml:space="preserve"> </w:t>
      </w:r>
    </w:p>
    <w:p w14:paraId="7768BDFB" w14:textId="773DD66D" w:rsidR="00817553" w:rsidRPr="00716B90" w:rsidRDefault="009B31BE" w:rsidP="009C1AEA">
      <w:pPr>
        <w:jc w:val="both"/>
        <w:rPr>
          <w:rFonts w:ascii="Calibri" w:hAnsi="Calibri" w:cs="Calibri"/>
          <w:lang w:eastAsia="en-GB"/>
        </w:rPr>
      </w:pPr>
      <w:r w:rsidRPr="00716B90">
        <w:rPr>
          <w:rFonts w:ascii="Calibri" w:hAnsi="Calibri" w:cs="Calibri"/>
          <w:lang w:eastAsia="en-GB"/>
        </w:rPr>
        <w:lastRenderedPageBreak/>
        <w:t xml:space="preserve"> </w:t>
      </w:r>
      <w:r w:rsidR="00BC1566" w:rsidRPr="00716B90">
        <w:rPr>
          <w:rFonts w:ascii="Calibri" w:hAnsi="Calibri" w:cs="Calibri"/>
          <w:lang w:eastAsia="en-GB"/>
        </w:rPr>
        <w:tab/>
      </w:r>
      <w:r w:rsidR="003F326C" w:rsidRPr="00716B90">
        <w:rPr>
          <w:rFonts w:ascii="Calibri" w:hAnsi="Calibri" w:cs="Calibri"/>
          <w:lang w:eastAsia="en-GB"/>
        </w:rPr>
        <w:t xml:space="preserve">The </w:t>
      </w:r>
      <w:r w:rsidR="0059188F" w:rsidRPr="00716B90">
        <w:rPr>
          <w:rFonts w:ascii="Calibri" w:hAnsi="Calibri" w:cs="Calibri"/>
          <w:lang w:eastAsia="en-GB"/>
        </w:rPr>
        <w:t>debt-to-equity</w:t>
      </w:r>
      <w:r w:rsidR="003F326C" w:rsidRPr="00716B90">
        <w:rPr>
          <w:rFonts w:ascii="Calibri" w:hAnsi="Calibri" w:cs="Calibri"/>
          <w:lang w:eastAsia="en-GB"/>
        </w:rPr>
        <w:t xml:space="preserve"> ratio of the P&amp;G company </w:t>
      </w:r>
      <w:r w:rsidR="00BD6027" w:rsidRPr="00716B90">
        <w:rPr>
          <w:rFonts w:ascii="Calibri" w:hAnsi="Calibri" w:cs="Calibri"/>
          <w:lang w:eastAsia="en-GB"/>
        </w:rPr>
        <w:t>has been</w:t>
      </w:r>
      <w:r w:rsidR="003F326C" w:rsidRPr="00716B90">
        <w:rPr>
          <w:rFonts w:ascii="Calibri" w:hAnsi="Calibri" w:cs="Calibri"/>
          <w:lang w:eastAsia="en-GB"/>
        </w:rPr>
        <w:t xml:space="preserve"> </w:t>
      </w:r>
      <w:r w:rsidR="003309CC" w:rsidRPr="00716B90">
        <w:rPr>
          <w:rFonts w:ascii="Calibri" w:hAnsi="Calibri" w:cs="Calibri"/>
          <w:lang w:eastAsia="en-GB"/>
        </w:rPr>
        <w:t xml:space="preserve">stable across the last five years, ranging from 0.63 in the year </w:t>
      </w:r>
      <w:r w:rsidR="009226BB" w:rsidRPr="00716B90">
        <w:rPr>
          <w:rFonts w:ascii="Calibri" w:hAnsi="Calibri" w:cs="Calibri"/>
          <w:lang w:eastAsia="en-GB"/>
        </w:rPr>
        <w:t xml:space="preserve">2019 to 0.74 in the year 2023, which shows </w:t>
      </w:r>
      <w:r w:rsidR="00602A8E" w:rsidRPr="00716B90">
        <w:rPr>
          <w:rFonts w:ascii="Calibri" w:hAnsi="Calibri" w:cs="Calibri"/>
          <w:lang w:eastAsia="en-GB"/>
        </w:rPr>
        <w:t>moderate dependence on debt.</w:t>
      </w:r>
      <w:r w:rsidR="00DE3304" w:rsidRPr="00716B90">
        <w:rPr>
          <w:rFonts w:ascii="Calibri" w:hAnsi="Calibri" w:cs="Calibri"/>
          <w:lang w:eastAsia="en-GB"/>
        </w:rPr>
        <w:t xml:space="preserve"> Several implications can be drawn from comparing Procter &amp; Gamble's debt-to-equity ratio analysis to those of its top four competitors. </w:t>
      </w:r>
      <w:r w:rsidR="00845974" w:rsidRPr="00716B90">
        <w:rPr>
          <w:rFonts w:ascii="Calibri" w:hAnsi="Calibri" w:cs="Calibri"/>
          <w:lang w:eastAsia="en-GB"/>
        </w:rPr>
        <w:t>Procter &amp; Gamble's lower debt-to-equity ratio of 0.65 indicates that the company is in a stronger financial position than its top four competitors. This suggests that the business has a more advantageous debt-to-equity ratio and depends less on debt funding (Benzinga, 2024).</w:t>
      </w:r>
      <w:r w:rsidR="00CB0FD0" w:rsidRPr="00716B90">
        <w:rPr>
          <w:rFonts w:ascii="Calibri" w:hAnsi="Calibri" w:cs="Calibri"/>
          <w:lang w:eastAsia="en-GB"/>
        </w:rPr>
        <w:t xml:space="preserve"> </w:t>
      </w:r>
    </w:p>
    <w:p w14:paraId="1DBE412F" w14:textId="63EE2D1D" w:rsidR="00860DFC" w:rsidRPr="00716B90" w:rsidRDefault="009F7392" w:rsidP="00C20D1F">
      <w:pPr>
        <w:jc w:val="both"/>
        <w:rPr>
          <w:rFonts w:ascii="Calibri" w:hAnsi="Calibri" w:cs="Calibri"/>
          <w:lang w:eastAsia="en-GB"/>
        </w:rPr>
      </w:pPr>
      <w:r w:rsidRPr="00716B90">
        <w:rPr>
          <w:rFonts w:ascii="Calibri" w:hAnsi="Calibri" w:cs="Calibri"/>
          <w:lang w:eastAsia="en-GB"/>
        </w:rPr>
        <w:tab/>
      </w:r>
      <w:r w:rsidR="00A66B65" w:rsidRPr="00716B90">
        <w:rPr>
          <w:rFonts w:ascii="Calibri" w:hAnsi="Calibri" w:cs="Calibri"/>
          <w:lang w:eastAsia="en-GB"/>
        </w:rPr>
        <w:t xml:space="preserve">When compared with P&amp;G, Nestlé is dependent considerably more on financial assistance from debt, demonstrated by its </w:t>
      </w:r>
      <w:r w:rsidR="00893E7A" w:rsidRPr="00716B90">
        <w:rPr>
          <w:rFonts w:ascii="Calibri" w:hAnsi="Calibri" w:cs="Calibri"/>
          <w:lang w:eastAsia="en-GB"/>
        </w:rPr>
        <w:t>significantly larger debt to equity ratio. In times of growth, this could improve returns, but in adverse conditions, it raises the risk of finances. Given the unpredictable dynamics of the market, P&amp;G's more prudent capital structure is demonstrated by its reduced gearing ratio.</w:t>
      </w:r>
    </w:p>
    <w:p w14:paraId="59F49D59" w14:textId="15C32F1F" w:rsidR="003E7291" w:rsidRPr="00716B90" w:rsidRDefault="003E7291" w:rsidP="003E7291">
      <w:pPr>
        <w:pStyle w:val="Heading2"/>
        <w:rPr>
          <w:rFonts w:ascii="Calibri" w:eastAsia="Times New Roman" w:hAnsi="Calibri" w:cs="Calibri"/>
          <w:sz w:val="24"/>
          <w:szCs w:val="24"/>
          <w:lang w:eastAsia="en-GB"/>
        </w:rPr>
      </w:pPr>
      <w:bookmarkStart w:id="13" w:name="_Toc175126642"/>
      <w:r w:rsidRPr="00716B90">
        <w:rPr>
          <w:rFonts w:ascii="Calibri" w:eastAsia="Times New Roman" w:hAnsi="Calibri" w:cs="Calibri"/>
          <w:sz w:val="24"/>
          <w:szCs w:val="24"/>
          <w:lang w:eastAsia="en-GB"/>
        </w:rPr>
        <w:t>2.</w:t>
      </w:r>
      <w:r w:rsidR="00C04125" w:rsidRPr="00716B90">
        <w:rPr>
          <w:rFonts w:ascii="Calibri" w:eastAsia="Times New Roman" w:hAnsi="Calibri" w:cs="Calibri"/>
          <w:sz w:val="24"/>
          <w:szCs w:val="24"/>
          <w:lang w:eastAsia="en-GB"/>
        </w:rPr>
        <w:t>4</w:t>
      </w:r>
      <w:r w:rsidRPr="00716B90">
        <w:rPr>
          <w:rFonts w:ascii="Calibri" w:eastAsia="Times New Roman" w:hAnsi="Calibri" w:cs="Calibri"/>
          <w:sz w:val="24"/>
          <w:szCs w:val="24"/>
          <w:lang w:eastAsia="en-GB"/>
        </w:rPr>
        <w:t>. Efficiency Analysis.</w:t>
      </w:r>
      <w:bookmarkEnd w:id="13"/>
      <w:r w:rsidRPr="00716B90">
        <w:rPr>
          <w:rFonts w:ascii="Calibri" w:eastAsia="Times New Roman" w:hAnsi="Calibri" w:cs="Calibri"/>
          <w:sz w:val="24"/>
          <w:szCs w:val="24"/>
          <w:lang w:eastAsia="en-GB"/>
        </w:rPr>
        <w:t xml:space="preserve"> </w:t>
      </w:r>
    </w:p>
    <w:p w14:paraId="0F6425E3" w14:textId="329F7CF8" w:rsidR="00134EFD" w:rsidRPr="00716B90" w:rsidRDefault="009B1A73" w:rsidP="00C9217C">
      <w:pPr>
        <w:jc w:val="both"/>
        <w:rPr>
          <w:rFonts w:ascii="Calibri" w:hAnsi="Calibri" w:cs="Calibri"/>
        </w:rPr>
      </w:pPr>
      <w:r w:rsidRPr="00716B90">
        <w:rPr>
          <w:rFonts w:ascii="Calibri" w:hAnsi="Calibri" w:cs="Calibri"/>
          <w:lang w:val="en-US"/>
        </w:rPr>
        <w:tab/>
      </w:r>
      <w:r w:rsidR="00134EFD" w:rsidRPr="00716B90">
        <w:rPr>
          <w:rFonts w:ascii="Calibri" w:hAnsi="Calibri" w:cs="Calibri"/>
          <w:lang w:eastAsia="en-GB"/>
        </w:rPr>
        <w:t>Organizations look at overall asset efficiency ratios to figure out how well a company performs as compared to its competition. To an identical end, they also conduct separate examinations of the turnover of liabilities and stocks. Functionally, a company is more productive than other businesses if its ratios are better. The complete asset turnover ratio, in its most basic form, evaluates how well an enterprise uses its assets for generating more sales</w:t>
      </w:r>
      <w:r w:rsidR="00015F0C" w:rsidRPr="00716B90">
        <w:rPr>
          <w:rFonts w:ascii="Calibri" w:hAnsi="Calibri" w:cs="Calibri"/>
          <w:lang w:eastAsia="en-GB"/>
        </w:rPr>
        <w:t xml:space="preserve"> (</w:t>
      </w:r>
      <w:r w:rsidR="00015F0C" w:rsidRPr="00716B90">
        <w:rPr>
          <w:rFonts w:ascii="Calibri" w:hAnsi="Calibri" w:cs="Calibri"/>
        </w:rPr>
        <w:t>Patin, Rahman, and Mustafa, 2020).</w:t>
      </w:r>
    </w:p>
    <w:p w14:paraId="000509DC" w14:textId="669ACC89" w:rsidR="00CB5459" w:rsidRPr="00716B90" w:rsidRDefault="00134EFD" w:rsidP="00C9217C">
      <w:pPr>
        <w:jc w:val="both"/>
        <w:rPr>
          <w:rFonts w:ascii="Calibri" w:eastAsia="Times New Roman" w:hAnsi="Calibri" w:cs="Calibri"/>
          <w:kern w:val="0"/>
          <w:lang w:eastAsia="en-GB"/>
          <w14:ligatures w14:val="none"/>
        </w:rPr>
      </w:pPr>
      <w:r w:rsidRPr="00716B90">
        <w:rPr>
          <w:rFonts w:ascii="Calibri" w:hAnsi="Calibri" w:cs="Calibri"/>
          <w:lang w:val="en-US"/>
        </w:rPr>
        <w:tab/>
      </w:r>
      <w:r w:rsidR="009B1A73" w:rsidRPr="00716B90">
        <w:rPr>
          <w:rFonts w:ascii="Calibri" w:eastAsia="Times New Roman" w:hAnsi="Calibri" w:cs="Calibri"/>
          <w:kern w:val="0"/>
          <w:lang w:eastAsia="en-GB"/>
          <w14:ligatures w14:val="none"/>
        </w:rPr>
        <w:t>Efficiency ratios including asse</w:t>
      </w:r>
      <w:r w:rsidR="00602C70" w:rsidRPr="00716B90">
        <w:rPr>
          <w:rFonts w:ascii="Calibri" w:eastAsia="Times New Roman" w:hAnsi="Calibri" w:cs="Calibri"/>
          <w:kern w:val="0"/>
          <w:lang w:eastAsia="en-GB"/>
          <w14:ligatures w14:val="none"/>
        </w:rPr>
        <w:t>t turnover and inventory turnover illustrate the effectiveness with which P&amp;G uses its assets and</w:t>
      </w:r>
      <w:r w:rsidR="00E7587F" w:rsidRPr="00716B90">
        <w:rPr>
          <w:rFonts w:ascii="Calibri" w:eastAsia="Times New Roman" w:hAnsi="Calibri" w:cs="Calibri"/>
          <w:kern w:val="0"/>
          <w:lang w:eastAsia="en-GB"/>
          <w14:ligatures w14:val="none"/>
        </w:rPr>
        <w:t xml:space="preserve"> how it handles the inventory. A large asset turnover ratio </w:t>
      </w:r>
      <w:r w:rsidR="00FB1DE2" w:rsidRPr="00716B90">
        <w:rPr>
          <w:rFonts w:ascii="Calibri" w:eastAsia="Times New Roman" w:hAnsi="Calibri" w:cs="Calibri"/>
          <w:kern w:val="0"/>
          <w:lang w:eastAsia="en-GB"/>
          <w14:ligatures w14:val="none"/>
        </w:rPr>
        <w:t xml:space="preserve">represents that assets are used properly to produce revenue, although a high inventory </w:t>
      </w:r>
      <w:r w:rsidR="00FA0CD0" w:rsidRPr="00716B90">
        <w:rPr>
          <w:rFonts w:ascii="Calibri" w:eastAsia="Times New Roman" w:hAnsi="Calibri" w:cs="Calibri"/>
          <w:kern w:val="0"/>
          <w:lang w:eastAsia="en-GB"/>
          <w14:ligatures w14:val="none"/>
        </w:rPr>
        <w:t xml:space="preserve">turnover ratio indicates that inventory is managed well. </w:t>
      </w:r>
      <w:r w:rsidR="00BD6027" w:rsidRPr="00716B90">
        <w:rPr>
          <w:rFonts w:ascii="Calibri" w:eastAsia="Times New Roman" w:hAnsi="Calibri" w:cs="Calibri"/>
          <w:kern w:val="0"/>
          <w:lang w:eastAsia="en-GB"/>
          <w14:ligatures w14:val="none"/>
        </w:rPr>
        <w:t>Analysing</w:t>
      </w:r>
      <w:r w:rsidR="00C9217C" w:rsidRPr="00716B90">
        <w:rPr>
          <w:rFonts w:ascii="Calibri" w:eastAsia="Times New Roman" w:hAnsi="Calibri" w:cs="Calibri"/>
          <w:kern w:val="0"/>
          <w:lang w:eastAsia="en-GB"/>
          <w14:ligatures w14:val="none"/>
        </w:rPr>
        <w:t xml:space="preserve"> these figures </w:t>
      </w:r>
      <w:r w:rsidR="00BD6027" w:rsidRPr="00716B90">
        <w:rPr>
          <w:rFonts w:ascii="Calibri" w:eastAsia="Times New Roman" w:hAnsi="Calibri" w:cs="Calibri"/>
          <w:kern w:val="0"/>
          <w:lang w:eastAsia="en-GB"/>
          <w14:ligatures w14:val="none"/>
        </w:rPr>
        <w:t>for</w:t>
      </w:r>
      <w:r w:rsidR="00C9217C" w:rsidRPr="00716B90">
        <w:rPr>
          <w:rFonts w:ascii="Calibri" w:eastAsia="Times New Roman" w:hAnsi="Calibri" w:cs="Calibri"/>
          <w:kern w:val="0"/>
          <w:lang w:eastAsia="en-GB"/>
          <w14:ligatures w14:val="none"/>
        </w:rPr>
        <w:t xml:space="preserve"> Nestlé can reveal situations where P&amp;G outperforms or suffers in </w:t>
      </w:r>
      <w:r w:rsidR="00BD6027" w:rsidRPr="00716B90">
        <w:rPr>
          <w:rFonts w:ascii="Calibri" w:eastAsia="Times New Roman" w:hAnsi="Calibri" w:cs="Calibri"/>
          <w:kern w:val="0"/>
          <w:lang w:eastAsia="en-GB"/>
          <w14:ligatures w14:val="none"/>
        </w:rPr>
        <w:t xml:space="preserve">the </w:t>
      </w:r>
      <w:r w:rsidR="00C9217C" w:rsidRPr="00716B90">
        <w:rPr>
          <w:rFonts w:ascii="Calibri" w:eastAsia="Times New Roman" w:hAnsi="Calibri" w:cs="Calibri"/>
          <w:kern w:val="0"/>
          <w:lang w:eastAsia="en-GB"/>
          <w14:ligatures w14:val="none"/>
        </w:rPr>
        <w:t>efficiency of operations.</w:t>
      </w:r>
    </w:p>
    <w:tbl>
      <w:tblPr>
        <w:tblW w:w="9067" w:type="dxa"/>
        <w:tblLook w:val="04A0" w:firstRow="1" w:lastRow="0" w:firstColumn="1" w:lastColumn="0" w:noHBand="0" w:noVBand="1"/>
      </w:tblPr>
      <w:tblGrid>
        <w:gridCol w:w="3138"/>
        <w:gridCol w:w="889"/>
        <w:gridCol w:w="889"/>
        <w:gridCol w:w="889"/>
        <w:gridCol w:w="889"/>
        <w:gridCol w:w="889"/>
        <w:gridCol w:w="1484"/>
      </w:tblGrid>
      <w:tr w:rsidR="00747AF9" w:rsidRPr="00716B90" w14:paraId="6FB40EFE" w14:textId="77777777" w:rsidTr="002C0746">
        <w:trPr>
          <w:trHeight w:val="578"/>
        </w:trPr>
        <w:tc>
          <w:tcPr>
            <w:tcW w:w="7583"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A34D32" w14:textId="653B21A6"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xml:space="preserve">Key Financial Ratios of P&amp;G for the </w:t>
            </w:r>
            <w:r w:rsidR="00BD6027" w:rsidRPr="00716B90">
              <w:rPr>
                <w:rFonts w:ascii="Calibri" w:eastAsia="Times New Roman" w:hAnsi="Calibri" w:cs="Calibri"/>
                <w:b/>
                <w:bCs/>
                <w:color w:val="000000"/>
                <w:kern w:val="0"/>
                <w:lang w:eastAsia="en-GB"/>
                <w14:ligatures w14:val="none"/>
              </w:rPr>
              <w:t>Last</w:t>
            </w:r>
            <w:r w:rsidRPr="00716B90">
              <w:rPr>
                <w:rFonts w:ascii="Calibri" w:eastAsia="Times New Roman" w:hAnsi="Calibri" w:cs="Calibri"/>
                <w:b/>
                <w:bCs/>
                <w:color w:val="000000"/>
                <w:kern w:val="0"/>
                <w:lang w:eastAsia="en-GB"/>
                <w14:ligatures w14:val="none"/>
              </w:rPr>
              <w:t xml:space="preserve"> Five Years</w:t>
            </w:r>
          </w:p>
        </w:tc>
        <w:tc>
          <w:tcPr>
            <w:tcW w:w="1484" w:type="dxa"/>
            <w:tcBorders>
              <w:top w:val="single" w:sz="4" w:space="0" w:color="auto"/>
              <w:left w:val="nil"/>
              <w:bottom w:val="single" w:sz="4" w:space="0" w:color="auto"/>
              <w:right w:val="single" w:sz="4" w:space="0" w:color="auto"/>
            </w:tcBorders>
            <w:shd w:val="clear" w:color="auto" w:fill="auto"/>
            <w:vAlign w:val="bottom"/>
            <w:hideMark/>
          </w:tcPr>
          <w:p w14:paraId="76D54B3B"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Nestle Financial Ratios</w:t>
            </w:r>
          </w:p>
        </w:tc>
      </w:tr>
      <w:tr w:rsidR="00747AF9" w:rsidRPr="00716B90" w14:paraId="218258F4" w14:textId="77777777" w:rsidTr="002C0746">
        <w:trPr>
          <w:trHeight w:val="289"/>
        </w:trPr>
        <w:tc>
          <w:tcPr>
            <w:tcW w:w="9067" w:type="dxa"/>
            <w:gridSpan w:val="7"/>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9B00A27"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Efficiency Ratios</w:t>
            </w:r>
          </w:p>
        </w:tc>
      </w:tr>
      <w:tr w:rsidR="002C0746" w:rsidRPr="00716B90" w14:paraId="270CB697" w14:textId="77777777" w:rsidTr="002C0746">
        <w:trPr>
          <w:trHeight w:val="289"/>
        </w:trPr>
        <w:tc>
          <w:tcPr>
            <w:tcW w:w="3138" w:type="dxa"/>
            <w:tcBorders>
              <w:top w:val="nil"/>
              <w:left w:val="single" w:sz="4" w:space="0" w:color="auto"/>
              <w:bottom w:val="single" w:sz="4" w:space="0" w:color="auto"/>
              <w:right w:val="single" w:sz="4" w:space="0" w:color="auto"/>
            </w:tcBorders>
            <w:shd w:val="clear" w:color="auto" w:fill="auto"/>
            <w:noWrap/>
            <w:vAlign w:val="bottom"/>
            <w:hideMark/>
          </w:tcPr>
          <w:p w14:paraId="209B59DD"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 </w:t>
            </w:r>
          </w:p>
        </w:tc>
        <w:tc>
          <w:tcPr>
            <w:tcW w:w="889" w:type="dxa"/>
            <w:tcBorders>
              <w:top w:val="nil"/>
              <w:left w:val="nil"/>
              <w:bottom w:val="single" w:sz="4" w:space="0" w:color="auto"/>
              <w:right w:val="single" w:sz="4" w:space="0" w:color="auto"/>
            </w:tcBorders>
            <w:shd w:val="clear" w:color="000000" w:fill="C0E6F5"/>
            <w:noWrap/>
            <w:vAlign w:val="center"/>
            <w:hideMark/>
          </w:tcPr>
          <w:p w14:paraId="02D3493B"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c>
          <w:tcPr>
            <w:tcW w:w="889" w:type="dxa"/>
            <w:tcBorders>
              <w:top w:val="nil"/>
              <w:left w:val="nil"/>
              <w:bottom w:val="single" w:sz="4" w:space="0" w:color="auto"/>
              <w:right w:val="single" w:sz="4" w:space="0" w:color="auto"/>
            </w:tcBorders>
            <w:shd w:val="clear" w:color="000000" w:fill="C0E6F5"/>
            <w:noWrap/>
            <w:vAlign w:val="center"/>
            <w:hideMark/>
          </w:tcPr>
          <w:p w14:paraId="7EAD1D05"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2022</w:t>
            </w:r>
          </w:p>
        </w:tc>
        <w:tc>
          <w:tcPr>
            <w:tcW w:w="889" w:type="dxa"/>
            <w:tcBorders>
              <w:top w:val="nil"/>
              <w:left w:val="nil"/>
              <w:bottom w:val="single" w:sz="4" w:space="0" w:color="auto"/>
              <w:right w:val="single" w:sz="4" w:space="0" w:color="auto"/>
            </w:tcBorders>
            <w:shd w:val="clear" w:color="000000" w:fill="C0E6F5"/>
            <w:noWrap/>
            <w:vAlign w:val="center"/>
            <w:hideMark/>
          </w:tcPr>
          <w:p w14:paraId="523F38B0"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2021</w:t>
            </w:r>
          </w:p>
        </w:tc>
        <w:tc>
          <w:tcPr>
            <w:tcW w:w="889" w:type="dxa"/>
            <w:tcBorders>
              <w:top w:val="nil"/>
              <w:left w:val="nil"/>
              <w:bottom w:val="single" w:sz="4" w:space="0" w:color="auto"/>
              <w:right w:val="single" w:sz="4" w:space="0" w:color="auto"/>
            </w:tcBorders>
            <w:shd w:val="clear" w:color="000000" w:fill="C0E6F5"/>
            <w:noWrap/>
            <w:vAlign w:val="center"/>
            <w:hideMark/>
          </w:tcPr>
          <w:p w14:paraId="5E6E89AF"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2020</w:t>
            </w:r>
          </w:p>
        </w:tc>
        <w:tc>
          <w:tcPr>
            <w:tcW w:w="889" w:type="dxa"/>
            <w:tcBorders>
              <w:top w:val="nil"/>
              <w:left w:val="nil"/>
              <w:bottom w:val="single" w:sz="4" w:space="0" w:color="auto"/>
              <w:right w:val="single" w:sz="4" w:space="0" w:color="auto"/>
            </w:tcBorders>
            <w:shd w:val="clear" w:color="000000" w:fill="C0E6F5"/>
            <w:noWrap/>
            <w:vAlign w:val="center"/>
            <w:hideMark/>
          </w:tcPr>
          <w:p w14:paraId="51A4DEEE"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2019</w:t>
            </w:r>
          </w:p>
        </w:tc>
        <w:tc>
          <w:tcPr>
            <w:tcW w:w="1484" w:type="dxa"/>
            <w:tcBorders>
              <w:top w:val="nil"/>
              <w:left w:val="nil"/>
              <w:bottom w:val="single" w:sz="4" w:space="0" w:color="auto"/>
              <w:right w:val="single" w:sz="4" w:space="0" w:color="auto"/>
            </w:tcBorders>
            <w:shd w:val="clear" w:color="000000" w:fill="C0E6F5"/>
            <w:noWrap/>
            <w:vAlign w:val="bottom"/>
            <w:hideMark/>
          </w:tcPr>
          <w:p w14:paraId="3D0940EE"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2023</w:t>
            </w:r>
          </w:p>
        </w:tc>
      </w:tr>
      <w:tr w:rsidR="002C0746" w:rsidRPr="00716B90" w14:paraId="6A0FEBD8" w14:textId="77777777" w:rsidTr="002C0746">
        <w:trPr>
          <w:trHeight w:val="289"/>
        </w:trPr>
        <w:tc>
          <w:tcPr>
            <w:tcW w:w="3138" w:type="dxa"/>
            <w:tcBorders>
              <w:top w:val="nil"/>
              <w:left w:val="single" w:sz="4" w:space="0" w:color="auto"/>
              <w:bottom w:val="single" w:sz="4" w:space="0" w:color="auto"/>
              <w:right w:val="single" w:sz="4" w:space="0" w:color="auto"/>
            </w:tcBorders>
            <w:shd w:val="clear" w:color="000000" w:fill="C0E6F5"/>
            <w:noWrap/>
            <w:vAlign w:val="center"/>
            <w:hideMark/>
          </w:tcPr>
          <w:p w14:paraId="2DC58750"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Asset Turnover Ratio</w:t>
            </w:r>
          </w:p>
        </w:tc>
        <w:tc>
          <w:tcPr>
            <w:tcW w:w="889" w:type="dxa"/>
            <w:tcBorders>
              <w:top w:val="nil"/>
              <w:left w:val="nil"/>
              <w:bottom w:val="single" w:sz="4" w:space="0" w:color="auto"/>
              <w:right w:val="single" w:sz="4" w:space="0" w:color="auto"/>
            </w:tcBorders>
            <w:shd w:val="clear" w:color="auto" w:fill="auto"/>
            <w:noWrap/>
            <w:vAlign w:val="bottom"/>
            <w:hideMark/>
          </w:tcPr>
          <w:p w14:paraId="0DE4D458"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0.6787</w:t>
            </w:r>
          </w:p>
        </w:tc>
        <w:tc>
          <w:tcPr>
            <w:tcW w:w="889" w:type="dxa"/>
            <w:tcBorders>
              <w:top w:val="nil"/>
              <w:left w:val="nil"/>
              <w:bottom w:val="single" w:sz="4" w:space="0" w:color="auto"/>
              <w:right w:val="single" w:sz="4" w:space="0" w:color="auto"/>
            </w:tcBorders>
            <w:shd w:val="clear" w:color="auto" w:fill="auto"/>
            <w:noWrap/>
            <w:vAlign w:val="bottom"/>
            <w:hideMark/>
          </w:tcPr>
          <w:p w14:paraId="1EB2E400"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0.6841</w:t>
            </w:r>
          </w:p>
        </w:tc>
        <w:tc>
          <w:tcPr>
            <w:tcW w:w="889" w:type="dxa"/>
            <w:tcBorders>
              <w:top w:val="nil"/>
              <w:left w:val="nil"/>
              <w:bottom w:val="single" w:sz="4" w:space="0" w:color="auto"/>
              <w:right w:val="single" w:sz="4" w:space="0" w:color="auto"/>
            </w:tcBorders>
            <w:shd w:val="clear" w:color="auto" w:fill="auto"/>
            <w:noWrap/>
            <w:vAlign w:val="bottom"/>
            <w:hideMark/>
          </w:tcPr>
          <w:p w14:paraId="4FE19809"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0.638</w:t>
            </w:r>
          </w:p>
        </w:tc>
        <w:tc>
          <w:tcPr>
            <w:tcW w:w="889" w:type="dxa"/>
            <w:tcBorders>
              <w:top w:val="nil"/>
              <w:left w:val="nil"/>
              <w:bottom w:val="single" w:sz="4" w:space="0" w:color="auto"/>
              <w:right w:val="single" w:sz="4" w:space="0" w:color="auto"/>
            </w:tcBorders>
            <w:shd w:val="clear" w:color="auto" w:fill="auto"/>
            <w:noWrap/>
            <w:vAlign w:val="bottom"/>
            <w:hideMark/>
          </w:tcPr>
          <w:p w14:paraId="1C92686A"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0.5878</w:t>
            </w:r>
          </w:p>
        </w:tc>
        <w:tc>
          <w:tcPr>
            <w:tcW w:w="889" w:type="dxa"/>
            <w:tcBorders>
              <w:top w:val="nil"/>
              <w:left w:val="nil"/>
              <w:bottom w:val="single" w:sz="4" w:space="0" w:color="auto"/>
              <w:right w:val="single" w:sz="4" w:space="0" w:color="auto"/>
            </w:tcBorders>
            <w:shd w:val="clear" w:color="auto" w:fill="auto"/>
            <w:noWrap/>
            <w:vAlign w:val="bottom"/>
            <w:hideMark/>
          </w:tcPr>
          <w:p w14:paraId="37BC6780"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0.5881</w:t>
            </w:r>
          </w:p>
        </w:tc>
        <w:tc>
          <w:tcPr>
            <w:tcW w:w="1484" w:type="dxa"/>
            <w:tcBorders>
              <w:top w:val="nil"/>
              <w:left w:val="nil"/>
              <w:bottom w:val="single" w:sz="4" w:space="0" w:color="auto"/>
              <w:right w:val="single" w:sz="4" w:space="0" w:color="auto"/>
            </w:tcBorders>
            <w:shd w:val="clear" w:color="auto" w:fill="auto"/>
            <w:noWrap/>
            <w:vAlign w:val="bottom"/>
            <w:hideMark/>
          </w:tcPr>
          <w:p w14:paraId="51DB6DCB"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0.7377</w:t>
            </w:r>
          </w:p>
        </w:tc>
      </w:tr>
      <w:tr w:rsidR="002C0746" w:rsidRPr="00716B90" w14:paraId="7B01C440" w14:textId="77777777" w:rsidTr="002C0746">
        <w:trPr>
          <w:trHeight w:val="289"/>
        </w:trPr>
        <w:tc>
          <w:tcPr>
            <w:tcW w:w="3138" w:type="dxa"/>
            <w:tcBorders>
              <w:top w:val="nil"/>
              <w:left w:val="single" w:sz="4" w:space="0" w:color="auto"/>
              <w:bottom w:val="single" w:sz="4" w:space="0" w:color="auto"/>
              <w:right w:val="single" w:sz="4" w:space="0" w:color="auto"/>
            </w:tcBorders>
            <w:shd w:val="clear" w:color="000000" w:fill="C0E6F5"/>
            <w:noWrap/>
            <w:vAlign w:val="center"/>
            <w:hideMark/>
          </w:tcPr>
          <w:p w14:paraId="7FD7BB45" w14:textId="77777777" w:rsidR="00747AF9" w:rsidRPr="00716B90" w:rsidRDefault="00747AF9" w:rsidP="00747AF9">
            <w:pPr>
              <w:spacing w:after="0" w:line="240" w:lineRule="auto"/>
              <w:jc w:val="center"/>
              <w:rPr>
                <w:rFonts w:ascii="Calibri" w:eastAsia="Times New Roman" w:hAnsi="Calibri" w:cs="Calibri"/>
                <w:b/>
                <w:bCs/>
                <w:color w:val="000000"/>
                <w:kern w:val="0"/>
                <w:lang w:eastAsia="en-GB"/>
                <w14:ligatures w14:val="none"/>
              </w:rPr>
            </w:pPr>
            <w:r w:rsidRPr="00716B90">
              <w:rPr>
                <w:rFonts w:ascii="Calibri" w:eastAsia="Times New Roman" w:hAnsi="Calibri" w:cs="Calibri"/>
                <w:b/>
                <w:bCs/>
                <w:color w:val="000000"/>
                <w:kern w:val="0"/>
                <w:lang w:eastAsia="en-GB"/>
                <w14:ligatures w14:val="none"/>
              </w:rPr>
              <w:t>Inventory Turnover Ratio</w:t>
            </w:r>
          </w:p>
        </w:tc>
        <w:tc>
          <w:tcPr>
            <w:tcW w:w="889" w:type="dxa"/>
            <w:tcBorders>
              <w:top w:val="nil"/>
              <w:left w:val="nil"/>
              <w:bottom w:val="single" w:sz="4" w:space="0" w:color="auto"/>
              <w:right w:val="single" w:sz="4" w:space="0" w:color="auto"/>
            </w:tcBorders>
            <w:shd w:val="clear" w:color="auto" w:fill="auto"/>
            <w:noWrap/>
            <w:vAlign w:val="bottom"/>
            <w:hideMark/>
          </w:tcPr>
          <w:p w14:paraId="1238454C"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6.0455</w:t>
            </w:r>
          </w:p>
        </w:tc>
        <w:tc>
          <w:tcPr>
            <w:tcW w:w="889" w:type="dxa"/>
            <w:tcBorders>
              <w:top w:val="nil"/>
              <w:left w:val="nil"/>
              <w:bottom w:val="single" w:sz="4" w:space="0" w:color="auto"/>
              <w:right w:val="single" w:sz="4" w:space="0" w:color="auto"/>
            </w:tcBorders>
            <w:shd w:val="clear" w:color="auto" w:fill="auto"/>
            <w:noWrap/>
            <w:vAlign w:val="bottom"/>
            <w:hideMark/>
          </w:tcPr>
          <w:p w14:paraId="13C73893"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6.0885</w:t>
            </w:r>
          </w:p>
        </w:tc>
        <w:tc>
          <w:tcPr>
            <w:tcW w:w="889" w:type="dxa"/>
            <w:tcBorders>
              <w:top w:val="nil"/>
              <w:left w:val="nil"/>
              <w:bottom w:val="single" w:sz="4" w:space="0" w:color="auto"/>
              <w:right w:val="single" w:sz="4" w:space="0" w:color="auto"/>
            </w:tcBorders>
            <w:shd w:val="clear" w:color="auto" w:fill="auto"/>
            <w:noWrap/>
            <w:vAlign w:val="bottom"/>
            <w:hideMark/>
          </w:tcPr>
          <w:p w14:paraId="5CD20936"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6.2022</w:t>
            </w:r>
          </w:p>
        </w:tc>
        <w:tc>
          <w:tcPr>
            <w:tcW w:w="889" w:type="dxa"/>
            <w:tcBorders>
              <w:top w:val="nil"/>
              <w:left w:val="nil"/>
              <w:bottom w:val="single" w:sz="4" w:space="0" w:color="auto"/>
              <w:right w:val="single" w:sz="4" w:space="0" w:color="auto"/>
            </w:tcBorders>
            <w:shd w:val="clear" w:color="auto" w:fill="auto"/>
            <w:noWrap/>
            <w:vAlign w:val="bottom"/>
            <w:hideMark/>
          </w:tcPr>
          <w:p w14:paraId="00B84419"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6.4114</w:t>
            </w:r>
          </w:p>
        </w:tc>
        <w:tc>
          <w:tcPr>
            <w:tcW w:w="889" w:type="dxa"/>
            <w:tcBorders>
              <w:top w:val="nil"/>
              <w:left w:val="nil"/>
              <w:bottom w:val="single" w:sz="4" w:space="0" w:color="auto"/>
              <w:right w:val="single" w:sz="4" w:space="0" w:color="auto"/>
            </w:tcBorders>
            <w:shd w:val="clear" w:color="auto" w:fill="auto"/>
            <w:noWrap/>
            <w:vAlign w:val="bottom"/>
            <w:hideMark/>
          </w:tcPr>
          <w:p w14:paraId="381920A4"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6.93</w:t>
            </w:r>
          </w:p>
        </w:tc>
        <w:tc>
          <w:tcPr>
            <w:tcW w:w="1484" w:type="dxa"/>
            <w:tcBorders>
              <w:top w:val="nil"/>
              <w:left w:val="nil"/>
              <w:bottom w:val="single" w:sz="4" w:space="0" w:color="auto"/>
              <w:right w:val="single" w:sz="4" w:space="0" w:color="auto"/>
            </w:tcBorders>
            <w:shd w:val="clear" w:color="auto" w:fill="auto"/>
            <w:noWrap/>
            <w:vAlign w:val="bottom"/>
            <w:hideMark/>
          </w:tcPr>
          <w:p w14:paraId="3705F7D7" w14:textId="77777777" w:rsidR="00747AF9" w:rsidRPr="00716B90" w:rsidRDefault="00747AF9" w:rsidP="00747AF9">
            <w:pPr>
              <w:spacing w:after="0" w:line="240" w:lineRule="auto"/>
              <w:jc w:val="center"/>
              <w:rPr>
                <w:rFonts w:ascii="Calibri" w:eastAsia="Times New Roman" w:hAnsi="Calibri" w:cs="Calibri"/>
                <w:color w:val="000000"/>
                <w:kern w:val="0"/>
                <w:lang w:eastAsia="en-GB"/>
                <w14:ligatures w14:val="none"/>
              </w:rPr>
            </w:pPr>
            <w:r w:rsidRPr="00716B90">
              <w:rPr>
                <w:rFonts w:ascii="Calibri" w:eastAsia="Times New Roman" w:hAnsi="Calibri" w:cs="Calibri"/>
                <w:color w:val="000000"/>
                <w:kern w:val="0"/>
                <w:lang w:eastAsia="en-GB"/>
                <w14:ligatures w14:val="none"/>
              </w:rPr>
              <w:t>4.2307</w:t>
            </w:r>
          </w:p>
        </w:tc>
      </w:tr>
    </w:tbl>
    <w:p w14:paraId="25D777F4" w14:textId="30DDD5F5" w:rsidR="00CA0304" w:rsidRPr="00716B90" w:rsidRDefault="00BA4C73" w:rsidP="00BA4C73">
      <w:pPr>
        <w:jc w:val="center"/>
        <w:rPr>
          <w:rFonts w:ascii="Calibri" w:hAnsi="Calibri" w:cs="Calibri"/>
          <w:lang w:val="en-US"/>
        </w:rPr>
      </w:pPr>
      <w:r>
        <w:rPr>
          <w:rFonts w:ascii="Calibri" w:hAnsi="Calibri" w:cs="Calibri"/>
          <w:lang w:val="en-US"/>
        </w:rPr>
        <w:t>(Source: Macrotrends, 2024)</w:t>
      </w:r>
    </w:p>
    <w:p w14:paraId="74C41445" w14:textId="6E305388" w:rsidR="00B813D6" w:rsidRPr="00716B90" w:rsidRDefault="00CA0304" w:rsidP="00DD66FC">
      <w:pPr>
        <w:pStyle w:val="Heading3"/>
        <w:rPr>
          <w:rFonts w:ascii="Calibri" w:hAnsi="Calibri" w:cs="Calibri"/>
          <w:sz w:val="24"/>
          <w:szCs w:val="24"/>
          <w:lang w:val="en-US"/>
        </w:rPr>
      </w:pPr>
      <w:bookmarkStart w:id="14" w:name="_Toc175126643"/>
      <w:r w:rsidRPr="00716B90">
        <w:rPr>
          <w:rFonts w:ascii="Calibri" w:hAnsi="Calibri" w:cs="Calibri"/>
          <w:sz w:val="24"/>
          <w:szCs w:val="24"/>
          <w:lang w:val="en-US"/>
        </w:rPr>
        <w:t>2.4.1. Asset Turnover Ratio.</w:t>
      </w:r>
      <w:bookmarkEnd w:id="14"/>
    </w:p>
    <w:p w14:paraId="053C6487" w14:textId="1C0E4380" w:rsidR="00DD66FC" w:rsidRPr="00716B90" w:rsidRDefault="00DD66FC" w:rsidP="00D53FBE">
      <w:pPr>
        <w:jc w:val="both"/>
        <w:rPr>
          <w:rFonts w:ascii="Calibri" w:hAnsi="Calibri" w:cs="Calibri"/>
          <w:lang w:val="en-US"/>
        </w:rPr>
      </w:pPr>
      <w:r w:rsidRPr="00716B90">
        <w:rPr>
          <w:rFonts w:ascii="Calibri" w:hAnsi="Calibri" w:cs="Calibri"/>
          <w:lang w:val="en-US"/>
        </w:rPr>
        <w:tab/>
      </w:r>
      <w:r w:rsidR="005F2A50" w:rsidRPr="00716B90">
        <w:rPr>
          <w:rFonts w:ascii="Calibri" w:hAnsi="Calibri" w:cs="Calibri"/>
          <w:lang w:val="en-US"/>
        </w:rPr>
        <w:t xml:space="preserve">The calculation of the overall assets turnover ratio assesses how well investments are managed for each of the different asset components.  A higher </w:t>
      </w:r>
      <w:r w:rsidR="005808C9" w:rsidRPr="00716B90">
        <w:rPr>
          <w:rFonts w:ascii="Calibri" w:hAnsi="Calibri" w:cs="Calibri"/>
          <w:lang w:val="en-US"/>
        </w:rPr>
        <w:t>ratio of</w:t>
      </w:r>
      <w:r w:rsidR="005F2A50" w:rsidRPr="00716B90">
        <w:rPr>
          <w:rFonts w:ascii="Calibri" w:hAnsi="Calibri" w:cs="Calibri"/>
          <w:lang w:val="en-US"/>
        </w:rPr>
        <w:t xml:space="preserve"> value indicates that the business can effectively manage its assets to create revenue, which translates into larger profit margins for the business (Sunjoko, 2018). </w:t>
      </w:r>
      <w:r w:rsidR="00BD6027" w:rsidRPr="00716B90">
        <w:rPr>
          <w:rFonts w:ascii="Calibri" w:hAnsi="Calibri" w:cs="Calibri"/>
          <w:lang w:val="en-US"/>
        </w:rPr>
        <w:t>The asset</w:t>
      </w:r>
      <w:r w:rsidR="00B638E6" w:rsidRPr="00716B90">
        <w:rPr>
          <w:rFonts w:ascii="Calibri" w:hAnsi="Calibri" w:cs="Calibri"/>
          <w:lang w:val="en-US"/>
        </w:rPr>
        <w:t xml:space="preserve"> turnover ratio can be calculated as shown below: </w:t>
      </w:r>
    </w:p>
    <w:p w14:paraId="1227496B" w14:textId="7A67A223" w:rsidR="00CA0304" w:rsidRPr="00716B90" w:rsidRDefault="00E148DF" w:rsidP="00E148DF">
      <w:pPr>
        <w:jc w:val="center"/>
        <w:rPr>
          <w:rFonts w:ascii="Calibri" w:hAnsi="Calibri" w:cs="Calibri"/>
          <w:b/>
          <w:bCs/>
          <w:lang w:val="en-US"/>
        </w:rPr>
      </w:pPr>
      <w:r w:rsidRPr="00716B90">
        <w:rPr>
          <w:rFonts w:ascii="Calibri" w:hAnsi="Calibri" w:cs="Calibri"/>
          <w:b/>
          <w:bCs/>
          <w:lang w:val="en-US"/>
        </w:rPr>
        <w:lastRenderedPageBreak/>
        <w:t>Asset Turnover Ratio = (</w:t>
      </w:r>
      <w:r w:rsidR="00D913DC" w:rsidRPr="00716B90">
        <w:rPr>
          <w:rFonts w:ascii="Calibri" w:hAnsi="Calibri" w:cs="Calibri"/>
          <w:b/>
          <w:bCs/>
          <w:lang w:val="en-US"/>
        </w:rPr>
        <w:t xml:space="preserve">Revenue / </w:t>
      </w:r>
      <w:r w:rsidR="00004550" w:rsidRPr="00716B90">
        <w:rPr>
          <w:rFonts w:ascii="Calibri" w:hAnsi="Calibri" w:cs="Calibri"/>
          <w:b/>
          <w:bCs/>
          <w:lang w:val="en-US"/>
        </w:rPr>
        <w:t>Total Assets</w:t>
      </w:r>
      <w:r w:rsidRPr="00716B90">
        <w:rPr>
          <w:rFonts w:ascii="Calibri" w:hAnsi="Calibri" w:cs="Calibri"/>
          <w:b/>
          <w:bCs/>
          <w:lang w:val="en-US"/>
        </w:rPr>
        <w:t>) x 100</w:t>
      </w:r>
    </w:p>
    <w:p w14:paraId="31AECD42" w14:textId="681522D8" w:rsidR="00CB5459" w:rsidRPr="00716B90" w:rsidRDefault="00514132" w:rsidP="009C1AEA">
      <w:pPr>
        <w:jc w:val="both"/>
        <w:rPr>
          <w:rFonts w:ascii="Calibri" w:hAnsi="Calibri" w:cs="Calibri"/>
          <w:lang w:val="en-US"/>
        </w:rPr>
      </w:pPr>
      <w:r w:rsidRPr="00716B90">
        <w:rPr>
          <w:rFonts w:ascii="Calibri" w:hAnsi="Calibri" w:cs="Calibri"/>
          <w:lang w:val="en-US"/>
        </w:rPr>
        <w:tab/>
      </w:r>
      <w:r w:rsidR="00CB5459" w:rsidRPr="00716B90">
        <w:rPr>
          <w:rFonts w:ascii="Calibri" w:hAnsi="Calibri" w:cs="Calibri"/>
          <w:lang w:val="en-US"/>
        </w:rPr>
        <w:t xml:space="preserve">The asset </w:t>
      </w:r>
      <w:r w:rsidR="000D6473" w:rsidRPr="00716B90">
        <w:rPr>
          <w:rFonts w:ascii="Calibri" w:hAnsi="Calibri" w:cs="Calibri"/>
          <w:lang w:val="en-US"/>
        </w:rPr>
        <w:t xml:space="preserve">turnover ratio of the P&amp;G company </w:t>
      </w:r>
      <w:r w:rsidR="00BD6027" w:rsidRPr="00716B90">
        <w:rPr>
          <w:rFonts w:ascii="Calibri" w:hAnsi="Calibri" w:cs="Calibri"/>
          <w:lang w:val="en-US"/>
        </w:rPr>
        <w:t>has been</w:t>
      </w:r>
      <w:r w:rsidR="000D6473" w:rsidRPr="00716B90">
        <w:rPr>
          <w:rFonts w:ascii="Calibri" w:hAnsi="Calibri" w:cs="Calibri"/>
          <w:lang w:val="en-US"/>
        </w:rPr>
        <w:t xml:space="preserve"> stable in the last 5 years, </w:t>
      </w:r>
      <w:r w:rsidR="00BD6027" w:rsidRPr="00716B90">
        <w:rPr>
          <w:rFonts w:ascii="Calibri" w:hAnsi="Calibri" w:cs="Calibri"/>
          <w:lang w:val="en-US"/>
        </w:rPr>
        <w:t>from</w:t>
      </w:r>
      <w:r w:rsidR="00EF21B9" w:rsidRPr="00716B90">
        <w:rPr>
          <w:rFonts w:ascii="Calibri" w:hAnsi="Calibri" w:cs="Calibri"/>
          <w:lang w:val="en-US"/>
        </w:rPr>
        <w:t xml:space="preserve"> 0.58 in the year 2019 to </w:t>
      </w:r>
      <w:r w:rsidR="005F1F0D" w:rsidRPr="00716B90">
        <w:rPr>
          <w:rFonts w:ascii="Calibri" w:hAnsi="Calibri" w:cs="Calibri"/>
          <w:lang w:val="en-US"/>
        </w:rPr>
        <w:t xml:space="preserve">0.68 in the year 2023, and </w:t>
      </w:r>
      <w:r w:rsidR="00966534" w:rsidRPr="00716B90">
        <w:rPr>
          <w:rFonts w:ascii="Calibri" w:hAnsi="Calibri" w:cs="Calibri"/>
          <w:lang w:val="en-US"/>
        </w:rPr>
        <w:t xml:space="preserve">when </w:t>
      </w:r>
      <w:r w:rsidR="00FA3629" w:rsidRPr="00716B90">
        <w:rPr>
          <w:rFonts w:ascii="Calibri" w:hAnsi="Calibri" w:cs="Calibri"/>
          <w:lang w:val="en-US"/>
        </w:rPr>
        <w:t xml:space="preserve">it comes to Nestle’s asset turnover ratio in the year 2023 stands at </w:t>
      </w:r>
      <w:r w:rsidRPr="00716B90">
        <w:rPr>
          <w:rFonts w:ascii="Calibri" w:hAnsi="Calibri" w:cs="Calibri"/>
          <w:lang w:val="en-US"/>
        </w:rPr>
        <w:t xml:space="preserve">0.74 which is higher than the P&amp;G company. </w:t>
      </w:r>
    </w:p>
    <w:p w14:paraId="10265827" w14:textId="65B390B3" w:rsidR="00603607" w:rsidRPr="00716B90" w:rsidRDefault="00B813D6" w:rsidP="00B813D6">
      <w:pPr>
        <w:jc w:val="both"/>
        <w:rPr>
          <w:rFonts w:ascii="Calibri" w:hAnsi="Calibri" w:cs="Calibri"/>
        </w:rPr>
      </w:pPr>
      <w:r w:rsidRPr="00716B90">
        <w:rPr>
          <w:rFonts w:ascii="Calibri" w:hAnsi="Calibri" w:cs="Calibri"/>
          <w:lang w:val="en-US"/>
        </w:rPr>
        <w:tab/>
      </w:r>
      <w:r w:rsidR="006A5E05" w:rsidRPr="00716B90">
        <w:rPr>
          <w:rFonts w:ascii="Calibri" w:hAnsi="Calibri" w:cs="Calibri"/>
        </w:rPr>
        <w:t xml:space="preserve">Regarding asset turnover, </w:t>
      </w:r>
      <w:r w:rsidR="00BD6027" w:rsidRPr="00716B90">
        <w:rPr>
          <w:rFonts w:ascii="Calibri" w:hAnsi="Calibri" w:cs="Calibri"/>
        </w:rPr>
        <w:t>Nestle's</w:t>
      </w:r>
      <w:r w:rsidR="006A5E05" w:rsidRPr="00716B90">
        <w:rPr>
          <w:rFonts w:ascii="Calibri" w:hAnsi="Calibri" w:cs="Calibri"/>
        </w:rPr>
        <w:t xml:space="preserve"> performance is ahead of P&amp;G, demonstrating that it utilizes its assets effectively in order in generating revenue. To boost operational effectiveness and competition, P&amp;G could need to find ways to maximize its asset use.</w:t>
      </w:r>
    </w:p>
    <w:p w14:paraId="7EB36FFA" w14:textId="2CA1E232" w:rsidR="00603EF7" w:rsidRPr="00716B90" w:rsidRDefault="00CA0304" w:rsidP="00603EF7">
      <w:pPr>
        <w:pStyle w:val="Heading3"/>
        <w:rPr>
          <w:rFonts w:ascii="Calibri" w:hAnsi="Calibri" w:cs="Calibri"/>
          <w:sz w:val="24"/>
          <w:szCs w:val="24"/>
          <w:lang w:val="en-US"/>
        </w:rPr>
      </w:pPr>
      <w:bookmarkStart w:id="15" w:name="_Toc175126644"/>
      <w:r w:rsidRPr="00716B90">
        <w:rPr>
          <w:rFonts w:ascii="Calibri" w:hAnsi="Calibri" w:cs="Calibri"/>
          <w:sz w:val="24"/>
          <w:szCs w:val="24"/>
          <w:lang w:val="en-US"/>
        </w:rPr>
        <w:t>2.4.2.</w:t>
      </w:r>
      <w:r w:rsidR="00603EF7" w:rsidRPr="00716B90">
        <w:rPr>
          <w:rFonts w:ascii="Calibri" w:hAnsi="Calibri" w:cs="Calibri"/>
          <w:sz w:val="24"/>
          <w:szCs w:val="24"/>
          <w:lang w:val="en-US"/>
        </w:rPr>
        <w:t xml:space="preserve"> Inventory Turnover Ratio.</w:t>
      </w:r>
      <w:bookmarkEnd w:id="15"/>
    </w:p>
    <w:p w14:paraId="2A299287" w14:textId="398F8779" w:rsidR="008635E4" w:rsidRPr="00716B90" w:rsidRDefault="008635E4" w:rsidP="002F4358">
      <w:pPr>
        <w:jc w:val="both"/>
        <w:rPr>
          <w:rFonts w:ascii="Calibri" w:eastAsia="Times New Roman" w:hAnsi="Calibri" w:cs="Calibri"/>
          <w:kern w:val="0"/>
          <w:lang w:eastAsia="en-GB"/>
          <w14:ligatures w14:val="none"/>
        </w:rPr>
      </w:pPr>
      <w:r w:rsidRPr="00716B90">
        <w:rPr>
          <w:rFonts w:ascii="Calibri" w:hAnsi="Calibri" w:cs="Calibri"/>
          <w:lang w:val="en-US"/>
        </w:rPr>
        <w:tab/>
      </w:r>
      <w:r w:rsidRPr="00716B90">
        <w:rPr>
          <w:rFonts w:ascii="Calibri" w:eastAsia="Times New Roman" w:hAnsi="Calibri" w:cs="Calibri"/>
          <w:kern w:val="0"/>
          <w:lang w:eastAsia="en-GB"/>
          <w14:ligatures w14:val="none"/>
        </w:rPr>
        <w:t xml:space="preserve">Greater inventory as the outcome of higher utilization or adjustments to inventory management is known as inventory turnover. If inventory increases at a rate that is not proportionate to activity, it suggests that the inventory control is inefficient. Profitability </w:t>
      </w:r>
      <w:r w:rsidR="002F4358" w:rsidRPr="00716B90">
        <w:rPr>
          <w:rFonts w:ascii="Calibri" w:eastAsia="Times New Roman" w:hAnsi="Calibri" w:cs="Calibri"/>
          <w:kern w:val="0"/>
          <w:lang w:eastAsia="en-GB"/>
          <w14:ligatures w14:val="none"/>
        </w:rPr>
        <w:t>grows</w:t>
      </w:r>
      <w:r w:rsidRPr="00716B90">
        <w:rPr>
          <w:rFonts w:ascii="Calibri" w:eastAsia="Times New Roman" w:hAnsi="Calibri" w:cs="Calibri"/>
          <w:kern w:val="0"/>
          <w:lang w:eastAsia="en-GB"/>
          <w14:ligatures w14:val="none"/>
        </w:rPr>
        <w:t xml:space="preserve"> with greater inventory turnover </w:t>
      </w:r>
      <w:r w:rsidR="00EB76EE" w:rsidRPr="00716B90">
        <w:rPr>
          <w:rFonts w:ascii="Calibri" w:eastAsia="Times New Roman" w:hAnsi="Calibri" w:cs="Calibri"/>
          <w:kern w:val="0"/>
          <w:lang w:eastAsia="en-GB"/>
          <w14:ligatures w14:val="none"/>
        </w:rPr>
        <w:t>(Amanda, 2019).</w:t>
      </w:r>
      <w:r w:rsidR="009653C7" w:rsidRPr="00716B90">
        <w:rPr>
          <w:rFonts w:ascii="Calibri" w:eastAsia="Times New Roman" w:hAnsi="Calibri" w:cs="Calibri"/>
          <w:kern w:val="0"/>
          <w:lang w:eastAsia="en-GB"/>
          <w14:ligatures w14:val="none"/>
        </w:rPr>
        <w:t xml:space="preserve"> The </w:t>
      </w:r>
      <w:r w:rsidR="009D616C" w:rsidRPr="00716B90">
        <w:rPr>
          <w:rFonts w:ascii="Calibri" w:eastAsia="Times New Roman" w:hAnsi="Calibri" w:cs="Calibri"/>
          <w:kern w:val="0"/>
          <w:lang w:eastAsia="en-GB"/>
          <w14:ligatures w14:val="none"/>
        </w:rPr>
        <w:t xml:space="preserve">formula to calculate </w:t>
      </w:r>
      <w:r w:rsidR="000C0144" w:rsidRPr="00716B90">
        <w:rPr>
          <w:rFonts w:ascii="Calibri" w:eastAsia="Times New Roman" w:hAnsi="Calibri" w:cs="Calibri"/>
          <w:kern w:val="0"/>
          <w:lang w:eastAsia="en-GB"/>
          <w14:ligatures w14:val="none"/>
        </w:rPr>
        <w:t xml:space="preserve">the </w:t>
      </w:r>
      <w:r w:rsidR="009D616C" w:rsidRPr="00716B90">
        <w:rPr>
          <w:rFonts w:ascii="Calibri" w:eastAsia="Times New Roman" w:hAnsi="Calibri" w:cs="Calibri"/>
          <w:kern w:val="0"/>
          <w:lang w:eastAsia="en-GB"/>
          <w14:ligatures w14:val="none"/>
        </w:rPr>
        <w:t>Inventory turnover ratio is shown below:</w:t>
      </w:r>
    </w:p>
    <w:p w14:paraId="55918E62" w14:textId="77777777" w:rsidR="00603607" w:rsidRPr="00716B90" w:rsidRDefault="00603EF7" w:rsidP="00603EF7">
      <w:pPr>
        <w:jc w:val="center"/>
        <w:rPr>
          <w:rFonts w:ascii="Calibri" w:hAnsi="Calibri" w:cs="Calibri"/>
          <w:b/>
          <w:bCs/>
          <w:lang w:val="en-US"/>
        </w:rPr>
      </w:pPr>
      <w:r w:rsidRPr="00716B90">
        <w:rPr>
          <w:rFonts w:ascii="Calibri" w:hAnsi="Calibri" w:cs="Calibri"/>
          <w:b/>
          <w:bCs/>
          <w:lang w:val="en-US"/>
        </w:rPr>
        <w:t>Inventory Turnover Ratio = (</w:t>
      </w:r>
      <w:r w:rsidR="00004550" w:rsidRPr="00716B90">
        <w:rPr>
          <w:rFonts w:ascii="Calibri" w:hAnsi="Calibri" w:cs="Calibri"/>
          <w:b/>
          <w:bCs/>
          <w:lang w:val="en-US"/>
        </w:rPr>
        <w:t>Cost of Goods Sold / Average Inventory</w:t>
      </w:r>
      <w:r w:rsidRPr="00716B90">
        <w:rPr>
          <w:rFonts w:ascii="Calibri" w:hAnsi="Calibri" w:cs="Calibri"/>
          <w:b/>
          <w:bCs/>
          <w:lang w:val="en-US"/>
        </w:rPr>
        <w:t>) x 100</w:t>
      </w:r>
    </w:p>
    <w:p w14:paraId="678C4EC8" w14:textId="29A5EF35" w:rsidR="00D8313E" w:rsidRPr="00716B90" w:rsidRDefault="001F52BD" w:rsidP="009C1AEA">
      <w:pPr>
        <w:jc w:val="both"/>
        <w:rPr>
          <w:rFonts w:ascii="Calibri" w:hAnsi="Calibri" w:cs="Calibri"/>
          <w:lang w:val="en-US"/>
        </w:rPr>
      </w:pPr>
      <w:r w:rsidRPr="00716B90">
        <w:rPr>
          <w:rFonts w:ascii="Calibri" w:hAnsi="Calibri" w:cs="Calibri"/>
          <w:lang w:val="en-US"/>
        </w:rPr>
        <w:tab/>
        <w:t xml:space="preserve">The inventory turnover ratio of P&amp;G </w:t>
      </w:r>
      <w:r w:rsidR="000C0144" w:rsidRPr="00716B90">
        <w:rPr>
          <w:rFonts w:ascii="Calibri" w:hAnsi="Calibri" w:cs="Calibri"/>
          <w:lang w:val="en-US"/>
        </w:rPr>
        <w:t>has</w:t>
      </w:r>
      <w:r w:rsidRPr="00716B90">
        <w:rPr>
          <w:rFonts w:ascii="Calibri" w:hAnsi="Calibri" w:cs="Calibri"/>
          <w:lang w:val="en-US"/>
        </w:rPr>
        <w:t xml:space="preserve"> slightly decreased in the last five years, ranging from </w:t>
      </w:r>
      <w:r w:rsidR="00CA4439" w:rsidRPr="00716B90">
        <w:rPr>
          <w:rFonts w:ascii="Calibri" w:hAnsi="Calibri" w:cs="Calibri"/>
          <w:lang w:val="en-US"/>
        </w:rPr>
        <w:t xml:space="preserve">6.93 in the year 2019 to 6.05 in the year </w:t>
      </w:r>
      <w:r w:rsidR="00966534" w:rsidRPr="00716B90">
        <w:rPr>
          <w:rFonts w:ascii="Calibri" w:hAnsi="Calibri" w:cs="Calibri"/>
          <w:lang w:val="en-US"/>
        </w:rPr>
        <w:t xml:space="preserve">2023, and when it comes to Nestle, the inventory </w:t>
      </w:r>
      <w:r w:rsidR="00D8313E" w:rsidRPr="00716B90">
        <w:rPr>
          <w:rFonts w:ascii="Calibri" w:hAnsi="Calibri" w:cs="Calibri"/>
          <w:lang w:val="en-US"/>
        </w:rPr>
        <w:t xml:space="preserve">turnover </w:t>
      </w:r>
      <w:r w:rsidR="000C0144" w:rsidRPr="00716B90">
        <w:rPr>
          <w:rFonts w:ascii="Calibri" w:hAnsi="Calibri" w:cs="Calibri"/>
          <w:lang w:val="en-US"/>
        </w:rPr>
        <w:t>ratio</w:t>
      </w:r>
      <w:r w:rsidR="00D8313E" w:rsidRPr="00716B90">
        <w:rPr>
          <w:rFonts w:ascii="Calibri" w:hAnsi="Calibri" w:cs="Calibri"/>
          <w:lang w:val="en-US"/>
        </w:rPr>
        <w:t xml:space="preserve"> stands at 4.23 in 2023, which is significantly less than the P&amp;G. </w:t>
      </w:r>
    </w:p>
    <w:p w14:paraId="7A27ABC8" w14:textId="62D003B0" w:rsidR="00592286" w:rsidRPr="00716B90" w:rsidRDefault="00B813D6" w:rsidP="00592286">
      <w:pPr>
        <w:jc w:val="both"/>
        <w:rPr>
          <w:rFonts w:ascii="Calibri" w:hAnsi="Calibri" w:cs="Calibri"/>
        </w:rPr>
      </w:pPr>
      <w:r w:rsidRPr="00716B90">
        <w:rPr>
          <w:rFonts w:ascii="Calibri" w:hAnsi="Calibri" w:cs="Calibri"/>
          <w:lang w:val="en-US"/>
        </w:rPr>
        <w:tab/>
      </w:r>
      <w:r w:rsidR="00592286" w:rsidRPr="00716B90">
        <w:rPr>
          <w:rFonts w:ascii="Calibri" w:hAnsi="Calibri" w:cs="Calibri"/>
        </w:rPr>
        <w:t>When compared with Nestlé, P&amp;G has a substantially higher inventory turnover ratio, indicating greater efficiency in management of stock. It turns out that P&amp;G could change over its inventory with greater speed than Nestlé illustrates either their inventory control or selling strategies have proven more successful.</w:t>
      </w:r>
    </w:p>
    <w:p w14:paraId="67244FE1" w14:textId="643CEEBF" w:rsidR="00D66FCE" w:rsidRPr="00716B90" w:rsidRDefault="00D66FCE" w:rsidP="00626357">
      <w:pPr>
        <w:pStyle w:val="Heading2"/>
        <w:rPr>
          <w:rFonts w:ascii="Calibri" w:hAnsi="Calibri" w:cs="Calibri"/>
          <w:sz w:val="24"/>
          <w:szCs w:val="24"/>
          <w:lang w:val="en-US"/>
        </w:rPr>
      </w:pPr>
      <w:bookmarkStart w:id="16" w:name="_Toc175126645"/>
      <w:r w:rsidRPr="00716B90">
        <w:rPr>
          <w:rFonts w:ascii="Calibri" w:hAnsi="Calibri" w:cs="Calibri"/>
          <w:sz w:val="24"/>
          <w:szCs w:val="24"/>
          <w:lang w:val="en-US"/>
        </w:rPr>
        <w:t xml:space="preserve">2.4. Recommendations </w:t>
      </w:r>
      <w:r w:rsidR="001F0CD1" w:rsidRPr="00716B90">
        <w:rPr>
          <w:rFonts w:ascii="Calibri" w:hAnsi="Calibri" w:cs="Calibri"/>
          <w:sz w:val="24"/>
          <w:szCs w:val="24"/>
          <w:lang w:val="en-US"/>
        </w:rPr>
        <w:t>for</w:t>
      </w:r>
      <w:r w:rsidR="008361E1" w:rsidRPr="00716B90">
        <w:rPr>
          <w:rFonts w:ascii="Calibri" w:hAnsi="Calibri" w:cs="Calibri"/>
          <w:sz w:val="24"/>
          <w:szCs w:val="24"/>
          <w:lang w:val="en-US"/>
        </w:rPr>
        <w:t xml:space="preserve"> P&amp;G to </w:t>
      </w:r>
      <w:r w:rsidR="00FB797F" w:rsidRPr="00716B90">
        <w:rPr>
          <w:rFonts w:ascii="Calibri" w:hAnsi="Calibri" w:cs="Calibri"/>
          <w:sz w:val="24"/>
          <w:szCs w:val="24"/>
          <w:lang w:val="en-US"/>
        </w:rPr>
        <w:t xml:space="preserve">enhance their </w:t>
      </w:r>
      <w:r w:rsidR="005412BB" w:rsidRPr="00716B90">
        <w:rPr>
          <w:rFonts w:ascii="Calibri" w:hAnsi="Calibri" w:cs="Calibri"/>
          <w:sz w:val="24"/>
          <w:szCs w:val="24"/>
          <w:lang w:val="en-US"/>
        </w:rPr>
        <w:t>M</w:t>
      </w:r>
      <w:r w:rsidR="00FB797F" w:rsidRPr="00716B90">
        <w:rPr>
          <w:rFonts w:ascii="Calibri" w:hAnsi="Calibri" w:cs="Calibri"/>
          <w:sz w:val="24"/>
          <w:szCs w:val="24"/>
          <w:lang w:val="en-US"/>
        </w:rPr>
        <w:t>arket</w:t>
      </w:r>
      <w:r w:rsidR="001727AC" w:rsidRPr="00716B90">
        <w:rPr>
          <w:rFonts w:ascii="Calibri" w:hAnsi="Calibri" w:cs="Calibri"/>
          <w:sz w:val="24"/>
          <w:szCs w:val="24"/>
          <w:lang w:val="en-US"/>
        </w:rPr>
        <w:t xml:space="preserve"> </w:t>
      </w:r>
      <w:r w:rsidR="005412BB" w:rsidRPr="00716B90">
        <w:rPr>
          <w:rFonts w:ascii="Calibri" w:hAnsi="Calibri" w:cs="Calibri"/>
          <w:sz w:val="24"/>
          <w:szCs w:val="24"/>
          <w:lang w:val="en-US"/>
        </w:rPr>
        <w:t>G</w:t>
      </w:r>
      <w:r w:rsidR="001727AC" w:rsidRPr="00716B90">
        <w:rPr>
          <w:rFonts w:ascii="Calibri" w:hAnsi="Calibri" w:cs="Calibri"/>
          <w:sz w:val="24"/>
          <w:szCs w:val="24"/>
          <w:lang w:val="en-US"/>
        </w:rPr>
        <w:t>rowth</w:t>
      </w:r>
      <w:r w:rsidR="00FB797F" w:rsidRPr="00716B90">
        <w:rPr>
          <w:rFonts w:ascii="Calibri" w:hAnsi="Calibri" w:cs="Calibri"/>
          <w:sz w:val="24"/>
          <w:szCs w:val="24"/>
          <w:lang w:val="en-US"/>
        </w:rPr>
        <w:t>.</w:t>
      </w:r>
      <w:bookmarkEnd w:id="16"/>
      <w:r w:rsidR="00FB797F" w:rsidRPr="00716B90">
        <w:rPr>
          <w:rFonts w:ascii="Calibri" w:hAnsi="Calibri" w:cs="Calibri"/>
          <w:sz w:val="24"/>
          <w:szCs w:val="24"/>
          <w:lang w:val="en-US"/>
        </w:rPr>
        <w:t xml:space="preserve"> </w:t>
      </w:r>
    </w:p>
    <w:p w14:paraId="571825E1" w14:textId="15B5D464" w:rsidR="009D0D24" w:rsidRPr="00716B90" w:rsidRDefault="00626357" w:rsidP="003E0D05">
      <w:pPr>
        <w:jc w:val="both"/>
        <w:rPr>
          <w:rFonts w:ascii="Calibri" w:hAnsi="Calibri" w:cs="Calibri"/>
        </w:rPr>
      </w:pPr>
      <w:r w:rsidRPr="00716B90">
        <w:rPr>
          <w:rFonts w:ascii="Calibri" w:hAnsi="Calibri" w:cs="Calibri"/>
          <w:lang w:val="en-US"/>
        </w:rPr>
        <w:tab/>
      </w:r>
      <w:r w:rsidR="00225483" w:rsidRPr="00716B90">
        <w:rPr>
          <w:rFonts w:ascii="Calibri" w:hAnsi="Calibri" w:cs="Calibri"/>
        </w:rPr>
        <w:t xml:space="preserve">For the company to preserve P&amp;G's dominant position in the constantly changing consumer products sector and improve its overall efficiency, a comprehensive approach is needed. The suggestions that follow </w:t>
      </w:r>
      <w:r w:rsidR="00415050" w:rsidRPr="00716B90">
        <w:rPr>
          <w:rFonts w:ascii="Calibri" w:hAnsi="Calibri" w:cs="Calibri"/>
        </w:rPr>
        <w:t>centre</w:t>
      </w:r>
      <w:r w:rsidR="00225483" w:rsidRPr="00716B90">
        <w:rPr>
          <w:rFonts w:ascii="Calibri" w:hAnsi="Calibri" w:cs="Calibri"/>
        </w:rPr>
        <w:t xml:space="preserve"> on managing finances, expansion of markets, innovation, technological advancement, and operational effectiveness. These approaches have the goal to increase financial success, enhance P&amp;G's competitiveness in the marketplace, and maintain steady growth throughout the years to come.</w:t>
      </w:r>
    </w:p>
    <w:p w14:paraId="4BF4F901" w14:textId="294AB42F" w:rsidR="004F6467" w:rsidRPr="00716B90" w:rsidRDefault="009D0D24" w:rsidP="009D0D24">
      <w:pPr>
        <w:pStyle w:val="Heading3"/>
        <w:rPr>
          <w:rFonts w:ascii="Calibri" w:hAnsi="Calibri" w:cs="Calibri"/>
          <w:sz w:val="24"/>
          <w:szCs w:val="24"/>
          <w:lang w:val="en-US"/>
        </w:rPr>
      </w:pPr>
      <w:bookmarkStart w:id="17" w:name="_Toc175126646"/>
      <w:r w:rsidRPr="00716B90">
        <w:rPr>
          <w:rFonts w:ascii="Calibri" w:hAnsi="Calibri" w:cs="Calibri"/>
          <w:sz w:val="24"/>
          <w:szCs w:val="24"/>
          <w:lang w:val="en-US"/>
        </w:rPr>
        <w:t xml:space="preserve">2.4.1. Market </w:t>
      </w:r>
      <w:r w:rsidR="0033017F" w:rsidRPr="00716B90">
        <w:rPr>
          <w:rFonts w:ascii="Calibri" w:hAnsi="Calibri" w:cs="Calibri"/>
          <w:sz w:val="24"/>
          <w:szCs w:val="24"/>
          <w:lang w:val="en-US"/>
        </w:rPr>
        <w:t>E</w:t>
      </w:r>
      <w:r w:rsidRPr="00716B90">
        <w:rPr>
          <w:rFonts w:ascii="Calibri" w:hAnsi="Calibri" w:cs="Calibri"/>
          <w:sz w:val="24"/>
          <w:szCs w:val="24"/>
          <w:lang w:val="en-US"/>
        </w:rPr>
        <w:t>xpansion.</w:t>
      </w:r>
      <w:bookmarkEnd w:id="17"/>
      <w:r w:rsidRPr="00716B90">
        <w:rPr>
          <w:rFonts w:ascii="Calibri" w:hAnsi="Calibri" w:cs="Calibri"/>
          <w:sz w:val="24"/>
          <w:szCs w:val="24"/>
          <w:lang w:val="en-US"/>
        </w:rPr>
        <w:t xml:space="preserve">  </w:t>
      </w:r>
    </w:p>
    <w:p w14:paraId="29E8C5C4" w14:textId="7FA79CD4" w:rsidR="00626357" w:rsidRPr="00716B90" w:rsidRDefault="002F1B11" w:rsidP="003E0D05">
      <w:pPr>
        <w:jc w:val="both"/>
        <w:rPr>
          <w:rFonts w:ascii="Calibri" w:hAnsi="Calibri" w:cs="Calibri"/>
          <w:lang w:val="en-US"/>
        </w:rPr>
      </w:pPr>
      <w:r w:rsidRPr="00716B90">
        <w:rPr>
          <w:rFonts w:ascii="Calibri" w:hAnsi="Calibri" w:cs="Calibri"/>
        </w:rPr>
        <w:tab/>
      </w:r>
      <w:r w:rsidR="003E0D05" w:rsidRPr="00716B90">
        <w:rPr>
          <w:rFonts w:ascii="Calibri" w:hAnsi="Calibri" w:cs="Calibri"/>
        </w:rPr>
        <w:t xml:space="preserve">P&amp;G, their unique branding and range of goods will have an important influence. It could potentially expand by extending into less-established markets, enhancing the benefits of acquiring businesses, and strengthening its line of products. In order </w:t>
      </w:r>
      <w:r w:rsidR="00943C12" w:rsidRPr="00716B90">
        <w:rPr>
          <w:rFonts w:ascii="Calibri" w:hAnsi="Calibri" w:cs="Calibri"/>
        </w:rPr>
        <w:t>to achieve</w:t>
      </w:r>
      <w:r w:rsidR="003E0D05" w:rsidRPr="00716B90">
        <w:rPr>
          <w:rFonts w:ascii="Calibri" w:hAnsi="Calibri" w:cs="Calibri"/>
        </w:rPr>
        <w:t xml:space="preserve"> this, P&amp;G need to </w:t>
      </w:r>
      <w:r w:rsidR="003C43BB" w:rsidRPr="00716B90">
        <w:rPr>
          <w:rFonts w:ascii="Calibri" w:hAnsi="Calibri" w:cs="Calibri"/>
        </w:rPr>
        <w:t>modernize</w:t>
      </w:r>
      <w:r w:rsidR="003E0D05" w:rsidRPr="00716B90">
        <w:rPr>
          <w:rFonts w:ascii="Calibri" w:hAnsi="Calibri" w:cs="Calibri"/>
        </w:rPr>
        <w:t xml:space="preserve"> its management structure in order to facilitate decisions more quickly. </w:t>
      </w:r>
      <w:r w:rsidR="00943C12" w:rsidRPr="00716B90">
        <w:rPr>
          <w:rFonts w:ascii="Calibri" w:hAnsi="Calibri" w:cs="Calibri"/>
        </w:rPr>
        <w:t>Consequently</w:t>
      </w:r>
      <w:r w:rsidR="003E0D05" w:rsidRPr="00716B90">
        <w:rPr>
          <w:rFonts w:ascii="Calibri" w:hAnsi="Calibri" w:cs="Calibri"/>
        </w:rPr>
        <w:t>, it is able to adapt to changes in the market substantially faster</w:t>
      </w:r>
      <w:r w:rsidR="00DB1AFA" w:rsidRPr="00716B90">
        <w:rPr>
          <w:rFonts w:ascii="Calibri" w:hAnsi="Calibri" w:cs="Calibri"/>
        </w:rPr>
        <w:t xml:space="preserve"> (Yang, 2023).</w:t>
      </w:r>
    </w:p>
    <w:p w14:paraId="0DD1215C" w14:textId="6AB17C3B" w:rsidR="00985BDF" w:rsidRPr="00716B90" w:rsidRDefault="0033017F" w:rsidP="00985BDF">
      <w:pPr>
        <w:pStyle w:val="Heading3"/>
        <w:rPr>
          <w:rFonts w:ascii="Calibri" w:hAnsi="Calibri" w:cs="Calibri"/>
          <w:sz w:val="24"/>
          <w:szCs w:val="24"/>
          <w:lang w:val="en-US"/>
        </w:rPr>
      </w:pPr>
      <w:bookmarkStart w:id="18" w:name="_Toc175126647"/>
      <w:r w:rsidRPr="00716B90">
        <w:rPr>
          <w:rFonts w:ascii="Calibri" w:hAnsi="Calibri" w:cs="Calibri"/>
          <w:sz w:val="24"/>
          <w:szCs w:val="24"/>
          <w:lang w:val="en-US"/>
        </w:rPr>
        <w:lastRenderedPageBreak/>
        <w:t xml:space="preserve">2.4.2. </w:t>
      </w:r>
      <w:r w:rsidR="00C27B23" w:rsidRPr="00716B90">
        <w:rPr>
          <w:rFonts w:ascii="Calibri" w:hAnsi="Calibri" w:cs="Calibri"/>
          <w:sz w:val="24"/>
          <w:szCs w:val="24"/>
          <w:lang w:val="en-US"/>
        </w:rPr>
        <w:t>Extend portfolio</w:t>
      </w:r>
      <w:r w:rsidR="00985BDF" w:rsidRPr="00716B90">
        <w:rPr>
          <w:rFonts w:ascii="Calibri" w:hAnsi="Calibri" w:cs="Calibri"/>
          <w:sz w:val="24"/>
          <w:szCs w:val="24"/>
          <w:lang w:val="en-US"/>
        </w:rPr>
        <w:t>.</w:t>
      </w:r>
      <w:bookmarkEnd w:id="18"/>
    </w:p>
    <w:p w14:paraId="630271BB" w14:textId="5EE4C0C5" w:rsidR="005412BB" w:rsidRPr="00716B90" w:rsidRDefault="00985BDF" w:rsidP="00985BDF">
      <w:pPr>
        <w:jc w:val="both"/>
        <w:rPr>
          <w:rFonts w:ascii="Calibri" w:hAnsi="Calibri" w:cs="Calibri"/>
          <w:lang w:val="en-US"/>
        </w:rPr>
      </w:pPr>
      <w:r w:rsidRPr="00716B90">
        <w:rPr>
          <w:rFonts w:ascii="Calibri" w:hAnsi="Calibri" w:cs="Calibri"/>
          <w:lang w:val="en-US"/>
        </w:rPr>
        <w:tab/>
      </w:r>
      <w:r w:rsidR="006C5693" w:rsidRPr="00716B90">
        <w:rPr>
          <w:rFonts w:ascii="Calibri" w:hAnsi="Calibri" w:cs="Calibri"/>
        </w:rPr>
        <w:t xml:space="preserve">P&amp;G is already a market leader in </w:t>
      </w:r>
      <w:r w:rsidR="000C0144" w:rsidRPr="00716B90">
        <w:rPr>
          <w:rFonts w:ascii="Calibri" w:hAnsi="Calibri" w:cs="Calibri"/>
        </w:rPr>
        <w:t xml:space="preserve">the </w:t>
      </w:r>
      <w:r w:rsidR="006C5693" w:rsidRPr="00716B90">
        <w:rPr>
          <w:rFonts w:ascii="Calibri" w:hAnsi="Calibri" w:cs="Calibri"/>
        </w:rPr>
        <w:t>FMCG sector</w:t>
      </w:r>
      <w:r w:rsidR="00252331" w:rsidRPr="00716B90">
        <w:rPr>
          <w:rFonts w:ascii="Calibri" w:hAnsi="Calibri" w:cs="Calibri"/>
        </w:rPr>
        <w:t xml:space="preserve">, it has a significant </w:t>
      </w:r>
      <w:r w:rsidR="00944756" w:rsidRPr="00716B90">
        <w:rPr>
          <w:rFonts w:ascii="Calibri" w:hAnsi="Calibri" w:cs="Calibri"/>
        </w:rPr>
        <w:t xml:space="preserve">opportunity to introduce </w:t>
      </w:r>
      <w:r w:rsidR="00917CAA" w:rsidRPr="00716B90">
        <w:rPr>
          <w:rFonts w:ascii="Calibri" w:hAnsi="Calibri" w:cs="Calibri"/>
        </w:rPr>
        <w:t>new</w:t>
      </w:r>
      <w:r w:rsidR="002F3C22" w:rsidRPr="00716B90">
        <w:rPr>
          <w:rFonts w:ascii="Calibri" w:hAnsi="Calibri" w:cs="Calibri"/>
        </w:rPr>
        <w:t xml:space="preserve"> </w:t>
      </w:r>
      <w:r w:rsidR="00944756" w:rsidRPr="00716B90">
        <w:rPr>
          <w:rFonts w:ascii="Calibri" w:hAnsi="Calibri" w:cs="Calibri"/>
        </w:rPr>
        <w:t>products</w:t>
      </w:r>
      <w:r w:rsidR="006C5693" w:rsidRPr="00716B90">
        <w:rPr>
          <w:rFonts w:ascii="Calibri" w:hAnsi="Calibri" w:cs="Calibri"/>
        </w:rPr>
        <w:t xml:space="preserve"> </w:t>
      </w:r>
      <w:r w:rsidR="00944756" w:rsidRPr="00716B90">
        <w:rPr>
          <w:rFonts w:ascii="Calibri" w:hAnsi="Calibri" w:cs="Calibri"/>
        </w:rPr>
        <w:t>a</w:t>
      </w:r>
      <w:r w:rsidRPr="00716B90">
        <w:rPr>
          <w:rFonts w:ascii="Calibri" w:hAnsi="Calibri" w:cs="Calibri"/>
        </w:rPr>
        <w:t xml:space="preserve">s </w:t>
      </w:r>
      <w:r w:rsidR="000C0144" w:rsidRPr="00716B90">
        <w:rPr>
          <w:rFonts w:ascii="Calibri" w:hAnsi="Calibri" w:cs="Calibri"/>
        </w:rPr>
        <w:t xml:space="preserve">the </w:t>
      </w:r>
      <w:r w:rsidRPr="00716B90">
        <w:rPr>
          <w:rFonts w:ascii="Calibri" w:hAnsi="Calibri" w:cs="Calibri"/>
        </w:rPr>
        <w:t>FM</w:t>
      </w:r>
      <w:r w:rsidR="006C5693" w:rsidRPr="00716B90">
        <w:rPr>
          <w:rFonts w:ascii="Calibri" w:hAnsi="Calibri" w:cs="Calibri"/>
        </w:rPr>
        <w:t>CG</w:t>
      </w:r>
      <w:r w:rsidRPr="00716B90">
        <w:rPr>
          <w:rFonts w:ascii="Calibri" w:hAnsi="Calibri" w:cs="Calibri"/>
        </w:rPr>
        <w:t xml:space="preserve"> sector is expanding rapidly and there is </w:t>
      </w:r>
      <w:r w:rsidR="00395707" w:rsidRPr="00716B90">
        <w:rPr>
          <w:rFonts w:ascii="Calibri" w:hAnsi="Calibri" w:cs="Calibri"/>
        </w:rPr>
        <w:t>an</w:t>
      </w:r>
      <w:r w:rsidR="000C0144" w:rsidRPr="00716B90">
        <w:rPr>
          <w:rFonts w:ascii="Calibri" w:hAnsi="Calibri" w:cs="Calibri"/>
        </w:rPr>
        <w:t xml:space="preserve"> ever-changing</w:t>
      </w:r>
      <w:r w:rsidR="00F752F5" w:rsidRPr="00716B90">
        <w:rPr>
          <w:rFonts w:ascii="Calibri" w:hAnsi="Calibri" w:cs="Calibri"/>
        </w:rPr>
        <w:t xml:space="preserve"> gap for new products in new marketplaces.</w:t>
      </w:r>
      <w:r w:rsidR="005A0626" w:rsidRPr="00716B90">
        <w:rPr>
          <w:rFonts w:ascii="Calibri" w:hAnsi="Calibri" w:cs="Calibri"/>
        </w:rPr>
        <w:t xml:space="preserve"> After the </w:t>
      </w:r>
      <w:r w:rsidR="000C0144" w:rsidRPr="00716B90">
        <w:rPr>
          <w:rFonts w:ascii="Calibri" w:hAnsi="Calibri" w:cs="Calibri"/>
        </w:rPr>
        <w:t>COVID-19</w:t>
      </w:r>
      <w:r w:rsidR="00106881" w:rsidRPr="00716B90">
        <w:rPr>
          <w:rFonts w:ascii="Calibri" w:hAnsi="Calibri" w:cs="Calibri"/>
        </w:rPr>
        <w:t xml:space="preserve"> pandemic,</w:t>
      </w:r>
      <w:r w:rsidR="00F752F5" w:rsidRPr="00716B90">
        <w:rPr>
          <w:rFonts w:ascii="Calibri" w:hAnsi="Calibri" w:cs="Calibri"/>
        </w:rPr>
        <w:t xml:space="preserve"> </w:t>
      </w:r>
      <w:r w:rsidR="000C0144" w:rsidRPr="00716B90">
        <w:rPr>
          <w:rFonts w:ascii="Calibri" w:hAnsi="Calibri" w:cs="Calibri"/>
        </w:rPr>
        <w:t xml:space="preserve">the </w:t>
      </w:r>
      <w:r w:rsidR="005A0626" w:rsidRPr="00716B90">
        <w:rPr>
          <w:rFonts w:ascii="Calibri" w:hAnsi="Calibri" w:cs="Calibri"/>
        </w:rPr>
        <w:t>market for daily necessities that include items for personal hygiene, home cleaning supplies, and fundamental healthcare supplies remains comparatively</w:t>
      </w:r>
      <w:r w:rsidR="00106881" w:rsidRPr="00716B90">
        <w:rPr>
          <w:rFonts w:ascii="Calibri" w:hAnsi="Calibri" w:cs="Calibri"/>
        </w:rPr>
        <w:t xml:space="preserve"> increased</w:t>
      </w:r>
      <w:r w:rsidR="005A0626" w:rsidRPr="00716B90">
        <w:rPr>
          <w:rFonts w:ascii="Calibri" w:hAnsi="Calibri" w:cs="Calibri"/>
        </w:rPr>
        <w:t>. These supplies' constant demand allows P&amp;G to focus on an extensive client base while still providing an ongoing source of income and leveraging on its established reputation</w:t>
      </w:r>
      <w:r w:rsidR="00783630" w:rsidRPr="00716B90">
        <w:rPr>
          <w:rFonts w:ascii="Calibri" w:hAnsi="Calibri" w:cs="Calibri"/>
        </w:rPr>
        <w:t xml:space="preserve"> (Cai, 2023)</w:t>
      </w:r>
      <w:r w:rsidR="005A0626" w:rsidRPr="00716B90">
        <w:rPr>
          <w:rFonts w:ascii="Calibri" w:hAnsi="Calibri" w:cs="Calibri"/>
        </w:rPr>
        <w:t>.</w:t>
      </w:r>
      <w:r w:rsidR="00783630" w:rsidRPr="00716B90">
        <w:rPr>
          <w:rFonts w:ascii="Calibri" w:hAnsi="Calibri" w:cs="Calibri"/>
        </w:rPr>
        <w:t xml:space="preserve"> </w:t>
      </w:r>
      <w:r w:rsidR="005A0626" w:rsidRPr="00716B90">
        <w:rPr>
          <w:rFonts w:ascii="Calibri" w:hAnsi="Calibri" w:cs="Calibri"/>
          <w:lang w:val="en-US"/>
        </w:rPr>
        <w:t xml:space="preserve"> </w:t>
      </w:r>
    </w:p>
    <w:p w14:paraId="2D042988" w14:textId="318CEDEE" w:rsidR="00F846C9" w:rsidRPr="00716B90" w:rsidRDefault="005412BB" w:rsidP="0003242F">
      <w:pPr>
        <w:pStyle w:val="Heading3"/>
        <w:rPr>
          <w:rFonts w:ascii="Calibri" w:hAnsi="Calibri" w:cs="Calibri"/>
          <w:sz w:val="24"/>
          <w:szCs w:val="24"/>
          <w:lang w:val="en-US"/>
        </w:rPr>
      </w:pPr>
      <w:bookmarkStart w:id="19" w:name="_Toc175126648"/>
      <w:r w:rsidRPr="00716B90">
        <w:rPr>
          <w:rFonts w:ascii="Calibri" w:hAnsi="Calibri" w:cs="Calibri"/>
          <w:sz w:val="24"/>
          <w:szCs w:val="24"/>
          <w:lang w:val="en-US"/>
        </w:rPr>
        <w:t>2.4.3.</w:t>
      </w:r>
      <w:r w:rsidR="00105393" w:rsidRPr="00716B90">
        <w:rPr>
          <w:rFonts w:ascii="Calibri" w:hAnsi="Calibri" w:cs="Calibri"/>
          <w:sz w:val="24"/>
          <w:szCs w:val="24"/>
          <w:lang w:val="en-US"/>
        </w:rPr>
        <w:t xml:space="preserve"> </w:t>
      </w:r>
      <w:r w:rsidR="005A2ECB" w:rsidRPr="00716B90">
        <w:rPr>
          <w:rFonts w:ascii="Calibri" w:hAnsi="Calibri" w:cs="Calibri"/>
          <w:sz w:val="24"/>
          <w:szCs w:val="24"/>
          <w:lang w:val="en-US"/>
        </w:rPr>
        <w:t>Acquisition</w:t>
      </w:r>
      <w:r w:rsidR="00105393" w:rsidRPr="00716B90">
        <w:rPr>
          <w:rFonts w:ascii="Calibri" w:hAnsi="Calibri" w:cs="Calibri"/>
          <w:sz w:val="24"/>
          <w:szCs w:val="24"/>
          <w:lang w:val="en-US"/>
        </w:rPr>
        <w:t xml:space="preserve"> and </w:t>
      </w:r>
      <w:r w:rsidR="000C0144" w:rsidRPr="00716B90">
        <w:rPr>
          <w:rFonts w:ascii="Calibri" w:hAnsi="Calibri" w:cs="Calibri"/>
          <w:sz w:val="24"/>
          <w:szCs w:val="24"/>
          <w:lang w:val="en-US"/>
        </w:rPr>
        <w:t>Enhancement</w:t>
      </w:r>
      <w:r w:rsidR="005A2ECB" w:rsidRPr="00716B90">
        <w:rPr>
          <w:rFonts w:ascii="Calibri" w:hAnsi="Calibri" w:cs="Calibri"/>
          <w:sz w:val="24"/>
          <w:szCs w:val="24"/>
          <w:lang w:val="en-US"/>
        </w:rPr>
        <w:t xml:space="preserve"> </w:t>
      </w:r>
      <w:r w:rsidR="000C0144" w:rsidRPr="00716B90">
        <w:rPr>
          <w:rFonts w:ascii="Calibri" w:hAnsi="Calibri" w:cs="Calibri"/>
          <w:sz w:val="24"/>
          <w:szCs w:val="24"/>
          <w:lang w:val="en-US"/>
        </w:rPr>
        <w:t xml:space="preserve">of </w:t>
      </w:r>
      <w:r w:rsidR="005A2ECB" w:rsidRPr="00716B90">
        <w:rPr>
          <w:rFonts w:ascii="Calibri" w:hAnsi="Calibri" w:cs="Calibri"/>
          <w:sz w:val="24"/>
          <w:szCs w:val="24"/>
          <w:lang w:val="en-US"/>
        </w:rPr>
        <w:t xml:space="preserve">Digital </w:t>
      </w:r>
      <w:r w:rsidR="003D7DB3" w:rsidRPr="00716B90">
        <w:rPr>
          <w:rFonts w:ascii="Calibri" w:hAnsi="Calibri" w:cs="Calibri"/>
          <w:sz w:val="24"/>
          <w:szCs w:val="24"/>
          <w:lang w:val="en-US"/>
        </w:rPr>
        <w:t>Presence.</w:t>
      </w:r>
      <w:bookmarkEnd w:id="19"/>
      <w:r w:rsidR="003D7DB3" w:rsidRPr="00716B90">
        <w:rPr>
          <w:rFonts w:ascii="Calibri" w:hAnsi="Calibri" w:cs="Calibri"/>
          <w:sz w:val="24"/>
          <w:szCs w:val="24"/>
          <w:lang w:val="en-US"/>
        </w:rPr>
        <w:t xml:space="preserve"> </w:t>
      </w:r>
    </w:p>
    <w:p w14:paraId="3EAAE820" w14:textId="658387B4" w:rsidR="00F846C9" w:rsidRPr="00716B90" w:rsidRDefault="00F846C9" w:rsidP="00F846C9">
      <w:pPr>
        <w:jc w:val="both"/>
        <w:rPr>
          <w:rFonts w:ascii="Calibri" w:hAnsi="Calibri" w:cs="Calibri"/>
        </w:rPr>
      </w:pPr>
      <w:r w:rsidRPr="00716B90">
        <w:rPr>
          <w:rFonts w:ascii="Calibri" w:hAnsi="Calibri" w:cs="Calibri"/>
          <w:lang w:val="en-US"/>
        </w:rPr>
        <w:tab/>
      </w:r>
      <w:r w:rsidRPr="00716B90">
        <w:rPr>
          <w:rFonts w:ascii="Calibri" w:hAnsi="Calibri" w:cs="Calibri"/>
        </w:rPr>
        <w:t xml:space="preserve">Procter &amp; Gamble could mitigate </w:t>
      </w:r>
      <w:r w:rsidR="005473E5" w:rsidRPr="00716B90">
        <w:rPr>
          <w:rFonts w:ascii="Calibri" w:hAnsi="Calibri" w:cs="Calibri"/>
        </w:rPr>
        <w:t>its</w:t>
      </w:r>
      <w:r w:rsidRPr="00716B90">
        <w:rPr>
          <w:rFonts w:ascii="Calibri" w:hAnsi="Calibri" w:cs="Calibri"/>
        </w:rPr>
        <w:t xml:space="preserve"> dependence on the customer goods sector by extending into additional sectors through acquiring or fresh business activities. Making investments further into innovative products can help the business become stronger in the marketplace by producing distinctive and compelling items that open up fresh sources of income. It also represents a great opportunity for growing its digital presence, particularly in </w:t>
      </w:r>
      <w:r w:rsidR="00395707" w:rsidRPr="00716B90">
        <w:rPr>
          <w:rFonts w:ascii="Calibri" w:hAnsi="Calibri" w:cs="Calibri"/>
        </w:rPr>
        <w:t>rapid</w:t>
      </w:r>
      <w:r w:rsidRPr="00716B90">
        <w:rPr>
          <w:rFonts w:ascii="Calibri" w:hAnsi="Calibri" w:cs="Calibri"/>
        </w:rPr>
        <w:t xml:space="preserve"> areas that are growing. Higher visibility and awareness among consumers from </w:t>
      </w:r>
      <w:r w:rsidR="00395707" w:rsidRPr="00716B90">
        <w:rPr>
          <w:rFonts w:ascii="Calibri" w:hAnsi="Calibri" w:cs="Calibri"/>
        </w:rPr>
        <w:t>more sophisticated e-commerce facilities</w:t>
      </w:r>
      <w:r w:rsidRPr="00716B90">
        <w:rPr>
          <w:rFonts w:ascii="Calibri" w:hAnsi="Calibri" w:cs="Calibri"/>
        </w:rPr>
        <w:t xml:space="preserve"> can boost profitability from online purchases and boost P&amp;G's reputation</w:t>
      </w:r>
      <w:r w:rsidR="00FF551B" w:rsidRPr="00716B90">
        <w:rPr>
          <w:rFonts w:ascii="Calibri" w:hAnsi="Calibri" w:cs="Calibri"/>
        </w:rPr>
        <w:t xml:space="preserve"> </w:t>
      </w:r>
      <w:r w:rsidR="005D1F23" w:rsidRPr="00716B90">
        <w:rPr>
          <w:rFonts w:ascii="Calibri" w:hAnsi="Calibri" w:cs="Calibri"/>
        </w:rPr>
        <w:t xml:space="preserve">(Thompson, 2023). </w:t>
      </w:r>
    </w:p>
    <w:p w14:paraId="79F11079" w14:textId="703E0CB6" w:rsidR="00C55536" w:rsidRPr="00716B90" w:rsidRDefault="005412BB" w:rsidP="0003242F">
      <w:pPr>
        <w:pStyle w:val="Heading3"/>
        <w:rPr>
          <w:rFonts w:ascii="Calibri" w:hAnsi="Calibri" w:cs="Calibri"/>
          <w:sz w:val="24"/>
          <w:szCs w:val="24"/>
          <w:lang w:val="en-US"/>
        </w:rPr>
      </w:pPr>
      <w:r w:rsidRPr="00716B90">
        <w:rPr>
          <w:rFonts w:ascii="Calibri" w:hAnsi="Calibri" w:cs="Calibri"/>
          <w:sz w:val="24"/>
          <w:szCs w:val="24"/>
          <w:lang w:val="en-US"/>
        </w:rPr>
        <w:t xml:space="preserve"> </w:t>
      </w:r>
      <w:bookmarkStart w:id="20" w:name="_Toc175126649"/>
      <w:r w:rsidR="005473E5" w:rsidRPr="00716B90">
        <w:rPr>
          <w:rFonts w:ascii="Calibri" w:hAnsi="Calibri" w:cs="Calibri"/>
          <w:sz w:val="24"/>
          <w:szCs w:val="24"/>
          <w:lang w:val="en-US"/>
        </w:rPr>
        <w:t>2.4.4.</w:t>
      </w:r>
      <w:r w:rsidR="00A00D7E" w:rsidRPr="00716B90">
        <w:rPr>
          <w:rFonts w:ascii="Calibri" w:hAnsi="Calibri" w:cs="Calibri"/>
          <w:sz w:val="24"/>
          <w:szCs w:val="24"/>
          <w:lang w:val="en-US"/>
        </w:rPr>
        <w:t xml:space="preserve"> Effective </w:t>
      </w:r>
      <w:r w:rsidR="0051672C" w:rsidRPr="00716B90">
        <w:rPr>
          <w:rFonts w:ascii="Calibri" w:hAnsi="Calibri" w:cs="Calibri"/>
          <w:sz w:val="24"/>
          <w:szCs w:val="24"/>
          <w:lang w:val="en-US"/>
        </w:rPr>
        <w:t>Manufacturing and Raw Material Utilization.</w:t>
      </w:r>
      <w:bookmarkEnd w:id="20"/>
    </w:p>
    <w:p w14:paraId="67D202C0" w14:textId="32A0075C" w:rsidR="00C55536" w:rsidRPr="00716B90" w:rsidRDefault="00C55536" w:rsidP="00C55536">
      <w:pPr>
        <w:jc w:val="both"/>
        <w:rPr>
          <w:rFonts w:ascii="Calibri" w:hAnsi="Calibri" w:cs="Calibri"/>
        </w:rPr>
      </w:pPr>
      <w:r w:rsidRPr="00716B90">
        <w:rPr>
          <w:rFonts w:ascii="Calibri" w:hAnsi="Calibri" w:cs="Calibri"/>
          <w:lang w:val="en-US"/>
        </w:rPr>
        <w:tab/>
      </w:r>
      <w:r w:rsidR="005C7809" w:rsidRPr="00716B90">
        <w:rPr>
          <w:rFonts w:ascii="Calibri" w:hAnsi="Calibri" w:cs="Calibri"/>
        </w:rPr>
        <w:t xml:space="preserve">To make manufacturing </w:t>
      </w:r>
      <w:r w:rsidR="00512B61" w:rsidRPr="00716B90">
        <w:rPr>
          <w:rFonts w:ascii="Calibri" w:hAnsi="Calibri" w:cs="Calibri"/>
        </w:rPr>
        <w:t xml:space="preserve">efficient and sustainable, </w:t>
      </w:r>
      <w:r w:rsidR="00395707" w:rsidRPr="00716B90">
        <w:rPr>
          <w:rFonts w:ascii="Calibri" w:hAnsi="Calibri" w:cs="Calibri"/>
        </w:rPr>
        <w:t xml:space="preserve">the </w:t>
      </w:r>
      <w:r w:rsidR="00512B61" w:rsidRPr="00716B90">
        <w:rPr>
          <w:rFonts w:ascii="Calibri" w:hAnsi="Calibri" w:cs="Calibri"/>
        </w:rPr>
        <w:t>throughput of raw</w:t>
      </w:r>
      <w:r w:rsidRPr="00716B90">
        <w:rPr>
          <w:rFonts w:ascii="Calibri" w:hAnsi="Calibri" w:cs="Calibri"/>
        </w:rPr>
        <w:t xml:space="preserve"> materials needs to be improved. Productivity is increased, market reaction is improved, and the utilization of materials can be enhanced through regular performance assessment and efficiency analyses. Establishing a sustainable production network requires regular performance optimization because of the unpredictable nature of the FMCG market</w:t>
      </w:r>
      <w:r w:rsidR="003B67F8" w:rsidRPr="00716B90">
        <w:rPr>
          <w:rFonts w:ascii="Calibri" w:hAnsi="Calibri" w:cs="Calibri"/>
        </w:rPr>
        <w:t xml:space="preserve"> </w:t>
      </w:r>
      <w:r w:rsidR="00AB58B5" w:rsidRPr="00716B90">
        <w:rPr>
          <w:rFonts w:ascii="Calibri" w:hAnsi="Calibri" w:cs="Calibri"/>
        </w:rPr>
        <w:t>(</w:t>
      </w:r>
      <w:proofErr w:type="spellStart"/>
      <w:r w:rsidR="00AB58B5" w:rsidRPr="00716B90">
        <w:rPr>
          <w:rFonts w:ascii="Calibri" w:hAnsi="Calibri" w:cs="Calibri"/>
        </w:rPr>
        <w:t>Ongbali</w:t>
      </w:r>
      <w:proofErr w:type="spellEnd"/>
      <w:r w:rsidR="00AB58B5" w:rsidRPr="00716B90">
        <w:rPr>
          <w:rFonts w:ascii="Calibri" w:hAnsi="Calibri" w:cs="Calibri"/>
        </w:rPr>
        <w:t xml:space="preserve"> et al., 2022)</w:t>
      </w:r>
      <w:r w:rsidRPr="00716B90">
        <w:rPr>
          <w:rFonts w:ascii="Calibri" w:hAnsi="Calibri" w:cs="Calibri"/>
        </w:rPr>
        <w:t>.</w:t>
      </w:r>
      <w:r w:rsidR="00E24462" w:rsidRPr="00716B90">
        <w:rPr>
          <w:rFonts w:ascii="Calibri" w:hAnsi="Calibri" w:cs="Calibri"/>
        </w:rPr>
        <w:t xml:space="preserve"> By implementing and effectively managing the raw materials </w:t>
      </w:r>
      <w:r w:rsidR="00951CE6" w:rsidRPr="00716B90">
        <w:rPr>
          <w:rFonts w:ascii="Calibri" w:hAnsi="Calibri" w:cs="Calibri"/>
        </w:rPr>
        <w:t>and efficient manufacturing</w:t>
      </w:r>
      <w:r w:rsidR="00A00D7E" w:rsidRPr="00716B90">
        <w:rPr>
          <w:rFonts w:ascii="Calibri" w:hAnsi="Calibri" w:cs="Calibri"/>
        </w:rPr>
        <w:t>,</w:t>
      </w:r>
      <w:r w:rsidR="00951CE6" w:rsidRPr="00716B90">
        <w:rPr>
          <w:rFonts w:ascii="Calibri" w:hAnsi="Calibri" w:cs="Calibri"/>
        </w:rPr>
        <w:t xml:space="preserve"> </w:t>
      </w:r>
      <w:r w:rsidR="00C33397" w:rsidRPr="00716B90">
        <w:rPr>
          <w:rFonts w:ascii="Calibri" w:hAnsi="Calibri" w:cs="Calibri"/>
        </w:rPr>
        <w:t xml:space="preserve">P&amp;G can improve </w:t>
      </w:r>
      <w:r w:rsidR="00395707" w:rsidRPr="00716B90">
        <w:rPr>
          <w:rFonts w:ascii="Calibri" w:hAnsi="Calibri" w:cs="Calibri"/>
        </w:rPr>
        <w:t>its</w:t>
      </w:r>
      <w:r w:rsidR="00D50507" w:rsidRPr="00716B90">
        <w:rPr>
          <w:rFonts w:ascii="Calibri" w:hAnsi="Calibri" w:cs="Calibri"/>
        </w:rPr>
        <w:t xml:space="preserve"> pro</w:t>
      </w:r>
      <w:r w:rsidR="00A00D7E" w:rsidRPr="00716B90">
        <w:rPr>
          <w:rFonts w:ascii="Calibri" w:hAnsi="Calibri" w:cs="Calibri"/>
        </w:rPr>
        <w:t>bability.</w:t>
      </w:r>
    </w:p>
    <w:p w14:paraId="4C91AC85" w14:textId="77777777" w:rsidR="000322AC" w:rsidRPr="00716B90" w:rsidRDefault="005473E5" w:rsidP="002D215C">
      <w:pPr>
        <w:pStyle w:val="Heading3"/>
        <w:rPr>
          <w:rFonts w:ascii="Calibri" w:hAnsi="Calibri" w:cs="Calibri"/>
          <w:sz w:val="24"/>
          <w:szCs w:val="24"/>
          <w:lang w:val="en-US"/>
        </w:rPr>
      </w:pPr>
      <w:r w:rsidRPr="00716B90">
        <w:rPr>
          <w:rFonts w:ascii="Calibri" w:hAnsi="Calibri" w:cs="Calibri"/>
          <w:sz w:val="24"/>
          <w:szCs w:val="24"/>
          <w:lang w:val="en-US"/>
        </w:rPr>
        <w:t xml:space="preserve"> </w:t>
      </w:r>
      <w:bookmarkStart w:id="21" w:name="_Toc175126650"/>
      <w:r w:rsidR="0051672C" w:rsidRPr="00716B90">
        <w:rPr>
          <w:rFonts w:ascii="Calibri" w:hAnsi="Calibri" w:cs="Calibri"/>
          <w:sz w:val="24"/>
          <w:szCs w:val="24"/>
          <w:lang w:val="en-US"/>
        </w:rPr>
        <w:t xml:space="preserve">2.4.5. </w:t>
      </w:r>
      <w:r w:rsidR="000322AC" w:rsidRPr="00716B90">
        <w:rPr>
          <w:rFonts w:ascii="Calibri" w:hAnsi="Calibri" w:cs="Calibri"/>
          <w:sz w:val="24"/>
          <w:szCs w:val="24"/>
          <w:lang w:val="en-US"/>
        </w:rPr>
        <w:t>Enhance Sustainability.</w:t>
      </w:r>
      <w:bookmarkEnd w:id="21"/>
    </w:p>
    <w:p w14:paraId="5EFB6779" w14:textId="3439AC3D" w:rsidR="007F2371" w:rsidRPr="00716B90" w:rsidRDefault="00B508CF" w:rsidP="007F2371">
      <w:pPr>
        <w:jc w:val="both"/>
        <w:rPr>
          <w:rFonts w:ascii="Calibri" w:hAnsi="Calibri" w:cs="Calibri"/>
          <w:lang w:val="en-US"/>
        </w:rPr>
      </w:pPr>
      <w:r w:rsidRPr="00716B90">
        <w:rPr>
          <w:rFonts w:ascii="Calibri" w:hAnsi="Calibri" w:cs="Calibri"/>
          <w:lang w:val="en-US"/>
        </w:rPr>
        <w:tab/>
      </w:r>
      <w:r w:rsidR="00B10D7E" w:rsidRPr="00716B90">
        <w:rPr>
          <w:rFonts w:ascii="Calibri" w:hAnsi="Calibri" w:cs="Calibri"/>
          <w:lang w:val="en-US"/>
        </w:rPr>
        <w:t xml:space="preserve"> </w:t>
      </w:r>
      <w:r w:rsidR="007F2371" w:rsidRPr="00716B90">
        <w:rPr>
          <w:rFonts w:ascii="Calibri" w:hAnsi="Calibri" w:cs="Calibri"/>
        </w:rPr>
        <w:t xml:space="preserve">With respect to consumer awareness and </w:t>
      </w:r>
      <w:r w:rsidR="00395707" w:rsidRPr="00716B90">
        <w:rPr>
          <w:rFonts w:ascii="Calibri" w:hAnsi="Calibri" w:cs="Calibri"/>
        </w:rPr>
        <w:t xml:space="preserve">the </w:t>
      </w:r>
      <w:r w:rsidR="007F2371" w:rsidRPr="00716B90">
        <w:rPr>
          <w:rFonts w:ascii="Calibri" w:hAnsi="Calibri" w:cs="Calibri"/>
        </w:rPr>
        <w:t xml:space="preserve">importance or nature of their goods, businesses frequently choose a </w:t>
      </w:r>
      <w:r w:rsidR="00395707" w:rsidRPr="00716B90">
        <w:rPr>
          <w:rFonts w:ascii="Calibri" w:hAnsi="Calibri" w:cs="Calibri"/>
        </w:rPr>
        <w:t>proactive</w:t>
      </w:r>
      <w:r w:rsidR="007F2371" w:rsidRPr="00716B90">
        <w:rPr>
          <w:rFonts w:ascii="Calibri" w:hAnsi="Calibri" w:cs="Calibri"/>
        </w:rPr>
        <w:t xml:space="preserve"> approach to sustainability. These organizations only carefully handle sustainability, frequently under the influence of outside stakeholders</w:t>
      </w:r>
      <w:r w:rsidR="00CD1592" w:rsidRPr="00716B90">
        <w:rPr>
          <w:rFonts w:ascii="Calibri" w:hAnsi="Calibri" w:cs="Calibri"/>
        </w:rPr>
        <w:t xml:space="preserve"> (Petersen, M., 2019)</w:t>
      </w:r>
      <w:r w:rsidR="007F2371" w:rsidRPr="00716B90">
        <w:rPr>
          <w:rFonts w:ascii="Calibri" w:hAnsi="Calibri" w:cs="Calibri"/>
        </w:rPr>
        <w:t xml:space="preserve">. </w:t>
      </w:r>
      <w:r w:rsidR="00CD1592" w:rsidRPr="00716B90">
        <w:rPr>
          <w:rFonts w:ascii="Calibri" w:hAnsi="Calibri" w:cs="Calibri"/>
        </w:rPr>
        <w:t xml:space="preserve">  </w:t>
      </w:r>
      <w:r w:rsidRPr="00716B90">
        <w:rPr>
          <w:rFonts w:ascii="Calibri" w:hAnsi="Calibri" w:cs="Calibri"/>
        </w:rPr>
        <w:t>P&amp;G is already a leader in sustainability, yet it should focus</w:t>
      </w:r>
      <w:r w:rsidR="00BF0309" w:rsidRPr="00716B90">
        <w:rPr>
          <w:rFonts w:ascii="Calibri" w:hAnsi="Calibri" w:cs="Calibri"/>
        </w:rPr>
        <w:t xml:space="preserve"> more on sustainable products as </w:t>
      </w:r>
      <w:r w:rsidR="00395707" w:rsidRPr="00716B90">
        <w:rPr>
          <w:rFonts w:ascii="Calibri" w:hAnsi="Calibri" w:cs="Calibri"/>
        </w:rPr>
        <w:t>consumers</w:t>
      </w:r>
      <w:r w:rsidR="00BF0309" w:rsidRPr="00716B90">
        <w:rPr>
          <w:rFonts w:ascii="Calibri" w:hAnsi="Calibri" w:cs="Calibri"/>
        </w:rPr>
        <w:t xml:space="preserve"> are more </w:t>
      </w:r>
      <w:r w:rsidR="00F42738" w:rsidRPr="00716B90">
        <w:rPr>
          <w:rFonts w:ascii="Calibri" w:hAnsi="Calibri" w:cs="Calibri"/>
        </w:rPr>
        <w:t xml:space="preserve">conscious and looking for more </w:t>
      </w:r>
      <w:r w:rsidR="0016215D" w:rsidRPr="00716B90">
        <w:rPr>
          <w:rFonts w:ascii="Calibri" w:hAnsi="Calibri" w:cs="Calibri"/>
        </w:rPr>
        <w:t>environmentally friendly</w:t>
      </w:r>
      <w:r w:rsidR="00F42738" w:rsidRPr="00716B90">
        <w:rPr>
          <w:rFonts w:ascii="Calibri" w:hAnsi="Calibri" w:cs="Calibri"/>
        </w:rPr>
        <w:t xml:space="preserve"> products</w:t>
      </w:r>
      <w:r w:rsidR="00A87DD1" w:rsidRPr="00716B90">
        <w:rPr>
          <w:rFonts w:ascii="Calibri" w:hAnsi="Calibri" w:cs="Calibri"/>
        </w:rPr>
        <w:t>, by that it can maximize their profits.</w:t>
      </w:r>
      <w:r w:rsidR="00A87DD1" w:rsidRPr="00716B90">
        <w:rPr>
          <w:rFonts w:ascii="Calibri" w:hAnsi="Calibri" w:cs="Calibri"/>
          <w:lang w:val="en-US"/>
        </w:rPr>
        <w:t xml:space="preserve"> </w:t>
      </w:r>
    </w:p>
    <w:p w14:paraId="588853BC" w14:textId="77777777" w:rsidR="00716B90" w:rsidRDefault="00716B90" w:rsidP="00D2548C">
      <w:pPr>
        <w:pStyle w:val="Heading1"/>
        <w:rPr>
          <w:rFonts w:ascii="Calibri" w:hAnsi="Calibri" w:cs="Calibri"/>
          <w:sz w:val="24"/>
          <w:szCs w:val="24"/>
          <w:lang w:val="en-US"/>
        </w:rPr>
      </w:pPr>
    </w:p>
    <w:p w14:paraId="73B2B57E" w14:textId="5D3BC1D8" w:rsidR="00D2748A" w:rsidRPr="00716B90" w:rsidRDefault="00D2748A" w:rsidP="00D2548C">
      <w:pPr>
        <w:pStyle w:val="Heading1"/>
        <w:rPr>
          <w:rFonts w:ascii="Calibri" w:hAnsi="Calibri" w:cs="Calibri"/>
          <w:sz w:val="24"/>
          <w:szCs w:val="24"/>
          <w:lang w:val="en-US"/>
        </w:rPr>
      </w:pPr>
      <w:bookmarkStart w:id="22" w:name="_Toc175126651"/>
      <w:r w:rsidRPr="00716B90">
        <w:rPr>
          <w:rFonts w:ascii="Calibri" w:hAnsi="Calibri" w:cs="Calibri"/>
          <w:sz w:val="24"/>
          <w:szCs w:val="24"/>
          <w:lang w:val="en-US"/>
        </w:rPr>
        <w:t>3. In</w:t>
      </w:r>
      <w:r w:rsidR="00D2548C" w:rsidRPr="00716B90">
        <w:rPr>
          <w:rFonts w:ascii="Calibri" w:hAnsi="Calibri" w:cs="Calibri"/>
          <w:sz w:val="24"/>
          <w:szCs w:val="24"/>
          <w:lang w:val="en-US"/>
        </w:rPr>
        <w:t>vestment Appraisal.</w:t>
      </w:r>
      <w:bookmarkEnd w:id="22"/>
      <w:r w:rsidR="00D2548C" w:rsidRPr="00716B90">
        <w:rPr>
          <w:rFonts w:ascii="Calibri" w:hAnsi="Calibri" w:cs="Calibri"/>
          <w:sz w:val="24"/>
          <w:szCs w:val="24"/>
          <w:lang w:val="en-US"/>
        </w:rPr>
        <w:t xml:space="preserve"> </w:t>
      </w:r>
    </w:p>
    <w:p w14:paraId="16E4FE24" w14:textId="3362B18E" w:rsidR="009B2439" w:rsidRPr="00716B90" w:rsidRDefault="00F92D54" w:rsidP="00004BDE">
      <w:pPr>
        <w:pStyle w:val="Heading2"/>
        <w:rPr>
          <w:rFonts w:ascii="Calibri" w:hAnsi="Calibri" w:cs="Calibri"/>
          <w:sz w:val="24"/>
          <w:szCs w:val="24"/>
          <w:lang w:val="en-US"/>
        </w:rPr>
      </w:pPr>
      <w:bookmarkStart w:id="23" w:name="_Toc175126652"/>
      <w:r w:rsidRPr="00716B90">
        <w:rPr>
          <w:rFonts w:ascii="Calibri" w:hAnsi="Calibri" w:cs="Calibri"/>
          <w:sz w:val="24"/>
          <w:szCs w:val="24"/>
          <w:lang w:val="en-US"/>
        </w:rPr>
        <w:t>3.1.</w:t>
      </w:r>
      <w:r w:rsidR="0074672E" w:rsidRPr="00716B90">
        <w:rPr>
          <w:rFonts w:ascii="Calibri" w:hAnsi="Calibri" w:cs="Calibri"/>
          <w:sz w:val="24"/>
          <w:szCs w:val="24"/>
          <w:lang w:val="en-US"/>
        </w:rPr>
        <w:t xml:space="preserve"> Assumptions:</w:t>
      </w:r>
      <w:bookmarkEnd w:id="23"/>
    </w:p>
    <w:tbl>
      <w:tblPr>
        <w:tblStyle w:val="TableGrid"/>
        <w:tblW w:w="0" w:type="auto"/>
        <w:tblInd w:w="1502" w:type="dxa"/>
        <w:shd w:val="clear" w:color="auto" w:fill="CAEDFB" w:themeFill="accent4" w:themeFillTint="33"/>
        <w:tblLook w:val="04A0" w:firstRow="1" w:lastRow="0" w:firstColumn="1" w:lastColumn="0" w:noHBand="0" w:noVBand="1"/>
      </w:tblPr>
      <w:tblGrid>
        <w:gridCol w:w="3005"/>
        <w:gridCol w:w="1502"/>
        <w:gridCol w:w="1503"/>
      </w:tblGrid>
      <w:tr w:rsidR="00A715A1" w:rsidRPr="00716B90" w14:paraId="206792D1" w14:textId="77777777" w:rsidTr="006B2A81">
        <w:trPr>
          <w:trHeight w:val="382"/>
        </w:trPr>
        <w:tc>
          <w:tcPr>
            <w:tcW w:w="3005" w:type="dxa"/>
            <w:vMerge w:val="restart"/>
            <w:shd w:val="clear" w:color="auto" w:fill="CAEDFB" w:themeFill="accent4" w:themeFillTint="33"/>
          </w:tcPr>
          <w:p w14:paraId="0782EDAB" w14:textId="0303CF68" w:rsidR="00A715A1" w:rsidRPr="00716B90" w:rsidRDefault="00A65725" w:rsidP="003E318A">
            <w:pPr>
              <w:rPr>
                <w:rFonts w:ascii="Calibri" w:hAnsi="Calibri" w:cs="Calibri"/>
                <w:lang w:val="en-US"/>
              </w:rPr>
            </w:pPr>
            <w:r w:rsidRPr="00716B90">
              <w:rPr>
                <w:rFonts w:ascii="Calibri" w:hAnsi="Calibri" w:cs="Calibri"/>
                <w:lang w:val="en-US"/>
              </w:rPr>
              <w:t>Year</w:t>
            </w:r>
          </w:p>
        </w:tc>
        <w:tc>
          <w:tcPr>
            <w:tcW w:w="3005" w:type="dxa"/>
            <w:gridSpan w:val="2"/>
            <w:shd w:val="clear" w:color="auto" w:fill="CAEDFB" w:themeFill="accent4" w:themeFillTint="33"/>
          </w:tcPr>
          <w:p w14:paraId="44E4694D" w14:textId="53E15576" w:rsidR="00A715A1" w:rsidRPr="00716B90" w:rsidRDefault="003F6579" w:rsidP="003E318A">
            <w:pPr>
              <w:rPr>
                <w:rFonts w:ascii="Calibri" w:hAnsi="Calibri" w:cs="Calibri"/>
                <w:lang w:val="en-US"/>
              </w:rPr>
            </w:pPr>
            <w:r w:rsidRPr="00716B90">
              <w:rPr>
                <w:rFonts w:ascii="Calibri" w:hAnsi="Calibri" w:cs="Calibri"/>
                <w:lang w:val="en-US"/>
              </w:rPr>
              <w:t>Cash Flow in £</w:t>
            </w:r>
            <w:r w:rsidR="00400E98" w:rsidRPr="00716B90">
              <w:rPr>
                <w:rFonts w:ascii="Calibri" w:hAnsi="Calibri" w:cs="Calibri"/>
                <w:lang w:val="en-US"/>
              </w:rPr>
              <w:t>m</w:t>
            </w:r>
          </w:p>
        </w:tc>
      </w:tr>
      <w:tr w:rsidR="00A715A1" w:rsidRPr="00716B90" w14:paraId="5ADF1E69" w14:textId="77777777" w:rsidTr="006B2A81">
        <w:trPr>
          <w:trHeight w:val="382"/>
        </w:trPr>
        <w:tc>
          <w:tcPr>
            <w:tcW w:w="3005" w:type="dxa"/>
            <w:vMerge/>
            <w:shd w:val="clear" w:color="auto" w:fill="CAEDFB" w:themeFill="accent4" w:themeFillTint="33"/>
          </w:tcPr>
          <w:p w14:paraId="3FAE4D80" w14:textId="77777777" w:rsidR="00A715A1" w:rsidRPr="00716B90" w:rsidRDefault="00A715A1" w:rsidP="003E318A">
            <w:pPr>
              <w:rPr>
                <w:rFonts w:ascii="Calibri" w:hAnsi="Calibri" w:cs="Calibri"/>
                <w:lang w:val="en-US"/>
              </w:rPr>
            </w:pPr>
          </w:p>
        </w:tc>
        <w:tc>
          <w:tcPr>
            <w:tcW w:w="1502" w:type="dxa"/>
            <w:shd w:val="clear" w:color="auto" w:fill="CAEDFB" w:themeFill="accent4" w:themeFillTint="33"/>
          </w:tcPr>
          <w:p w14:paraId="0AEDDE56" w14:textId="1FFD2BEE" w:rsidR="00A715A1" w:rsidRPr="00716B90" w:rsidRDefault="00BD6AF0" w:rsidP="003E318A">
            <w:pPr>
              <w:rPr>
                <w:rFonts w:ascii="Calibri" w:hAnsi="Calibri" w:cs="Calibri"/>
                <w:lang w:val="en-US"/>
              </w:rPr>
            </w:pPr>
            <w:r w:rsidRPr="00716B90">
              <w:rPr>
                <w:rFonts w:ascii="Calibri" w:hAnsi="Calibri" w:cs="Calibri"/>
                <w:lang w:val="en-US"/>
              </w:rPr>
              <w:t>A</w:t>
            </w:r>
          </w:p>
        </w:tc>
        <w:tc>
          <w:tcPr>
            <w:tcW w:w="1503" w:type="dxa"/>
            <w:shd w:val="clear" w:color="auto" w:fill="CAEDFB" w:themeFill="accent4" w:themeFillTint="33"/>
          </w:tcPr>
          <w:p w14:paraId="1CE01054" w14:textId="4E8B06FA" w:rsidR="00A715A1" w:rsidRPr="00716B90" w:rsidRDefault="00BD6AF0" w:rsidP="003E318A">
            <w:pPr>
              <w:rPr>
                <w:rFonts w:ascii="Calibri" w:hAnsi="Calibri" w:cs="Calibri"/>
                <w:lang w:val="en-US"/>
              </w:rPr>
            </w:pPr>
            <w:r w:rsidRPr="00716B90">
              <w:rPr>
                <w:rFonts w:ascii="Calibri" w:hAnsi="Calibri" w:cs="Calibri"/>
                <w:lang w:val="en-US"/>
              </w:rPr>
              <w:t>B</w:t>
            </w:r>
          </w:p>
        </w:tc>
      </w:tr>
      <w:tr w:rsidR="00A715A1" w:rsidRPr="00716B90" w14:paraId="2E49EC64" w14:textId="77777777" w:rsidTr="006B2A81">
        <w:tc>
          <w:tcPr>
            <w:tcW w:w="3005" w:type="dxa"/>
            <w:shd w:val="clear" w:color="auto" w:fill="CAEDFB" w:themeFill="accent4" w:themeFillTint="33"/>
          </w:tcPr>
          <w:p w14:paraId="407819AB" w14:textId="5514B1ED" w:rsidR="00A65725" w:rsidRPr="00716B90" w:rsidRDefault="00A65725" w:rsidP="003E318A">
            <w:pPr>
              <w:rPr>
                <w:rFonts w:ascii="Calibri" w:hAnsi="Calibri" w:cs="Calibri"/>
                <w:lang w:val="en-US"/>
              </w:rPr>
            </w:pPr>
            <w:r w:rsidRPr="00716B90">
              <w:rPr>
                <w:rFonts w:ascii="Calibri" w:hAnsi="Calibri" w:cs="Calibri"/>
                <w:lang w:val="en-US"/>
              </w:rPr>
              <w:t>0</w:t>
            </w:r>
          </w:p>
        </w:tc>
        <w:tc>
          <w:tcPr>
            <w:tcW w:w="1502" w:type="dxa"/>
            <w:shd w:val="clear" w:color="auto" w:fill="CAEDFB" w:themeFill="accent4" w:themeFillTint="33"/>
          </w:tcPr>
          <w:p w14:paraId="32D1AAA6" w14:textId="6E11B520" w:rsidR="00A715A1" w:rsidRPr="00716B90" w:rsidRDefault="006B2A81" w:rsidP="003E318A">
            <w:pPr>
              <w:rPr>
                <w:rFonts w:ascii="Calibri" w:hAnsi="Calibri" w:cs="Calibri"/>
                <w:lang w:val="en-US"/>
              </w:rPr>
            </w:pPr>
            <w:r w:rsidRPr="00716B90">
              <w:rPr>
                <w:rFonts w:ascii="Calibri" w:hAnsi="Calibri" w:cs="Calibri"/>
                <w:lang w:val="en-US"/>
              </w:rPr>
              <w:t>(</w:t>
            </w:r>
            <w:r w:rsidR="00BD6AF0" w:rsidRPr="00716B90">
              <w:rPr>
                <w:rFonts w:ascii="Calibri" w:hAnsi="Calibri" w:cs="Calibri"/>
                <w:lang w:val="en-US"/>
              </w:rPr>
              <w:t>80</w:t>
            </w:r>
            <w:r w:rsidRPr="00716B90">
              <w:rPr>
                <w:rFonts w:ascii="Calibri" w:hAnsi="Calibri" w:cs="Calibri"/>
                <w:lang w:val="en-US"/>
              </w:rPr>
              <w:t>)</w:t>
            </w:r>
          </w:p>
        </w:tc>
        <w:tc>
          <w:tcPr>
            <w:tcW w:w="1503" w:type="dxa"/>
            <w:shd w:val="clear" w:color="auto" w:fill="CAEDFB" w:themeFill="accent4" w:themeFillTint="33"/>
          </w:tcPr>
          <w:p w14:paraId="5A7D825F" w14:textId="1CD6F49B" w:rsidR="00A715A1" w:rsidRPr="00716B90" w:rsidRDefault="006B2A81" w:rsidP="003E318A">
            <w:pPr>
              <w:rPr>
                <w:rFonts w:ascii="Calibri" w:hAnsi="Calibri" w:cs="Calibri"/>
                <w:lang w:val="en-US"/>
              </w:rPr>
            </w:pPr>
            <w:r w:rsidRPr="00716B90">
              <w:rPr>
                <w:rFonts w:ascii="Calibri" w:hAnsi="Calibri" w:cs="Calibri"/>
                <w:lang w:val="en-US"/>
              </w:rPr>
              <w:t>(</w:t>
            </w:r>
            <w:r w:rsidR="00BD6AF0" w:rsidRPr="00716B90">
              <w:rPr>
                <w:rFonts w:ascii="Calibri" w:hAnsi="Calibri" w:cs="Calibri"/>
                <w:lang w:val="en-US"/>
              </w:rPr>
              <w:t>75</w:t>
            </w:r>
            <w:r w:rsidRPr="00716B90">
              <w:rPr>
                <w:rFonts w:ascii="Calibri" w:hAnsi="Calibri" w:cs="Calibri"/>
                <w:lang w:val="en-US"/>
              </w:rPr>
              <w:t>)</w:t>
            </w:r>
          </w:p>
        </w:tc>
      </w:tr>
      <w:tr w:rsidR="00A715A1" w:rsidRPr="00716B90" w14:paraId="0E6DC453" w14:textId="77777777" w:rsidTr="006B2A81">
        <w:tc>
          <w:tcPr>
            <w:tcW w:w="3005" w:type="dxa"/>
            <w:shd w:val="clear" w:color="auto" w:fill="CAEDFB" w:themeFill="accent4" w:themeFillTint="33"/>
          </w:tcPr>
          <w:p w14:paraId="64FE9457" w14:textId="15FAB9A0" w:rsidR="00A715A1" w:rsidRPr="00716B90" w:rsidRDefault="00A65725" w:rsidP="003E318A">
            <w:pPr>
              <w:rPr>
                <w:rFonts w:ascii="Calibri" w:hAnsi="Calibri" w:cs="Calibri"/>
                <w:lang w:val="en-US"/>
              </w:rPr>
            </w:pPr>
            <w:r w:rsidRPr="00716B90">
              <w:rPr>
                <w:rFonts w:ascii="Calibri" w:hAnsi="Calibri" w:cs="Calibri"/>
                <w:lang w:val="en-US"/>
              </w:rPr>
              <w:t>1</w:t>
            </w:r>
          </w:p>
        </w:tc>
        <w:tc>
          <w:tcPr>
            <w:tcW w:w="1502" w:type="dxa"/>
            <w:shd w:val="clear" w:color="auto" w:fill="CAEDFB" w:themeFill="accent4" w:themeFillTint="33"/>
          </w:tcPr>
          <w:p w14:paraId="26ECEA60" w14:textId="1C3E66FA" w:rsidR="00A715A1" w:rsidRPr="00716B90" w:rsidRDefault="00BD6AF0" w:rsidP="003E318A">
            <w:pPr>
              <w:rPr>
                <w:rFonts w:ascii="Calibri" w:hAnsi="Calibri" w:cs="Calibri"/>
                <w:lang w:val="en-US"/>
              </w:rPr>
            </w:pPr>
            <w:r w:rsidRPr="00716B90">
              <w:rPr>
                <w:rFonts w:ascii="Calibri" w:hAnsi="Calibri" w:cs="Calibri"/>
                <w:lang w:val="en-US"/>
              </w:rPr>
              <w:t>25</w:t>
            </w:r>
          </w:p>
        </w:tc>
        <w:tc>
          <w:tcPr>
            <w:tcW w:w="1503" w:type="dxa"/>
            <w:shd w:val="clear" w:color="auto" w:fill="CAEDFB" w:themeFill="accent4" w:themeFillTint="33"/>
          </w:tcPr>
          <w:p w14:paraId="158DA98C" w14:textId="495A9071" w:rsidR="00A715A1" w:rsidRPr="00716B90" w:rsidRDefault="00BD6AF0" w:rsidP="003E318A">
            <w:pPr>
              <w:rPr>
                <w:rFonts w:ascii="Calibri" w:hAnsi="Calibri" w:cs="Calibri"/>
                <w:lang w:val="en-US"/>
              </w:rPr>
            </w:pPr>
            <w:r w:rsidRPr="00716B90">
              <w:rPr>
                <w:rFonts w:ascii="Calibri" w:hAnsi="Calibri" w:cs="Calibri"/>
                <w:lang w:val="en-US"/>
              </w:rPr>
              <w:t>50</w:t>
            </w:r>
          </w:p>
        </w:tc>
      </w:tr>
      <w:tr w:rsidR="00A715A1" w:rsidRPr="00716B90" w14:paraId="2E8056E8" w14:textId="77777777" w:rsidTr="006B2A81">
        <w:tc>
          <w:tcPr>
            <w:tcW w:w="3005" w:type="dxa"/>
            <w:shd w:val="clear" w:color="auto" w:fill="CAEDFB" w:themeFill="accent4" w:themeFillTint="33"/>
          </w:tcPr>
          <w:p w14:paraId="24115695" w14:textId="4EAFF183" w:rsidR="00A715A1" w:rsidRPr="00716B90" w:rsidRDefault="00A65725" w:rsidP="003E318A">
            <w:pPr>
              <w:rPr>
                <w:rFonts w:ascii="Calibri" w:hAnsi="Calibri" w:cs="Calibri"/>
                <w:lang w:val="en-US"/>
              </w:rPr>
            </w:pPr>
            <w:r w:rsidRPr="00716B90">
              <w:rPr>
                <w:rFonts w:ascii="Calibri" w:hAnsi="Calibri" w:cs="Calibri"/>
                <w:lang w:val="en-US"/>
              </w:rPr>
              <w:t>2</w:t>
            </w:r>
          </w:p>
        </w:tc>
        <w:tc>
          <w:tcPr>
            <w:tcW w:w="1502" w:type="dxa"/>
            <w:shd w:val="clear" w:color="auto" w:fill="CAEDFB" w:themeFill="accent4" w:themeFillTint="33"/>
          </w:tcPr>
          <w:p w14:paraId="39A6061A" w14:textId="36A77923" w:rsidR="00A715A1" w:rsidRPr="00716B90" w:rsidRDefault="0090693D" w:rsidP="003E318A">
            <w:pPr>
              <w:rPr>
                <w:rFonts w:ascii="Calibri" w:hAnsi="Calibri" w:cs="Calibri"/>
                <w:lang w:val="en-US"/>
              </w:rPr>
            </w:pPr>
            <w:r w:rsidRPr="00716B90">
              <w:rPr>
                <w:rFonts w:ascii="Calibri" w:hAnsi="Calibri" w:cs="Calibri"/>
                <w:lang w:val="en-US"/>
              </w:rPr>
              <w:t>25</w:t>
            </w:r>
          </w:p>
        </w:tc>
        <w:tc>
          <w:tcPr>
            <w:tcW w:w="1503" w:type="dxa"/>
            <w:shd w:val="clear" w:color="auto" w:fill="CAEDFB" w:themeFill="accent4" w:themeFillTint="33"/>
          </w:tcPr>
          <w:p w14:paraId="48334EF8" w14:textId="756E0E60" w:rsidR="00A715A1" w:rsidRPr="00716B90" w:rsidRDefault="0090693D" w:rsidP="003E318A">
            <w:pPr>
              <w:rPr>
                <w:rFonts w:ascii="Calibri" w:hAnsi="Calibri" w:cs="Calibri"/>
                <w:lang w:val="en-US"/>
              </w:rPr>
            </w:pPr>
            <w:r w:rsidRPr="00716B90">
              <w:rPr>
                <w:rFonts w:ascii="Calibri" w:hAnsi="Calibri" w:cs="Calibri"/>
                <w:lang w:val="en-US"/>
              </w:rPr>
              <w:t>20</w:t>
            </w:r>
          </w:p>
        </w:tc>
      </w:tr>
      <w:tr w:rsidR="00A715A1" w:rsidRPr="00716B90" w14:paraId="2EA4382C" w14:textId="77777777" w:rsidTr="006B2A81">
        <w:tc>
          <w:tcPr>
            <w:tcW w:w="3005" w:type="dxa"/>
            <w:shd w:val="clear" w:color="auto" w:fill="CAEDFB" w:themeFill="accent4" w:themeFillTint="33"/>
          </w:tcPr>
          <w:p w14:paraId="0C92D920" w14:textId="4ED105E1" w:rsidR="00A715A1" w:rsidRPr="00716B90" w:rsidRDefault="00A65725" w:rsidP="003E318A">
            <w:pPr>
              <w:rPr>
                <w:rFonts w:ascii="Calibri" w:hAnsi="Calibri" w:cs="Calibri"/>
                <w:lang w:val="en-US"/>
              </w:rPr>
            </w:pPr>
            <w:r w:rsidRPr="00716B90">
              <w:rPr>
                <w:rFonts w:ascii="Calibri" w:hAnsi="Calibri" w:cs="Calibri"/>
                <w:lang w:val="en-US"/>
              </w:rPr>
              <w:t>3</w:t>
            </w:r>
          </w:p>
        </w:tc>
        <w:tc>
          <w:tcPr>
            <w:tcW w:w="1502" w:type="dxa"/>
            <w:shd w:val="clear" w:color="auto" w:fill="CAEDFB" w:themeFill="accent4" w:themeFillTint="33"/>
          </w:tcPr>
          <w:p w14:paraId="562E5ADE" w14:textId="691AD588" w:rsidR="00A715A1" w:rsidRPr="00716B90" w:rsidRDefault="0090693D" w:rsidP="003E318A">
            <w:pPr>
              <w:rPr>
                <w:rFonts w:ascii="Calibri" w:hAnsi="Calibri" w:cs="Calibri"/>
                <w:lang w:val="en-US"/>
              </w:rPr>
            </w:pPr>
            <w:r w:rsidRPr="00716B90">
              <w:rPr>
                <w:rFonts w:ascii="Calibri" w:hAnsi="Calibri" w:cs="Calibri"/>
                <w:lang w:val="en-US"/>
              </w:rPr>
              <w:t>20</w:t>
            </w:r>
          </w:p>
        </w:tc>
        <w:tc>
          <w:tcPr>
            <w:tcW w:w="1503" w:type="dxa"/>
            <w:shd w:val="clear" w:color="auto" w:fill="CAEDFB" w:themeFill="accent4" w:themeFillTint="33"/>
          </w:tcPr>
          <w:p w14:paraId="78A0681A" w14:textId="25960A8D" w:rsidR="00A715A1" w:rsidRPr="00716B90" w:rsidRDefault="0090693D" w:rsidP="003E318A">
            <w:pPr>
              <w:rPr>
                <w:rFonts w:ascii="Calibri" w:hAnsi="Calibri" w:cs="Calibri"/>
                <w:lang w:val="en-US"/>
              </w:rPr>
            </w:pPr>
            <w:r w:rsidRPr="00716B90">
              <w:rPr>
                <w:rFonts w:ascii="Calibri" w:hAnsi="Calibri" w:cs="Calibri"/>
                <w:lang w:val="en-US"/>
              </w:rPr>
              <w:t>20</w:t>
            </w:r>
          </w:p>
        </w:tc>
      </w:tr>
      <w:tr w:rsidR="00A715A1" w:rsidRPr="00716B90" w14:paraId="069A7F58" w14:textId="77777777" w:rsidTr="006B2A81">
        <w:tc>
          <w:tcPr>
            <w:tcW w:w="3005" w:type="dxa"/>
            <w:shd w:val="clear" w:color="auto" w:fill="CAEDFB" w:themeFill="accent4" w:themeFillTint="33"/>
          </w:tcPr>
          <w:p w14:paraId="6D0BB61D" w14:textId="43DB7A08" w:rsidR="00A715A1" w:rsidRPr="00716B90" w:rsidRDefault="00A65725" w:rsidP="003E318A">
            <w:pPr>
              <w:rPr>
                <w:rFonts w:ascii="Calibri" w:hAnsi="Calibri" w:cs="Calibri"/>
                <w:lang w:val="en-US"/>
              </w:rPr>
            </w:pPr>
            <w:r w:rsidRPr="00716B90">
              <w:rPr>
                <w:rFonts w:ascii="Calibri" w:hAnsi="Calibri" w:cs="Calibri"/>
                <w:lang w:val="en-US"/>
              </w:rPr>
              <w:t>4</w:t>
            </w:r>
          </w:p>
        </w:tc>
        <w:tc>
          <w:tcPr>
            <w:tcW w:w="1502" w:type="dxa"/>
            <w:shd w:val="clear" w:color="auto" w:fill="CAEDFB" w:themeFill="accent4" w:themeFillTint="33"/>
          </w:tcPr>
          <w:p w14:paraId="22669BD0" w14:textId="3DE2371E" w:rsidR="00A715A1" w:rsidRPr="00716B90" w:rsidRDefault="0090693D" w:rsidP="003E318A">
            <w:pPr>
              <w:rPr>
                <w:rFonts w:ascii="Calibri" w:hAnsi="Calibri" w:cs="Calibri"/>
                <w:lang w:val="en-US"/>
              </w:rPr>
            </w:pPr>
            <w:r w:rsidRPr="00716B90">
              <w:rPr>
                <w:rFonts w:ascii="Calibri" w:hAnsi="Calibri" w:cs="Calibri"/>
                <w:lang w:val="en-US"/>
              </w:rPr>
              <w:t>55</w:t>
            </w:r>
          </w:p>
        </w:tc>
        <w:tc>
          <w:tcPr>
            <w:tcW w:w="1503" w:type="dxa"/>
            <w:shd w:val="clear" w:color="auto" w:fill="CAEDFB" w:themeFill="accent4" w:themeFillTint="33"/>
          </w:tcPr>
          <w:p w14:paraId="75567755" w14:textId="2484F96E" w:rsidR="00A715A1" w:rsidRPr="00716B90" w:rsidRDefault="0090693D" w:rsidP="003E318A">
            <w:pPr>
              <w:rPr>
                <w:rFonts w:ascii="Calibri" w:hAnsi="Calibri" w:cs="Calibri"/>
                <w:lang w:val="en-US"/>
              </w:rPr>
            </w:pPr>
            <w:r w:rsidRPr="00716B90">
              <w:rPr>
                <w:rFonts w:ascii="Calibri" w:hAnsi="Calibri" w:cs="Calibri"/>
                <w:lang w:val="en-US"/>
              </w:rPr>
              <w:t>20</w:t>
            </w:r>
          </w:p>
        </w:tc>
      </w:tr>
    </w:tbl>
    <w:p w14:paraId="2550F668" w14:textId="3F3156B8" w:rsidR="00F92D54" w:rsidRPr="00716B90" w:rsidRDefault="00724BA2" w:rsidP="00757193">
      <w:pPr>
        <w:pStyle w:val="Heading3"/>
        <w:rPr>
          <w:rFonts w:ascii="Calibri" w:hAnsi="Calibri" w:cs="Calibri"/>
          <w:sz w:val="24"/>
          <w:szCs w:val="24"/>
          <w:lang w:val="en-US"/>
        </w:rPr>
      </w:pPr>
      <w:bookmarkStart w:id="24" w:name="_Toc175126653"/>
      <w:r w:rsidRPr="00716B90">
        <w:rPr>
          <w:rFonts w:ascii="Calibri" w:hAnsi="Calibri" w:cs="Calibri"/>
          <w:sz w:val="24"/>
          <w:szCs w:val="24"/>
          <w:lang w:val="en-US"/>
        </w:rPr>
        <w:t>3.</w:t>
      </w:r>
      <w:r w:rsidR="00540DBA" w:rsidRPr="00716B90">
        <w:rPr>
          <w:rFonts w:ascii="Calibri" w:hAnsi="Calibri" w:cs="Calibri"/>
          <w:sz w:val="24"/>
          <w:szCs w:val="24"/>
          <w:lang w:val="en-US"/>
        </w:rPr>
        <w:t>1</w:t>
      </w:r>
      <w:r w:rsidRPr="00716B90">
        <w:rPr>
          <w:rFonts w:ascii="Calibri" w:hAnsi="Calibri" w:cs="Calibri"/>
          <w:sz w:val="24"/>
          <w:szCs w:val="24"/>
          <w:lang w:val="en-US"/>
        </w:rPr>
        <w:t>.</w:t>
      </w:r>
      <w:r w:rsidR="00757193" w:rsidRPr="00716B90">
        <w:rPr>
          <w:rFonts w:ascii="Calibri" w:hAnsi="Calibri" w:cs="Calibri"/>
          <w:sz w:val="24"/>
          <w:szCs w:val="24"/>
          <w:lang w:val="en-US"/>
        </w:rPr>
        <w:t>1.</w:t>
      </w:r>
      <w:r w:rsidRPr="00716B90">
        <w:rPr>
          <w:rFonts w:ascii="Calibri" w:hAnsi="Calibri" w:cs="Calibri"/>
          <w:sz w:val="24"/>
          <w:szCs w:val="24"/>
          <w:lang w:val="en-US"/>
        </w:rPr>
        <w:t xml:space="preserve"> </w:t>
      </w:r>
      <w:r w:rsidR="00717DA2" w:rsidRPr="00716B90">
        <w:rPr>
          <w:rFonts w:ascii="Calibri" w:hAnsi="Calibri" w:cs="Calibri"/>
          <w:sz w:val="24"/>
          <w:szCs w:val="24"/>
          <w:lang w:val="en-US"/>
        </w:rPr>
        <w:t>Payback period.</w:t>
      </w:r>
      <w:bookmarkEnd w:id="24"/>
    </w:p>
    <w:tbl>
      <w:tblPr>
        <w:tblStyle w:val="TableGrid"/>
        <w:tblW w:w="0" w:type="auto"/>
        <w:tblLook w:val="04A0" w:firstRow="1" w:lastRow="0" w:firstColumn="1" w:lastColumn="0" w:noHBand="0" w:noVBand="1"/>
      </w:tblPr>
      <w:tblGrid>
        <w:gridCol w:w="3005"/>
        <w:gridCol w:w="3005"/>
        <w:gridCol w:w="3006"/>
      </w:tblGrid>
      <w:tr w:rsidR="00F32231" w:rsidRPr="00716B90" w14:paraId="1BF2C455" w14:textId="77777777" w:rsidTr="00E147BE">
        <w:tc>
          <w:tcPr>
            <w:tcW w:w="3005" w:type="dxa"/>
            <w:shd w:val="clear" w:color="auto" w:fill="C1E4F5" w:themeFill="accent1" w:themeFillTint="33"/>
          </w:tcPr>
          <w:p w14:paraId="17B7AEEA" w14:textId="57AB0F24" w:rsidR="00F32231" w:rsidRPr="00716B90" w:rsidRDefault="00F32231" w:rsidP="00717DA2">
            <w:pPr>
              <w:rPr>
                <w:rFonts w:ascii="Calibri" w:hAnsi="Calibri" w:cs="Calibri"/>
                <w:lang w:val="en-US"/>
              </w:rPr>
            </w:pPr>
            <w:r w:rsidRPr="00716B90">
              <w:rPr>
                <w:rFonts w:ascii="Calibri" w:hAnsi="Calibri" w:cs="Calibri"/>
                <w:lang w:val="en-US"/>
              </w:rPr>
              <w:t>Years</w:t>
            </w:r>
          </w:p>
        </w:tc>
        <w:tc>
          <w:tcPr>
            <w:tcW w:w="3005" w:type="dxa"/>
            <w:shd w:val="clear" w:color="auto" w:fill="C1E4F5" w:themeFill="accent1" w:themeFillTint="33"/>
          </w:tcPr>
          <w:p w14:paraId="7CBE0AF7" w14:textId="0F55E835" w:rsidR="00F32231" w:rsidRPr="00716B90" w:rsidRDefault="00906AA3" w:rsidP="00717DA2">
            <w:pPr>
              <w:rPr>
                <w:rFonts w:ascii="Calibri" w:hAnsi="Calibri" w:cs="Calibri"/>
                <w:lang w:val="en-US"/>
              </w:rPr>
            </w:pPr>
            <w:r w:rsidRPr="00716B90">
              <w:rPr>
                <w:rFonts w:ascii="Calibri" w:hAnsi="Calibri" w:cs="Calibri"/>
                <w:lang w:val="en-US"/>
              </w:rPr>
              <w:t xml:space="preserve">Cash Flow of A </w:t>
            </w:r>
          </w:p>
        </w:tc>
        <w:tc>
          <w:tcPr>
            <w:tcW w:w="3006" w:type="dxa"/>
            <w:shd w:val="clear" w:color="auto" w:fill="C1E4F5" w:themeFill="accent1" w:themeFillTint="33"/>
          </w:tcPr>
          <w:p w14:paraId="21B79C45" w14:textId="598AD554" w:rsidR="00F32231" w:rsidRPr="00716B90" w:rsidRDefault="00906AA3" w:rsidP="00717DA2">
            <w:pPr>
              <w:rPr>
                <w:rFonts w:ascii="Calibri" w:hAnsi="Calibri" w:cs="Calibri"/>
                <w:lang w:val="en-US"/>
              </w:rPr>
            </w:pPr>
            <w:r w:rsidRPr="00716B90">
              <w:rPr>
                <w:rFonts w:ascii="Calibri" w:hAnsi="Calibri" w:cs="Calibri"/>
                <w:lang w:val="en-US"/>
              </w:rPr>
              <w:t>Cumulative cash flow</w:t>
            </w:r>
            <w:r w:rsidR="00AD508F" w:rsidRPr="00716B90">
              <w:rPr>
                <w:rFonts w:ascii="Calibri" w:hAnsi="Calibri" w:cs="Calibri"/>
                <w:lang w:val="en-US"/>
              </w:rPr>
              <w:t xml:space="preserve"> </w:t>
            </w:r>
            <w:r w:rsidR="003C76AB" w:rsidRPr="00716B90">
              <w:rPr>
                <w:rFonts w:ascii="Calibri" w:hAnsi="Calibri" w:cs="Calibri"/>
                <w:lang w:val="en-US"/>
              </w:rPr>
              <w:t>£m</w:t>
            </w:r>
          </w:p>
        </w:tc>
      </w:tr>
      <w:tr w:rsidR="00F32231" w:rsidRPr="00716B90" w14:paraId="7B680F12" w14:textId="77777777" w:rsidTr="00F32231">
        <w:tc>
          <w:tcPr>
            <w:tcW w:w="3005" w:type="dxa"/>
          </w:tcPr>
          <w:p w14:paraId="4B62AC5F" w14:textId="477118EA" w:rsidR="00727DE2" w:rsidRPr="00716B90" w:rsidRDefault="00727DE2" w:rsidP="00717DA2">
            <w:pPr>
              <w:rPr>
                <w:rFonts w:ascii="Calibri" w:hAnsi="Calibri" w:cs="Calibri"/>
                <w:lang w:val="en-US"/>
              </w:rPr>
            </w:pPr>
            <w:r w:rsidRPr="00716B90">
              <w:rPr>
                <w:rFonts w:ascii="Calibri" w:hAnsi="Calibri" w:cs="Calibri"/>
                <w:lang w:val="en-US"/>
              </w:rPr>
              <w:t>0</w:t>
            </w:r>
          </w:p>
        </w:tc>
        <w:tc>
          <w:tcPr>
            <w:tcW w:w="3005" w:type="dxa"/>
          </w:tcPr>
          <w:p w14:paraId="237B9AE5" w14:textId="7F9E2BD5" w:rsidR="00F32231" w:rsidRPr="00716B90" w:rsidRDefault="00727DE2" w:rsidP="00717DA2">
            <w:pPr>
              <w:rPr>
                <w:rFonts w:ascii="Calibri" w:hAnsi="Calibri" w:cs="Calibri"/>
                <w:lang w:val="en-US"/>
              </w:rPr>
            </w:pPr>
            <w:r w:rsidRPr="00716B90">
              <w:rPr>
                <w:rFonts w:ascii="Calibri" w:hAnsi="Calibri" w:cs="Calibri"/>
                <w:lang w:val="en-US"/>
              </w:rPr>
              <w:t>(80)</w:t>
            </w:r>
          </w:p>
        </w:tc>
        <w:tc>
          <w:tcPr>
            <w:tcW w:w="3006" w:type="dxa"/>
          </w:tcPr>
          <w:p w14:paraId="57F2099F" w14:textId="75A04D4C" w:rsidR="00F32231" w:rsidRPr="00716B90" w:rsidRDefault="00745ABD" w:rsidP="00717DA2">
            <w:pPr>
              <w:rPr>
                <w:rFonts w:ascii="Calibri" w:hAnsi="Calibri" w:cs="Calibri"/>
                <w:lang w:val="en-US"/>
              </w:rPr>
            </w:pPr>
            <w:r w:rsidRPr="00716B90">
              <w:rPr>
                <w:rFonts w:ascii="Calibri" w:hAnsi="Calibri" w:cs="Calibri"/>
                <w:lang w:val="en-US"/>
              </w:rPr>
              <w:t>(80)</w:t>
            </w:r>
          </w:p>
        </w:tc>
      </w:tr>
      <w:tr w:rsidR="00F32231" w:rsidRPr="00716B90" w14:paraId="7659D86C" w14:textId="77777777" w:rsidTr="00F32231">
        <w:tc>
          <w:tcPr>
            <w:tcW w:w="3005" w:type="dxa"/>
          </w:tcPr>
          <w:p w14:paraId="62171E79" w14:textId="58D5B08F" w:rsidR="00F32231" w:rsidRPr="00716B90" w:rsidRDefault="00727DE2" w:rsidP="00717DA2">
            <w:pPr>
              <w:rPr>
                <w:rFonts w:ascii="Calibri" w:hAnsi="Calibri" w:cs="Calibri"/>
                <w:lang w:val="en-US"/>
              </w:rPr>
            </w:pPr>
            <w:r w:rsidRPr="00716B90">
              <w:rPr>
                <w:rFonts w:ascii="Calibri" w:hAnsi="Calibri" w:cs="Calibri"/>
                <w:lang w:val="en-US"/>
              </w:rPr>
              <w:t>1</w:t>
            </w:r>
          </w:p>
        </w:tc>
        <w:tc>
          <w:tcPr>
            <w:tcW w:w="3005" w:type="dxa"/>
          </w:tcPr>
          <w:p w14:paraId="2BF8E864" w14:textId="32EF0BC2" w:rsidR="00F32231" w:rsidRPr="00716B90" w:rsidRDefault="00727DE2" w:rsidP="00717DA2">
            <w:pPr>
              <w:rPr>
                <w:rFonts w:ascii="Calibri" w:hAnsi="Calibri" w:cs="Calibri"/>
                <w:lang w:val="en-US"/>
              </w:rPr>
            </w:pPr>
            <w:r w:rsidRPr="00716B90">
              <w:rPr>
                <w:rFonts w:ascii="Calibri" w:hAnsi="Calibri" w:cs="Calibri"/>
                <w:lang w:val="en-US"/>
              </w:rPr>
              <w:t>25</w:t>
            </w:r>
          </w:p>
        </w:tc>
        <w:tc>
          <w:tcPr>
            <w:tcW w:w="3006" w:type="dxa"/>
          </w:tcPr>
          <w:p w14:paraId="06F81568" w14:textId="39A20279" w:rsidR="00F32231" w:rsidRPr="00716B90" w:rsidRDefault="00745ABD" w:rsidP="00717DA2">
            <w:pPr>
              <w:rPr>
                <w:rFonts w:ascii="Calibri" w:hAnsi="Calibri" w:cs="Calibri"/>
                <w:lang w:val="en-US"/>
              </w:rPr>
            </w:pPr>
            <w:r w:rsidRPr="00716B90">
              <w:rPr>
                <w:rFonts w:ascii="Calibri" w:hAnsi="Calibri" w:cs="Calibri"/>
                <w:lang w:val="en-US"/>
              </w:rPr>
              <w:t>(55)</w:t>
            </w:r>
          </w:p>
        </w:tc>
      </w:tr>
      <w:tr w:rsidR="00F32231" w:rsidRPr="00716B90" w14:paraId="5CB7C2A1" w14:textId="77777777" w:rsidTr="00F32231">
        <w:tc>
          <w:tcPr>
            <w:tcW w:w="3005" w:type="dxa"/>
          </w:tcPr>
          <w:p w14:paraId="6FD0966D" w14:textId="18E338D7" w:rsidR="00F32231" w:rsidRPr="00716B90" w:rsidRDefault="00727DE2" w:rsidP="00717DA2">
            <w:pPr>
              <w:rPr>
                <w:rFonts w:ascii="Calibri" w:hAnsi="Calibri" w:cs="Calibri"/>
                <w:lang w:val="en-US"/>
              </w:rPr>
            </w:pPr>
            <w:r w:rsidRPr="00716B90">
              <w:rPr>
                <w:rFonts w:ascii="Calibri" w:hAnsi="Calibri" w:cs="Calibri"/>
                <w:lang w:val="en-US"/>
              </w:rPr>
              <w:t>2</w:t>
            </w:r>
          </w:p>
        </w:tc>
        <w:tc>
          <w:tcPr>
            <w:tcW w:w="3005" w:type="dxa"/>
          </w:tcPr>
          <w:p w14:paraId="3027C2B8" w14:textId="5CAF3C30" w:rsidR="00F32231" w:rsidRPr="00716B90" w:rsidRDefault="00727DE2" w:rsidP="00717DA2">
            <w:pPr>
              <w:rPr>
                <w:rFonts w:ascii="Calibri" w:hAnsi="Calibri" w:cs="Calibri"/>
                <w:lang w:val="en-US"/>
              </w:rPr>
            </w:pPr>
            <w:r w:rsidRPr="00716B90">
              <w:rPr>
                <w:rFonts w:ascii="Calibri" w:hAnsi="Calibri" w:cs="Calibri"/>
                <w:lang w:val="en-US"/>
              </w:rPr>
              <w:t>25</w:t>
            </w:r>
          </w:p>
        </w:tc>
        <w:tc>
          <w:tcPr>
            <w:tcW w:w="3006" w:type="dxa"/>
          </w:tcPr>
          <w:p w14:paraId="0065CEB6" w14:textId="7B24DA47" w:rsidR="00745ABD" w:rsidRPr="00716B90" w:rsidRDefault="00745ABD" w:rsidP="00717DA2">
            <w:pPr>
              <w:rPr>
                <w:rFonts w:ascii="Calibri" w:hAnsi="Calibri" w:cs="Calibri"/>
                <w:lang w:val="en-US"/>
              </w:rPr>
            </w:pPr>
            <w:r w:rsidRPr="00716B90">
              <w:rPr>
                <w:rFonts w:ascii="Calibri" w:hAnsi="Calibri" w:cs="Calibri"/>
                <w:lang w:val="en-US"/>
              </w:rPr>
              <w:t>(30)</w:t>
            </w:r>
          </w:p>
        </w:tc>
      </w:tr>
      <w:tr w:rsidR="00F32231" w:rsidRPr="00716B90" w14:paraId="0008D1F8" w14:textId="77777777" w:rsidTr="00F32231">
        <w:tc>
          <w:tcPr>
            <w:tcW w:w="3005" w:type="dxa"/>
          </w:tcPr>
          <w:p w14:paraId="10B28245" w14:textId="6008503E" w:rsidR="00F32231" w:rsidRPr="00716B90" w:rsidRDefault="00727DE2" w:rsidP="00717DA2">
            <w:pPr>
              <w:rPr>
                <w:rFonts w:ascii="Calibri" w:hAnsi="Calibri" w:cs="Calibri"/>
                <w:lang w:val="en-US"/>
              </w:rPr>
            </w:pPr>
            <w:r w:rsidRPr="00716B90">
              <w:rPr>
                <w:rFonts w:ascii="Calibri" w:hAnsi="Calibri" w:cs="Calibri"/>
                <w:lang w:val="en-US"/>
              </w:rPr>
              <w:t>3</w:t>
            </w:r>
          </w:p>
        </w:tc>
        <w:tc>
          <w:tcPr>
            <w:tcW w:w="3005" w:type="dxa"/>
          </w:tcPr>
          <w:p w14:paraId="2B3C4285" w14:textId="558CFD53" w:rsidR="00F32231" w:rsidRPr="00716B90" w:rsidRDefault="00727DE2" w:rsidP="00717DA2">
            <w:pPr>
              <w:rPr>
                <w:rFonts w:ascii="Calibri" w:hAnsi="Calibri" w:cs="Calibri"/>
                <w:lang w:val="en-US"/>
              </w:rPr>
            </w:pPr>
            <w:r w:rsidRPr="00716B90">
              <w:rPr>
                <w:rFonts w:ascii="Calibri" w:hAnsi="Calibri" w:cs="Calibri"/>
                <w:lang w:val="en-US"/>
              </w:rPr>
              <w:t>20</w:t>
            </w:r>
          </w:p>
        </w:tc>
        <w:tc>
          <w:tcPr>
            <w:tcW w:w="3006" w:type="dxa"/>
          </w:tcPr>
          <w:p w14:paraId="41D0BDA9" w14:textId="1CE10202" w:rsidR="00F32231" w:rsidRPr="00716B90" w:rsidRDefault="00745ABD" w:rsidP="00717DA2">
            <w:pPr>
              <w:rPr>
                <w:rFonts w:ascii="Calibri" w:hAnsi="Calibri" w:cs="Calibri"/>
                <w:lang w:val="en-US"/>
              </w:rPr>
            </w:pPr>
            <w:r w:rsidRPr="00716B90">
              <w:rPr>
                <w:rFonts w:ascii="Calibri" w:hAnsi="Calibri" w:cs="Calibri"/>
                <w:lang w:val="en-US"/>
              </w:rPr>
              <w:t>(10)</w:t>
            </w:r>
          </w:p>
        </w:tc>
      </w:tr>
      <w:tr w:rsidR="00F32231" w:rsidRPr="00716B90" w14:paraId="437E4DDB" w14:textId="77777777" w:rsidTr="00F32231">
        <w:tc>
          <w:tcPr>
            <w:tcW w:w="3005" w:type="dxa"/>
          </w:tcPr>
          <w:p w14:paraId="6D6BB4D6" w14:textId="39FB46F2" w:rsidR="00F32231" w:rsidRPr="00716B90" w:rsidRDefault="00727DE2" w:rsidP="00717DA2">
            <w:pPr>
              <w:rPr>
                <w:rFonts w:ascii="Calibri" w:hAnsi="Calibri" w:cs="Calibri"/>
                <w:lang w:val="en-US"/>
              </w:rPr>
            </w:pPr>
            <w:r w:rsidRPr="00716B90">
              <w:rPr>
                <w:rFonts w:ascii="Calibri" w:hAnsi="Calibri" w:cs="Calibri"/>
                <w:lang w:val="en-US"/>
              </w:rPr>
              <w:t>4</w:t>
            </w:r>
          </w:p>
        </w:tc>
        <w:tc>
          <w:tcPr>
            <w:tcW w:w="3005" w:type="dxa"/>
          </w:tcPr>
          <w:p w14:paraId="58057A37" w14:textId="3A3845FF" w:rsidR="00F32231" w:rsidRPr="00716B90" w:rsidRDefault="00727DE2" w:rsidP="00717DA2">
            <w:pPr>
              <w:rPr>
                <w:rFonts w:ascii="Calibri" w:hAnsi="Calibri" w:cs="Calibri"/>
                <w:lang w:val="en-US"/>
              </w:rPr>
            </w:pPr>
            <w:r w:rsidRPr="00716B90">
              <w:rPr>
                <w:rFonts w:ascii="Calibri" w:hAnsi="Calibri" w:cs="Calibri"/>
                <w:lang w:val="en-US"/>
              </w:rPr>
              <w:t>55</w:t>
            </w:r>
          </w:p>
        </w:tc>
        <w:tc>
          <w:tcPr>
            <w:tcW w:w="3006" w:type="dxa"/>
          </w:tcPr>
          <w:p w14:paraId="652E7D00" w14:textId="28CDBDA7" w:rsidR="00F32231" w:rsidRPr="00716B90" w:rsidRDefault="00745ABD" w:rsidP="00717DA2">
            <w:pPr>
              <w:rPr>
                <w:rFonts w:ascii="Calibri" w:hAnsi="Calibri" w:cs="Calibri"/>
                <w:lang w:val="en-US"/>
              </w:rPr>
            </w:pPr>
            <w:r w:rsidRPr="00716B90">
              <w:rPr>
                <w:rFonts w:ascii="Calibri" w:hAnsi="Calibri" w:cs="Calibri"/>
                <w:lang w:val="en-US"/>
              </w:rPr>
              <w:t>45</w:t>
            </w:r>
          </w:p>
        </w:tc>
      </w:tr>
    </w:tbl>
    <w:p w14:paraId="63864FB5" w14:textId="77777777" w:rsidR="00717DA2" w:rsidRPr="00716B90" w:rsidRDefault="00717DA2" w:rsidP="00717DA2">
      <w:pPr>
        <w:rPr>
          <w:rFonts w:ascii="Calibri" w:hAnsi="Calibri" w:cs="Calibri"/>
          <w:lang w:val="en-US"/>
        </w:rPr>
      </w:pPr>
    </w:p>
    <w:p w14:paraId="6A3072A8" w14:textId="77777777" w:rsidR="00400E98" w:rsidRPr="00716B90" w:rsidRDefault="00745ABD" w:rsidP="00717DA2">
      <w:pPr>
        <w:rPr>
          <w:rFonts w:ascii="Calibri" w:hAnsi="Calibri" w:cs="Calibri"/>
          <w:lang w:val="en-US"/>
        </w:rPr>
      </w:pPr>
      <w:r w:rsidRPr="00716B90">
        <w:rPr>
          <w:rFonts w:ascii="Calibri" w:hAnsi="Calibri" w:cs="Calibri"/>
          <w:lang w:val="en-US"/>
        </w:rPr>
        <w:t xml:space="preserve"> Pay Back Period </w:t>
      </w:r>
      <w:r w:rsidR="00D163B7" w:rsidRPr="00716B90">
        <w:rPr>
          <w:rFonts w:ascii="Calibri" w:hAnsi="Calibri" w:cs="Calibri"/>
          <w:lang w:val="en-US"/>
        </w:rPr>
        <w:t>of Project A</w:t>
      </w:r>
      <w:r w:rsidR="000E2E87" w:rsidRPr="00716B90">
        <w:rPr>
          <w:rFonts w:ascii="Calibri" w:hAnsi="Calibri" w:cs="Calibri"/>
          <w:lang w:val="en-US"/>
        </w:rPr>
        <w:t xml:space="preserve"> </w:t>
      </w:r>
      <w:r w:rsidR="00AD508F" w:rsidRPr="00716B90">
        <w:rPr>
          <w:rFonts w:ascii="Calibri" w:hAnsi="Calibri" w:cs="Calibri"/>
          <w:lang w:val="en-US"/>
        </w:rPr>
        <w:t>= 3</w:t>
      </w:r>
      <w:r w:rsidR="00A16038" w:rsidRPr="00716B90">
        <w:rPr>
          <w:rFonts w:ascii="Calibri" w:hAnsi="Calibri" w:cs="Calibri"/>
          <w:lang w:val="en-US"/>
        </w:rPr>
        <w:t xml:space="preserve"> + (55 – 45) / 55 = </w:t>
      </w:r>
      <w:r w:rsidR="00AD508F" w:rsidRPr="00716B90">
        <w:rPr>
          <w:rFonts w:ascii="Calibri" w:hAnsi="Calibri" w:cs="Calibri"/>
          <w:lang w:val="en-US"/>
        </w:rPr>
        <w:t>3.18 years</w:t>
      </w:r>
      <w:r w:rsidR="00400E98" w:rsidRPr="00716B90">
        <w:rPr>
          <w:rFonts w:ascii="Calibri" w:hAnsi="Calibri" w:cs="Calibri"/>
          <w:lang w:val="en-US"/>
        </w:rPr>
        <w:t>,</w:t>
      </w:r>
    </w:p>
    <w:p w14:paraId="2A53FC1E" w14:textId="2A7F2162" w:rsidR="00717DA2" w:rsidRPr="00716B90" w:rsidRDefault="00AD508F" w:rsidP="00717DA2">
      <w:pPr>
        <w:rPr>
          <w:rFonts w:ascii="Calibri" w:hAnsi="Calibri" w:cs="Calibri"/>
          <w:lang w:val="en-US"/>
        </w:rPr>
      </w:pPr>
      <w:r w:rsidRPr="00716B90">
        <w:rPr>
          <w:rFonts w:ascii="Calibri" w:hAnsi="Calibri" w:cs="Calibri"/>
          <w:lang w:val="en-US"/>
        </w:rPr>
        <w:t>which is equal to 3 years and 2 months.</w:t>
      </w:r>
    </w:p>
    <w:tbl>
      <w:tblPr>
        <w:tblStyle w:val="TableGrid"/>
        <w:tblW w:w="0" w:type="auto"/>
        <w:tblLook w:val="04A0" w:firstRow="1" w:lastRow="0" w:firstColumn="1" w:lastColumn="0" w:noHBand="0" w:noVBand="1"/>
      </w:tblPr>
      <w:tblGrid>
        <w:gridCol w:w="3005"/>
        <w:gridCol w:w="3005"/>
        <w:gridCol w:w="3006"/>
      </w:tblGrid>
      <w:tr w:rsidR="00AD508F" w:rsidRPr="00716B90" w14:paraId="798E2565" w14:textId="77777777" w:rsidTr="00E147BE">
        <w:tc>
          <w:tcPr>
            <w:tcW w:w="3005" w:type="dxa"/>
            <w:shd w:val="clear" w:color="auto" w:fill="C1E4F5" w:themeFill="accent1" w:themeFillTint="33"/>
          </w:tcPr>
          <w:p w14:paraId="226EA2A8" w14:textId="77777777" w:rsidR="00AD508F" w:rsidRPr="00716B90" w:rsidRDefault="00AD508F" w:rsidP="006549F1">
            <w:pPr>
              <w:rPr>
                <w:rFonts w:ascii="Calibri" w:hAnsi="Calibri" w:cs="Calibri"/>
                <w:lang w:val="en-US"/>
              </w:rPr>
            </w:pPr>
            <w:r w:rsidRPr="00716B90">
              <w:rPr>
                <w:rFonts w:ascii="Calibri" w:hAnsi="Calibri" w:cs="Calibri"/>
                <w:lang w:val="en-US"/>
              </w:rPr>
              <w:t>Years</w:t>
            </w:r>
          </w:p>
        </w:tc>
        <w:tc>
          <w:tcPr>
            <w:tcW w:w="3005" w:type="dxa"/>
            <w:shd w:val="clear" w:color="auto" w:fill="C1E4F5" w:themeFill="accent1" w:themeFillTint="33"/>
          </w:tcPr>
          <w:p w14:paraId="0962D6FC" w14:textId="3BED00C6" w:rsidR="00AD508F" w:rsidRPr="00716B90" w:rsidRDefault="00AD508F" w:rsidP="006549F1">
            <w:pPr>
              <w:rPr>
                <w:rFonts w:ascii="Calibri" w:hAnsi="Calibri" w:cs="Calibri"/>
                <w:lang w:val="en-US"/>
              </w:rPr>
            </w:pPr>
            <w:r w:rsidRPr="00716B90">
              <w:rPr>
                <w:rFonts w:ascii="Calibri" w:hAnsi="Calibri" w:cs="Calibri"/>
                <w:lang w:val="en-US"/>
              </w:rPr>
              <w:t>Cash Flow of B</w:t>
            </w:r>
          </w:p>
        </w:tc>
        <w:tc>
          <w:tcPr>
            <w:tcW w:w="3006" w:type="dxa"/>
            <w:shd w:val="clear" w:color="auto" w:fill="C1E4F5" w:themeFill="accent1" w:themeFillTint="33"/>
          </w:tcPr>
          <w:p w14:paraId="2FDE2DC2" w14:textId="464DA911" w:rsidR="00AD508F" w:rsidRPr="00716B90" w:rsidRDefault="00AD508F" w:rsidP="006549F1">
            <w:pPr>
              <w:rPr>
                <w:rFonts w:ascii="Calibri" w:hAnsi="Calibri" w:cs="Calibri"/>
                <w:lang w:val="en-US"/>
              </w:rPr>
            </w:pPr>
            <w:r w:rsidRPr="00716B90">
              <w:rPr>
                <w:rFonts w:ascii="Calibri" w:hAnsi="Calibri" w:cs="Calibri"/>
                <w:lang w:val="en-US"/>
              </w:rPr>
              <w:t>Cumulative cash flow</w:t>
            </w:r>
            <w:r w:rsidR="003C76AB" w:rsidRPr="00716B90">
              <w:rPr>
                <w:rFonts w:ascii="Calibri" w:hAnsi="Calibri" w:cs="Calibri"/>
                <w:lang w:val="en-US"/>
              </w:rPr>
              <w:t xml:space="preserve"> £m</w:t>
            </w:r>
          </w:p>
        </w:tc>
      </w:tr>
      <w:tr w:rsidR="00AD508F" w:rsidRPr="00716B90" w14:paraId="7E5819A2" w14:textId="77777777" w:rsidTr="006549F1">
        <w:tc>
          <w:tcPr>
            <w:tcW w:w="3005" w:type="dxa"/>
          </w:tcPr>
          <w:p w14:paraId="5D3D7D30" w14:textId="77777777" w:rsidR="00AD508F" w:rsidRPr="00716B90" w:rsidRDefault="00AD508F" w:rsidP="006549F1">
            <w:pPr>
              <w:rPr>
                <w:rFonts w:ascii="Calibri" w:hAnsi="Calibri" w:cs="Calibri"/>
                <w:lang w:val="en-US"/>
              </w:rPr>
            </w:pPr>
            <w:r w:rsidRPr="00716B90">
              <w:rPr>
                <w:rFonts w:ascii="Calibri" w:hAnsi="Calibri" w:cs="Calibri"/>
                <w:lang w:val="en-US"/>
              </w:rPr>
              <w:t>0</w:t>
            </w:r>
          </w:p>
        </w:tc>
        <w:tc>
          <w:tcPr>
            <w:tcW w:w="3005" w:type="dxa"/>
          </w:tcPr>
          <w:p w14:paraId="1AF8910D" w14:textId="1FB7CDD0" w:rsidR="00AD508F" w:rsidRPr="00716B90" w:rsidRDefault="00AD508F" w:rsidP="006549F1">
            <w:pPr>
              <w:rPr>
                <w:rFonts w:ascii="Calibri" w:hAnsi="Calibri" w:cs="Calibri"/>
                <w:lang w:val="en-US"/>
              </w:rPr>
            </w:pPr>
            <w:r w:rsidRPr="00716B90">
              <w:rPr>
                <w:rFonts w:ascii="Calibri" w:hAnsi="Calibri" w:cs="Calibri"/>
                <w:lang w:val="en-US"/>
              </w:rPr>
              <w:t>(</w:t>
            </w:r>
            <w:r w:rsidR="003C76AB" w:rsidRPr="00716B90">
              <w:rPr>
                <w:rFonts w:ascii="Calibri" w:hAnsi="Calibri" w:cs="Calibri"/>
                <w:lang w:val="en-US"/>
              </w:rPr>
              <w:t>75</w:t>
            </w:r>
            <w:r w:rsidRPr="00716B90">
              <w:rPr>
                <w:rFonts w:ascii="Calibri" w:hAnsi="Calibri" w:cs="Calibri"/>
                <w:lang w:val="en-US"/>
              </w:rPr>
              <w:t>)</w:t>
            </w:r>
          </w:p>
        </w:tc>
        <w:tc>
          <w:tcPr>
            <w:tcW w:w="3006" w:type="dxa"/>
          </w:tcPr>
          <w:p w14:paraId="4CE167CE" w14:textId="41FAF467" w:rsidR="00AD508F" w:rsidRPr="00716B90" w:rsidRDefault="00AD508F" w:rsidP="006549F1">
            <w:pPr>
              <w:rPr>
                <w:rFonts w:ascii="Calibri" w:hAnsi="Calibri" w:cs="Calibri"/>
                <w:lang w:val="en-US"/>
              </w:rPr>
            </w:pPr>
            <w:r w:rsidRPr="00716B90">
              <w:rPr>
                <w:rFonts w:ascii="Calibri" w:hAnsi="Calibri" w:cs="Calibri"/>
                <w:lang w:val="en-US"/>
              </w:rPr>
              <w:t>(</w:t>
            </w:r>
            <w:r w:rsidR="003C76AB" w:rsidRPr="00716B90">
              <w:rPr>
                <w:rFonts w:ascii="Calibri" w:hAnsi="Calibri" w:cs="Calibri"/>
                <w:lang w:val="en-US"/>
              </w:rPr>
              <w:t>75</w:t>
            </w:r>
            <w:r w:rsidRPr="00716B90">
              <w:rPr>
                <w:rFonts w:ascii="Calibri" w:hAnsi="Calibri" w:cs="Calibri"/>
                <w:lang w:val="en-US"/>
              </w:rPr>
              <w:t>)</w:t>
            </w:r>
          </w:p>
        </w:tc>
      </w:tr>
      <w:tr w:rsidR="00AD508F" w:rsidRPr="00716B90" w14:paraId="48934E7E" w14:textId="77777777" w:rsidTr="006549F1">
        <w:tc>
          <w:tcPr>
            <w:tcW w:w="3005" w:type="dxa"/>
          </w:tcPr>
          <w:p w14:paraId="14DC46DA" w14:textId="77777777" w:rsidR="00AD508F" w:rsidRPr="00716B90" w:rsidRDefault="00AD508F" w:rsidP="006549F1">
            <w:pPr>
              <w:rPr>
                <w:rFonts w:ascii="Calibri" w:hAnsi="Calibri" w:cs="Calibri"/>
                <w:lang w:val="en-US"/>
              </w:rPr>
            </w:pPr>
            <w:r w:rsidRPr="00716B90">
              <w:rPr>
                <w:rFonts w:ascii="Calibri" w:hAnsi="Calibri" w:cs="Calibri"/>
                <w:lang w:val="en-US"/>
              </w:rPr>
              <w:t>1</w:t>
            </w:r>
          </w:p>
        </w:tc>
        <w:tc>
          <w:tcPr>
            <w:tcW w:w="3005" w:type="dxa"/>
          </w:tcPr>
          <w:p w14:paraId="6196DB5B" w14:textId="6DA5DA94" w:rsidR="00AD508F" w:rsidRPr="00716B90" w:rsidRDefault="003C76AB" w:rsidP="006549F1">
            <w:pPr>
              <w:rPr>
                <w:rFonts w:ascii="Calibri" w:hAnsi="Calibri" w:cs="Calibri"/>
                <w:lang w:val="en-US"/>
              </w:rPr>
            </w:pPr>
            <w:r w:rsidRPr="00716B90">
              <w:rPr>
                <w:rFonts w:ascii="Calibri" w:hAnsi="Calibri" w:cs="Calibri"/>
                <w:lang w:val="en-US"/>
              </w:rPr>
              <w:t>50</w:t>
            </w:r>
          </w:p>
        </w:tc>
        <w:tc>
          <w:tcPr>
            <w:tcW w:w="3006" w:type="dxa"/>
          </w:tcPr>
          <w:p w14:paraId="736A1ACE" w14:textId="5C13F6D4" w:rsidR="00AD508F" w:rsidRPr="00716B90" w:rsidRDefault="00AD508F" w:rsidP="006549F1">
            <w:pPr>
              <w:rPr>
                <w:rFonts w:ascii="Calibri" w:hAnsi="Calibri" w:cs="Calibri"/>
                <w:lang w:val="en-US"/>
              </w:rPr>
            </w:pPr>
            <w:r w:rsidRPr="00716B90">
              <w:rPr>
                <w:rFonts w:ascii="Calibri" w:hAnsi="Calibri" w:cs="Calibri"/>
                <w:lang w:val="en-US"/>
              </w:rPr>
              <w:t>(</w:t>
            </w:r>
            <w:r w:rsidR="003C76AB" w:rsidRPr="00716B90">
              <w:rPr>
                <w:rFonts w:ascii="Calibri" w:hAnsi="Calibri" w:cs="Calibri"/>
                <w:lang w:val="en-US"/>
              </w:rPr>
              <w:t>25</w:t>
            </w:r>
            <w:r w:rsidRPr="00716B90">
              <w:rPr>
                <w:rFonts w:ascii="Calibri" w:hAnsi="Calibri" w:cs="Calibri"/>
                <w:lang w:val="en-US"/>
              </w:rPr>
              <w:t>)</w:t>
            </w:r>
          </w:p>
        </w:tc>
      </w:tr>
      <w:tr w:rsidR="00AD508F" w:rsidRPr="00716B90" w14:paraId="5E643384" w14:textId="77777777" w:rsidTr="006549F1">
        <w:tc>
          <w:tcPr>
            <w:tcW w:w="3005" w:type="dxa"/>
          </w:tcPr>
          <w:p w14:paraId="563702C7" w14:textId="77777777" w:rsidR="00AD508F" w:rsidRPr="00716B90" w:rsidRDefault="00AD508F" w:rsidP="006549F1">
            <w:pPr>
              <w:rPr>
                <w:rFonts w:ascii="Calibri" w:hAnsi="Calibri" w:cs="Calibri"/>
                <w:lang w:val="en-US"/>
              </w:rPr>
            </w:pPr>
            <w:r w:rsidRPr="00716B90">
              <w:rPr>
                <w:rFonts w:ascii="Calibri" w:hAnsi="Calibri" w:cs="Calibri"/>
                <w:lang w:val="en-US"/>
              </w:rPr>
              <w:t>2</w:t>
            </w:r>
          </w:p>
        </w:tc>
        <w:tc>
          <w:tcPr>
            <w:tcW w:w="3005" w:type="dxa"/>
          </w:tcPr>
          <w:p w14:paraId="17725F51" w14:textId="5B0BAA4B" w:rsidR="00AD508F" w:rsidRPr="00716B90" w:rsidRDefault="00AD508F" w:rsidP="006549F1">
            <w:pPr>
              <w:rPr>
                <w:rFonts w:ascii="Calibri" w:hAnsi="Calibri" w:cs="Calibri"/>
                <w:lang w:val="en-US"/>
              </w:rPr>
            </w:pPr>
            <w:r w:rsidRPr="00716B90">
              <w:rPr>
                <w:rFonts w:ascii="Calibri" w:hAnsi="Calibri" w:cs="Calibri"/>
                <w:lang w:val="en-US"/>
              </w:rPr>
              <w:t>2</w:t>
            </w:r>
            <w:r w:rsidR="003C76AB" w:rsidRPr="00716B90">
              <w:rPr>
                <w:rFonts w:ascii="Calibri" w:hAnsi="Calibri" w:cs="Calibri"/>
                <w:lang w:val="en-US"/>
              </w:rPr>
              <w:t>0</w:t>
            </w:r>
          </w:p>
        </w:tc>
        <w:tc>
          <w:tcPr>
            <w:tcW w:w="3006" w:type="dxa"/>
          </w:tcPr>
          <w:p w14:paraId="19BF63CB" w14:textId="724026B0" w:rsidR="00AD508F" w:rsidRPr="00716B90" w:rsidRDefault="00AD508F" w:rsidP="006549F1">
            <w:pPr>
              <w:rPr>
                <w:rFonts w:ascii="Calibri" w:hAnsi="Calibri" w:cs="Calibri"/>
                <w:lang w:val="en-US"/>
              </w:rPr>
            </w:pPr>
            <w:r w:rsidRPr="00716B90">
              <w:rPr>
                <w:rFonts w:ascii="Calibri" w:hAnsi="Calibri" w:cs="Calibri"/>
                <w:lang w:val="en-US"/>
              </w:rPr>
              <w:t>(</w:t>
            </w:r>
            <w:r w:rsidR="003C76AB" w:rsidRPr="00716B90">
              <w:rPr>
                <w:rFonts w:ascii="Calibri" w:hAnsi="Calibri" w:cs="Calibri"/>
                <w:lang w:val="en-US"/>
              </w:rPr>
              <w:t>5</w:t>
            </w:r>
            <w:r w:rsidRPr="00716B90">
              <w:rPr>
                <w:rFonts w:ascii="Calibri" w:hAnsi="Calibri" w:cs="Calibri"/>
                <w:lang w:val="en-US"/>
              </w:rPr>
              <w:t>)</w:t>
            </w:r>
          </w:p>
        </w:tc>
      </w:tr>
      <w:tr w:rsidR="00AD508F" w:rsidRPr="00716B90" w14:paraId="50445396" w14:textId="77777777" w:rsidTr="006549F1">
        <w:tc>
          <w:tcPr>
            <w:tcW w:w="3005" w:type="dxa"/>
          </w:tcPr>
          <w:p w14:paraId="451947D0" w14:textId="77777777" w:rsidR="00AD508F" w:rsidRPr="00716B90" w:rsidRDefault="00AD508F" w:rsidP="006549F1">
            <w:pPr>
              <w:rPr>
                <w:rFonts w:ascii="Calibri" w:hAnsi="Calibri" w:cs="Calibri"/>
                <w:lang w:val="en-US"/>
              </w:rPr>
            </w:pPr>
            <w:r w:rsidRPr="00716B90">
              <w:rPr>
                <w:rFonts w:ascii="Calibri" w:hAnsi="Calibri" w:cs="Calibri"/>
                <w:lang w:val="en-US"/>
              </w:rPr>
              <w:t>3</w:t>
            </w:r>
          </w:p>
        </w:tc>
        <w:tc>
          <w:tcPr>
            <w:tcW w:w="3005" w:type="dxa"/>
          </w:tcPr>
          <w:p w14:paraId="75E4CFE0" w14:textId="77777777" w:rsidR="00AD508F" w:rsidRPr="00716B90" w:rsidRDefault="00AD508F" w:rsidP="006549F1">
            <w:pPr>
              <w:rPr>
                <w:rFonts w:ascii="Calibri" w:hAnsi="Calibri" w:cs="Calibri"/>
                <w:lang w:val="en-US"/>
              </w:rPr>
            </w:pPr>
            <w:r w:rsidRPr="00716B90">
              <w:rPr>
                <w:rFonts w:ascii="Calibri" w:hAnsi="Calibri" w:cs="Calibri"/>
                <w:lang w:val="en-US"/>
              </w:rPr>
              <w:t>20</w:t>
            </w:r>
          </w:p>
        </w:tc>
        <w:tc>
          <w:tcPr>
            <w:tcW w:w="3006" w:type="dxa"/>
          </w:tcPr>
          <w:p w14:paraId="6607B1FE" w14:textId="7A378024" w:rsidR="00AD508F" w:rsidRPr="00716B90" w:rsidRDefault="003C76AB" w:rsidP="006549F1">
            <w:pPr>
              <w:rPr>
                <w:rFonts w:ascii="Calibri" w:hAnsi="Calibri" w:cs="Calibri"/>
                <w:lang w:val="en-US"/>
              </w:rPr>
            </w:pPr>
            <w:r w:rsidRPr="00716B90">
              <w:rPr>
                <w:rFonts w:ascii="Calibri" w:hAnsi="Calibri" w:cs="Calibri"/>
                <w:lang w:val="en-US"/>
              </w:rPr>
              <w:t>15</w:t>
            </w:r>
          </w:p>
        </w:tc>
      </w:tr>
    </w:tbl>
    <w:p w14:paraId="2AC2A558" w14:textId="77777777" w:rsidR="000419C8" w:rsidRPr="00716B90" w:rsidRDefault="004D5A14" w:rsidP="006359A4">
      <w:pPr>
        <w:rPr>
          <w:rFonts w:ascii="Calibri" w:hAnsi="Calibri" w:cs="Calibri"/>
          <w:lang w:val="en-US"/>
        </w:rPr>
      </w:pPr>
      <w:r w:rsidRPr="00716B90">
        <w:rPr>
          <w:rFonts w:ascii="Calibri" w:hAnsi="Calibri" w:cs="Calibri"/>
          <w:lang w:val="en-US"/>
        </w:rPr>
        <w:t xml:space="preserve">Pay Back Period of Project b = 2 + (20 -15) / 20 = </w:t>
      </w:r>
      <w:r w:rsidR="00D163B7" w:rsidRPr="00716B90">
        <w:rPr>
          <w:rFonts w:ascii="Calibri" w:hAnsi="Calibri" w:cs="Calibri"/>
          <w:lang w:val="en-US"/>
        </w:rPr>
        <w:t>2.25 years</w:t>
      </w:r>
      <w:r w:rsidR="000419C8" w:rsidRPr="00716B90">
        <w:rPr>
          <w:rFonts w:ascii="Calibri" w:hAnsi="Calibri" w:cs="Calibri"/>
          <w:lang w:val="en-US"/>
        </w:rPr>
        <w:t>,</w:t>
      </w:r>
    </w:p>
    <w:p w14:paraId="522DF1D1" w14:textId="6CA9021B" w:rsidR="004D5A14" w:rsidRPr="00716B90" w:rsidRDefault="00D163B7" w:rsidP="006359A4">
      <w:pPr>
        <w:rPr>
          <w:rFonts w:ascii="Calibri" w:hAnsi="Calibri" w:cs="Calibri"/>
          <w:lang w:val="en-US"/>
        </w:rPr>
      </w:pPr>
      <w:r w:rsidRPr="00716B90">
        <w:rPr>
          <w:rFonts w:ascii="Calibri" w:hAnsi="Calibri" w:cs="Calibri"/>
          <w:lang w:val="en-US"/>
        </w:rPr>
        <w:t>which is equal to 2 years and 3 months.</w:t>
      </w:r>
    </w:p>
    <w:p w14:paraId="34BF50F0" w14:textId="48792509" w:rsidR="00717DA2" w:rsidRPr="00716B90" w:rsidRDefault="00724BA2" w:rsidP="00757193">
      <w:pPr>
        <w:pStyle w:val="Heading3"/>
        <w:rPr>
          <w:rFonts w:ascii="Calibri" w:hAnsi="Calibri" w:cs="Calibri"/>
          <w:sz w:val="24"/>
          <w:szCs w:val="24"/>
          <w:lang w:val="en-US"/>
        </w:rPr>
      </w:pPr>
      <w:bookmarkStart w:id="25" w:name="_Toc175126654"/>
      <w:r w:rsidRPr="00716B90">
        <w:rPr>
          <w:rFonts w:ascii="Calibri" w:hAnsi="Calibri" w:cs="Calibri"/>
          <w:sz w:val="24"/>
          <w:szCs w:val="24"/>
          <w:lang w:val="en-US"/>
        </w:rPr>
        <w:t>3.</w:t>
      </w:r>
      <w:r w:rsidR="00540DBA" w:rsidRPr="00716B90">
        <w:rPr>
          <w:rFonts w:ascii="Calibri" w:hAnsi="Calibri" w:cs="Calibri"/>
          <w:sz w:val="24"/>
          <w:szCs w:val="24"/>
          <w:lang w:val="en-US"/>
        </w:rPr>
        <w:t>1.</w:t>
      </w:r>
      <w:r w:rsidR="00455E2C" w:rsidRPr="00716B90">
        <w:rPr>
          <w:rFonts w:ascii="Calibri" w:hAnsi="Calibri" w:cs="Calibri"/>
          <w:sz w:val="24"/>
          <w:szCs w:val="24"/>
          <w:lang w:val="en-US"/>
        </w:rPr>
        <w:t>2</w:t>
      </w:r>
      <w:r w:rsidRPr="00716B90">
        <w:rPr>
          <w:rFonts w:ascii="Calibri" w:hAnsi="Calibri" w:cs="Calibri"/>
          <w:sz w:val="24"/>
          <w:szCs w:val="24"/>
          <w:lang w:val="en-US"/>
        </w:rPr>
        <w:t xml:space="preserve">. </w:t>
      </w:r>
      <w:r w:rsidR="00B620FE" w:rsidRPr="00716B90">
        <w:rPr>
          <w:rFonts w:ascii="Calibri" w:hAnsi="Calibri" w:cs="Calibri"/>
          <w:sz w:val="24"/>
          <w:szCs w:val="24"/>
          <w:lang w:val="en-US"/>
        </w:rPr>
        <w:t>Accounting Rate of Return (ARR):</w:t>
      </w:r>
      <w:bookmarkEnd w:id="25"/>
    </w:p>
    <w:p w14:paraId="7BEC6758" w14:textId="5D40E728" w:rsidR="00B620FE" w:rsidRPr="00716B90" w:rsidRDefault="00B620FE" w:rsidP="00717DA2">
      <w:pPr>
        <w:rPr>
          <w:rFonts w:ascii="Calibri" w:hAnsi="Calibri" w:cs="Calibri"/>
          <w:lang w:val="en-US"/>
        </w:rPr>
      </w:pPr>
      <w:r w:rsidRPr="00716B90">
        <w:rPr>
          <w:rFonts w:ascii="Calibri" w:hAnsi="Calibri" w:cs="Calibri"/>
          <w:lang w:val="en-US"/>
        </w:rPr>
        <w:t xml:space="preserve">ARR = </w:t>
      </w:r>
      <w:r w:rsidR="00CE498B" w:rsidRPr="00716B90">
        <w:rPr>
          <w:rFonts w:ascii="Calibri" w:hAnsi="Calibri" w:cs="Calibri"/>
          <w:lang w:val="en-US"/>
        </w:rPr>
        <w:t xml:space="preserve">(Average Annual Profit / Initial </w:t>
      </w:r>
      <w:r w:rsidR="009D47F0" w:rsidRPr="00716B90">
        <w:rPr>
          <w:rFonts w:ascii="Calibri" w:hAnsi="Calibri" w:cs="Calibri"/>
          <w:lang w:val="en-US"/>
        </w:rPr>
        <w:t>Investment) x 100</w:t>
      </w:r>
    </w:p>
    <w:p w14:paraId="3BDC9CBE" w14:textId="4EC5E976" w:rsidR="009D47F0" w:rsidRPr="00716B90" w:rsidRDefault="009D47F0" w:rsidP="00717DA2">
      <w:pPr>
        <w:rPr>
          <w:rFonts w:ascii="Calibri" w:hAnsi="Calibri" w:cs="Calibri"/>
          <w:b/>
          <w:bCs/>
          <w:lang w:val="en-US"/>
        </w:rPr>
      </w:pPr>
      <w:r w:rsidRPr="00716B90">
        <w:rPr>
          <w:rFonts w:ascii="Calibri" w:hAnsi="Calibri" w:cs="Calibri"/>
          <w:b/>
          <w:bCs/>
          <w:lang w:val="en-US"/>
        </w:rPr>
        <w:t>For Project A,</w:t>
      </w:r>
    </w:p>
    <w:p w14:paraId="4E4DA298" w14:textId="0FC2D2B9" w:rsidR="009D47F0" w:rsidRPr="00716B90" w:rsidRDefault="00B60104" w:rsidP="00717DA2">
      <w:pPr>
        <w:rPr>
          <w:rFonts w:ascii="Calibri" w:hAnsi="Calibri" w:cs="Calibri"/>
          <w:lang w:val="en-US"/>
        </w:rPr>
      </w:pPr>
      <w:r w:rsidRPr="00716B90">
        <w:rPr>
          <w:rFonts w:ascii="Calibri" w:hAnsi="Calibri" w:cs="Calibri"/>
          <w:lang w:val="en-US"/>
        </w:rPr>
        <w:t xml:space="preserve">Average Annual Profit = (No. of Years </w:t>
      </w:r>
      <w:r w:rsidR="00D12BCC" w:rsidRPr="00716B90">
        <w:rPr>
          <w:rFonts w:ascii="Calibri" w:hAnsi="Calibri" w:cs="Calibri"/>
          <w:lang w:val="en-US"/>
        </w:rPr>
        <w:t xml:space="preserve">– </w:t>
      </w:r>
      <w:r w:rsidR="0004227B" w:rsidRPr="00716B90">
        <w:rPr>
          <w:rFonts w:ascii="Calibri" w:hAnsi="Calibri" w:cs="Calibri"/>
          <w:lang w:val="en-US"/>
        </w:rPr>
        <w:t>Initial Amount</w:t>
      </w:r>
      <w:r w:rsidR="00D12BCC" w:rsidRPr="00716B90">
        <w:rPr>
          <w:rFonts w:ascii="Calibri" w:hAnsi="Calibri" w:cs="Calibri"/>
          <w:lang w:val="en-US"/>
        </w:rPr>
        <w:t>) / Activity Years</w:t>
      </w:r>
    </w:p>
    <w:p w14:paraId="33380EDC" w14:textId="4C3FD228" w:rsidR="00D12BCC" w:rsidRPr="00716B90" w:rsidRDefault="00D12BCC" w:rsidP="00717DA2">
      <w:pPr>
        <w:rPr>
          <w:rFonts w:ascii="Calibri" w:hAnsi="Calibri" w:cs="Calibri"/>
          <w:lang w:val="en-US"/>
        </w:rPr>
      </w:pPr>
      <w:r w:rsidRPr="00716B90">
        <w:rPr>
          <w:rFonts w:ascii="Calibri" w:hAnsi="Calibri" w:cs="Calibri"/>
          <w:lang w:val="en-US"/>
        </w:rPr>
        <w:t xml:space="preserve">                                           = (25+25+20+55</w:t>
      </w:r>
      <w:r w:rsidR="00B000BB" w:rsidRPr="00716B90">
        <w:rPr>
          <w:rFonts w:ascii="Calibri" w:hAnsi="Calibri" w:cs="Calibri"/>
          <w:lang w:val="en-US"/>
        </w:rPr>
        <w:t xml:space="preserve"> – </w:t>
      </w:r>
      <w:r w:rsidR="0004227B" w:rsidRPr="00716B90">
        <w:rPr>
          <w:rFonts w:ascii="Calibri" w:hAnsi="Calibri" w:cs="Calibri"/>
          <w:lang w:val="en-US"/>
        </w:rPr>
        <w:t>80</w:t>
      </w:r>
      <w:r w:rsidR="00B000BB" w:rsidRPr="00716B90">
        <w:rPr>
          <w:rFonts w:ascii="Calibri" w:hAnsi="Calibri" w:cs="Calibri"/>
          <w:lang w:val="en-US"/>
        </w:rPr>
        <w:t>) / 4</w:t>
      </w:r>
    </w:p>
    <w:p w14:paraId="450BDC69" w14:textId="5E20F5CA" w:rsidR="00B000BB" w:rsidRPr="00716B90" w:rsidRDefault="00B000BB" w:rsidP="00717DA2">
      <w:pPr>
        <w:rPr>
          <w:rFonts w:ascii="Calibri" w:hAnsi="Calibri" w:cs="Calibri"/>
          <w:lang w:val="en-US"/>
        </w:rPr>
      </w:pPr>
      <w:r w:rsidRPr="00716B90">
        <w:rPr>
          <w:rFonts w:ascii="Calibri" w:hAnsi="Calibri" w:cs="Calibri"/>
          <w:lang w:val="en-US"/>
        </w:rPr>
        <w:t xml:space="preserve">                                           = £</w:t>
      </w:r>
      <w:r w:rsidR="0004227B" w:rsidRPr="00716B90">
        <w:rPr>
          <w:rFonts w:ascii="Calibri" w:hAnsi="Calibri" w:cs="Calibri"/>
          <w:lang w:val="en-US"/>
        </w:rPr>
        <w:t>45</w:t>
      </w:r>
      <w:r w:rsidRPr="00716B90">
        <w:rPr>
          <w:rFonts w:ascii="Calibri" w:hAnsi="Calibri" w:cs="Calibri"/>
          <w:lang w:val="en-US"/>
        </w:rPr>
        <w:t xml:space="preserve"> / 4 </w:t>
      </w:r>
    </w:p>
    <w:p w14:paraId="075E047C" w14:textId="7ACDA289" w:rsidR="00B000BB" w:rsidRPr="00716B90" w:rsidRDefault="00B000BB" w:rsidP="00717DA2">
      <w:pPr>
        <w:rPr>
          <w:rFonts w:ascii="Calibri" w:hAnsi="Calibri" w:cs="Calibri"/>
          <w:lang w:val="en-US"/>
        </w:rPr>
      </w:pPr>
      <w:r w:rsidRPr="00716B90">
        <w:rPr>
          <w:rFonts w:ascii="Calibri" w:hAnsi="Calibri" w:cs="Calibri"/>
          <w:lang w:val="en-US"/>
        </w:rPr>
        <w:t xml:space="preserve">                                           = </w:t>
      </w:r>
      <w:r w:rsidR="00EB7EDB" w:rsidRPr="00716B90">
        <w:rPr>
          <w:rFonts w:ascii="Calibri" w:hAnsi="Calibri" w:cs="Calibri"/>
          <w:lang w:val="en-US"/>
        </w:rPr>
        <w:t>£</w:t>
      </w:r>
      <w:r w:rsidR="0004227B" w:rsidRPr="00716B90">
        <w:rPr>
          <w:rFonts w:ascii="Calibri" w:hAnsi="Calibri" w:cs="Calibri"/>
          <w:lang w:val="en-US"/>
        </w:rPr>
        <w:t>11.25</w:t>
      </w:r>
      <w:r w:rsidR="00EB7EDB" w:rsidRPr="00716B90">
        <w:rPr>
          <w:rFonts w:ascii="Calibri" w:hAnsi="Calibri" w:cs="Calibri"/>
          <w:lang w:val="en-US"/>
        </w:rPr>
        <w:t>m</w:t>
      </w:r>
    </w:p>
    <w:p w14:paraId="47EC9CC1" w14:textId="29D8FE7F" w:rsidR="00B620FE" w:rsidRPr="00716B90" w:rsidRDefault="007A3383" w:rsidP="00717DA2">
      <w:pPr>
        <w:rPr>
          <w:rFonts w:ascii="Calibri" w:hAnsi="Calibri" w:cs="Calibri"/>
          <w:b/>
          <w:bCs/>
          <w:lang w:val="en-US"/>
        </w:rPr>
      </w:pPr>
      <w:r w:rsidRPr="00716B90">
        <w:rPr>
          <w:rFonts w:ascii="Calibri" w:hAnsi="Calibri" w:cs="Calibri"/>
          <w:b/>
          <w:bCs/>
          <w:lang w:val="en-US"/>
        </w:rPr>
        <w:lastRenderedPageBreak/>
        <w:t>Initial Amount Invested = £80m</w:t>
      </w:r>
    </w:p>
    <w:p w14:paraId="22D3C313" w14:textId="1654AFD8" w:rsidR="008E3C47" w:rsidRPr="00716B90" w:rsidRDefault="008E3C47" w:rsidP="008E3C47">
      <w:pPr>
        <w:rPr>
          <w:rFonts w:ascii="Calibri" w:hAnsi="Calibri" w:cs="Calibri"/>
          <w:lang w:val="en-US"/>
        </w:rPr>
      </w:pPr>
      <w:r w:rsidRPr="00716B90">
        <w:rPr>
          <w:rFonts w:ascii="Calibri" w:hAnsi="Calibri" w:cs="Calibri"/>
          <w:lang w:val="en-US"/>
        </w:rPr>
        <w:t>ARR = (Average Annual Profit / Initial Investment) x 100</w:t>
      </w:r>
      <w:r w:rsidR="00760128" w:rsidRPr="00716B90">
        <w:rPr>
          <w:rFonts w:ascii="Calibri" w:hAnsi="Calibri" w:cs="Calibri"/>
          <w:lang w:val="en-US"/>
        </w:rPr>
        <w:t>%</w:t>
      </w:r>
    </w:p>
    <w:p w14:paraId="32B5682E" w14:textId="54D4FD2C" w:rsidR="008E3C47" w:rsidRPr="00716B90" w:rsidRDefault="008E3C47" w:rsidP="008E3C47">
      <w:pPr>
        <w:rPr>
          <w:rFonts w:ascii="Calibri" w:hAnsi="Calibri" w:cs="Calibri"/>
          <w:lang w:val="en-US"/>
        </w:rPr>
      </w:pPr>
      <w:r w:rsidRPr="00716B90">
        <w:rPr>
          <w:rFonts w:ascii="Calibri" w:hAnsi="Calibri" w:cs="Calibri"/>
          <w:lang w:val="en-US"/>
        </w:rPr>
        <w:t xml:space="preserve">          = </w:t>
      </w:r>
      <w:r w:rsidR="002100FB" w:rsidRPr="00716B90">
        <w:rPr>
          <w:rFonts w:ascii="Calibri" w:hAnsi="Calibri" w:cs="Calibri"/>
          <w:lang w:val="en-US"/>
        </w:rPr>
        <w:t>(</w:t>
      </w:r>
      <w:r w:rsidR="00B16623" w:rsidRPr="00716B90">
        <w:rPr>
          <w:rFonts w:ascii="Calibri" w:hAnsi="Calibri" w:cs="Calibri"/>
          <w:lang w:val="en-US"/>
        </w:rPr>
        <w:t>11.2</w:t>
      </w:r>
      <w:r w:rsidR="002100FB" w:rsidRPr="00716B90">
        <w:rPr>
          <w:rFonts w:ascii="Calibri" w:hAnsi="Calibri" w:cs="Calibri"/>
          <w:lang w:val="en-US"/>
        </w:rPr>
        <w:t>5 / 80) X 100</w:t>
      </w:r>
      <w:r w:rsidR="00B16623" w:rsidRPr="00716B90">
        <w:rPr>
          <w:rFonts w:ascii="Calibri" w:hAnsi="Calibri" w:cs="Calibri"/>
          <w:lang w:val="en-US"/>
        </w:rPr>
        <w:t>%</w:t>
      </w:r>
    </w:p>
    <w:p w14:paraId="5F86432F" w14:textId="631C5FB7" w:rsidR="002100FB" w:rsidRPr="00716B90" w:rsidRDefault="002100FB" w:rsidP="008E3C47">
      <w:pPr>
        <w:rPr>
          <w:rFonts w:ascii="Calibri" w:hAnsi="Calibri" w:cs="Calibri"/>
          <w:lang w:val="en-US"/>
        </w:rPr>
      </w:pPr>
      <w:r w:rsidRPr="00716B90">
        <w:rPr>
          <w:rFonts w:ascii="Calibri" w:hAnsi="Calibri" w:cs="Calibri"/>
          <w:lang w:val="en-US"/>
        </w:rPr>
        <w:t xml:space="preserve">          = </w:t>
      </w:r>
      <w:r w:rsidR="00ED301C" w:rsidRPr="00716B90">
        <w:rPr>
          <w:rFonts w:ascii="Calibri" w:hAnsi="Calibri" w:cs="Calibri"/>
          <w:lang w:val="en-US"/>
        </w:rPr>
        <w:t>14.06%</w:t>
      </w:r>
    </w:p>
    <w:p w14:paraId="00A20C8D" w14:textId="0374BBE7" w:rsidR="006949C5" w:rsidRPr="00716B90" w:rsidRDefault="006949C5" w:rsidP="008E3C47">
      <w:pPr>
        <w:rPr>
          <w:rFonts w:ascii="Calibri" w:hAnsi="Calibri" w:cs="Calibri"/>
          <w:b/>
          <w:bCs/>
          <w:lang w:val="en-US"/>
        </w:rPr>
      </w:pPr>
      <w:r w:rsidRPr="00716B90">
        <w:rPr>
          <w:rFonts w:ascii="Calibri" w:hAnsi="Calibri" w:cs="Calibri"/>
          <w:b/>
          <w:bCs/>
          <w:lang w:val="en-US"/>
        </w:rPr>
        <w:t xml:space="preserve">ARR for Project A = </w:t>
      </w:r>
      <w:r w:rsidR="00ED301C" w:rsidRPr="00716B90">
        <w:rPr>
          <w:rFonts w:ascii="Calibri" w:hAnsi="Calibri" w:cs="Calibri"/>
          <w:b/>
          <w:bCs/>
          <w:lang w:val="en-US"/>
        </w:rPr>
        <w:t>14</w:t>
      </w:r>
      <w:r w:rsidRPr="00716B90">
        <w:rPr>
          <w:rFonts w:ascii="Calibri" w:hAnsi="Calibri" w:cs="Calibri"/>
          <w:b/>
          <w:bCs/>
          <w:lang w:val="en-US"/>
        </w:rPr>
        <w:t>.06%</w:t>
      </w:r>
    </w:p>
    <w:p w14:paraId="09AA5EC3" w14:textId="32B23EB7" w:rsidR="00ED301C" w:rsidRPr="00716B90" w:rsidRDefault="00ED301C" w:rsidP="00ED301C">
      <w:pPr>
        <w:rPr>
          <w:rFonts w:ascii="Calibri" w:hAnsi="Calibri" w:cs="Calibri"/>
          <w:b/>
          <w:bCs/>
          <w:lang w:val="en-US"/>
        </w:rPr>
      </w:pPr>
      <w:r w:rsidRPr="00716B90">
        <w:rPr>
          <w:rFonts w:ascii="Calibri" w:hAnsi="Calibri" w:cs="Calibri"/>
          <w:b/>
          <w:bCs/>
          <w:lang w:val="en-US"/>
        </w:rPr>
        <w:t>For Project B,</w:t>
      </w:r>
    </w:p>
    <w:p w14:paraId="68021443" w14:textId="77777777" w:rsidR="00ED301C" w:rsidRPr="00716B90" w:rsidRDefault="00ED301C" w:rsidP="00ED301C">
      <w:pPr>
        <w:rPr>
          <w:rFonts w:ascii="Calibri" w:hAnsi="Calibri" w:cs="Calibri"/>
          <w:lang w:val="en-US"/>
        </w:rPr>
      </w:pPr>
      <w:r w:rsidRPr="00716B90">
        <w:rPr>
          <w:rFonts w:ascii="Calibri" w:hAnsi="Calibri" w:cs="Calibri"/>
          <w:lang w:val="en-US"/>
        </w:rPr>
        <w:t>Average Annual Profit = (No. of Years – Initial Amount) / Activity Years</w:t>
      </w:r>
    </w:p>
    <w:p w14:paraId="32D03BBC" w14:textId="4F3530F8" w:rsidR="00ED301C" w:rsidRPr="00716B90" w:rsidRDefault="00ED301C" w:rsidP="00ED301C">
      <w:pPr>
        <w:rPr>
          <w:rFonts w:ascii="Calibri" w:hAnsi="Calibri" w:cs="Calibri"/>
          <w:lang w:val="en-US"/>
        </w:rPr>
      </w:pPr>
      <w:r w:rsidRPr="00716B90">
        <w:rPr>
          <w:rFonts w:ascii="Calibri" w:hAnsi="Calibri" w:cs="Calibri"/>
          <w:lang w:val="en-US"/>
        </w:rPr>
        <w:t xml:space="preserve">                                           = (50+20+20+20 – 75) / 4</w:t>
      </w:r>
    </w:p>
    <w:p w14:paraId="79907CA0" w14:textId="317B8168" w:rsidR="00ED301C" w:rsidRPr="00716B90" w:rsidRDefault="00ED301C" w:rsidP="00ED301C">
      <w:pPr>
        <w:rPr>
          <w:rFonts w:ascii="Calibri" w:hAnsi="Calibri" w:cs="Calibri"/>
          <w:lang w:val="en-US"/>
        </w:rPr>
      </w:pPr>
      <w:r w:rsidRPr="00716B90">
        <w:rPr>
          <w:rFonts w:ascii="Calibri" w:hAnsi="Calibri" w:cs="Calibri"/>
          <w:lang w:val="en-US"/>
        </w:rPr>
        <w:t xml:space="preserve">                                           = £35 / 4 </w:t>
      </w:r>
    </w:p>
    <w:p w14:paraId="370A0474" w14:textId="602AEB43" w:rsidR="00ED301C" w:rsidRPr="00716B90" w:rsidRDefault="00ED301C" w:rsidP="00ED301C">
      <w:pPr>
        <w:rPr>
          <w:rFonts w:ascii="Calibri" w:hAnsi="Calibri" w:cs="Calibri"/>
          <w:lang w:val="en-US"/>
        </w:rPr>
      </w:pPr>
      <w:r w:rsidRPr="00716B90">
        <w:rPr>
          <w:rFonts w:ascii="Calibri" w:hAnsi="Calibri" w:cs="Calibri"/>
          <w:lang w:val="en-US"/>
        </w:rPr>
        <w:t xml:space="preserve">                                           = £8.75m</w:t>
      </w:r>
    </w:p>
    <w:p w14:paraId="1659B993" w14:textId="05965167" w:rsidR="00ED301C" w:rsidRPr="00716B90" w:rsidRDefault="00ED301C" w:rsidP="00ED301C">
      <w:pPr>
        <w:rPr>
          <w:rFonts w:ascii="Calibri" w:hAnsi="Calibri" w:cs="Calibri"/>
          <w:b/>
          <w:bCs/>
          <w:lang w:val="en-US"/>
        </w:rPr>
      </w:pPr>
      <w:r w:rsidRPr="00716B90">
        <w:rPr>
          <w:rFonts w:ascii="Calibri" w:hAnsi="Calibri" w:cs="Calibri"/>
          <w:b/>
          <w:bCs/>
          <w:lang w:val="en-US"/>
        </w:rPr>
        <w:t>Initial Amount Invested = £75m</w:t>
      </w:r>
    </w:p>
    <w:p w14:paraId="0B30F14E" w14:textId="1C738226" w:rsidR="00ED301C" w:rsidRPr="00716B90" w:rsidRDefault="00ED301C" w:rsidP="00ED301C">
      <w:pPr>
        <w:rPr>
          <w:rFonts w:ascii="Calibri" w:hAnsi="Calibri" w:cs="Calibri"/>
          <w:lang w:val="en-US"/>
        </w:rPr>
      </w:pPr>
      <w:r w:rsidRPr="00716B90">
        <w:rPr>
          <w:rFonts w:ascii="Calibri" w:hAnsi="Calibri" w:cs="Calibri"/>
          <w:lang w:val="en-US"/>
        </w:rPr>
        <w:t>ARR = (Average Annual Profit / Initial Investment) x 100</w:t>
      </w:r>
      <w:r w:rsidR="00760128" w:rsidRPr="00716B90">
        <w:rPr>
          <w:rFonts w:ascii="Calibri" w:hAnsi="Calibri" w:cs="Calibri"/>
          <w:lang w:val="en-US"/>
        </w:rPr>
        <w:t>%</w:t>
      </w:r>
    </w:p>
    <w:p w14:paraId="6FA5F9F3" w14:textId="1429B83D" w:rsidR="00ED301C" w:rsidRPr="00716B90" w:rsidRDefault="00ED301C" w:rsidP="00ED301C">
      <w:pPr>
        <w:rPr>
          <w:rFonts w:ascii="Calibri" w:hAnsi="Calibri" w:cs="Calibri"/>
          <w:lang w:val="en-US"/>
        </w:rPr>
      </w:pPr>
      <w:r w:rsidRPr="00716B90">
        <w:rPr>
          <w:rFonts w:ascii="Calibri" w:hAnsi="Calibri" w:cs="Calibri"/>
          <w:lang w:val="en-US"/>
        </w:rPr>
        <w:t xml:space="preserve">          = (8.75 / 75) X 100%</w:t>
      </w:r>
    </w:p>
    <w:p w14:paraId="4D72DD75" w14:textId="7D589C51" w:rsidR="00ED301C" w:rsidRPr="00716B90" w:rsidRDefault="00ED301C" w:rsidP="00ED301C">
      <w:pPr>
        <w:rPr>
          <w:rFonts w:ascii="Calibri" w:hAnsi="Calibri" w:cs="Calibri"/>
          <w:lang w:val="en-US"/>
        </w:rPr>
      </w:pPr>
      <w:r w:rsidRPr="00716B90">
        <w:rPr>
          <w:rFonts w:ascii="Calibri" w:hAnsi="Calibri" w:cs="Calibri"/>
          <w:lang w:val="en-US"/>
        </w:rPr>
        <w:t xml:space="preserve">          = 11.67%</w:t>
      </w:r>
    </w:p>
    <w:p w14:paraId="4AA6A6D9" w14:textId="399CA5C5" w:rsidR="00ED301C" w:rsidRPr="00716B90" w:rsidRDefault="00ED301C" w:rsidP="00ED301C">
      <w:pPr>
        <w:rPr>
          <w:rFonts w:ascii="Calibri" w:hAnsi="Calibri" w:cs="Calibri"/>
          <w:b/>
          <w:bCs/>
          <w:lang w:val="en-US"/>
        </w:rPr>
      </w:pPr>
      <w:r w:rsidRPr="00716B90">
        <w:rPr>
          <w:rFonts w:ascii="Calibri" w:hAnsi="Calibri" w:cs="Calibri"/>
          <w:b/>
          <w:bCs/>
          <w:lang w:val="en-US"/>
        </w:rPr>
        <w:t xml:space="preserve">ARR for Project </w:t>
      </w:r>
      <w:r w:rsidR="00132759" w:rsidRPr="00716B90">
        <w:rPr>
          <w:rFonts w:ascii="Calibri" w:hAnsi="Calibri" w:cs="Calibri"/>
          <w:b/>
          <w:bCs/>
          <w:lang w:val="en-US"/>
        </w:rPr>
        <w:t>B</w:t>
      </w:r>
      <w:r w:rsidRPr="00716B90">
        <w:rPr>
          <w:rFonts w:ascii="Calibri" w:hAnsi="Calibri" w:cs="Calibri"/>
          <w:b/>
          <w:bCs/>
          <w:lang w:val="en-US"/>
        </w:rPr>
        <w:t xml:space="preserve"> = </w:t>
      </w:r>
      <w:r w:rsidR="00132759" w:rsidRPr="00716B90">
        <w:rPr>
          <w:rFonts w:ascii="Calibri" w:hAnsi="Calibri" w:cs="Calibri"/>
          <w:b/>
          <w:bCs/>
          <w:lang w:val="en-US"/>
        </w:rPr>
        <w:t>11.67</w:t>
      </w:r>
      <w:r w:rsidRPr="00716B90">
        <w:rPr>
          <w:rFonts w:ascii="Calibri" w:hAnsi="Calibri" w:cs="Calibri"/>
          <w:b/>
          <w:bCs/>
          <w:lang w:val="en-US"/>
        </w:rPr>
        <w:t>%</w:t>
      </w:r>
    </w:p>
    <w:p w14:paraId="6083C25E" w14:textId="31A23CC2" w:rsidR="00E32C8B" w:rsidRPr="00716B90" w:rsidRDefault="00724BA2" w:rsidP="00855898">
      <w:pPr>
        <w:pStyle w:val="Heading3"/>
        <w:rPr>
          <w:rFonts w:ascii="Calibri" w:hAnsi="Calibri" w:cs="Calibri"/>
          <w:sz w:val="24"/>
          <w:szCs w:val="24"/>
          <w:lang w:val="en-US"/>
        </w:rPr>
      </w:pPr>
      <w:bookmarkStart w:id="26" w:name="_Toc175126655"/>
      <w:r w:rsidRPr="00716B90">
        <w:rPr>
          <w:rFonts w:ascii="Calibri" w:hAnsi="Calibri" w:cs="Calibri"/>
          <w:sz w:val="24"/>
          <w:szCs w:val="24"/>
          <w:lang w:val="en-US"/>
        </w:rPr>
        <w:t>3.</w:t>
      </w:r>
      <w:r w:rsidR="00540DBA" w:rsidRPr="00716B90">
        <w:rPr>
          <w:rFonts w:ascii="Calibri" w:hAnsi="Calibri" w:cs="Calibri"/>
          <w:sz w:val="24"/>
          <w:szCs w:val="24"/>
          <w:lang w:val="en-US"/>
        </w:rPr>
        <w:t>1.</w:t>
      </w:r>
      <w:r w:rsidR="00455E2C" w:rsidRPr="00716B90">
        <w:rPr>
          <w:rFonts w:ascii="Calibri" w:hAnsi="Calibri" w:cs="Calibri"/>
          <w:sz w:val="24"/>
          <w:szCs w:val="24"/>
          <w:lang w:val="en-US"/>
        </w:rPr>
        <w:t>3</w:t>
      </w:r>
      <w:r w:rsidRPr="00716B90">
        <w:rPr>
          <w:rFonts w:ascii="Calibri" w:hAnsi="Calibri" w:cs="Calibri"/>
          <w:sz w:val="24"/>
          <w:szCs w:val="24"/>
          <w:lang w:val="en-US"/>
        </w:rPr>
        <w:t xml:space="preserve">. </w:t>
      </w:r>
      <w:r w:rsidR="006949C5" w:rsidRPr="00716B90">
        <w:rPr>
          <w:rFonts w:ascii="Calibri" w:hAnsi="Calibri" w:cs="Calibri"/>
          <w:sz w:val="24"/>
          <w:szCs w:val="24"/>
          <w:lang w:val="en-US"/>
        </w:rPr>
        <w:t>Net Profit Value</w:t>
      </w:r>
      <w:r w:rsidR="00671A7D" w:rsidRPr="00716B90">
        <w:rPr>
          <w:rFonts w:ascii="Calibri" w:hAnsi="Calibri" w:cs="Calibri"/>
          <w:sz w:val="24"/>
          <w:szCs w:val="24"/>
          <w:lang w:val="en-US"/>
        </w:rPr>
        <w:t>:</w:t>
      </w:r>
      <w:bookmarkEnd w:id="26"/>
    </w:p>
    <w:p w14:paraId="4FEF59D1" w14:textId="6FE45D58" w:rsidR="004E6779" w:rsidRPr="00716B90" w:rsidRDefault="004E6779" w:rsidP="004E6779">
      <w:pPr>
        <w:rPr>
          <w:rFonts w:ascii="Calibri" w:hAnsi="Calibri" w:cs="Calibri"/>
        </w:rPr>
      </w:pPr>
      <w:r w:rsidRPr="004E6779">
        <w:rPr>
          <w:rFonts w:ascii="Calibri" w:hAnsi="Calibri" w:cs="Calibri"/>
        </w:rPr>
        <w:t>NPV = Σ (</w:t>
      </w:r>
      <w:r w:rsidR="00922F5D" w:rsidRPr="00716B90">
        <w:rPr>
          <w:rFonts w:ascii="Calibri" w:hAnsi="Calibri" w:cs="Calibri"/>
        </w:rPr>
        <w:t>(Cashflow)</w:t>
      </w:r>
      <w:r w:rsidRPr="004E6779">
        <w:rPr>
          <w:rFonts w:ascii="Calibri" w:hAnsi="Calibri" w:cs="Calibri"/>
        </w:rPr>
        <w:t xml:space="preserve">t / (1 + </w:t>
      </w:r>
      <w:proofErr w:type="gramStart"/>
      <w:r w:rsidRPr="004E6779">
        <w:rPr>
          <w:rFonts w:ascii="Calibri" w:hAnsi="Calibri" w:cs="Calibri"/>
        </w:rPr>
        <w:t>r)^</w:t>
      </w:r>
      <w:proofErr w:type="gramEnd"/>
      <w:r w:rsidRPr="004E6779">
        <w:rPr>
          <w:rFonts w:ascii="Calibri" w:hAnsi="Calibri" w:cs="Calibri"/>
        </w:rPr>
        <w:t>t)</w:t>
      </w:r>
    </w:p>
    <w:tbl>
      <w:tblPr>
        <w:tblStyle w:val="TableGrid"/>
        <w:tblW w:w="0" w:type="auto"/>
        <w:tblLook w:val="04A0" w:firstRow="1" w:lastRow="0" w:firstColumn="1" w:lastColumn="0" w:noHBand="0" w:noVBand="1"/>
      </w:tblPr>
      <w:tblGrid>
        <w:gridCol w:w="2254"/>
        <w:gridCol w:w="2254"/>
        <w:gridCol w:w="2254"/>
        <w:gridCol w:w="2254"/>
      </w:tblGrid>
      <w:tr w:rsidR="00922F5D" w:rsidRPr="00716B90" w14:paraId="0DB33821" w14:textId="77777777" w:rsidTr="00044085">
        <w:tc>
          <w:tcPr>
            <w:tcW w:w="2254" w:type="dxa"/>
            <w:shd w:val="clear" w:color="auto" w:fill="C1E4F5" w:themeFill="accent1" w:themeFillTint="33"/>
          </w:tcPr>
          <w:p w14:paraId="2E24ED6B" w14:textId="1D0F65F9" w:rsidR="00922F5D" w:rsidRPr="00716B90" w:rsidRDefault="00922F5D" w:rsidP="004E6779">
            <w:pPr>
              <w:rPr>
                <w:rFonts w:ascii="Calibri" w:hAnsi="Calibri" w:cs="Calibri"/>
              </w:rPr>
            </w:pPr>
            <w:r w:rsidRPr="00716B90">
              <w:rPr>
                <w:rFonts w:ascii="Calibri" w:hAnsi="Calibri" w:cs="Calibri"/>
              </w:rPr>
              <w:t>Years</w:t>
            </w:r>
          </w:p>
        </w:tc>
        <w:tc>
          <w:tcPr>
            <w:tcW w:w="2254" w:type="dxa"/>
            <w:shd w:val="clear" w:color="auto" w:fill="C1E4F5" w:themeFill="accent1" w:themeFillTint="33"/>
          </w:tcPr>
          <w:p w14:paraId="59B4EAB3" w14:textId="1EB8DC54" w:rsidR="00922F5D" w:rsidRPr="00716B90" w:rsidRDefault="00AC01BC" w:rsidP="004E6779">
            <w:pPr>
              <w:rPr>
                <w:rFonts w:ascii="Calibri" w:hAnsi="Calibri" w:cs="Calibri"/>
              </w:rPr>
            </w:pPr>
            <w:r w:rsidRPr="00716B90">
              <w:rPr>
                <w:rFonts w:ascii="Calibri" w:hAnsi="Calibri" w:cs="Calibri"/>
              </w:rPr>
              <w:t>Cashflow of A</w:t>
            </w:r>
          </w:p>
        </w:tc>
        <w:tc>
          <w:tcPr>
            <w:tcW w:w="2254" w:type="dxa"/>
            <w:shd w:val="clear" w:color="auto" w:fill="C1E4F5" w:themeFill="accent1" w:themeFillTint="33"/>
          </w:tcPr>
          <w:p w14:paraId="0C9CC426" w14:textId="7392DC67" w:rsidR="00922F5D" w:rsidRPr="00716B90" w:rsidRDefault="00AC01BC" w:rsidP="004E6779">
            <w:pPr>
              <w:rPr>
                <w:rFonts w:ascii="Calibri" w:hAnsi="Calibri" w:cs="Calibri"/>
              </w:rPr>
            </w:pPr>
            <w:r w:rsidRPr="00716B90">
              <w:rPr>
                <w:rFonts w:ascii="Calibri" w:hAnsi="Calibri" w:cs="Calibri"/>
              </w:rPr>
              <w:t xml:space="preserve">Discount </w:t>
            </w:r>
            <w:r w:rsidR="003F3B9B" w:rsidRPr="00716B90">
              <w:rPr>
                <w:rFonts w:ascii="Calibri" w:hAnsi="Calibri" w:cs="Calibri"/>
              </w:rPr>
              <w:t>Rate (</w:t>
            </w:r>
            <w:r w:rsidRPr="00716B90">
              <w:rPr>
                <w:rFonts w:ascii="Calibri" w:hAnsi="Calibri" w:cs="Calibri"/>
              </w:rPr>
              <w:t>9.75%)</w:t>
            </w:r>
          </w:p>
        </w:tc>
        <w:tc>
          <w:tcPr>
            <w:tcW w:w="2254" w:type="dxa"/>
            <w:shd w:val="clear" w:color="auto" w:fill="C1E4F5" w:themeFill="accent1" w:themeFillTint="33"/>
          </w:tcPr>
          <w:p w14:paraId="751DA797" w14:textId="166261C0" w:rsidR="00922F5D" w:rsidRPr="00716B90" w:rsidRDefault="00AC01BC" w:rsidP="004E6779">
            <w:pPr>
              <w:rPr>
                <w:rFonts w:ascii="Calibri" w:hAnsi="Calibri" w:cs="Calibri"/>
              </w:rPr>
            </w:pPr>
            <w:r w:rsidRPr="00716B90">
              <w:rPr>
                <w:rFonts w:ascii="Calibri" w:hAnsi="Calibri" w:cs="Calibri"/>
              </w:rPr>
              <w:t>Present Value</w:t>
            </w:r>
          </w:p>
        </w:tc>
      </w:tr>
      <w:tr w:rsidR="00922F5D" w:rsidRPr="00716B90" w14:paraId="05C89506" w14:textId="77777777" w:rsidTr="00922F5D">
        <w:tc>
          <w:tcPr>
            <w:tcW w:w="2254" w:type="dxa"/>
          </w:tcPr>
          <w:p w14:paraId="2F7D0F99" w14:textId="735DE927" w:rsidR="00922F5D" w:rsidRPr="00716B90" w:rsidRDefault="003F3B9B" w:rsidP="004E6779">
            <w:pPr>
              <w:rPr>
                <w:rFonts w:ascii="Calibri" w:hAnsi="Calibri" w:cs="Calibri"/>
              </w:rPr>
            </w:pPr>
            <w:r w:rsidRPr="00716B90">
              <w:rPr>
                <w:rFonts w:ascii="Calibri" w:hAnsi="Calibri" w:cs="Calibri"/>
              </w:rPr>
              <w:t>0</w:t>
            </w:r>
          </w:p>
        </w:tc>
        <w:tc>
          <w:tcPr>
            <w:tcW w:w="2254" w:type="dxa"/>
          </w:tcPr>
          <w:p w14:paraId="6BCC309A" w14:textId="385ACEB7" w:rsidR="00922F5D" w:rsidRPr="00716B90" w:rsidRDefault="00AD495E" w:rsidP="004E6779">
            <w:pPr>
              <w:rPr>
                <w:rFonts w:ascii="Calibri" w:hAnsi="Calibri" w:cs="Calibri"/>
              </w:rPr>
            </w:pPr>
            <w:r w:rsidRPr="00716B90">
              <w:rPr>
                <w:rFonts w:ascii="Calibri" w:hAnsi="Calibri" w:cs="Calibri"/>
              </w:rPr>
              <w:t>(80)</w:t>
            </w:r>
          </w:p>
        </w:tc>
        <w:tc>
          <w:tcPr>
            <w:tcW w:w="2254" w:type="dxa"/>
          </w:tcPr>
          <w:p w14:paraId="137183DA" w14:textId="185869D2" w:rsidR="00922F5D" w:rsidRPr="00716B90" w:rsidRDefault="003F3B9B" w:rsidP="004E6779">
            <w:pPr>
              <w:rPr>
                <w:rFonts w:ascii="Calibri" w:hAnsi="Calibri" w:cs="Calibri"/>
              </w:rPr>
            </w:pPr>
            <w:r w:rsidRPr="00716B90">
              <w:rPr>
                <w:rFonts w:ascii="Calibri" w:hAnsi="Calibri" w:cs="Calibri"/>
              </w:rPr>
              <w:t>1.000</w:t>
            </w:r>
          </w:p>
        </w:tc>
        <w:tc>
          <w:tcPr>
            <w:tcW w:w="2254" w:type="dxa"/>
          </w:tcPr>
          <w:p w14:paraId="04DBF813" w14:textId="4C92133B" w:rsidR="00922F5D" w:rsidRPr="00716B90" w:rsidRDefault="003F3B9B" w:rsidP="004E6779">
            <w:pPr>
              <w:rPr>
                <w:rFonts w:ascii="Calibri" w:hAnsi="Calibri" w:cs="Calibri"/>
              </w:rPr>
            </w:pPr>
            <w:r w:rsidRPr="00716B90">
              <w:rPr>
                <w:rFonts w:ascii="Calibri" w:hAnsi="Calibri" w:cs="Calibri"/>
              </w:rPr>
              <w:t>(80)</w:t>
            </w:r>
          </w:p>
        </w:tc>
      </w:tr>
      <w:tr w:rsidR="00922F5D" w:rsidRPr="00716B90" w14:paraId="71DDCAFB" w14:textId="77777777" w:rsidTr="00922F5D">
        <w:tc>
          <w:tcPr>
            <w:tcW w:w="2254" w:type="dxa"/>
          </w:tcPr>
          <w:p w14:paraId="7B09A96B" w14:textId="74C683A9" w:rsidR="00922F5D" w:rsidRPr="00716B90" w:rsidRDefault="003F3B9B" w:rsidP="004E6779">
            <w:pPr>
              <w:rPr>
                <w:rFonts w:ascii="Calibri" w:hAnsi="Calibri" w:cs="Calibri"/>
              </w:rPr>
            </w:pPr>
            <w:r w:rsidRPr="00716B90">
              <w:rPr>
                <w:rFonts w:ascii="Calibri" w:hAnsi="Calibri" w:cs="Calibri"/>
              </w:rPr>
              <w:t>1</w:t>
            </w:r>
          </w:p>
        </w:tc>
        <w:tc>
          <w:tcPr>
            <w:tcW w:w="2254" w:type="dxa"/>
          </w:tcPr>
          <w:p w14:paraId="3CB56E73" w14:textId="6FF036E8" w:rsidR="00922F5D" w:rsidRPr="00716B90" w:rsidRDefault="00AD495E" w:rsidP="004E6779">
            <w:pPr>
              <w:rPr>
                <w:rFonts w:ascii="Calibri" w:hAnsi="Calibri" w:cs="Calibri"/>
              </w:rPr>
            </w:pPr>
            <w:r w:rsidRPr="00716B90">
              <w:rPr>
                <w:rFonts w:ascii="Calibri" w:hAnsi="Calibri" w:cs="Calibri"/>
              </w:rPr>
              <w:t>25</w:t>
            </w:r>
          </w:p>
        </w:tc>
        <w:tc>
          <w:tcPr>
            <w:tcW w:w="2254" w:type="dxa"/>
          </w:tcPr>
          <w:p w14:paraId="175AFFEE" w14:textId="6AABF5AC" w:rsidR="00922F5D" w:rsidRPr="00716B90" w:rsidRDefault="003F3B9B" w:rsidP="004E6779">
            <w:pPr>
              <w:rPr>
                <w:rFonts w:ascii="Calibri" w:hAnsi="Calibri" w:cs="Calibri"/>
              </w:rPr>
            </w:pPr>
            <w:r w:rsidRPr="00716B90">
              <w:rPr>
                <w:rFonts w:ascii="Calibri" w:hAnsi="Calibri" w:cs="Calibri"/>
              </w:rPr>
              <w:t>0.9110</w:t>
            </w:r>
          </w:p>
        </w:tc>
        <w:tc>
          <w:tcPr>
            <w:tcW w:w="2254" w:type="dxa"/>
          </w:tcPr>
          <w:p w14:paraId="1919123F" w14:textId="53DA9DF3" w:rsidR="00922F5D" w:rsidRPr="00716B90" w:rsidRDefault="003F3B9B" w:rsidP="004E6779">
            <w:pPr>
              <w:rPr>
                <w:rFonts w:ascii="Calibri" w:hAnsi="Calibri" w:cs="Calibri"/>
              </w:rPr>
            </w:pPr>
            <w:r w:rsidRPr="00716B90">
              <w:rPr>
                <w:rFonts w:ascii="Calibri" w:hAnsi="Calibri" w:cs="Calibri"/>
              </w:rPr>
              <w:t>22.78</w:t>
            </w:r>
          </w:p>
        </w:tc>
      </w:tr>
      <w:tr w:rsidR="00922F5D" w:rsidRPr="00716B90" w14:paraId="3C70835D" w14:textId="77777777" w:rsidTr="00922F5D">
        <w:tc>
          <w:tcPr>
            <w:tcW w:w="2254" w:type="dxa"/>
          </w:tcPr>
          <w:p w14:paraId="64C1060D" w14:textId="7EB5EC64" w:rsidR="00922F5D" w:rsidRPr="00716B90" w:rsidRDefault="003F3B9B" w:rsidP="004E6779">
            <w:pPr>
              <w:rPr>
                <w:rFonts w:ascii="Calibri" w:hAnsi="Calibri" w:cs="Calibri"/>
              </w:rPr>
            </w:pPr>
            <w:r w:rsidRPr="00716B90">
              <w:rPr>
                <w:rFonts w:ascii="Calibri" w:hAnsi="Calibri" w:cs="Calibri"/>
              </w:rPr>
              <w:t>2</w:t>
            </w:r>
          </w:p>
        </w:tc>
        <w:tc>
          <w:tcPr>
            <w:tcW w:w="2254" w:type="dxa"/>
          </w:tcPr>
          <w:p w14:paraId="5C121F20" w14:textId="13A8F33C" w:rsidR="00922F5D" w:rsidRPr="00716B90" w:rsidRDefault="00AD495E" w:rsidP="004E6779">
            <w:pPr>
              <w:rPr>
                <w:rFonts w:ascii="Calibri" w:hAnsi="Calibri" w:cs="Calibri"/>
              </w:rPr>
            </w:pPr>
            <w:r w:rsidRPr="00716B90">
              <w:rPr>
                <w:rFonts w:ascii="Calibri" w:hAnsi="Calibri" w:cs="Calibri"/>
              </w:rPr>
              <w:t>25</w:t>
            </w:r>
          </w:p>
        </w:tc>
        <w:tc>
          <w:tcPr>
            <w:tcW w:w="2254" w:type="dxa"/>
          </w:tcPr>
          <w:p w14:paraId="3E40F8E0" w14:textId="6C3B7DE8" w:rsidR="00922F5D" w:rsidRPr="00716B90" w:rsidRDefault="00AD495E" w:rsidP="004E6779">
            <w:pPr>
              <w:rPr>
                <w:rFonts w:ascii="Calibri" w:hAnsi="Calibri" w:cs="Calibri"/>
              </w:rPr>
            </w:pPr>
            <w:r w:rsidRPr="00716B90">
              <w:rPr>
                <w:rFonts w:ascii="Calibri" w:hAnsi="Calibri" w:cs="Calibri"/>
              </w:rPr>
              <w:t>0.8303</w:t>
            </w:r>
          </w:p>
        </w:tc>
        <w:tc>
          <w:tcPr>
            <w:tcW w:w="2254" w:type="dxa"/>
          </w:tcPr>
          <w:p w14:paraId="5D987294" w14:textId="71826338" w:rsidR="00922F5D" w:rsidRPr="00716B90" w:rsidRDefault="003F3B9B" w:rsidP="004E6779">
            <w:pPr>
              <w:rPr>
                <w:rFonts w:ascii="Calibri" w:hAnsi="Calibri" w:cs="Calibri"/>
              </w:rPr>
            </w:pPr>
            <w:r w:rsidRPr="00716B90">
              <w:rPr>
                <w:rFonts w:ascii="Calibri" w:hAnsi="Calibri" w:cs="Calibri"/>
              </w:rPr>
              <w:t>20.76</w:t>
            </w:r>
          </w:p>
        </w:tc>
      </w:tr>
      <w:tr w:rsidR="00922F5D" w:rsidRPr="00716B90" w14:paraId="7DE8E653" w14:textId="77777777" w:rsidTr="00922F5D">
        <w:tc>
          <w:tcPr>
            <w:tcW w:w="2254" w:type="dxa"/>
          </w:tcPr>
          <w:p w14:paraId="436C5A55" w14:textId="243ABE3A" w:rsidR="00922F5D" w:rsidRPr="00716B90" w:rsidRDefault="003F3B9B" w:rsidP="004E6779">
            <w:pPr>
              <w:rPr>
                <w:rFonts w:ascii="Calibri" w:hAnsi="Calibri" w:cs="Calibri"/>
              </w:rPr>
            </w:pPr>
            <w:r w:rsidRPr="00716B90">
              <w:rPr>
                <w:rFonts w:ascii="Calibri" w:hAnsi="Calibri" w:cs="Calibri"/>
              </w:rPr>
              <w:t>3</w:t>
            </w:r>
          </w:p>
        </w:tc>
        <w:tc>
          <w:tcPr>
            <w:tcW w:w="2254" w:type="dxa"/>
          </w:tcPr>
          <w:p w14:paraId="2ED236A9" w14:textId="22AE22B5" w:rsidR="00922F5D" w:rsidRPr="00716B90" w:rsidRDefault="00AD495E" w:rsidP="004E6779">
            <w:pPr>
              <w:rPr>
                <w:rFonts w:ascii="Calibri" w:hAnsi="Calibri" w:cs="Calibri"/>
              </w:rPr>
            </w:pPr>
            <w:r w:rsidRPr="00716B90">
              <w:rPr>
                <w:rFonts w:ascii="Calibri" w:hAnsi="Calibri" w:cs="Calibri"/>
              </w:rPr>
              <w:t>20</w:t>
            </w:r>
          </w:p>
        </w:tc>
        <w:tc>
          <w:tcPr>
            <w:tcW w:w="2254" w:type="dxa"/>
          </w:tcPr>
          <w:p w14:paraId="5187CBAF" w14:textId="452667AA" w:rsidR="00922F5D" w:rsidRPr="00716B90" w:rsidRDefault="00AD495E" w:rsidP="004E6779">
            <w:pPr>
              <w:rPr>
                <w:rFonts w:ascii="Calibri" w:hAnsi="Calibri" w:cs="Calibri"/>
              </w:rPr>
            </w:pPr>
            <w:r w:rsidRPr="00716B90">
              <w:rPr>
                <w:rFonts w:ascii="Calibri" w:hAnsi="Calibri" w:cs="Calibri"/>
              </w:rPr>
              <w:t>0.7568</w:t>
            </w:r>
          </w:p>
        </w:tc>
        <w:tc>
          <w:tcPr>
            <w:tcW w:w="2254" w:type="dxa"/>
          </w:tcPr>
          <w:p w14:paraId="619DCDB1" w14:textId="4453A404" w:rsidR="00922F5D" w:rsidRPr="00716B90" w:rsidRDefault="003F3B9B" w:rsidP="004E6779">
            <w:pPr>
              <w:rPr>
                <w:rFonts w:ascii="Calibri" w:hAnsi="Calibri" w:cs="Calibri"/>
              </w:rPr>
            </w:pPr>
            <w:r w:rsidRPr="00716B90">
              <w:rPr>
                <w:rFonts w:ascii="Calibri" w:hAnsi="Calibri" w:cs="Calibri"/>
              </w:rPr>
              <w:t>15.14</w:t>
            </w:r>
          </w:p>
        </w:tc>
      </w:tr>
      <w:tr w:rsidR="00922F5D" w:rsidRPr="00716B90" w14:paraId="63087529" w14:textId="77777777" w:rsidTr="00922F5D">
        <w:tc>
          <w:tcPr>
            <w:tcW w:w="2254" w:type="dxa"/>
          </w:tcPr>
          <w:p w14:paraId="6AD8F4FD" w14:textId="7CA08152" w:rsidR="00922F5D" w:rsidRPr="00716B90" w:rsidRDefault="003F3B9B" w:rsidP="004E6779">
            <w:pPr>
              <w:rPr>
                <w:rFonts w:ascii="Calibri" w:hAnsi="Calibri" w:cs="Calibri"/>
              </w:rPr>
            </w:pPr>
            <w:r w:rsidRPr="00716B90">
              <w:rPr>
                <w:rFonts w:ascii="Calibri" w:hAnsi="Calibri" w:cs="Calibri"/>
              </w:rPr>
              <w:t>4</w:t>
            </w:r>
          </w:p>
        </w:tc>
        <w:tc>
          <w:tcPr>
            <w:tcW w:w="2254" w:type="dxa"/>
          </w:tcPr>
          <w:p w14:paraId="203B6B0C" w14:textId="0BA06BDD" w:rsidR="00922F5D" w:rsidRPr="00716B90" w:rsidRDefault="00AD495E" w:rsidP="004E6779">
            <w:pPr>
              <w:rPr>
                <w:rFonts w:ascii="Calibri" w:hAnsi="Calibri" w:cs="Calibri"/>
              </w:rPr>
            </w:pPr>
            <w:r w:rsidRPr="00716B90">
              <w:rPr>
                <w:rFonts w:ascii="Calibri" w:hAnsi="Calibri" w:cs="Calibri"/>
              </w:rPr>
              <w:t>55</w:t>
            </w:r>
          </w:p>
        </w:tc>
        <w:tc>
          <w:tcPr>
            <w:tcW w:w="2254" w:type="dxa"/>
          </w:tcPr>
          <w:p w14:paraId="22867CCF" w14:textId="54EA4BE6" w:rsidR="00922F5D" w:rsidRPr="00716B90" w:rsidRDefault="00AD495E" w:rsidP="004E6779">
            <w:pPr>
              <w:rPr>
                <w:rFonts w:ascii="Calibri" w:hAnsi="Calibri" w:cs="Calibri"/>
              </w:rPr>
            </w:pPr>
            <w:r w:rsidRPr="00716B90">
              <w:rPr>
                <w:rFonts w:ascii="Calibri" w:hAnsi="Calibri" w:cs="Calibri"/>
              </w:rPr>
              <w:t>0,6894</w:t>
            </w:r>
          </w:p>
        </w:tc>
        <w:tc>
          <w:tcPr>
            <w:tcW w:w="2254" w:type="dxa"/>
          </w:tcPr>
          <w:p w14:paraId="1C6ED5B0" w14:textId="1880B34A" w:rsidR="00922F5D" w:rsidRPr="00716B90" w:rsidRDefault="003F3B9B" w:rsidP="004E6779">
            <w:pPr>
              <w:rPr>
                <w:rFonts w:ascii="Calibri" w:hAnsi="Calibri" w:cs="Calibri"/>
              </w:rPr>
            </w:pPr>
            <w:r w:rsidRPr="00716B90">
              <w:rPr>
                <w:rFonts w:ascii="Calibri" w:hAnsi="Calibri" w:cs="Calibri"/>
              </w:rPr>
              <w:t>37.92</w:t>
            </w:r>
          </w:p>
        </w:tc>
      </w:tr>
      <w:tr w:rsidR="00922F5D" w:rsidRPr="00716B90" w14:paraId="1FB83047" w14:textId="77777777" w:rsidTr="00922F5D">
        <w:tc>
          <w:tcPr>
            <w:tcW w:w="2254" w:type="dxa"/>
          </w:tcPr>
          <w:p w14:paraId="568396E3" w14:textId="77777777" w:rsidR="00922F5D" w:rsidRPr="00716B90" w:rsidRDefault="00922F5D" w:rsidP="004E6779">
            <w:pPr>
              <w:rPr>
                <w:rFonts w:ascii="Calibri" w:hAnsi="Calibri" w:cs="Calibri"/>
              </w:rPr>
            </w:pPr>
          </w:p>
        </w:tc>
        <w:tc>
          <w:tcPr>
            <w:tcW w:w="2254" w:type="dxa"/>
          </w:tcPr>
          <w:p w14:paraId="11405903" w14:textId="77777777" w:rsidR="00922F5D" w:rsidRPr="00716B90" w:rsidRDefault="00922F5D" w:rsidP="004E6779">
            <w:pPr>
              <w:rPr>
                <w:rFonts w:ascii="Calibri" w:hAnsi="Calibri" w:cs="Calibri"/>
              </w:rPr>
            </w:pPr>
          </w:p>
        </w:tc>
        <w:tc>
          <w:tcPr>
            <w:tcW w:w="2254" w:type="dxa"/>
          </w:tcPr>
          <w:p w14:paraId="6CA373B2" w14:textId="1F4E1DB5" w:rsidR="00922F5D" w:rsidRPr="00716B90" w:rsidRDefault="003F3B9B" w:rsidP="004E6779">
            <w:pPr>
              <w:rPr>
                <w:rFonts w:ascii="Calibri" w:hAnsi="Calibri" w:cs="Calibri"/>
              </w:rPr>
            </w:pPr>
            <w:r w:rsidRPr="00716B90">
              <w:rPr>
                <w:rFonts w:ascii="Calibri" w:hAnsi="Calibri" w:cs="Calibri"/>
              </w:rPr>
              <w:t>Total NPV</w:t>
            </w:r>
          </w:p>
        </w:tc>
        <w:tc>
          <w:tcPr>
            <w:tcW w:w="2254" w:type="dxa"/>
          </w:tcPr>
          <w:p w14:paraId="559A68ED" w14:textId="66B08092" w:rsidR="00922F5D" w:rsidRPr="00716B90" w:rsidRDefault="003F3B9B" w:rsidP="004E6779">
            <w:pPr>
              <w:rPr>
                <w:rFonts w:ascii="Calibri" w:hAnsi="Calibri" w:cs="Calibri"/>
                <w:b/>
                <w:bCs/>
              </w:rPr>
            </w:pPr>
            <w:r w:rsidRPr="00716B90">
              <w:rPr>
                <w:rFonts w:ascii="Calibri" w:hAnsi="Calibri" w:cs="Calibri"/>
                <w:b/>
                <w:bCs/>
              </w:rPr>
              <w:t>16.60</w:t>
            </w:r>
          </w:p>
        </w:tc>
      </w:tr>
    </w:tbl>
    <w:p w14:paraId="24E1659C" w14:textId="708F01E1" w:rsidR="00922F5D" w:rsidRPr="00716B90" w:rsidRDefault="00C936B5" w:rsidP="004E6779">
      <w:pPr>
        <w:rPr>
          <w:rFonts w:ascii="Calibri" w:hAnsi="Calibri" w:cs="Calibri"/>
        </w:rPr>
      </w:pPr>
      <w:r w:rsidRPr="00716B90">
        <w:rPr>
          <w:rFonts w:ascii="Calibri" w:hAnsi="Calibri" w:cs="Calibri"/>
        </w:rPr>
        <w:t xml:space="preserve"> NPV for Project A cashflow is £16.60</w:t>
      </w:r>
      <w:r w:rsidR="00B33B66" w:rsidRPr="00716B90">
        <w:rPr>
          <w:rFonts w:ascii="Calibri" w:hAnsi="Calibri" w:cs="Calibri"/>
        </w:rPr>
        <w:t>m</w:t>
      </w:r>
    </w:p>
    <w:p w14:paraId="6D6C721E" w14:textId="77777777" w:rsidR="00C936B5" w:rsidRPr="00716B90" w:rsidRDefault="00C936B5" w:rsidP="004E6779">
      <w:pPr>
        <w:rPr>
          <w:rFonts w:ascii="Calibri" w:hAnsi="Calibri" w:cs="Calibri"/>
        </w:rPr>
      </w:pPr>
    </w:p>
    <w:tbl>
      <w:tblPr>
        <w:tblStyle w:val="TableGrid"/>
        <w:tblW w:w="0" w:type="auto"/>
        <w:tblLook w:val="04A0" w:firstRow="1" w:lastRow="0" w:firstColumn="1" w:lastColumn="0" w:noHBand="0" w:noVBand="1"/>
      </w:tblPr>
      <w:tblGrid>
        <w:gridCol w:w="2254"/>
        <w:gridCol w:w="2254"/>
        <w:gridCol w:w="2254"/>
        <w:gridCol w:w="2254"/>
      </w:tblGrid>
      <w:tr w:rsidR="00C936B5" w:rsidRPr="00716B90" w14:paraId="735C1D7B" w14:textId="77777777" w:rsidTr="00044085">
        <w:tc>
          <w:tcPr>
            <w:tcW w:w="2254" w:type="dxa"/>
            <w:shd w:val="clear" w:color="auto" w:fill="C1E4F5" w:themeFill="accent1" w:themeFillTint="33"/>
          </w:tcPr>
          <w:p w14:paraId="03D4DA42" w14:textId="77777777" w:rsidR="00C936B5" w:rsidRPr="00716B90" w:rsidRDefault="00C936B5" w:rsidP="006549F1">
            <w:pPr>
              <w:rPr>
                <w:rFonts w:ascii="Calibri" w:hAnsi="Calibri" w:cs="Calibri"/>
              </w:rPr>
            </w:pPr>
            <w:r w:rsidRPr="00716B90">
              <w:rPr>
                <w:rFonts w:ascii="Calibri" w:hAnsi="Calibri" w:cs="Calibri"/>
              </w:rPr>
              <w:t>Years</w:t>
            </w:r>
          </w:p>
        </w:tc>
        <w:tc>
          <w:tcPr>
            <w:tcW w:w="2254" w:type="dxa"/>
            <w:shd w:val="clear" w:color="auto" w:fill="C1E4F5" w:themeFill="accent1" w:themeFillTint="33"/>
          </w:tcPr>
          <w:p w14:paraId="17C5C483" w14:textId="1913E472" w:rsidR="00C936B5" w:rsidRPr="00716B90" w:rsidRDefault="00C936B5" w:rsidP="006549F1">
            <w:pPr>
              <w:rPr>
                <w:rFonts w:ascii="Calibri" w:hAnsi="Calibri" w:cs="Calibri"/>
              </w:rPr>
            </w:pPr>
            <w:r w:rsidRPr="00716B90">
              <w:rPr>
                <w:rFonts w:ascii="Calibri" w:hAnsi="Calibri" w:cs="Calibri"/>
              </w:rPr>
              <w:t xml:space="preserve">Cashflow of </w:t>
            </w:r>
            <w:r w:rsidR="00B33B66" w:rsidRPr="00716B90">
              <w:rPr>
                <w:rFonts w:ascii="Calibri" w:hAnsi="Calibri" w:cs="Calibri"/>
              </w:rPr>
              <w:t>B</w:t>
            </w:r>
          </w:p>
        </w:tc>
        <w:tc>
          <w:tcPr>
            <w:tcW w:w="2254" w:type="dxa"/>
            <w:shd w:val="clear" w:color="auto" w:fill="C1E4F5" w:themeFill="accent1" w:themeFillTint="33"/>
          </w:tcPr>
          <w:p w14:paraId="1910815A" w14:textId="77777777" w:rsidR="00C936B5" w:rsidRPr="00716B90" w:rsidRDefault="00C936B5" w:rsidP="006549F1">
            <w:pPr>
              <w:rPr>
                <w:rFonts w:ascii="Calibri" w:hAnsi="Calibri" w:cs="Calibri"/>
              </w:rPr>
            </w:pPr>
            <w:r w:rsidRPr="00716B90">
              <w:rPr>
                <w:rFonts w:ascii="Calibri" w:hAnsi="Calibri" w:cs="Calibri"/>
              </w:rPr>
              <w:t>Discount Rate (9.75%)</w:t>
            </w:r>
          </w:p>
        </w:tc>
        <w:tc>
          <w:tcPr>
            <w:tcW w:w="2254" w:type="dxa"/>
            <w:shd w:val="clear" w:color="auto" w:fill="C1E4F5" w:themeFill="accent1" w:themeFillTint="33"/>
          </w:tcPr>
          <w:p w14:paraId="293F102B" w14:textId="77777777" w:rsidR="00C936B5" w:rsidRPr="00716B90" w:rsidRDefault="00C936B5" w:rsidP="006549F1">
            <w:pPr>
              <w:rPr>
                <w:rFonts w:ascii="Calibri" w:hAnsi="Calibri" w:cs="Calibri"/>
              </w:rPr>
            </w:pPr>
            <w:r w:rsidRPr="00716B90">
              <w:rPr>
                <w:rFonts w:ascii="Calibri" w:hAnsi="Calibri" w:cs="Calibri"/>
              </w:rPr>
              <w:t>Present Value</w:t>
            </w:r>
          </w:p>
        </w:tc>
      </w:tr>
      <w:tr w:rsidR="00C936B5" w:rsidRPr="00716B90" w14:paraId="141567ED" w14:textId="77777777" w:rsidTr="006549F1">
        <w:tc>
          <w:tcPr>
            <w:tcW w:w="2254" w:type="dxa"/>
          </w:tcPr>
          <w:p w14:paraId="2FE3EC0C" w14:textId="77777777" w:rsidR="00C936B5" w:rsidRPr="00716B90" w:rsidRDefault="00C936B5" w:rsidP="006549F1">
            <w:pPr>
              <w:rPr>
                <w:rFonts w:ascii="Calibri" w:hAnsi="Calibri" w:cs="Calibri"/>
              </w:rPr>
            </w:pPr>
            <w:r w:rsidRPr="00716B90">
              <w:rPr>
                <w:rFonts w:ascii="Calibri" w:hAnsi="Calibri" w:cs="Calibri"/>
              </w:rPr>
              <w:t>0</w:t>
            </w:r>
          </w:p>
        </w:tc>
        <w:tc>
          <w:tcPr>
            <w:tcW w:w="2254" w:type="dxa"/>
          </w:tcPr>
          <w:p w14:paraId="55E365A5" w14:textId="501BDB0A" w:rsidR="00C936B5" w:rsidRPr="00716B90" w:rsidRDefault="00C936B5" w:rsidP="006549F1">
            <w:pPr>
              <w:rPr>
                <w:rFonts w:ascii="Calibri" w:hAnsi="Calibri" w:cs="Calibri"/>
              </w:rPr>
            </w:pPr>
            <w:r w:rsidRPr="00716B90">
              <w:rPr>
                <w:rFonts w:ascii="Calibri" w:hAnsi="Calibri" w:cs="Calibri"/>
              </w:rPr>
              <w:t>(</w:t>
            </w:r>
            <w:r w:rsidR="00B33B66" w:rsidRPr="00716B90">
              <w:rPr>
                <w:rFonts w:ascii="Calibri" w:hAnsi="Calibri" w:cs="Calibri"/>
              </w:rPr>
              <w:t>75</w:t>
            </w:r>
            <w:r w:rsidRPr="00716B90">
              <w:rPr>
                <w:rFonts w:ascii="Calibri" w:hAnsi="Calibri" w:cs="Calibri"/>
              </w:rPr>
              <w:t>)</w:t>
            </w:r>
          </w:p>
        </w:tc>
        <w:tc>
          <w:tcPr>
            <w:tcW w:w="2254" w:type="dxa"/>
          </w:tcPr>
          <w:p w14:paraId="0FBF4A41" w14:textId="77777777" w:rsidR="00C936B5" w:rsidRPr="00716B90" w:rsidRDefault="00C936B5" w:rsidP="006549F1">
            <w:pPr>
              <w:rPr>
                <w:rFonts w:ascii="Calibri" w:hAnsi="Calibri" w:cs="Calibri"/>
              </w:rPr>
            </w:pPr>
            <w:r w:rsidRPr="00716B90">
              <w:rPr>
                <w:rFonts w:ascii="Calibri" w:hAnsi="Calibri" w:cs="Calibri"/>
              </w:rPr>
              <w:t>1.000</w:t>
            </w:r>
          </w:p>
        </w:tc>
        <w:tc>
          <w:tcPr>
            <w:tcW w:w="2254" w:type="dxa"/>
          </w:tcPr>
          <w:p w14:paraId="389054E3" w14:textId="53E22207" w:rsidR="00C936B5" w:rsidRPr="00716B90" w:rsidRDefault="00C936B5" w:rsidP="006549F1">
            <w:pPr>
              <w:rPr>
                <w:rFonts w:ascii="Calibri" w:hAnsi="Calibri" w:cs="Calibri"/>
              </w:rPr>
            </w:pPr>
            <w:r w:rsidRPr="00716B90">
              <w:rPr>
                <w:rFonts w:ascii="Calibri" w:hAnsi="Calibri" w:cs="Calibri"/>
              </w:rPr>
              <w:t>(</w:t>
            </w:r>
            <w:r w:rsidR="00B33B66" w:rsidRPr="00716B90">
              <w:rPr>
                <w:rFonts w:ascii="Calibri" w:hAnsi="Calibri" w:cs="Calibri"/>
              </w:rPr>
              <w:t>75</w:t>
            </w:r>
            <w:r w:rsidRPr="00716B90">
              <w:rPr>
                <w:rFonts w:ascii="Calibri" w:hAnsi="Calibri" w:cs="Calibri"/>
              </w:rPr>
              <w:t>)</w:t>
            </w:r>
          </w:p>
        </w:tc>
      </w:tr>
      <w:tr w:rsidR="00C936B5" w:rsidRPr="00716B90" w14:paraId="7E52D932" w14:textId="77777777" w:rsidTr="006549F1">
        <w:tc>
          <w:tcPr>
            <w:tcW w:w="2254" w:type="dxa"/>
          </w:tcPr>
          <w:p w14:paraId="1440B250" w14:textId="77777777" w:rsidR="00C936B5" w:rsidRPr="00716B90" w:rsidRDefault="00C936B5" w:rsidP="006549F1">
            <w:pPr>
              <w:rPr>
                <w:rFonts w:ascii="Calibri" w:hAnsi="Calibri" w:cs="Calibri"/>
              </w:rPr>
            </w:pPr>
            <w:r w:rsidRPr="00716B90">
              <w:rPr>
                <w:rFonts w:ascii="Calibri" w:hAnsi="Calibri" w:cs="Calibri"/>
              </w:rPr>
              <w:t>1</w:t>
            </w:r>
          </w:p>
        </w:tc>
        <w:tc>
          <w:tcPr>
            <w:tcW w:w="2254" w:type="dxa"/>
          </w:tcPr>
          <w:p w14:paraId="110557EB" w14:textId="14F4077F" w:rsidR="00C936B5" w:rsidRPr="00716B90" w:rsidRDefault="00B33B66" w:rsidP="006549F1">
            <w:pPr>
              <w:rPr>
                <w:rFonts w:ascii="Calibri" w:hAnsi="Calibri" w:cs="Calibri"/>
              </w:rPr>
            </w:pPr>
            <w:r w:rsidRPr="00716B90">
              <w:rPr>
                <w:rFonts w:ascii="Calibri" w:hAnsi="Calibri" w:cs="Calibri"/>
              </w:rPr>
              <w:t>50</w:t>
            </w:r>
          </w:p>
        </w:tc>
        <w:tc>
          <w:tcPr>
            <w:tcW w:w="2254" w:type="dxa"/>
          </w:tcPr>
          <w:p w14:paraId="150A9656" w14:textId="77777777" w:rsidR="00C936B5" w:rsidRPr="00716B90" w:rsidRDefault="00C936B5" w:rsidP="006549F1">
            <w:pPr>
              <w:rPr>
                <w:rFonts w:ascii="Calibri" w:hAnsi="Calibri" w:cs="Calibri"/>
              </w:rPr>
            </w:pPr>
            <w:r w:rsidRPr="00716B90">
              <w:rPr>
                <w:rFonts w:ascii="Calibri" w:hAnsi="Calibri" w:cs="Calibri"/>
              </w:rPr>
              <w:t>0.9110</w:t>
            </w:r>
          </w:p>
        </w:tc>
        <w:tc>
          <w:tcPr>
            <w:tcW w:w="2254" w:type="dxa"/>
          </w:tcPr>
          <w:p w14:paraId="52360B0D" w14:textId="5A9DEA41" w:rsidR="00C936B5" w:rsidRPr="00716B90" w:rsidRDefault="00B33B66" w:rsidP="006549F1">
            <w:pPr>
              <w:rPr>
                <w:rFonts w:ascii="Calibri" w:hAnsi="Calibri" w:cs="Calibri"/>
              </w:rPr>
            </w:pPr>
            <w:r w:rsidRPr="00716B90">
              <w:rPr>
                <w:rFonts w:ascii="Calibri" w:hAnsi="Calibri" w:cs="Calibri"/>
              </w:rPr>
              <w:t>45.55</w:t>
            </w:r>
          </w:p>
        </w:tc>
      </w:tr>
      <w:tr w:rsidR="00C936B5" w:rsidRPr="00716B90" w14:paraId="0213BA4B" w14:textId="77777777" w:rsidTr="006549F1">
        <w:tc>
          <w:tcPr>
            <w:tcW w:w="2254" w:type="dxa"/>
          </w:tcPr>
          <w:p w14:paraId="4B634D72" w14:textId="77777777" w:rsidR="00C936B5" w:rsidRPr="00716B90" w:rsidRDefault="00C936B5" w:rsidP="006549F1">
            <w:pPr>
              <w:rPr>
                <w:rFonts w:ascii="Calibri" w:hAnsi="Calibri" w:cs="Calibri"/>
              </w:rPr>
            </w:pPr>
            <w:r w:rsidRPr="00716B90">
              <w:rPr>
                <w:rFonts w:ascii="Calibri" w:hAnsi="Calibri" w:cs="Calibri"/>
              </w:rPr>
              <w:t>2</w:t>
            </w:r>
          </w:p>
        </w:tc>
        <w:tc>
          <w:tcPr>
            <w:tcW w:w="2254" w:type="dxa"/>
          </w:tcPr>
          <w:p w14:paraId="3B9EF90A" w14:textId="030651A2" w:rsidR="00C936B5" w:rsidRPr="00716B90" w:rsidRDefault="00C936B5" w:rsidP="006549F1">
            <w:pPr>
              <w:rPr>
                <w:rFonts w:ascii="Calibri" w:hAnsi="Calibri" w:cs="Calibri"/>
              </w:rPr>
            </w:pPr>
            <w:r w:rsidRPr="00716B90">
              <w:rPr>
                <w:rFonts w:ascii="Calibri" w:hAnsi="Calibri" w:cs="Calibri"/>
              </w:rPr>
              <w:t>2</w:t>
            </w:r>
            <w:r w:rsidR="00B33B66" w:rsidRPr="00716B90">
              <w:rPr>
                <w:rFonts w:ascii="Calibri" w:hAnsi="Calibri" w:cs="Calibri"/>
              </w:rPr>
              <w:t>0</w:t>
            </w:r>
          </w:p>
        </w:tc>
        <w:tc>
          <w:tcPr>
            <w:tcW w:w="2254" w:type="dxa"/>
          </w:tcPr>
          <w:p w14:paraId="5CC4BA51" w14:textId="77777777" w:rsidR="00C936B5" w:rsidRPr="00716B90" w:rsidRDefault="00C936B5" w:rsidP="006549F1">
            <w:pPr>
              <w:rPr>
                <w:rFonts w:ascii="Calibri" w:hAnsi="Calibri" w:cs="Calibri"/>
              </w:rPr>
            </w:pPr>
            <w:r w:rsidRPr="00716B90">
              <w:rPr>
                <w:rFonts w:ascii="Calibri" w:hAnsi="Calibri" w:cs="Calibri"/>
              </w:rPr>
              <w:t>0.8303</w:t>
            </w:r>
          </w:p>
        </w:tc>
        <w:tc>
          <w:tcPr>
            <w:tcW w:w="2254" w:type="dxa"/>
          </w:tcPr>
          <w:p w14:paraId="022C8C6C" w14:textId="1C261E8B" w:rsidR="00C936B5" w:rsidRPr="00716B90" w:rsidRDefault="00B33B66" w:rsidP="006549F1">
            <w:pPr>
              <w:rPr>
                <w:rFonts w:ascii="Calibri" w:hAnsi="Calibri" w:cs="Calibri"/>
              </w:rPr>
            </w:pPr>
            <w:r w:rsidRPr="00716B90">
              <w:rPr>
                <w:rFonts w:ascii="Calibri" w:hAnsi="Calibri" w:cs="Calibri"/>
              </w:rPr>
              <w:t>16.61</w:t>
            </w:r>
          </w:p>
        </w:tc>
      </w:tr>
      <w:tr w:rsidR="00C936B5" w:rsidRPr="00716B90" w14:paraId="677BB523" w14:textId="77777777" w:rsidTr="006549F1">
        <w:tc>
          <w:tcPr>
            <w:tcW w:w="2254" w:type="dxa"/>
          </w:tcPr>
          <w:p w14:paraId="49DE856C" w14:textId="77777777" w:rsidR="00C936B5" w:rsidRPr="00716B90" w:rsidRDefault="00C936B5" w:rsidP="006549F1">
            <w:pPr>
              <w:rPr>
                <w:rFonts w:ascii="Calibri" w:hAnsi="Calibri" w:cs="Calibri"/>
              </w:rPr>
            </w:pPr>
            <w:r w:rsidRPr="00716B90">
              <w:rPr>
                <w:rFonts w:ascii="Calibri" w:hAnsi="Calibri" w:cs="Calibri"/>
              </w:rPr>
              <w:t>3</w:t>
            </w:r>
          </w:p>
        </w:tc>
        <w:tc>
          <w:tcPr>
            <w:tcW w:w="2254" w:type="dxa"/>
          </w:tcPr>
          <w:p w14:paraId="78B15738" w14:textId="77777777" w:rsidR="00C936B5" w:rsidRPr="00716B90" w:rsidRDefault="00C936B5" w:rsidP="006549F1">
            <w:pPr>
              <w:rPr>
                <w:rFonts w:ascii="Calibri" w:hAnsi="Calibri" w:cs="Calibri"/>
              </w:rPr>
            </w:pPr>
            <w:r w:rsidRPr="00716B90">
              <w:rPr>
                <w:rFonts w:ascii="Calibri" w:hAnsi="Calibri" w:cs="Calibri"/>
              </w:rPr>
              <w:t>20</w:t>
            </w:r>
          </w:p>
        </w:tc>
        <w:tc>
          <w:tcPr>
            <w:tcW w:w="2254" w:type="dxa"/>
          </w:tcPr>
          <w:p w14:paraId="466BF37C" w14:textId="77777777" w:rsidR="00C936B5" w:rsidRPr="00716B90" w:rsidRDefault="00C936B5" w:rsidP="006549F1">
            <w:pPr>
              <w:rPr>
                <w:rFonts w:ascii="Calibri" w:hAnsi="Calibri" w:cs="Calibri"/>
              </w:rPr>
            </w:pPr>
            <w:r w:rsidRPr="00716B90">
              <w:rPr>
                <w:rFonts w:ascii="Calibri" w:hAnsi="Calibri" w:cs="Calibri"/>
              </w:rPr>
              <w:t>0.7568</w:t>
            </w:r>
          </w:p>
        </w:tc>
        <w:tc>
          <w:tcPr>
            <w:tcW w:w="2254" w:type="dxa"/>
          </w:tcPr>
          <w:p w14:paraId="3668A481" w14:textId="3C2D8330" w:rsidR="00C936B5" w:rsidRPr="00716B90" w:rsidRDefault="00C936B5" w:rsidP="006549F1">
            <w:pPr>
              <w:rPr>
                <w:rFonts w:ascii="Calibri" w:hAnsi="Calibri" w:cs="Calibri"/>
              </w:rPr>
            </w:pPr>
            <w:r w:rsidRPr="00716B90">
              <w:rPr>
                <w:rFonts w:ascii="Calibri" w:hAnsi="Calibri" w:cs="Calibri"/>
              </w:rPr>
              <w:t>1</w:t>
            </w:r>
            <w:r w:rsidR="00B33B66" w:rsidRPr="00716B90">
              <w:rPr>
                <w:rFonts w:ascii="Calibri" w:hAnsi="Calibri" w:cs="Calibri"/>
              </w:rPr>
              <w:t>5.14</w:t>
            </w:r>
          </w:p>
        </w:tc>
      </w:tr>
      <w:tr w:rsidR="00C936B5" w:rsidRPr="00716B90" w14:paraId="67F61794" w14:textId="77777777" w:rsidTr="006549F1">
        <w:tc>
          <w:tcPr>
            <w:tcW w:w="2254" w:type="dxa"/>
          </w:tcPr>
          <w:p w14:paraId="0FE0FC79" w14:textId="77777777" w:rsidR="00C936B5" w:rsidRPr="00716B90" w:rsidRDefault="00C936B5" w:rsidP="006549F1">
            <w:pPr>
              <w:rPr>
                <w:rFonts w:ascii="Calibri" w:hAnsi="Calibri" w:cs="Calibri"/>
              </w:rPr>
            </w:pPr>
            <w:r w:rsidRPr="00716B90">
              <w:rPr>
                <w:rFonts w:ascii="Calibri" w:hAnsi="Calibri" w:cs="Calibri"/>
              </w:rPr>
              <w:t>4</w:t>
            </w:r>
          </w:p>
        </w:tc>
        <w:tc>
          <w:tcPr>
            <w:tcW w:w="2254" w:type="dxa"/>
          </w:tcPr>
          <w:p w14:paraId="454271FE" w14:textId="3D9A029A" w:rsidR="00C936B5" w:rsidRPr="00716B90" w:rsidRDefault="00B33B66" w:rsidP="006549F1">
            <w:pPr>
              <w:rPr>
                <w:rFonts w:ascii="Calibri" w:hAnsi="Calibri" w:cs="Calibri"/>
              </w:rPr>
            </w:pPr>
            <w:r w:rsidRPr="00716B90">
              <w:rPr>
                <w:rFonts w:ascii="Calibri" w:hAnsi="Calibri" w:cs="Calibri"/>
              </w:rPr>
              <w:t>20</w:t>
            </w:r>
          </w:p>
        </w:tc>
        <w:tc>
          <w:tcPr>
            <w:tcW w:w="2254" w:type="dxa"/>
          </w:tcPr>
          <w:p w14:paraId="211BF46B" w14:textId="77777777" w:rsidR="00C936B5" w:rsidRPr="00716B90" w:rsidRDefault="00C936B5" w:rsidP="006549F1">
            <w:pPr>
              <w:rPr>
                <w:rFonts w:ascii="Calibri" w:hAnsi="Calibri" w:cs="Calibri"/>
              </w:rPr>
            </w:pPr>
            <w:r w:rsidRPr="00716B90">
              <w:rPr>
                <w:rFonts w:ascii="Calibri" w:hAnsi="Calibri" w:cs="Calibri"/>
              </w:rPr>
              <w:t>0,6894</w:t>
            </w:r>
          </w:p>
        </w:tc>
        <w:tc>
          <w:tcPr>
            <w:tcW w:w="2254" w:type="dxa"/>
          </w:tcPr>
          <w:p w14:paraId="487C69DD" w14:textId="69B27DB9" w:rsidR="00C936B5" w:rsidRPr="00716B90" w:rsidRDefault="00B33B66" w:rsidP="006549F1">
            <w:pPr>
              <w:rPr>
                <w:rFonts w:ascii="Calibri" w:hAnsi="Calibri" w:cs="Calibri"/>
              </w:rPr>
            </w:pPr>
            <w:r w:rsidRPr="00716B90">
              <w:rPr>
                <w:rFonts w:ascii="Calibri" w:hAnsi="Calibri" w:cs="Calibri"/>
              </w:rPr>
              <w:t>13.79</w:t>
            </w:r>
          </w:p>
        </w:tc>
      </w:tr>
      <w:tr w:rsidR="00C936B5" w:rsidRPr="00716B90" w14:paraId="57C9148D" w14:textId="77777777" w:rsidTr="006549F1">
        <w:tc>
          <w:tcPr>
            <w:tcW w:w="2254" w:type="dxa"/>
          </w:tcPr>
          <w:p w14:paraId="66F36FDD" w14:textId="77777777" w:rsidR="00C936B5" w:rsidRPr="00716B90" w:rsidRDefault="00C936B5" w:rsidP="006549F1">
            <w:pPr>
              <w:rPr>
                <w:rFonts w:ascii="Calibri" w:hAnsi="Calibri" w:cs="Calibri"/>
              </w:rPr>
            </w:pPr>
          </w:p>
        </w:tc>
        <w:tc>
          <w:tcPr>
            <w:tcW w:w="2254" w:type="dxa"/>
          </w:tcPr>
          <w:p w14:paraId="24176F17" w14:textId="77777777" w:rsidR="00C936B5" w:rsidRPr="00716B90" w:rsidRDefault="00C936B5" w:rsidP="006549F1">
            <w:pPr>
              <w:rPr>
                <w:rFonts w:ascii="Calibri" w:hAnsi="Calibri" w:cs="Calibri"/>
              </w:rPr>
            </w:pPr>
          </w:p>
        </w:tc>
        <w:tc>
          <w:tcPr>
            <w:tcW w:w="2254" w:type="dxa"/>
          </w:tcPr>
          <w:p w14:paraId="320D9E39" w14:textId="77777777" w:rsidR="00C936B5" w:rsidRPr="00716B90" w:rsidRDefault="00C936B5" w:rsidP="006549F1">
            <w:pPr>
              <w:rPr>
                <w:rFonts w:ascii="Calibri" w:hAnsi="Calibri" w:cs="Calibri"/>
              </w:rPr>
            </w:pPr>
            <w:r w:rsidRPr="00716B90">
              <w:rPr>
                <w:rFonts w:ascii="Calibri" w:hAnsi="Calibri" w:cs="Calibri"/>
              </w:rPr>
              <w:t>Total NPV</w:t>
            </w:r>
          </w:p>
        </w:tc>
        <w:tc>
          <w:tcPr>
            <w:tcW w:w="2254" w:type="dxa"/>
          </w:tcPr>
          <w:p w14:paraId="4F7BB484" w14:textId="5C0AEBCF" w:rsidR="00C936B5" w:rsidRPr="00716B90" w:rsidRDefault="00C936B5" w:rsidP="006549F1">
            <w:pPr>
              <w:rPr>
                <w:rFonts w:ascii="Calibri" w:hAnsi="Calibri" w:cs="Calibri"/>
                <w:b/>
                <w:bCs/>
              </w:rPr>
            </w:pPr>
            <w:r w:rsidRPr="00716B90">
              <w:rPr>
                <w:rFonts w:ascii="Calibri" w:hAnsi="Calibri" w:cs="Calibri"/>
                <w:b/>
                <w:bCs/>
              </w:rPr>
              <w:t>1</w:t>
            </w:r>
            <w:r w:rsidR="00B33B66" w:rsidRPr="00716B90">
              <w:rPr>
                <w:rFonts w:ascii="Calibri" w:hAnsi="Calibri" w:cs="Calibri"/>
                <w:b/>
                <w:bCs/>
              </w:rPr>
              <w:t>6.09</w:t>
            </w:r>
          </w:p>
        </w:tc>
      </w:tr>
    </w:tbl>
    <w:p w14:paraId="3677106A" w14:textId="36AE79C9" w:rsidR="00C936B5" w:rsidRPr="004E6779" w:rsidRDefault="006678ED" w:rsidP="004E6779">
      <w:pPr>
        <w:rPr>
          <w:rFonts w:ascii="Calibri" w:hAnsi="Calibri" w:cs="Calibri"/>
        </w:rPr>
      </w:pPr>
      <w:r w:rsidRPr="00716B90">
        <w:rPr>
          <w:rFonts w:ascii="Calibri" w:hAnsi="Calibri" w:cs="Calibri"/>
        </w:rPr>
        <w:t>NPV for Project B cashflow is £16.09m</w:t>
      </w:r>
    </w:p>
    <w:p w14:paraId="45C2DA9E" w14:textId="746180ED" w:rsidR="00671A7D" w:rsidRPr="00716B90" w:rsidRDefault="00671A7D" w:rsidP="008E3C47">
      <w:pPr>
        <w:rPr>
          <w:rFonts w:ascii="Calibri" w:hAnsi="Calibri" w:cs="Calibri"/>
          <w:lang w:val="en-US"/>
        </w:rPr>
      </w:pPr>
    </w:p>
    <w:p w14:paraId="73EC193D" w14:textId="1C990685" w:rsidR="0049612F" w:rsidRPr="00716B90" w:rsidRDefault="00F92D54" w:rsidP="00CE5728">
      <w:pPr>
        <w:pStyle w:val="Heading2"/>
        <w:rPr>
          <w:rFonts w:ascii="Calibri" w:hAnsi="Calibri" w:cs="Calibri"/>
          <w:sz w:val="24"/>
          <w:szCs w:val="24"/>
          <w:lang w:val="en-US"/>
        </w:rPr>
      </w:pPr>
      <w:bookmarkStart w:id="27" w:name="_Toc175126656"/>
      <w:r w:rsidRPr="00716B90">
        <w:rPr>
          <w:rFonts w:ascii="Calibri" w:hAnsi="Calibri" w:cs="Calibri"/>
          <w:sz w:val="24"/>
          <w:szCs w:val="24"/>
          <w:lang w:val="en-US"/>
        </w:rPr>
        <w:t xml:space="preserve">3.2. </w:t>
      </w:r>
      <w:r w:rsidR="008D55BE" w:rsidRPr="00716B90">
        <w:rPr>
          <w:rFonts w:ascii="Calibri" w:hAnsi="Calibri" w:cs="Calibri"/>
          <w:sz w:val="24"/>
          <w:szCs w:val="24"/>
          <w:lang w:val="en-US"/>
        </w:rPr>
        <w:t>PBP, ARR, and NPV: Advantages and Shortcomings.</w:t>
      </w:r>
      <w:bookmarkEnd w:id="27"/>
      <w:r w:rsidR="008D55BE" w:rsidRPr="00716B90">
        <w:rPr>
          <w:rFonts w:ascii="Calibri" w:hAnsi="Calibri" w:cs="Calibri"/>
          <w:sz w:val="24"/>
          <w:szCs w:val="24"/>
          <w:lang w:val="en-US"/>
        </w:rPr>
        <w:t xml:space="preserve"> </w:t>
      </w:r>
    </w:p>
    <w:p w14:paraId="72730091" w14:textId="77777777" w:rsidR="004F46AF" w:rsidRPr="00716B90" w:rsidRDefault="0049612F" w:rsidP="004F46AF">
      <w:pPr>
        <w:jc w:val="both"/>
        <w:rPr>
          <w:rFonts w:ascii="Calibri" w:eastAsia="Times New Roman" w:hAnsi="Calibri" w:cs="Calibri"/>
          <w:kern w:val="0"/>
          <w:lang w:eastAsia="en-GB"/>
          <w14:ligatures w14:val="none"/>
        </w:rPr>
      </w:pPr>
      <w:r w:rsidRPr="00716B90">
        <w:rPr>
          <w:rFonts w:ascii="Calibri" w:hAnsi="Calibri" w:cs="Calibri"/>
          <w:lang w:val="en-US"/>
        </w:rPr>
        <w:tab/>
      </w:r>
      <w:r w:rsidRPr="00716B90">
        <w:rPr>
          <w:rFonts w:ascii="Calibri" w:eastAsia="Times New Roman" w:hAnsi="Calibri" w:cs="Calibri"/>
          <w:kern w:val="0"/>
          <w:lang w:eastAsia="en-GB"/>
          <w14:ligatures w14:val="none"/>
        </w:rPr>
        <w:t xml:space="preserve">Measuring capital projects is necessary for businesses to make sure that their financial investments line with their business objectives and generate sufficient returns. The payback period (PBP), </w:t>
      </w:r>
      <w:r w:rsidR="00AD74CF" w:rsidRPr="00716B90">
        <w:rPr>
          <w:rFonts w:ascii="Calibri" w:eastAsia="Times New Roman" w:hAnsi="Calibri" w:cs="Calibri"/>
          <w:kern w:val="0"/>
          <w:lang w:eastAsia="en-GB"/>
          <w14:ligatures w14:val="none"/>
        </w:rPr>
        <w:t>A</w:t>
      </w:r>
      <w:r w:rsidRPr="00716B90">
        <w:rPr>
          <w:rFonts w:ascii="Calibri" w:eastAsia="Times New Roman" w:hAnsi="Calibri" w:cs="Calibri"/>
          <w:kern w:val="0"/>
          <w:lang w:eastAsia="en-GB"/>
          <w14:ligatures w14:val="none"/>
        </w:rPr>
        <w:t xml:space="preserve">ccounting </w:t>
      </w:r>
      <w:r w:rsidR="00AD74CF" w:rsidRPr="00716B90">
        <w:rPr>
          <w:rFonts w:ascii="Calibri" w:eastAsia="Times New Roman" w:hAnsi="Calibri" w:cs="Calibri"/>
          <w:kern w:val="0"/>
          <w:lang w:eastAsia="en-GB"/>
          <w14:ligatures w14:val="none"/>
        </w:rPr>
        <w:t>Rate of Return (ARR), and NET Present Value (NPV)</w:t>
      </w:r>
      <w:r w:rsidR="00DD5331" w:rsidRPr="00716B90">
        <w:rPr>
          <w:rFonts w:ascii="Calibri" w:eastAsia="Times New Roman" w:hAnsi="Calibri" w:cs="Calibri"/>
          <w:kern w:val="0"/>
          <w:lang w:eastAsia="en-GB"/>
          <w14:ligatures w14:val="none"/>
        </w:rPr>
        <w:t xml:space="preserve"> represent three of those that are frequently used capital project assessment techniques. Every method has individual advantages and drawbacks. </w:t>
      </w:r>
    </w:p>
    <w:p w14:paraId="39329D37" w14:textId="455D423A" w:rsidR="00AF0960" w:rsidRPr="00716B90" w:rsidRDefault="005E77EF" w:rsidP="004F3DD1">
      <w:pPr>
        <w:pStyle w:val="Heading3"/>
        <w:rPr>
          <w:rFonts w:ascii="Calibri" w:hAnsi="Calibri" w:cs="Calibri"/>
          <w:sz w:val="24"/>
          <w:szCs w:val="24"/>
          <w:lang w:val="en-US"/>
        </w:rPr>
      </w:pPr>
      <w:bookmarkStart w:id="28" w:name="_Toc175126657"/>
      <w:r w:rsidRPr="00716B90">
        <w:rPr>
          <w:rFonts w:ascii="Calibri" w:hAnsi="Calibri" w:cs="Calibri"/>
          <w:sz w:val="24"/>
          <w:szCs w:val="24"/>
          <w:lang w:val="en-US"/>
        </w:rPr>
        <w:t xml:space="preserve">3.2.1. </w:t>
      </w:r>
      <w:r w:rsidR="00AF0960" w:rsidRPr="00716B90">
        <w:rPr>
          <w:rFonts w:ascii="Calibri" w:hAnsi="Calibri" w:cs="Calibri"/>
          <w:sz w:val="24"/>
          <w:szCs w:val="24"/>
          <w:lang w:val="en-US"/>
        </w:rPr>
        <w:t>PBP:</w:t>
      </w:r>
      <w:r w:rsidR="00BF31BC" w:rsidRPr="00716B90">
        <w:rPr>
          <w:rFonts w:ascii="Calibri" w:hAnsi="Calibri" w:cs="Calibri"/>
          <w:sz w:val="24"/>
          <w:szCs w:val="24"/>
          <w:lang w:val="en-US"/>
        </w:rPr>
        <w:t xml:space="preserve"> The Payback Period.</w:t>
      </w:r>
      <w:bookmarkEnd w:id="28"/>
      <w:r w:rsidR="00BF31BC" w:rsidRPr="00716B90">
        <w:rPr>
          <w:rFonts w:ascii="Calibri" w:hAnsi="Calibri" w:cs="Calibri"/>
          <w:sz w:val="24"/>
          <w:szCs w:val="24"/>
          <w:lang w:val="en-US"/>
        </w:rPr>
        <w:t xml:space="preserve"> </w:t>
      </w:r>
    </w:p>
    <w:p w14:paraId="08BDA560" w14:textId="3CF9A5B4" w:rsidR="005B2F8A" w:rsidRPr="00716B90" w:rsidRDefault="005B2F8A" w:rsidP="00E708C4">
      <w:pPr>
        <w:jc w:val="both"/>
        <w:rPr>
          <w:rFonts w:ascii="Calibri" w:hAnsi="Calibri" w:cs="Calibri"/>
        </w:rPr>
      </w:pPr>
      <w:r w:rsidRPr="00716B90">
        <w:rPr>
          <w:rFonts w:ascii="Calibri" w:hAnsi="Calibri" w:cs="Calibri"/>
          <w:lang w:val="en-US"/>
        </w:rPr>
        <w:tab/>
      </w:r>
      <w:r w:rsidR="0082374E" w:rsidRPr="00716B90">
        <w:rPr>
          <w:rFonts w:ascii="Calibri" w:eastAsia="Times New Roman" w:hAnsi="Calibri" w:cs="Calibri"/>
          <w:kern w:val="0"/>
          <w:lang w:eastAsia="en-GB"/>
          <w14:ligatures w14:val="none"/>
        </w:rPr>
        <w:t xml:space="preserve">A payback period is a method to estimate the time it will require to receive back the funds that were spent </w:t>
      </w:r>
      <w:r w:rsidR="00EE1AD4" w:rsidRPr="00716B90">
        <w:rPr>
          <w:rFonts w:ascii="Calibri" w:eastAsia="Times New Roman" w:hAnsi="Calibri" w:cs="Calibri"/>
          <w:kern w:val="0"/>
          <w:lang w:eastAsia="en-GB"/>
          <w14:ligatures w14:val="none"/>
        </w:rPr>
        <w:t>on</w:t>
      </w:r>
      <w:r w:rsidR="0082374E" w:rsidRPr="00716B90">
        <w:rPr>
          <w:rFonts w:ascii="Calibri" w:eastAsia="Times New Roman" w:hAnsi="Calibri" w:cs="Calibri"/>
          <w:kern w:val="0"/>
          <w:lang w:eastAsia="en-GB"/>
          <w14:ligatures w14:val="none"/>
        </w:rPr>
        <w:t xml:space="preserve"> a project</w:t>
      </w:r>
      <w:r w:rsidR="00575387" w:rsidRPr="00716B90">
        <w:rPr>
          <w:rFonts w:ascii="Calibri" w:eastAsia="Times New Roman" w:hAnsi="Calibri" w:cs="Calibri"/>
          <w:kern w:val="0"/>
          <w:lang w:eastAsia="en-GB"/>
          <w14:ligatures w14:val="none"/>
        </w:rPr>
        <w:t xml:space="preserve"> (Ardyn Sari Sinaga et al., 2023)</w:t>
      </w:r>
      <w:r w:rsidR="00E708C4" w:rsidRPr="00716B90">
        <w:rPr>
          <w:rFonts w:ascii="Calibri" w:eastAsia="Times New Roman" w:hAnsi="Calibri" w:cs="Calibri"/>
          <w:kern w:val="0"/>
          <w:lang w:eastAsia="en-GB"/>
          <w14:ligatures w14:val="none"/>
        </w:rPr>
        <w:t>.</w:t>
      </w:r>
      <w:r w:rsidR="002F5F08" w:rsidRPr="00716B90">
        <w:rPr>
          <w:rFonts w:ascii="Calibri" w:hAnsi="Calibri" w:cs="Calibri"/>
        </w:rPr>
        <w:t xml:space="preserve"> </w:t>
      </w:r>
      <w:r w:rsidR="002F5F08" w:rsidRPr="00716B90">
        <w:rPr>
          <w:rFonts w:ascii="Calibri" w:eastAsia="Times New Roman" w:hAnsi="Calibri" w:cs="Calibri"/>
          <w:kern w:val="0"/>
          <w:lang w:eastAsia="en-GB"/>
          <w14:ligatures w14:val="none"/>
        </w:rPr>
        <w:t>In simple terms, PB is the duration that it takes for an investment to achieve its break-even point</w:t>
      </w:r>
      <w:r w:rsidR="00C9354D" w:rsidRPr="00716B90">
        <w:rPr>
          <w:rFonts w:ascii="Calibri" w:eastAsia="Times New Roman" w:hAnsi="Calibri" w:cs="Calibri"/>
          <w:kern w:val="0"/>
          <w:lang w:eastAsia="en-GB"/>
          <w14:ligatures w14:val="none"/>
        </w:rPr>
        <w:t xml:space="preserve"> (</w:t>
      </w:r>
      <w:r w:rsidR="00C9354D" w:rsidRPr="00716B90">
        <w:rPr>
          <w:rFonts w:ascii="Calibri" w:hAnsi="Calibri" w:cs="Calibri"/>
        </w:rPr>
        <w:t>Kagan, 2024).</w:t>
      </w:r>
    </w:p>
    <w:p w14:paraId="4F6E33D0" w14:textId="568BA7FD" w:rsidR="00CD57B2" w:rsidRPr="00716B90" w:rsidRDefault="00CD57B2" w:rsidP="004F46AF">
      <w:pPr>
        <w:jc w:val="both"/>
        <w:rPr>
          <w:rFonts w:ascii="Calibri" w:hAnsi="Calibri" w:cs="Calibri"/>
          <w:b/>
          <w:bCs/>
          <w:lang w:val="en-US"/>
        </w:rPr>
      </w:pPr>
      <w:r w:rsidRPr="00716B90">
        <w:rPr>
          <w:rFonts w:ascii="Calibri" w:hAnsi="Calibri" w:cs="Calibri"/>
          <w:b/>
          <w:bCs/>
          <w:lang w:val="en-US"/>
        </w:rPr>
        <w:t>Advantages</w:t>
      </w:r>
      <w:r w:rsidR="004F3DD1" w:rsidRPr="00716B90">
        <w:rPr>
          <w:rFonts w:ascii="Calibri" w:hAnsi="Calibri" w:cs="Calibri"/>
          <w:b/>
          <w:bCs/>
          <w:lang w:val="en-US"/>
        </w:rPr>
        <w:t>:</w:t>
      </w:r>
    </w:p>
    <w:p w14:paraId="0E8EE0C0" w14:textId="6D84F2C4" w:rsidR="007D6C1D" w:rsidRPr="00716B90" w:rsidRDefault="00F4494F" w:rsidP="007D6C1D">
      <w:pPr>
        <w:jc w:val="both"/>
        <w:rPr>
          <w:rFonts w:ascii="Calibri" w:eastAsia="Times New Roman" w:hAnsi="Calibri" w:cs="Calibri"/>
          <w:kern w:val="0"/>
          <w:lang w:eastAsia="en-GB"/>
          <w14:ligatures w14:val="none"/>
        </w:rPr>
      </w:pPr>
      <w:r w:rsidRPr="00716B90">
        <w:rPr>
          <w:rFonts w:ascii="Calibri" w:hAnsi="Calibri" w:cs="Calibri"/>
          <w:b/>
          <w:bCs/>
          <w:i/>
          <w:iCs/>
          <w:lang w:val="en-US"/>
        </w:rPr>
        <w:tab/>
      </w:r>
      <w:r w:rsidR="001E2491" w:rsidRPr="00716B90">
        <w:rPr>
          <w:rFonts w:ascii="Calibri" w:hAnsi="Calibri" w:cs="Calibri"/>
          <w:b/>
          <w:bCs/>
          <w:i/>
          <w:iCs/>
          <w:lang w:val="en-US"/>
        </w:rPr>
        <w:t>Easy to use</w:t>
      </w:r>
      <w:r w:rsidR="008E0C49" w:rsidRPr="00716B90">
        <w:rPr>
          <w:rFonts w:ascii="Calibri" w:hAnsi="Calibri" w:cs="Calibri"/>
          <w:b/>
          <w:bCs/>
          <w:i/>
          <w:iCs/>
          <w:lang w:val="en-US"/>
        </w:rPr>
        <w:t xml:space="preserve">: </w:t>
      </w:r>
      <w:r w:rsidR="007D6C1D" w:rsidRPr="00716B90">
        <w:rPr>
          <w:rFonts w:ascii="Calibri" w:hAnsi="Calibri" w:cs="Calibri"/>
          <w:b/>
          <w:bCs/>
          <w:i/>
          <w:iCs/>
          <w:lang w:val="en-US"/>
        </w:rPr>
        <w:t xml:space="preserve"> </w:t>
      </w:r>
      <w:r w:rsidR="007D6C1D" w:rsidRPr="00716B90">
        <w:rPr>
          <w:rFonts w:ascii="Calibri" w:hAnsi="Calibri" w:cs="Calibri"/>
          <w:lang w:val="en-US"/>
        </w:rPr>
        <w:t>Payback period</w:t>
      </w:r>
      <w:r w:rsidR="007D6C1D" w:rsidRPr="00716B90">
        <w:rPr>
          <w:rFonts w:ascii="Calibri" w:hAnsi="Calibri" w:cs="Calibri"/>
          <w:b/>
          <w:bCs/>
          <w:i/>
          <w:iCs/>
          <w:lang w:val="en-US"/>
        </w:rPr>
        <w:t xml:space="preserve"> </w:t>
      </w:r>
      <w:r w:rsidR="007D6C1D" w:rsidRPr="00716B90">
        <w:rPr>
          <w:rFonts w:ascii="Calibri" w:hAnsi="Calibri" w:cs="Calibri"/>
        </w:rPr>
        <w:t>reflects the time expected for repaying initial spending. This strategy is straightforward and simple to interpret</w:t>
      </w:r>
      <w:r w:rsidR="00A13FEE" w:rsidRPr="00716B90">
        <w:rPr>
          <w:rFonts w:ascii="Calibri" w:hAnsi="Calibri" w:cs="Calibri"/>
        </w:rPr>
        <w:t xml:space="preserve"> </w:t>
      </w:r>
      <w:r w:rsidR="00A13FEE" w:rsidRPr="00716B90">
        <w:rPr>
          <w:rFonts w:ascii="Calibri" w:eastAsia="Times New Roman" w:hAnsi="Calibri" w:cs="Calibri"/>
          <w:kern w:val="0"/>
          <w:lang w:eastAsia="en-GB"/>
          <w14:ligatures w14:val="none"/>
        </w:rPr>
        <w:t>(Ardyn Sari Sinaga et al., 2023).</w:t>
      </w:r>
    </w:p>
    <w:p w14:paraId="0222320C" w14:textId="3B66587D" w:rsidR="00950942" w:rsidRPr="00716B90" w:rsidRDefault="00F55426" w:rsidP="004F46AF">
      <w:pPr>
        <w:jc w:val="both"/>
        <w:rPr>
          <w:rFonts w:ascii="Calibri" w:hAnsi="Calibri" w:cs="Calibri"/>
          <w:b/>
          <w:bCs/>
          <w:i/>
          <w:iCs/>
          <w:lang w:val="en-US"/>
        </w:rPr>
      </w:pPr>
      <w:r w:rsidRPr="00716B90">
        <w:rPr>
          <w:rFonts w:ascii="Calibri" w:hAnsi="Calibri" w:cs="Calibri"/>
        </w:rPr>
        <w:tab/>
      </w:r>
      <w:r w:rsidR="001A0D1E" w:rsidRPr="00716B90">
        <w:rPr>
          <w:rFonts w:ascii="Calibri" w:hAnsi="Calibri" w:cs="Calibri"/>
          <w:b/>
          <w:bCs/>
          <w:i/>
          <w:iCs/>
        </w:rPr>
        <w:t xml:space="preserve">Low </w:t>
      </w:r>
      <w:r w:rsidR="00F717AE" w:rsidRPr="00716B90">
        <w:rPr>
          <w:rFonts w:ascii="Calibri" w:hAnsi="Calibri" w:cs="Calibri"/>
          <w:b/>
          <w:bCs/>
          <w:i/>
          <w:iCs/>
        </w:rPr>
        <w:t>R</w:t>
      </w:r>
      <w:r w:rsidR="00D97249" w:rsidRPr="00716B90">
        <w:rPr>
          <w:rFonts w:ascii="Calibri" w:hAnsi="Calibri" w:cs="Calibri"/>
          <w:b/>
          <w:bCs/>
          <w:i/>
          <w:iCs/>
        </w:rPr>
        <w:t>i</w:t>
      </w:r>
      <w:r w:rsidR="000D58A4" w:rsidRPr="00716B90">
        <w:rPr>
          <w:rFonts w:ascii="Calibri" w:hAnsi="Calibri" w:cs="Calibri"/>
          <w:b/>
          <w:bCs/>
          <w:i/>
          <w:iCs/>
        </w:rPr>
        <w:t>sk factor</w:t>
      </w:r>
      <w:r w:rsidR="000D58A4" w:rsidRPr="00716B90">
        <w:rPr>
          <w:rFonts w:ascii="Calibri" w:hAnsi="Calibri" w:cs="Calibri"/>
        </w:rPr>
        <w:t xml:space="preserve">: </w:t>
      </w:r>
      <w:r w:rsidRPr="00F55426">
        <w:rPr>
          <w:rFonts w:ascii="Calibri" w:hAnsi="Calibri" w:cs="Calibri"/>
        </w:rPr>
        <w:t xml:space="preserve">It might be observed in these circumstances that an investor is funding a project after examining </w:t>
      </w:r>
      <w:r w:rsidR="001A0D1E" w:rsidRPr="00716B90">
        <w:rPr>
          <w:rFonts w:ascii="Calibri" w:hAnsi="Calibri" w:cs="Calibri"/>
        </w:rPr>
        <w:t>all</w:t>
      </w:r>
      <w:r w:rsidRPr="00F55426">
        <w:rPr>
          <w:rFonts w:ascii="Calibri" w:hAnsi="Calibri" w:cs="Calibri"/>
        </w:rPr>
        <w:t xml:space="preserve"> the feasible choices and selecting the one with the quickest return on investment. As a result, investors will decide on the investment option with the least possible return over a particular amount of time. The potential of loss can be significantly lowered in this way</w:t>
      </w:r>
      <w:r w:rsidRPr="00716B90">
        <w:rPr>
          <w:rFonts w:ascii="Calibri" w:hAnsi="Calibri" w:cs="Calibri"/>
        </w:rPr>
        <w:t xml:space="preserve"> (Vaidya, 2024)</w:t>
      </w:r>
      <w:r w:rsidRPr="00716B90">
        <w:rPr>
          <w:rFonts w:ascii="Calibri" w:hAnsi="Calibri" w:cs="Calibri"/>
          <w:lang w:val="en-US"/>
        </w:rPr>
        <w:t xml:space="preserve">. </w:t>
      </w:r>
    </w:p>
    <w:p w14:paraId="5C2D8FE5" w14:textId="3A1428F2" w:rsidR="004F3DD1" w:rsidRPr="00716B90" w:rsidRDefault="004F3DD1" w:rsidP="004F46AF">
      <w:pPr>
        <w:jc w:val="both"/>
        <w:rPr>
          <w:rFonts w:ascii="Calibri" w:hAnsi="Calibri" w:cs="Calibri"/>
          <w:b/>
          <w:bCs/>
          <w:lang w:val="en-US"/>
        </w:rPr>
      </w:pPr>
      <w:r w:rsidRPr="00716B90">
        <w:rPr>
          <w:rFonts w:ascii="Calibri" w:hAnsi="Calibri" w:cs="Calibri"/>
          <w:b/>
          <w:bCs/>
          <w:lang w:val="en-US"/>
        </w:rPr>
        <w:t>Disadvantages:</w:t>
      </w:r>
    </w:p>
    <w:p w14:paraId="0CFB321E" w14:textId="2A724313" w:rsidR="00344FBA" w:rsidRPr="00716B90" w:rsidRDefault="0032272D" w:rsidP="004F46AF">
      <w:pPr>
        <w:jc w:val="both"/>
        <w:rPr>
          <w:rFonts w:ascii="Calibri" w:hAnsi="Calibri" w:cs="Calibri"/>
          <w:b/>
          <w:bCs/>
          <w:i/>
          <w:iCs/>
          <w:lang w:val="en-US"/>
        </w:rPr>
      </w:pPr>
      <w:r w:rsidRPr="00716B90">
        <w:rPr>
          <w:rFonts w:ascii="Calibri" w:hAnsi="Calibri" w:cs="Calibri"/>
          <w:b/>
          <w:bCs/>
          <w:lang w:val="en-US"/>
        </w:rPr>
        <w:tab/>
      </w:r>
      <w:r w:rsidR="00410C82" w:rsidRPr="00716B90">
        <w:rPr>
          <w:rFonts w:ascii="Calibri" w:hAnsi="Calibri" w:cs="Calibri"/>
          <w:b/>
          <w:bCs/>
          <w:i/>
          <w:iCs/>
          <w:lang w:val="en-US"/>
        </w:rPr>
        <w:t xml:space="preserve">Lack </w:t>
      </w:r>
      <w:r w:rsidR="00BC6ABD" w:rsidRPr="00716B90">
        <w:rPr>
          <w:rFonts w:ascii="Calibri" w:hAnsi="Calibri" w:cs="Calibri"/>
          <w:b/>
          <w:bCs/>
          <w:i/>
          <w:iCs/>
          <w:lang w:val="en-US"/>
        </w:rPr>
        <w:t>of</w:t>
      </w:r>
      <w:r w:rsidR="00410C82" w:rsidRPr="00716B90">
        <w:rPr>
          <w:rFonts w:ascii="Calibri" w:hAnsi="Calibri" w:cs="Calibri"/>
          <w:b/>
          <w:bCs/>
          <w:i/>
          <w:iCs/>
          <w:lang w:val="en-US"/>
        </w:rPr>
        <w:t xml:space="preserve"> </w:t>
      </w:r>
      <w:r w:rsidR="00DA20DC" w:rsidRPr="00716B90">
        <w:rPr>
          <w:rFonts w:ascii="Calibri" w:hAnsi="Calibri" w:cs="Calibri"/>
          <w:b/>
          <w:bCs/>
          <w:i/>
          <w:iCs/>
          <w:lang w:val="en-US"/>
        </w:rPr>
        <w:t>consideration of</w:t>
      </w:r>
      <w:r w:rsidR="00410C82" w:rsidRPr="00716B90">
        <w:rPr>
          <w:rFonts w:ascii="Calibri" w:hAnsi="Calibri" w:cs="Calibri"/>
          <w:b/>
          <w:bCs/>
          <w:i/>
          <w:iCs/>
          <w:lang w:val="en-US"/>
        </w:rPr>
        <w:t xml:space="preserve"> inflow of cash: </w:t>
      </w:r>
      <w:r w:rsidR="00410C82" w:rsidRPr="00716B90">
        <w:rPr>
          <w:rFonts w:ascii="Calibri" w:hAnsi="Calibri" w:cs="Calibri"/>
          <w:lang w:val="en-US"/>
        </w:rPr>
        <w:t>T</w:t>
      </w:r>
      <w:r w:rsidR="0015207D" w:rsidRPr="00716B90">
        <w:rPr>
          <w:rFonts w:ascii="Calibri" w:hAnsi="Calibri" w:cs="Calibri"/>
          <w:lang w:val="en-US"/>
        </w:rPr>
        <w:t xml:space="preserve">his method </w:t>
      </w:r>
      <w:r w:rsidR="000C797F" w:rsidRPr="00716B90">
        <w:rPr>
          <w:rFonts w:ascii="Calibri" w:hAnsi="Calibri" w:cs="Calibri"/>
          <w:lang w:val="en-US"/>
        </w:rPr>
        <w:t>fails to measure the</w:t>
      </w:r>
      <w:r w:rsidR="00E03C02" w:rsidRPr="00716B90">
        <w:rPr>
          <w:rFonts w:ascii="Calibri" w:hAnsi="Calibri" w:cs="Calibri"/>
          <w:lang w:val="en-US"/>
        </w:rPr>
        <w:t xml:space="preserve"> overall profitability of each project because it does not </w:t>
      </w:r>
      <w:r w:rsidR="00106D2A" w:rsidRPr="00716B90">
        <w:rPr>
          <w:rFonts w:ascii="Calibri" w:hAnsi="Calibri" w:cs="Calibri"/>
          <w:lang w:val="en-US"/>
        </w:rPr>
        <w:t xml:space="preserve">account for cash inflows that take place beyond the payback </w:t>
      </w:r>
      <w:r w:rsidR="00EC5C29" w:rsidRPr="00716B90">
        <w:rPr>
          <w:rFonts w:ascii="Calibri" w:hAnsi="Calibri" w:cs="Calibri"/>
          <w:lang w:val="en-US"/>
        </w:rPr>
        <w:t>period</w:t>
      </w:r>
      <w:r w:rsidR="00DA20DC" w:rsidRPr="00716B90">
        <w:rPr>
          <w:rFonts w:ascii="Calibri" w:hAnsi="Calibri" w:cs="Calibri"/>
          <w:lang w:val="en-US"/>
        </w:rPr>
        <w:t xml:space="preserve"> </w:t>
      </w:r>
      <w:r w:rsidR="00DA20DC" w:rsidRPr="00716B90">
        <w:rPr>
          <w:rFonts w:ascii="Calibri" w:hAnsi="Calibri" w:cs="Calibri"/>
        </w:rPr>
        <w:t>(Maverick, 2024)</w:t>
      </w:r>
      <w:r w:rsidR="00EC5C29" w:rsidRPr="00716B90">
        <w:rPr>
          <w:rFonts w:ascii="Calibri" w:hAnsi="Calibri" w:cs="Calibri"/>
          <w:lang w:val="en-US"/>
        </w:rPr>
        <w:t>.</w:t>
      </w:r>
      <w:r w:rsidR="00DA20DC" w:rsidRPr="00716B90">
        <w:rPr>
          <w:rFonts w:ascii="Calibri" w:hAnsi="Calibri" w:cs="Calibri"/>
          <w:lang w:val="en-US"/>
        </w:rPr>
        <w:t xml:space="preserve"> </w:t>
      </w:r>
    </w:p>
    <w:p w14:paraId="58FE05DB" w14:textId="099C8C70" w:rsidR="0032272D" w:rsidRPr="00716B90" w:rsidRDefault="00344FBA" w:rsidP="004F46AF">
      <w:pPr>
        <w:jc w:val="both"/>
        <w:rPr>
          <w:rFonts w:ascii="Calibri" w:hAnsi="Calibri" w:cs="Calibri"/>
          <w:lang w:val="en-US"/>
        </w:rPr>
      </w:pPr>
      <w:r w:rsidRPr="00716B90">
        <w:rPr>
          <w:rFonts w:ascii="Calibri" w:hAnsi="Calibri" w:cs="Calibri"/>
          <w:b/>
          <w:bCs/>
          <w:lang w:val="en-US"/>
        </w:rPr>
        <w:tab/>
      </w:r>
      <w:r w:rsidR="006E1221" w:rsidRPr="00716B90">
        <w:rPr>
          <w:rFonts w:ascii="Calibri" w:hAnsi="Calibri" w:cs="Calibri"/>
          <w:b/>
          <w:bCs/>
          <w:i/>
          <w:iCs/>
          <w:lang w:val="en-US"/>
        </w:rPr>
        <w:t xml:space="preserve">No time value of money: </w:t>
      </w:r>
      <w:r w:rsidR="007E1FBD" w:rsidRPr="00716B90">
        <w:rPr>
          <w:rFonts w:ascii="Calibri" w:hAnsi="Calibri" w:cs="Calibri"/>
          <w:lang w:val="en-US"/>
        </w:rPr>
        <w:t xml:space="preserve">The major drawback of this payback period is that it doesn’t count the </w:t>
      </w:r>
      <w:r w:rsidR="00011A92" w:rsidRPr="00716B90">
        <w:rPr>
          <w:rFonts w:ascii="Calibri" w:hAnsi="Calibri" w:cs="Calibri"/>
          <w:lang w:val="en-US"/>
        </w:rPr>
        <w:t xml:space="preserve">time value of </w:t>
      </w:r>
      <w:r w:rsidR="00C07A3D" w:rsidRPr="00716B90">
        <w:rPr>
          <w:rFonts w:ascii="Calibri" w:hAnsi="Calibri" w:cs="Calibri"/>
          <w:lang w:val="en-US"/>
        </w:rPr>
        <w:t>money and</w:t>
      </w:r>
      <w:r w:rsidR="00011A92" w:rsidRPr="00716B90">
        <w:rPr>
          <w:rFonts w:ascii="Calibri" w:hAnsi="Calibri" w:cs="Calibri"/>
          <w:lang w:val="en-US"/>
        </w:rPr>
        <w:t xml:space="preserve"> </w:t>
      </w:r>
      <w:r w:rsidR="00395707" w:rsidRPr="00716B90">
        <w:rPr>
          <w:rFonts w:ascii="Calibri" w:hAnsi="Calibri" w:cs="Calibri"/>
          <w:lang w:val="en-US"/>
        </w:rPr>
        <w:t>fails</w:t>
      </w:r>
      <w:r w:rsidR="00BC6ABD" w:rsidRPr="00716B90">
        <w:rPr>
          <w:rFonts w:ascii="Calibri" w:hAnsi="Calibri" w:cs="Calibri"/>
          <w:lang w:val="en-US"/>
        </w:rPr>
        <w:t xml:space="preserve"> to</w:t>
      </w:r>
      <w:r w:rsidR="009F0CA1" w:rsidRPr="00716B90">
        <w:rPr>
          <w:rFonts w:ascii="Calibri" w:hAnsi="Calibri" w:cs="Calibri"/>
          <w:lang w:val="en-US"/>
        </w:rPr>
        <w:t xml:space="preserve"> give </w:t>
      </w:r>
      <w:r w:rsidR="00BC6ABD" w:rsidRPr="00716B90">
        <w:rPr>
          <w:rFonts w:ascii="Calibri" w:hAnsi="Calibri" w:cs="Calibri"/>
          <w:lang w:val="en-US"/>
        </w:rPr>
        <w:t xml:space="preserve">a </w:t>
      </w:r>
      <w:r w:rsidR="009F0CA1" w:rsidRPr="00716B90">
        <w:rPr>
          <w:rFonts w:ascii="Calibri" w:hAnsi="Calibri" w:cs="Calibri"/>
          <w:lang w:val="en-US"/>
        </w:rPr>
        <w:t xml:space="preserve">detailed </w:t>
      </w:r>
      <w:r w:rsidR="00C07A3D" w:rsidRPr="00716B90">
        <w:rPr>
          <w:rFonts w:ascii="Calibri" w:hAnsi="Calibri" w:cs="Calibri"/>
          <w:lang w:val="en-US"/>
        </w:rPr>
        <w:t xml:space="preserve">analysis </w:t>
      </w:r>
      <w:r w:rsidR="00C07A3D" w:rsidRPr="00716B90">
        <w:rPr>
          <w:rFonts w:ascii="Calibri" w:hAnsi="Calibri" w:cs="Calibri"/>
        </w:rPr>
        <w:t>(Vaidya, 2024)</w:t>
      </w:r>
      <w:r w:rsidR="009F0CA1" w:rsidRPr="00716B90">
        <w:rPr>
          <w:rFonts w:ascii="Calibri" w:hAnsi="Calibri" w:cs="Calibri"/>
          <w:lang w:val="en-US"/>
        </w:rPr>
        <w:t xml:space="preserve">. </w:t>
      </w:r>
      <w:r w:rsidR="007E1FBD" w:rsidRPr="00716B90">
        <w:rPr>
          <w:rFonts w:ascii="Calibri" w:hAnsi="Calibri" w:cs="Calibri"/>
          <w:lang w:val="en-US"/>
        </w:rPr>
        <w:t xml:space="preserve"> </w:t>
      </w:r>
    </w:p>
    <w:p w14:paraId="1F3CAD65" w14:textId="27C9AC08" w:rsidR="00AF0960" w:rsidRPr="00716B90" w:rsidRDefault="00BF31BC" w:rsidP="00CE5728">
      <w:pPr>
        <w:pStyle w:val="Heading3"/>
        <w:rPr>
          <w:rFonts w:ascii="Calibri" w:hAnsi="Calibri" w:cs="Calibri"/>
          <w:sz w:val="24"/>
          <w:szCs w:val="24"/>
          <w:lang w:val="en-US"/>
        </w:rPr>
      </w:pPr>
      <w:bookmarkStart w:id="29" w:name="_Toc175126658"/>
      <w:r w:rsidRPr="00716B90">
        <w:rPr>
          <w:rFonts w:ascii="Calibri" w:hAnsi="Calibri" w:cs="Calibri"/>
          <w:sz w:val="24"/>
          <w:szCs w:val="24"/>
          <w:lang w:val="en-US"/>
        </w:rPr>
        <w:t xml:space="preserve">3.2.2. </w:t>
      </w:r>
      <w:r w:rsidR="00AF0960" w:rsidRPr="00716B90">
        <w:rPr>
          <w:rFonts w:ascii="Calibri" w:hAnsi="Calibri" w:cs="Calibri"/>
          <w:sz w:val="24"/>
          <w:szCs w:val="24"/>
          <w:lang w:val="en-US"/>
        </w:rPr>
        <w:t>ARR:</w:t>
      </w:r>
      <w:r w:rsidRPr="00716B90">
        <w:rPr>
          <w:rFonts w:ascii="Calibri" w:hAnsi="Calibri" w:cs="Calibri"/>
          <w:sz w:val="24"/>
          <w:szCs w:val="24"/>
          <w:lang w:val="en-US"/>
        </w:rPr>
        <w:t xml:space="preserve"> </w:t>
      </w:r>
      <w:r w:rsidR="00CD57B2" w:rsidRPr="00716B90">
        <w:rPr>
          <w:rFonts w:ascii="Calibri" w:hAnsi="Calibri" w:cs="Calibri"/>
          <w:sz w:val="24"/>
          <w:szCs w:val="24"/>
          <w:lang w:val="en-US"/>
        </w:rPr>
        <w:t>Accounting Rate of Return.</w:t>
      </w:r>
      <w:bookmarkEnd w:id="29"/>
    </w:p>
    <w:p w14:paraId="4CE26E11" w14:textId="713A5D3E" w:rsidR="00E60194" w:rsidRPr="00716B90" w:rsidRDefault="00E60194" w:rsidP="00770120">
      <w:pPr>
        <w:jc w:val="both"/>
        <w:rPr>
          <w:rFonts w:ascii="Calibri" w:hAnsi="Calibri" w:cs="Calibri"/>
          <w:lang w:val="en-US"/>
        </w:rPr>
      </w:pPr>
      <w:r w:rsidRPr="00716B90">
        <w:rPr>
          <w:rFonts w:ascii="Calibri" w:hAnsi="Calibri" w:cs="Calibri"/>
          <w:lang w:val="en-US"/>
        </w:rPr>
        <w:tab/>
      </w:r>
      <w:r w:rsidR="00FD0681" w:rsidRPr="00716B90">
        <w:rPr>
          <w:rFonts w:ascii="Calibri" w:hAnsi="Calibri" w:cs="Calibri"/>
        </w:rPr>
        <w:t xml:space="preserve">ARR is the </w:t>
      </w:r>
      <w:r w:rsidR="001C4B08" w:rsidRPr="00716B90">
        <w:rPr>
          <w:rFonts w:ascii="Calibri" w:hAnsi="Calibri" w:cs="Calibri"/>
        </w:rPr>
        <w:t>annual p</w:t>
      </w:r>
      <w:r w:rsidR="00B875DD" w:rsidRPr="00716B90">
        <w:rPr>
          <w:rFonts w:ascii="Calibri" w:hAnsi="Calibri" w:cs="Calibri"/>
        </w:rPr>
        <w:t xml:space="preserve">ercentage obtained by dividing the average net income </w:t>
      </w:r>
      <w:r w:rsidR="00BC2CEE" w:rsidRPr="00716B90">
        <w:rPr>
          <w:rFonts w:ascii="Calibri" w:hAnsi="Calibri" w:cs="Calibri"/>
        </w:rPr>
        <w:t>that an asset is estimated to earn by its average capital cost</w:t>
      </w:r>
      <w:r w:rsidR="00CE08B2" w:rsidRPr="00716B90">
        <w:rPr>
          <w:rFonts w:ascii="Calibri" w:hAnsi="Calibri" w:cs="Calibri"/>
        </w:rPr>
        <w:t xml:space="preserve">. </w:t>
      </w:r>
      <w:r w:rsidR="006B4593" w:rsidRPr="00716B90">
        <w:rPr>
          <w:rFonts w:ascii="Calibri" w:hAnsi="Calibri" w:cs="Calibri"/>
        </w:rPr>
        <w:t xml:space="preserve"> It applied when businesses are debating </w:t>
      </w:r>
      <w:r w:rsidR="00555682" w:rsidRPr="00716B90">
        <w:rPr>
          <w:rFonts w:ascii="Calibri" w:hAnsi="Calibri" w:cs="Calibri"/>
        </w:rPr>
        <w:t>whether to invest in a project, purchase, or other asset based on the anticipated future net earnings relative to the capital cost</w:t>
      </w:r>
      <w:r w:rsidR="00770120" w:rsidRPr="00716B90">
        <w:rPr>
          <w:rFonts w:ascii="Calibri" w:hAnsi="Calibri" w:cs="Calibri"/>
        </w:rPr>
        <w:t xml:space="preserve"> </w:t>
      </w:r>
      <w:r w:rsidR="008D66C1" w:rsidRPr="00716B90">
        <w:rPr>
          <w:rFonts w:ascii="Calibri" w:hAnsi="Calibri" w:cs="Calibri"/>
        </w:rPr>
        <w:t xml:space="preserve">(Vipond, 2023). </w:t>
      </w:r>
      <w:r w:rsidR="004E4A47" w:rsidRPr="00716B90">
        <w:rPr>
          <w:rFonts w:ascii="Calibri" w:hAnsi="Calibri" w:cs="Calibri"/>
        </w:rPr>
        <w:t>By dividing the</w:t>
      </w:r>
      <w:r w:rsidR="0060265F" w:rsidRPr="00716B90">
        <w:rPr>
          <w:rFonts w:ascii="Calibri" w:hAnsi="Calibri" w:cs="Calibri"/>
        </w:rPr>
        <w:t xml:space="preserve"> annual net earnings by the </w:t>
      </w:r>
      <w:r w:rsidR="00A83957" w:rsidRPr="00716B90">
        <w:rPr>
          <w:rFonts w:ascii="Calibri" w:hAnsi="Calibri" w:cs="Calibri"/>
        </w:rPr>
        <w:t xml:space="preserve">starting investments into the </w:t>
      </w:r>
      <w:r w:rsidR="003F3F60" w:rsidRPr="00716B90">
        <w:rPr>
          <w:rFonts w:ascii="Calibri" w:hAnsi="Calibri" w:cs="Calibri"/>
        </w:rPr>
        <w:t xml:space="preserve">particular project, we can determine the </w:t>
      </w:r>
      <w:r w:rsidR="00B5137A" w:rsidRPr="00716B90">
        <w:rPr>
          <w:rFonts w:ascii="Calibri" w:hAnsi="Calibri" w:cs="Calibri"/>
        </w:rPr>
        <w:t>Project’s return which is known as ARR</w:t>
      </w:r>
      <w:r w:rsidR="00A30062" w:rsidRPr="00716B90">
        <w:rPr>
          <w:rFonts w:ascii="Calibri" w:hAnsi="Calibri" w:cs="Calibri"/>
        </w:rPr>
        <w:t xml:space="preserve"> </w:t>
      </w:r>
      <w:r w:rsidR="00733EB1" w:rsidRPr="00716B90">
        <w:rPr>
          <w:rFonts w:ascii="Calibri" w:hAnsi="Calibri" w:cs="Calibri"/>
        </w:rPr>
        <w:t>(Simin, 2021).</w:t>
      </w:r>
    </w:p>
    <w:p w14:paraId="0386ED67" w14:textId="77777777" w:rsidR="004F3DD1" w:rsidRPr="00716B90" w:rsidRDefault="004F3DD1" w:rsidP="004F3DD1">
      <w:pPr>
        <w:jc w:val="both"/>
        <w:rPr>
          <w:rFonts w:ascii="Calibri" w:hAnsi="Calibri" w:cs="Calibri"/>
          <w:b/>
          <w:bCs/>
          <w:lang w:val="en-US"/>
        </w:rPr>
      </w:pPr>
      <w:r w:rsidRPr="00716B90">
        <w:rPr>
          <w:rFonts w:ascii="Calibri" w:hAnsi="Calibri" w:cs="Calibri"/>
          <w:b/>
          <w:bCs/>
          <w:lang w:val="en-US"/>
        </w:rPr>
        <w:t>Advantages:</w:t>
      </w:r>
    </w:p>
    <w:p w14:paraId="71037417" w14:textId="38FCF036" w:rsidR="00CF7D10" w:rsidRPr="00716B90" w:rsidRDefault="00E94046" w:rsidP="004F3DD1">
      <w:pPr>
        <w:jc w:val="both"/>
        <w:rPr>
          <w:rFonts w:ascii="Calibri" w:hAnsi="Calibri" w:cs="Calibri"/>
          <w:b/>
          <w:bCs/>
          <w:i/>
          <w:iCs/>
        </w:rPr>
      </w:pPr>
      <w:r w:rsidRPr="00716B90">
        <w:rPr>
          <w:rFonts w:ascii="Calibri" w:hAnsi="Calibri" w:cs="Calibri"/>
          <w:b/>
          <w:bCs/>
          <w:i/>
          <w:iCs/>
          <w:lang w:val="en-US"/>
        </w:rPr>
        <w:lastRenderedPageBreak/>
        <w:t xml:space="preserve">Ease of use: </w:t>
      </w:r>
      <w:r w:rsidR="006860CF" w:rsidRPr="00716B90">
        <w:rPr>
          <w:rFonts w:ascii="Calibri" w:hAnsi="Calibri" w:cs="Calibri"/>
        </w:rPr>
        <w:t>It is relatively simple to compute the ARR. There are no complicated and sophisticated calculations involved. Additionally, it is simple to figure out and apply in any circumstance. Based on the estimated ARR, this gives management an immediate choice regarding either to approve or refuse the investment proposal. All they must do for themselves is compare it to the RRR. The justification is so straightforward that even a non-specialist might understand it (Borad, 2022)</w:t>
      </w:r>
      <w:r w:rsidR="006860CF" w:rsidRPr="00BC69F0">
        <w:rPr>
          <w:rFonts w:ascii="Calibri" w:hAnsi="Calibri" w:cs="Calibri"/>
        </w:rPr>
        <w:t>.</w:t>
      </w:r>
    </w:p>
    <w:p w14:paraId="1CF1CE60" w14:textId="6EB85B59" w:rsidR="004F3DD1" w:rsidRPr="00716B90" w:rsidRDefault="004F3DD1" w:rsidP="004F46AF">
      <w:pPr>
        <w:jc w:val="both"/>
        <w:rPr>
          <w:rFonts w:ascii="Calibri" w:hAnsi="Calibri" w:cs="Calibri"/>
          <w:b/>
          <w:bCs/>
          <w:lang w:val="en-US"/>
        </w:rPr>
      </w:pPr>
      <w:r w:rsidRPr="00716B90">
        <w:rPr>
          <w:rFonts w:ascii="Calibri" w:hAnsi="Calibri" w:cs="Calibri"/>
          <w:b/>
          <w:bCs/>
          <w:lang w:val="en-US"/>
        </w:rPr>
        <w:t>Disadvantages:</w:t>
      </w:r>
    </w:p>
    <w:p w14:paraId="7572CE2A" w14:textId="19804197" w:rsidR="00BC69F0" w:rsidRPr="00716B90" w:rsidRDefault="00BC69F0" w:rsidP="004F46AF">
      <w:pPr>
        <w:jc w:val="both"/>
        <w:rPr>
          <w:rFonts w:ascii="Calibri" w:hAnsi="Calibri" w:cs="Calibri"/>
        </w:rPr>
      </w:pPr>
      <w:r w:rsidRPr="00716B90">
        <w:rPr>
          <w:rFonts w:ascii="Calibri" w:hAnsi="Calibri" w:cs="Calibri"/>
        </w:rPr>
        <w:tab/>
      </w:r>
      <w:r w:rsidR="00A70EB7" w:rsidRPr="00716B90">
        <w:rPr>
          <w:rFonts w:ascii="Calibri" w:hAnsi="Calibri" w:cs="Calibri"/>
          <w:b/>
          <w:bCs/>
          <w:i/>
          <w:iCs/>
        </w:rPr>
        <w:t>Ignores the risk:</w:t>
      </w:r>
      <w:r w:rsidR="00A70EB7" w:rsidRPr="00716B90">
        <w:rPr>
          <w:rFonts w:ascii="Calibri" w:hAnsi="Calibri" w:cs="Calibri"/>
        </w:rPr>
        <w:t xml:space="preserve"> </w:t>
      </w:r>
      <w:r w:rsidRPr="00BC69F0">
        <w:rPr>
          <w:rFonts w:ascii="Calibri" w:hAnsi="Calibri" w:cs="Calibri"/>
        </w:rPr>
        <w:t>ARR evaluates all projects similarly irrespective of their duration, nature of work, or environment, hence neglecting the risks and uncertainties associated with their investments. It ignores the investor's need to decrease risks, even at the penalty of lower returns, and instead just ranks projects based on returns</w:t>
      </w:r>
      <w:r w:rsidR="00D312C4" w:rsidRPr="00716B90">
        <w:rPr>
          <w:rFonts w:ascii="Calibri" w:hAnsi="Calibri" w:cs="Calibri"/>
        </w:rPr>
        <w:t xml:space="preserve"> (Borad, 2022)</w:t>
      </w:r>
      <w:r w:rsidRPr="00BC69F0">
        <w:rPr>
          <w:rFonts w:ascii="Calibri" w:hAnsi="Calibri" w:cs="Calibri"/>
        </w:rPr>
        <w:t>.</w:t>
      </w:r>
    </w:p>
    <w:p w14:paraId="019CB7C7" w14:textId="319567B5" w:rsidR="006E3ED4" w:rsidRPr="00716B90" w:rsidRDefault="00BF31BC" w:rsidP="00CE5728">
      <w:pPr>
        <w:pStyle w:val="Heading3"/>
        <w:rPr>
          <w:rFonts w:ascii="Calibri" w:hAnsi="Calibri" w:cs="Calibri"/>
          <w:sz w:val="24"/>
          <w:szCs w:val="24"/>
          <w:lang w:val="en-US"/>
        </w:rPr>
      </w:pPr>
      <w:bookmarkStart w:id="30" w:name="_Toc175126659"/>
      <w:r w:rsidRPr="00716B90">
        <w:rPr>
          <w:rFonts w:ascii="Calibri" w:hAnsi="Calibri" w:cs="Calibri"/>
          <w:sz w:val="24"/>
          <w:szCs w:val="24"/>
          <w:lang w:val="en-US"/>
        </w:rPr>
        <w:t xml:space="preserve">3.2.3. </w:t>
      </w:r>
      <w:r w:rsidR="00AF0960" w:rsidRPr="00716B90">
        <w:rPr>
          <w:rFonts w:ascii="Calibri" w:hAnsi="Calibri" w:cs="Calibri"/>
          <w:sz w:val="24"/>
          <w:szCs w:val="24"/>
          <w:lang w:val="en-US"/>
        </w:rPr>
        <w:t>NPV:</w:t>
      </w:r>
      <w:r w:rsidR="001110D3" w:rsidRPr="00716B90">
        <w:rPr>
          <w:rFonts w:ascii="Calibri" w:hAnsi="Calibri" w:cs="Calibri"/>
          <w:sz w:val="24"/>
          <w:szCs w:val="24"/>
          <w:lang w:val="en-US"/>
        </w:rPr>
        <w:t xml:space="preserve"> </w:t>
      </w:r>
      <w:r w:rsidR="00CD57B2" w:rsidRPr="00716B90">
        <w:rPr>
          <w:rFonts w:ascii="Calibri" w:hAnsi="Calibri" w:cs="Calibri"/>
          <w:sz w:val="24"/>
          <w:szCs w:val="24"/>
          <w:lang w:val="en-US"/>
        </w:rPr>
        <w:t>NET Present Value</w:t>
      </w:r>
      <w:r w:rsidR="004F3DD1" w:rsidRPr="00716B90">
        <w:rPr>
          <w:rFonts w:ascii="Calibri" w:hAnsi="Calibri" w:cs="Calibri"/>
          <w:sz w:val="24"/>
          <w:szCs w:val="24"/>
          <w:lang w:val="en-US"/>
        </w:rPr>
        <w:t>.</w:t>
      </w:r>
      <w:bookmarkEnd w:id="30"/>
    </w:p>
    <w:p w14:paraId="436F8899" w14:textId="2C896DA5" w:rsidR="00356E19" w:rsidRPr="00716B90" w:rsidRDefault="00356E19" w:rsidP="00B74A24">
      <w:pPr>
        <w:jc w:val="both"/>
        <w:rPr>
          <w:rFonts w:ascii="Calibri" w:hAnsi="Calibri" w:cs="Calibri"/>
        </w:rPr>
      </w:pPr>
      <w:r w:rsidRPr="00716B90">
        <w:rPr>
          <w:rFonts w:ascii="Calibri" w:hAnsi="Calibri" w:cs="Calibri"/>
          <w:lang w:val="en-US"/>
        </w:rPr>
        <w:tab/>
      </w:r>
      <w:r w:rsidR="00C36DE2" w:rsidRPr="00716B90">
        <w:rPr>
          <w:rFonts w:ascii="Calibri" w:hAnsi="Calibri" w:cs="Calibri"/>
        </w:rPr>
        <w:t>Net Pr</w:t>
      </w:r>
      <w:r w:rsidR="009934D5" w:rsidRPr="00716B90">
        <w:rPr>
          <w:rFonts w:ascii="Calibri" w:hAnsi="Calibri" w:cs="Calibri"/>
        </w:rPr>
        <w:t xml:space="preserve">esent </w:t>
      </w:r>
      <w:r w:rsidR="00BC6ABD" w:rsidRPr="00716B90">
        <w:rPr>
          <w:rFonts w:ascii="Calibri" w:hAnsi="Calibri" w:cs="Calibri"/>
        </w:rPr>
        <w:t>Value</w:t>
      </w:r>
      <w:r w:rsidR="009934D5" w:rsidRPr="00716B90">
        <w:rPr>
          <w:rFonts w:ascii="Calibri" w:hAnsi="Calibri" w:cs="Calibri"/>
        </w:rPr>
        <w:t xml:space="preserve"> is a </w:t>
      </w:r>
      <w:r w:rsidR="00C36DE2" w:rsidRPr="00716B90">
        <w:rPr>
          <w:rFonts w:ascii="Calibri" w:hAnsi="Calibri" w:cs="Calibri"/>
        </w:rPr>
        <w:t>type of analysis that examines a business's profitability through the comparison of the current value of projected cash flows to the entire investment. NPV is determined as net cash flow without the cost of investment</w:t>
      </w:r>
      <w:r w:rsidR="008009FB" w:rsidRPr="00716B90">
        <w:rPr>
          <w:rFonts w:ascii="Calibri" w:hAnsi="Calibri" w:cs="Calibri"/>
        </w:rPr>
        <w:t xml:space="preserve"> (Ardyn Sari Sinaga et al., 2023). </w:t>
      </w:r>
      <w:r w:rsidR="002A1D95" w:rsidRPr="00716B90">
        <w:rPr>
          <w:rFonts w:ascii="Calibri" w:hAnsi="Calibri" w:cs="Calibri"/>
        </w:rPr>
        <w:t xml:space="preserve"> In simple terms</w:t>
      </w:r>
      <w:r w:rsidR="00BC6ABD" w:rsidRPr="00716B90">
        <w:rPr>
          <w:rFonts w:ascii="Calibri" w:hAnsi="Calibri" w:cs="Calibri"/>
        </w:rPr>
        <w:t>,</w:t>
      </w:r>
      <w:r w:rsidR="002A1D95" w:rsidRPr="00716B90">
        <w:rPr>
          <w:rFonts w:ascii="Calibri" w:hAnsi="Calibri" w:cs="Calibri"/>
        </w:rPr>
        <w:t xml:space="preserve"> NPV is the difference </w:t>
      </w:r>
      <w:r w:rsidR="00BE6C02" w:rsidRPr="00716B90">
        <w:rPr>
          <w:rFonts w:ascii="Calibri" w:hAnsi="Calibri" w:cs="Calibri"/>
        </w:rPr>
        <w:t>between the present value of ca</w:t>
      </w:r>
      <w:r w:rsidR="00DC5752" w:rsidRPr="00716B90">
        <w:rPr>
          <w:rFonts w:ascii="Calibri" w:hAnsi="Calibri" w:cs="Calibri"/>
        </w:rPr>
        <w:t>sh inflows to the cash outflows</w:t>
      </w:r>
      <w:r w:rsidR="009B7039" w:rsidRPr="00716B90">
        <w:rPr>
          <w:rFonts w:ascii="Calibri" w:hAnsi="Calibri" w:cs="Calibri"/>
        </w:rPr>
        <w:t xml:space="preserve"> </w:t>
      </w:r>
      <w:r w:rsidR="002E257E" w:rsidRPr="00716B90">
        <w:rPr>
          <w:rFonts w:ascii="Calibri" w:hAnsi="Calibri" w:cs="Calibri"/>
        </w:rPr>
        <w:t>(Banerjee, 2015).</w:t>
      </w:r>
    </w:p>
    <w:p w14:paraId="1943D72F" w14:textId="77777777" w:rsidR="007F71DE" w:rsidRPr="00716B90" w:rsidRDefault="007F71DE" w:rsidP="001110D3">
      <w:pPr>
        <w:jc w:val="both"/>
        <w:rPr>
          <w:rFonts w:ascii="Calibri" w:hAnsi="Calibri" w:cs="Calibri"/>
          <w:b/>
          <w:bCs/>
          <w:lang w:val="en-US"/>
        </w:rPr>
      </w:pPr>
    </w:p>
    <w:p w14:paraId="7C486944" w14:textId="0DD0AB2F" w:rsidR="004F3DD1" w:rsidRPr="00716B90" w:rsidRDefault="004F3DD1" w:rsidP="001110D3">
      <w:pPr>
        <w:jc w:val="both"/>
        <w:rPr>
          <w:rFonts w:ascii="Calibri" w:hAnsi="Calibri" w:cs="Calibri"/>
          <w:b/>
          <w:bCs/>
          <w:lang w:val="en-US"/>
        </w:rPr>
      </w:pPr>
      <w:r w:rsidRPr="00716B90">
        <w:rPr>
          <w:rFonts w:ascii="Calibri" w:hAnsi="Calibri" w:cs="Calibri"/>
          <w:b/>
          <w:bCs/>
          <w:lang w:val="en-US"/>
        </w:rPr>
        <w:t>Advantages:</w:t>
      </w:r>
    </w:p>
    <w:p w14:paraId="3BEF3FE6" w14:textId="45FAD91A" w:rsidR="00AF0960" w:rsidRPr="00716B90" w:rsidRDefault="002433FA" w:rsidP="004F46AF">
      <w:pPr>
        <w:jc w:val="both"/>
        <w:rPr>
          <w:rFonts w:ascii="Calibri" w:hAnsi="Calibri" w:cs="Calibri"/>
        </w:rPr>
      </w:pPr>
      <w:r w:rsidRPr="00716B90">
        <w:rPr>
          <w:rFonts w:ascii="Calibri" w:hAnsi="Calibri" w:cs="Calibri"/>
          <w:b/>
          <w:bCs/>
          <w:lang w:val="en-US"/>
        </w:rPr>
        <w:tab/>
      </w:r>
      <w:r w:rsidR="00AC1B7C" w:rsidRPr="00716B90">
        <w:rPr>
          <w:rFonts w:ascii="Calibri" w:hAnsi="Calibri" w:cs="Calibri"/>
          <w:b/>
          <w:bCs/>
          <w:i/>
          <w:iCs/>
          <w:lang w:val="en-US"/>
        </w:rPr>
        <w:t>Payback Indicator</w:t>
      </w:r>
      <w:r w:rsidR="001C6DCB" w:rsidRPr="00716B90">
        <w:rPr>
          <w:rFonts w:ascii="Calibri" w:hAnsi="Calibri" w:cs="Calibri"/>
          <w:b/>
          <w:bCs/>
          <w:lang w:val="en-US"/>
        </w:rPr>
        <w:t>:</w:t>
      </w:r>
      <w:r w:rsidR="001C6DCB" w:rsidRPr="00716B90">
        <w:rPr>
          <w:rFonts w:ascii="Calibri" w:hAnsi="Calibri" w:cs="Calibri"/>
          <w:lang w:val="en-US"/>
        </w:rPr>
        <w:t xml:space="preserve"> </w:t>
      </w:r>
      <w:r w:rsidR="00AE1AF5" w:rsidRPr="00716B90">
        <w:rPr>
          <w:rFonts w:ascii="Calibri" w:hAnsi="Calibri" w:cs="Calibri"/>
          <w:lang w:val="en-US"/>
        </w:rPr>
        <w:t xml:space="preserve">NPV is an </w:t>
      </w:r>
      <w:r w:rsidR="001110D3" w:rsidRPr="00716B90">
        <w:rPr>
          <w:rFonts w:ascii="Calibri" w:hAnsi="Calibri" w:cs="Calibri"/>
        </w:rPr>
        <w:t xml:space="preserve">essential financial approach used to assist investors </w:t>
      </w:r>
      <w:r w:rsidR="004C6F4D" w:rsidRPr="00716B90">
        <w:rPr>
          <w:rFonts w:ascii="Calibri" w:hAnsi="Calibri" w:cs="Calibri"/>
        </w:rPr>
        <w:t>in identifying</w:t>
      </w:r>
      <w:r w:rsidR="001110D3" w:rsidRPr="00716B90">
        <w:rPr>
          <w:rFonts w:ascii="Calibri" w:hAnsi="Calibri" w:cs="Calibri"/>
        </w:rPr>
        <w:t xml:space="preserve"> </w:t>
      </w:r>
      <w:r w:rsidR="00AE1AF5" w:rsidRPr="00716B90">
        <w:rPr>
          <w:rFonts w:ascii="Calibri" w:hAnsi="Calibri" w:cs="Calibri"/>
        </w:rPr>
        <w:t>whether</w:t>
      </w:r>
      <w:r w:rsidR="001110D3" w:rsidRPr="00716B90">
        <w:rPr>
          <w:rFonts w:ascii="Calibri" w:hAnsi="Calibri" w:cs="Calibri"/>
        </w:rPr>
        <w:t xml:space="preserve"> to make an investment in a project by estimating future returns using discounted rates and cash flows. Its fundamental benefit lies in how it </w:t>
      </w:r>
      <w:r w:rsidR="006E3ED4" w:rsidRPr="00716B90">
        <w:rPr>
          <w:rFonts w:ascii="Calibri" w:hAnsi="Calibri" w:cs="Calibri"/>
        </w:rPr>
        <w:t>considers</w:t>
      </w:r>
      <w:r w:rsidR="001110D3" w:rsidRPr="00716B90">
        <w:rPr>
          <w:rFonts w:ascii="Calibri" w:hAnsi="Calibri" w:cs="Calibri"/>
        </w:rPr>
        <w:t xml:space="preserve"> a vast majority of the risks and expenses, offering shareholders a clear picture of expected profits. The net present</w:t>
      </w:r>
      <w:r w:rsidR="00AE1AF5" w:rsidRPr="00716B90">
        <w:rPr>
          <w:rFonts w:ascii="Calibri" w:hAnsi="Calibri" w:cs="Calibri"/>
        </w:rPr>
        <w:t xml:space="preserve"> value, or NPV, is an easy </w:t>
      </w:r>
      <w:r w:rsidR="00A15CA5" w:rsidRPr="00716B90">
        <w:rPr>
          <w:rFonts w:ascii="Calibri" w:hAnsi="Calibri" w:cs="Calibri"/>
        </w:rPr>
        <w:t xml:space="preserve">approach </w:t>
      </w:r>
      <w:r w:rsidR="004C6F4D" w:rsidRPr="00716B90">
        <w:rPr>
          <w:rFonts w:ascii="Calibri" w:hAnsi="Calibri" w:cs="Calibri"/>
        </w:rPr>
        <w:t>to</w:t>
      </w:r>
      <w:r w:rsidR="00A15CA5" w:rsidRPr="00716B90">
        <w:rPr>
          <w:rFonts w:ascii="Calibri" w:hAnsi="Calibri" w:cs="Calibri"/>
        </w:rPr>
        <w:t xml:space="preserve"> analysing the potential and payback of a project</w:t>
      </w:r>
      <w:r w:rsidR="006E3ED4" w:rsidRPr="00716B90">
        <w:rPr>
          <w:rFonts w:ascii="Calibri" w:hAnsi="Calibri" w:cs="Calibri"/>
        </w:rPr>
        <w:t xml:space="preserve"> (Dai </w:t>
      </w:r>
      <w:r w:rsidR="006E3ED4" w:rsidRPr="00716B90">
        <w:rPr>
          <w:rFonts w:ascii="Calibri" w:hAnsi="Calibri" w:cs="Calibri"/>
          <w:i/>
          <w:iCs/>
        </w:rPr>
        <w:t>et al</w:t>
      </w:r>
      <w:r w:rsidR="006E3ED4" w:rsidRPr="00716B90">
        <w:rPr>
          <w:rFonts w:ascii="Calibri" w:hAnsi="Calibri" w:cs="Calibri"/>
        </w:rPr>
        <w:t>., 2022)</w:t>
      </w:r>
      <w:r w:rsidR="00A15CA5" w:rsidRPr="00716B90">
        <w:rPr>
          <w:rFonts w:ascii="Calibri" w:hAnsi="Calibri" w:cs="Calibri"/>
        </w:rPr>
        <w:t xml:space="preserve">. </w:t>
      </w:r>
      <w:r w:rsidR="002E257E" w:rsidRPr="00716B90">
        <w:rPr>
          <w:rFonts w:ascii="Calibri" w:hAnsi="Calibri" w:cs="Calibri"/>
        </w:rPr>
        <w:t xml:space="preserve"> </w:t>
      </w:r>
    </w:p>
    <w:p w14:paraId="2C815619" w14:textId="3660870B" w:rsidR="00957503" w:rsidRPr="00716B90" w:rsidRDefault="00F529D4" w:rsidP="004F46AF">
      <w:pPr>
        <w:jc w:val="both"/>
        <w:rPr>
          <w:rFonts w:ascii="Calibri" w:hAnsi="Calibri" w:cs="Calibri"/>
        </w:rPr>
      </w:pPr>
      <w:r w:rsidRPr="00716B90">
        <w:rPr>
          <w:rFonts w:ascii="Calibri" w:hAnsi="Calibri" w:cs="Calibri"/>
          <w:b/>
          <w:bCs/>
          <w:i/>
          <w:iCs/>
        </w:rPr>
        <w:tab/>
      </w:r>
      <w:r w:rsidR="00957503" w:rsidRPr="00716B90">
        <w:rPr>
          <w:rFonts w:ascii="Calibri" w:hAnsi="Calibri" w:cs="Calibri"/>
          <w:b/>
          <w:bCs/>
          <w:i/>
          <w:iCs/>
        </w:rPr>
        <w:t>The time value of Money</w:t>
      </w:r>
      <w:r w:rsidR="00957503" w:rsidRPr="00716B90">
        <w:rPr>
          <w:rFonts w:ascii="Calibri" w:hAnsi="Calibri" w:cs="Calibri"/>
        </w:rPr>
        <w:t xml:space="preserve">: </w:t>
      </w:r>
      <w:r w:rsidRPr="00716B90">
        <w:rPr>
          <w:rFonts w:ascii="Calibri" w:hAnsi="Calibri" w:cs="Calibri"/>
        </w:rPr>
        <w:t xml:space="preserve">The most obvious advantage of using this NPV concept is that it takes consideration </w:t>
      </w:r>
      <w:r w:rsidR="00CE00E7" w:rsidRPr="00716B90">
        <w:rPr>
          <w:rFonts w:ascii="Calibri" w:hAnsi="Calibri" w:cs="Calibri"/>
        </w:rPr>
        <w:t xml:space="preserve">of the idea that money now has a lesser worth than its value will be in future years. It accomplishes this through adjusting the cost of capital across every period’s cash </w:t>
      </w:r>
      <w:r w:rsidR="00B01495" w:rsidRPr="00716B90">
        <w:rPr>
          <w:rFonts w:ascii="Calibri" w:hAnsi="Calibri" w:cs="Calibri"/>
        </w:rPr>
        <w:t>flow (Simin, 2021)</w:t>
      </w:r>
      <w:r w:rsidR="00CE00E7" w:rsidRPr="00716B90">
        <w:rPr>
          <w:rFonts w:ascii="Calibri" w:hAnsi="Calibri" w:cs="Calibri"/>
        </w:rPr>
        <w:t xml:space="preserve">. </w:t>
      </w:r>
    </w:p>
    <w:p w14:paraId="283D6AA5" w14:textId="77777777" w:rsidR="004F3DD1" w:rsidRPr="00716B90" w:rsidRDefault="004F3DD1" w:rsidP="004F3DD1">
      <w:pPr>
        <w:jc w:val="both"/>
        <w:rPr>
          <w:rFonts w:ascii="Calibri" w:hAnsi="Calibri" w:cs="Calibri"/>
          <w:b/>
          <w:bCs/>
          <w:lang w:val="en-US"/>
        </w:rPr>
      </w:pPr>
      <w:r w:rsidRPr="00716B90">
        <w:rPr>
          <w:rFonts w:ascii="Calibri" w:hAnsi="Calibri" w:cs="Calibri"/>
          <w:b/>
          <w:bCs/>
          <w:lang w:val="en-US"/>
        </w:rPr>
        <w:t>Disadvantages:</w:t>
      </w:r>
    </w:p>
    <w:p w14:paraId="4964773C" w14:textId="0F3770AD" w:rsidR="00F4494F" w:rsidRPr="00716B90" w:rsidRDefault="00F4494F" w:rsidP="002433FA">
      <w:pPr>
        <w:jc w:val="both"/>
        <w:rPr>
          <w:rFonts w:ascii="Calibri" w:eastAsia="Times New Roman" w:hAnsi="Calibri" w:cs="Calibri"/>
          <w:kern w:val="0"/>
          <w:lang w:eastAsia="en-GB"/>
          <w14:ligatures w14:val="none"/>
        </w:rPr>
      </w:pPr>
      <w:r w:rsidRPr="00716B90">
        <w:rPr>
          <w:rFonts w:ascii="Calibri" w:hAnsi="Calibri" w:cs="Calibri"/>
          <w:b/>
          <w:bCs/>
          <w:i/>
          <w:iCs/>
          <w:lang w:val="en-US"/>
        </w:rPr>
        <w:tab/>
        <w:t>Complex to use:</w:t>
      </w:r>
      <w:r w:rsidRPr="00716B90">
        <w:rPr>
          <w:rFonts w:ascii="Calibri" w:eastAsia="Times New Roman" w:hAnsi="Calibri" w:cs="Calibri"/>
          <w:kern w:val="0"/>
          <w:lang w:eastAsia="en-GB"/>
          <w14:ligatures w14:val="none"/>
        </w:rPr>
        <w:t xml:space="preserve"> NPV is </w:t>
      </w:r>
      <w:r w:rsidR="004C6F4D" w:rsidRPr="00716B90">
        <w:rPr>
          <w:rFonts w:ascii="Calibri" w:eastAsia="Times New Roman" w:hAnsi="Calibri" w:cs="Calibri"/>
          <w:kern w:val="0"/>
          <w:lang w:eastAsia="en-GB"/>
          <w14:ligatures w14:val="none"/>
        </w:rPr>
        <w:t xml:space="preserve">a </w:t>
      </w:r>
      <w:r w:rsidRPr="00716B90">
        <w:rPr>
          <w:rFonts w:ascii="Calibri" w:eastAsia="Times New Roman" w:hAnsi="Calibri" w:cs="Calibri"/>
          <w:kern w:val="0"/>
          <w:lang w:eastAsia="en-GB"/>
          <w14:ligatures w14:val="none"/>
        </w:rPr>
        <w:t>good tool to evaluate investments, however it does have drawbacks. It is less useful when compared projects with varied periods of life span and can be challenging to apply, particularly for individuals not familiar with the concepts of finance (</w:t>
      </w:r>
      <w:proofErr w:type="spellStart"/>
      <w:r w:rsidRPr="00716B90">
        <w:rPr>
          <w:rFonts w:ascii="Calibri" w:eastAsia="Times New Roman" w:hAnsi="Calibri" w:cs="Calibri"/>
          <w:kern w:val="0"/>
          <w:lang w:eastAsia="en-GB"/>
          <w14:ligatures w14:val="none"/>
        </w:rPr>
        <w:t>Kishk</w:t>
      </w:r>
      <w:proofErr w:type="spellEnd"/>
      <w:r w:rsidRPr="00716B90">
        <w:rPr>
          <w:rFonts w:ascii="Calibri" w:eastAsia="Times New Roman" w:hAnsi="Calibri" w:cs="Calibri"/>
          <w:kern w:val="0"/>
          <w:lang w:eastAsia="en-GB"/>
          <w14:ligatures w14:val="none"/>
        </w:rPr>
        <w:t xml:space="preserve"> et al., 2003). </w:t>
      </w:r>
      <w:r w:rsidR="00AF7C1F" w:rsidRPr="00716B90">
        <w:rPr>
          <w:rFonts w:ascii="Calibri" w:hAnsi="Calibri" w:cs="Calibri"/>
          <w:lang w:val="en-US"/>
        </w:rPr>
        <w:tab/>
      </w:r>
    </w:p>
    <w:p w14:paraId="2156EEA4" w14:textId="14DE74F0" w:rsidR="002433FA" w:rsidRPr="00716B90" w:rsidRDefault="00F4494F" w:rsidP="002433FA">
      <w:pPr>
        <w:jc w:val="both"/>
        <w:rPr>
          <w:rFonts w:ascii="Calibri" w:hAnsi="Calibri" w:cs="Calibri"/>
        </w:rPr>
      </w:pPr>
      <w:r w:rsidRPr="00716B90">
        <w:rPr>
          <w:rFonts w:ascii="Calibri" w:hAnsi="Calibri" w:cs="Calibri"/>
          <w:b/>
          <w:bCs/>
          <w:i/>
          <w:iCs/>
          <w:lang w:val="en-US"/>
        </w:rPr>
        <w:tab/>
      </w:r>
      <w:r w:rsidR="00D6515A" w:rsidRPr="00716B90">
        <w:rPr>
          <w:rFonts w:ascii="Calibri" w:hAnsi="Calibri" w:cs="Calibri"/>
          <w:b/>
          <w:bCs/>
          <w:i/>
          <w:iCs/>
          <w:lang w:val="en-US"/>
        </w:rPr>
        <w:t>Limited Accuracy:</w:t>
      </w:r>
      <w:r w:rsidR="00D6515A" w:rsidRPr="00716B90">
        <w:rPr>
          <w:rFonts w:ascii="Calibri" w:hAnsi="Calibri" w:cs="Calibri"/>
          <w:lang w:val="en-US"/>
        </w:rPr>
        <w:t xml:space="preserve">  </w:t>
      </w:r>
      <w:r w:rsidR="004F30A1" w:rsidRPr="00716B90">
        <w:rPr>
          <w:rFonts w:ascii="Calibri" w:eastAsia="Times New Roman" w:hAnsi="Calibri" w:cs="Calibri"/>
          <w:kern w:val="0"/>
          <w:lang w:eastAsia="en-GB"/>
          <w14:ligatures w14:val="none"/>
        </w:rPr>
        <w:t>Cash flows and the discount rate are t</w:t>
      </w:r>
      <w:r w:rsidR="00AD428D" w:rsidRPr="00716B90">
        <w:rPr>
          <w:rFonts w:ascii="Calibri" w:eastAsia="Times New Roman" w:hAnsi="Calibri" w:cs="Calibri"/>
          <w:kern w:val="0"/>
          <w:lang w:eastAsia="en-GB"/>
          <w14:ligatures w14:val="none"/>
        </w:rPr>
        <w:t>wo</w:t>
      </w:r>
      <w:r w:rsidR="004F30A1" w:rsidRPr="00716B90">
        <w:rPr>
          <w:rFonts w:ascii="Calibri" w:eastAsia="Times New Roman" w:hAnsi="Calibri" w:cs="Calibri"/>
          <w:kern w:val="0"/>
          <w:lang w:eastAsia="en-GB"/>
          <w14:ligatures w14:val="none"/>
        </w:rPr>
        <w:t xml:space="preserve"> </w:t>
      </w:r>
      <w:r w:rsidR="00AD74C4" w:rsidRPr="00716B90">
        <w:rPr>
          <w:rFonts w:ascii="Calibri" w:eastAsia="Times New Roman" w:hAnsi="Calibri" w:cs="Calibri"/>
          <w:kern w:val="0"/>
          <w:lang w:eastAsia="en-GB"/>
          <w14:ligatures w14:val="none"/>
        </w:rPr>
        <w:t xml:space="preserve">crucial factors in computing net present value. Although these are frequently resolved in different sets of </w:t>
      </w:r>
      <w:r w:rsidR="00AD74C4" w:rsidRPr="00716B90">
        <w:rPr>
          <w:rFonts w:ascii="Calibri" w:eastAsia="Times New Roman" w:hAnsi="Calibri" w:cs="Calibri"/>
          <w:kern w:val="0"/>
          <w:lang w:eastAsia="en-GB"/>
          <w14:ligatures w14:val="none"/>
        </w:rPr>
        <w:lastRenderedPageBreak/>
        <w:t xml:space="preserve">problems, they are anticipated and may change at random, with no assurance that they will </w:t>
      </w:r>
      <w:r w:rsidR="004C6F4D" w:rsidRPr="00716B90">
        <w:rPr>
          <w:rFonts w:ascii="Calibri" w:eastAsia="Times New Roman" w:hAnsi="Calibri" w:cs="Calibri"/>
          <w:kern w:val="0"/>
          <w:lang w:eastAsia="en-GB"/>
          <w14:ligatures w14:val="none"/>
        </w:rPr>
        <w:t>ever</w:t>
      </w:r>
      <w:r w:rsidR="00AD74C4" w:rsidRPr="00716B90">
        <w:rPr>
          <w:rFonts w:ascii="Calibri" w:eastAsia="Times New Roman" w:hAnsi="Calibri" w:cs="Calibri"/>
          <w:kern w:val="0"/>
          <w:lang w:eastAsia="en-GB"/>
          <w14:ligatures w14:val="none"/>
        </w:rPr>
        <w:t xml:space="preserve"> stay stable</w:t>
      </w:r>
      <w:r w:rsidR="002433FA" w:rsidRPr="00716B90">
        <w:rPr>
          <w:rFonts w:ascii="Calibri" w:eastAsia="Times New Roman" w:hAnsi="Calibri" w:cs="Calibri"/>
          <w:kern w:val="0"/>
          <w:lang w:eastAsia="en-GB"/>
          <w14:ligatures w14:val="none"/>
        </w:rPr>
        <w:t xml:space="preserve"> </w:t>
      </w:r>
      <w:r w:rsidR="002433FA" w:rsidRPr="00716B90">
        <w:rPr>
          <w:rFonts w:ascii="Calibri" w:hAnsi="Calibri" w:cs="Calibri"/>
        </w:rPr>
        <w:t xml:space="preserve">(Dai </w:t>
      </w:r>
      <w:r w:rsidR="002433FA" w:rsidRPr="00716B90">
        <w:rPr>
          <w:rFonts w:ascii="Calibri" w:hAnsi="Calibri" w:cs="Calibri"/>
          <w:i/>
          <w:iCs/>
        </w:rPr>
        <w:t>et al</w:t>
      </w:r>
      <w:r w:rsidR="002433FA" w:rsidRPr="00716B90">
        <w:rPr>
          <w:rFonts w:ascii="Calibri" w:hAnsi="Calibri" w:cs="Calibri"/>
        </w:rPr>
        <w:t xml:space="preserve">., 2022). </w:t>
      </w:r>
    </w:p>
    <w:p w14:paraId="774E9884" w14:textId="5B7437A4" w:rsidR="00A77288" w:rsidRPr="00716B90" w:rsidRDefault="00A77288" w:rsidP="00A77288">
      <w:pPr>
        <w:jc w:val="both"/>
        <w:rPr>
          <w:rFonts w:ascii="Calibri" w:eastAsia="Times New Roman" w:hAnsi="Calibri" w:cs="Calibri"/>
          <w:kern w:val="0"/>
          <w:lang w:eastAsia="en-GB"/>
          <w14:ligatures w14:val="none"/>
        </w:rPr>
      </w:pPr>
      <w:r w:rsidRPr="00716B90">
        <w:rPr>
          <w:rFonts w:ascii="Calibri" w:eastAsia="Times New Roman" w:hAnsi="Calibri" w:cs="Calibri"/>
          <w:kern w:val="0"/>
          <w:lang w:eastAsia="en-GB"/>
          <w14:ligatures w14:val="none"/>
        </w:rPr>
        <w:tab/>
        <w:t xml:space="preserve">The foundational objective of NPV is to facilitate investors with greater awareness of the overall future profits transformed into current value, enabling them to make decisions whether or not to make an investment. </w:t>
      </w:r>
      <w:r w:rsidR="00EB0CB5" w:rsidRPr="00716B90">
        <w:rPr>
          <w:rFonts w:ascii="Calibri" w:eastAsia="Times New Roman" w:hAnsi="Calibri" w:cs="Calibri"/>
          <w:kern w:val="0"/>
          <w:lang w:eastAsia="en-GB"/>
          <w14:ligatures w14:val="none"/>
        </w:rPr>
        <w:t>nevertheless,</w:t>
      </w:r>
      <w:r w:rsidRPr="00716B90">
        <w:rPr>
          <w:rFonts w:ascii="Calibri" w:eastAsia="Times New Roman" w:hAnsi="Calibri" w:cs="Calibri"/>
          <w:kern w:val="0"/>
          <w:lang w:eastAsia="en-GB"/>
          <w14:ligatures w14:val="none"/>
        </w:rPr>
        <w:t xml:space="preserve"> can be </w:t>
      </w:r>
      <w:r w:rsidR="004C6F4D" w:rsidRPr="00716B90">
        <w:rPr>
          <w:rFonts w:ascii="Calibri" w:eastAsia="Times New Roman" w:hAnsi="Calibri" w:cs="Calibri"/>
          <w:kern w:val="0"/>
          <w:lang w:eastAsia="en-GB"/>
          <w14:ligatures w14:val="none"/>
        </w:rPr>
        <w:t>falsified</w:t>
      </w:r>
      <w:r w:rsidRPr="00716B90">
        <w:rPr>
          <w:rFonts w:ascii="Calibri" w:eastAsia="Times New Roman" w:hAnsi="Calibri" w:cs="Calibri"/>
          <w:kern w:val="0"/>
          <w:lang w:eastAsia="en-GB"/>
          <w14:ligatures w14:val="none"/>
        </w:rPr>
        <w:t xml:space="preserve"> because NPV</w:t>
      </w:r>
      <w:r w:rsidR="005054EA" w:rsidRPr="00716B90">
        <w:rPr>
          <w:rFonts w:ascii="Calibri" w:eastAsia="Times New Roman" w:hAnsi="Calibri" w:cs="Calibri"/>
          <w:kern w:val="0"/>
          <w:lang w:eastAsia="en-GB"/>
          <w14:ligatures w14:val="none"/>
        </w:rPr>
        <w:t xml:space="preserve"> doesn’t show the amount of time it will take to earn profits</w:t>
      </w:r>
      <w:r w:rsidR="006D1F9B" w:rsidRPr="00716B90">
        <w:rPr>
          <w:rFonts w:ascii="Calibri" w:eastAsia="Times New Roman" w:hAnsi="Calibri" w:cs="Calibri"/>
          <w:kern w:val="0"/>
          <w:lang w:eastAsia="en-GB"/>
          <w14:ligatures w14:val="none"/>
        </w:rPr>
        <w:t xml:space="preserve"> or returns</w:t>
      </w:r>
      <w:r w:rsidR="005054EA" w:rsidRPr="00716B90">
        <w:rPr>
          <w:rFonts w:ascii="Calibri" w:eastAsia="Times New Roman" w:hAnsi="Calibri" w:cs="Calibri"/>
          <w:kern w:val="0"/>
          <w:lang w:eastAsia="en-GB"/>
          <w14:ligatures w14:val="none"/>
        </w:rPr>
        <w:t xml:space="preserve">. </w:t>
      </w:r>
      <w:r w:rsidR="004C6F4D" w:rsidRPr="00716B90">
        <w:rPr>
          <w:rFonts w:ascii="Calibri" w:eastAsia="Times New Roman" w:hAnsi="Calibri" w:cs="Calibri"/>
          <w:kern w:val="0"/>
          <w:lang w:eastAsia="en-GB"/>
          <w14:ligatures w14:val="none"/>
        </w:rPr>
        <w:t>Excessive</w:t>
      </w:r>
      <w:r w:rsidR="006D1F9B" w:rsidRPr="00716B90">
        <w:rPr>
          <w:rFonts w:ascii="Calibri" w:eastAsia="Times New Roman" w:hAnsi="Calibri" w:cs="Calibri"/>
          <w:kern w:val="0"/>
          <w:lang w:eastAsia="en-GB"/>
          <w14:ligatures w14:val="none"/>
        </w:rPr>
        <w:t xml:space="preserve"> dependence on NPV may result in information bias.</w:t>
      </w:r>
      <w:r w:rsidR="00200300" w:rsidRPr="00716B90">
        <w:rPr>
          <w:rFonts w:ascii="Calibri" w:eastAsia="Times New Roman" w:hAnsi="Calibri" w:cs="Calibri"/>
          <w:kern w:val="0"/>
          <w:lang w:eastAsia="en-GB"/>
          <w14:ligatures w14:val="none"/>
        </w:rPr>
        <w:t xml:space="preserve"> </w:t>
      </w:r>
      <w:r w:rsidR="00AD428D" w:rsidRPr="00716B90">
        <w:rPr>
          <w:rFonts w:ascii="Calibri" w:hAnsi="Calibri" w:cs="Calibri"/>
        </w:rPr>
        <w:t xml:space="preserve">(Dai </w:t>
      </w:r>
      <w:r w:rsidR="00AD428D" w:rsidRPr="00716B90">
        <w:rPr>
          <w:rFonts w:ascii="Calibri" w:hAnsi="Calibri" w:cs="Calibri"/>
          <w:i/>
          <w:iCs/>
        </w:rPr>
        <w:t>et al</w:t>
      </w:r>
      <w:r w:rsidR="00AD428D" w:rsidRPr="00716B90">
        <w:rPr>
          <w:rFonts w:ascii="Calibri" w:hAnsi="Calibri" w:cs="Calibri"/>
        </w:rPr>
        <w:t>., 2022</w:t>
      </w:r>
      <w:r w:rsidR="00DE7CF0" w:rsidRPr="00716B90">
        <w:rPr>
          <w:rFonts w:ascii="Calibri" w:hAnsi="Calibri" w:cs="Calibri"/>
        </w:rPr>
        <w:t>)</w:t>
      </w:r>
      <w:r w:rsidR="00EB0CB5" w:rsidRPr="00716B90">
        <w:rPr>
          <w:rFonts w:ascii="Calibri" w:eastAsia="Times New Roman" w:hAnsi="Calibri" w:cs="Calibri"/>
          <w:kern w:val="0"/>
          <w:lang w:eastAsia="en-GB"/>
          <w14:ligatures w14:val="none"/>
        </w:rPr>
        <w:t>.</w:t>
      </w:r>
    </w:p>
    <w:p w14:paraId="2DB17506" w14:textId="6D7B069E" w:rsidR="009A7C31" w:rsidRPr="00220E40" w:rsidRDefault="009A7C31" w:rsidP="00220E40">
      <w:pPr>
        <w:pStyle w:val="Heading3"/>
        <w:rPr>
          <w:rFonts w:ascii="Calibri" w:eastAsia="Times New Roman" w:hAnsi="Calibri" w:cs="Calibri"/>
          <w:b/>
          <w:bCs/>
          <w:lang w:eastAsia="en-GB"/>
        </w:rPr>
      </w:pPr>
      <w:bookmarkStart w:id="31" w:name="_Toc175126660"/>
      <w:r w:rsidRPr="00220E40">
        <w:rPr>
          <w:rFonts w:ascii="Calibri" w:eastAsia="Times New Roman" w:hAnsi="Calibri" w:cs="Calibri"/>
          <w:lang w:eastAsia="en-GB"/>
        </w:rPr>
        <w:t>Conclusion:</w:t>
      </w:r>
      <w:bookmarkEnd w:id="31"/>
    </w:p>
    <w:p w14:paraId="2858D688" w14:textId="7C029924" w:rsidR="009A7C31" w:rsidRPr="009A7C31" w:rsidRDefault="009A7C31" w:rsidP="009A7C31">
      <w:pPr>
        <w:jc w:val="both"/>
        <w:rPr>
          <w:rFonts w:ascii="Calibri" w:eastAsia="Times New Roman" w:hAnsi="Calibri" w:cs="Calibri"/>
          <w:kern w:val="0"/>
          <w:lang w:eastAsia="en-GB"/>
          <w14:ligatures w14:val="none"/>
        </w:rPr>
      </w:pPr>
      <w:r w:rsidRPr="009A7C31">
        <w:rPr>
          <w:rFonts w:ascii="Calibri" w:eastAsia="Times New Roman" w:hAnsi="Calibri" w:cs="Calibri"/>
          <w:kern w:val="0"/>
          <w:lang w:eastAsia="en-GB"/>
          <w14:ligatures w14:val="none"/>
        </w:rPr>
        <w:t xml:space="preserve">Procter &amp; Gamble (P&amp;G) showed resilience through strategic transitions such as leadership changes, digital transformation, and sustainability efforts. The financial evaluation demonstrates high profitability and liquidity, with time for enhancements to the efficiency of assets and debt management.  Overall, P&amp;G's strong market position and strategic focus point to continued </w:t>
      </w:r>
      <w:r w:rsidR="00B525B0" w:rsidRPr="009A7C31">
        <w:rPr>
          <w:rFonts w:ascii="Calibri" w:eastAsia="Times New Roman" w:hAnsi="Calibri" w:cs="Calibri"/>
          <w:kern w:val="0"/>
          <w:lang w:eastAsia="en-GB"/>
          <w14:ligatures w14:val="none"/>
        </w:rPr>
        <w:t>growth but</w:t>
      </w:r>
      <w:r w:rsidRPr="009A7C31">
        <w:rPr>
          <w:rFonts w:ascii="Calibri" w:eastAsia="Times New Roman" w:hAnsi="Calibri" w:cs="Calibri"/>
          <w:kern w:val="0"/>
          <w:lang w:eastAsia="en-GB"/>
          <w14:ligatures w14:val="none"/>
        </w:rPr>
        <w:t xml:space="preserve"> improving financial management and making value-driven investments like Project A will strengthen its competitive edge and financial stability.</w:t>
      </w:r>
    </w:p>
    <w:p w14:paraId="2AD18436" w14:textId="77777777" w:rsidR="009A7C31" w:rsidRPr="00716B90" w:rsidRDefault="009A7C31" w:rsidP="00A77288">
      <w:pPr>
        <w:jc w:val="both"/>
        <w:rPr>
          <w:rFonts w:ascii="Calibri" w:eastAsia="Times New Roman" w:hAnsi="Calibri" w:cs="Calibri"/>
          <w:kern w:val="0"/>
          <w:lang w:eastAsia="en-GB"/>
          <w14:ligatures w14:val="none"/>
        </w:rPr>
      </w:pPr>
    </w:p>
    <w:p w14:paraId="7E4ACAA4" w14:textId="1D3E0999" w:rsidR="00AD74C4" w:rsidRPr="00716B90" w:rsidRDefault="00AD74C4" w:rsidP="00AD74C4">
      <w:pPr>
        <w:jc w:val="both"/>
        <w:rPr>
          <w:rFonts w:ascii="Calibri" w:eastAsia="Times New Roman" w:hAnsi="Calibri" w:cs="Calibri"/>
          <w:kern w:val="0"/>
          <w:lang w:eastAsia="en-GB"/>
          <w14:ligatures w14:val="none"/>
        </w:rPr>
      </w:pPr>
    </w:p>
    <w:p w14:paraId="0C33C54A" w14:textId="164CFA5B" w:rsidR="000E2587" w:rsidRPr="00716B90" w:rsidRDefault="000E2587" w:rsidP="004F46AF">
      <w:pPr>
        <w:jc w:val="both"/>
        <w:rPr>
          <w:rFonts w:ascii="Calibri" w:eastAsia="Times New Roman" w:hAnsi="Calibri" w:cs="Calibri"/>
          <w:kern w:val="0"/>
          <w:lang w:eastAsia="en-GB"/>
          <w14:ligatures w14:val="none"/>
        </w:rPr>
      </w:pPr>
      <w:r w:rsidRPr="00716B90">
        <w:rPr>
          <w:rFonts w:ascii="Calibri" w:hAnsi="Calibri" w:cs="Calibri"/>
          <w:lang w:val="en-US"/>
        </w:rPr>
        <w:br w:type="page"/>
      </w:r>
    </w:p>
    <w:p w14:paraId="75F3C5FB" w14:textId="5F8509AA" w:rsidR="005E15F5" w:rsidRPr="00716B90" w:rsidRDefault="007F71DE" w:rsidP="00E61DB4">
      <w:pPr>
        <w:pStyle w:val="Heading1"/>
        <w:rPr>
          <w:rFonts w:ascii="Calibri" w:hAnsi="Calibri" w:cs="Calibri"/>
          <w:sz w:val="24"/>
          <w:szCs w:val="24"/>
        </w:rPr>
      </w:pPr>
      <w:bookmarkStart w:id="32" w:name="_Toc175126661"/>
      <w:r w:rsidRPr="00716B90">
        <w:rPr>
          <w:rFonts w:ascii="Calibri" w:hAnsi="Calibri" w:cs="Calibri"/>
          <w:sz w:val="24"/>
          <w:szCs w:val="24"/>
        </w:rPr>
        <w:lastRenderedPageBreak/>
        <w:t xml:space="preserve">4. </w:t>
      </w:r>
      <w:r w:rsidR="000E2587" w:rsidRPr="00716B90">
        <w:rPr>
          <w:rFonts w:ascii="Calibri" w:hAnsi="Calibri" w:cs="Calibri"/>
          <w:sz w:val="24"/>
          <w:szCs w:val="24"/>
        </w:rPr>
        <w:t>References.</w:t>
      </w:r>
      <w:bookmarkEnd w:id="32"/>
      <w:r w:rsidR="00DA2381" w:rsidRPr="00716B90">
        <w:rPr>
          <w:rFonts w:ascii="Calibri" w:hAnsi="Calibri" w:cs="Calibri"/>
          <w:sz w:val="24"/>
          <w:szCs w:val="24"/>
        </w:rPr>
        <w:t xml:space="preserve"> </w:t>
      </w:r>
    </w:p>
    <w:p w14:paraId="7495E5DE" w14:textId="2AB7E619" w:rsidR="00EE1AD4" w:rsidRPr="00716B90" w:rsidRDefault="00EE1AD4" w:rsidP="00DB0A65">
      <w:pPr>
        <w:spacing w:before="240"/>
        <w:jc w:val="both"/>
        <w:rPr>
          <w:rFonts w:ascii="Calibri" w:hAnsi="Calibri" w:cs="Calibri"/>
        </w:rPr>
      </w:pPr>
      <w:r w:rsidRPr="00716B90">
        <w:rPr>
          <w:rFonts w:ascii="Calibri" w:hAnsi="Calibri" w:cs="Calibri"/>
        </w:rPr>
        <w:t xml:space="preserve">Ardyn Sari Sinaga </w:t>
      </w:r>
      <w:r w:rsidRPr="00716B90">
        <w:rPr>
          <w:rFonts w:ascii="Calibri" w:hAnsi="Calibri" w:cs="Calibri"/>
          <w:i/>
          <w:iCs/>
        </w:rPr>
        <w:t>et al.</w:t>
      </w:r>
      <w:r w:rsidRPr="00716B90">
        <w:rPr>
          <w:rFonts w:ascii="Calibri" w:hAnsi="Calibri" w:cs="Calibri"/>
        </w:rPr>
        <w:t xml:space="preserve"> (2023) ‘Comparison of Capital Budgeting Methods: NPV, IRR, Payback period’, </w:t>
      </w:r>
      <w:r w:rsidRPr="00716B90">
        <w:rPr>
          <w:rFonts w:ascii="Calibri" w:hAnsi="Calibri" w:cs="Calibri"/>
          <w:i/>
          <w:iCs/>
        </w:rPr>
        <w:t>World Journal of Advanced Research and Reviews</w:t>
      </w:r>
      <w:r w:rsidRPr="00716B90">
        <w:rPr>
          <w:rFonts w:ascii="Calibri" w:hAnsi="Calibri" w:cs="Calibri"/>
        </w:rPr>
        <w:t xml:space="preserve">, 19(2), pp. 1078–1081. Available at: doi:10.30574/wjarr.2023.19.2.1483. </w:t>
      </w:r>
    </w:p>
    <w:p w14:paraId="397AA233" w14:textId="2694FB89" w:rsidR="00044E07" w:rsidRPr="00716B90" w:rsidRDefault="004E012A" w:rsidP="00DB0A65">
      <w:pPr>
        <w:spacing w:before="240"/>
        <w:jc w:val="both"/>
        <w:rPr>
          <w:rFonts w:ascii="Calibri" w:hAnsi="Calibri" w:cs="Calibri"/>
        </w:rPr>
      </w:pPr>
      <w:r w:rsidRPr="00716B90">
        <w:rPr>
          <w:rFonts w:ascii="Calibri" w:hAnsi="Calibri" w:cs="Calibri"/>
        </w:rPr>
        <w:t xml:space="preserve">Amanda, R.I., 2019. The impact of cash turnover, receivable turnover, inventory turnover, current ratio and debt to equity ratio on profitability. </w:t>
      </w:r>
      <w:r w:rsidRPr="00716B90">
        <w:rPr>
          <w:rFonts w:ascii="Calibri" w:hAnsi="Calibri" w:cs="Calibri"/>
          <w:i/>
          <w:iCs/>
        </w:rPr>
        <w:t>Journal of research in management</w:t>
      </w:r>
      <w:r w:rsidRPr="00716B90">
        <w:rPr>
          <w:rFonts w:ascii="Calibri" w:hAnsi="Calibri" w:cs="Calibri"/>
        </w:rPr>
        <w:t xml:space="preserve">, 2(2), pp.14-22. </w:t>
      </w:r>
    </w:p>
    <w:p w14:paraId="6A4174A9" w14:textId="0DC50C16" w:rsidR="002A67FF" w:rsidRPr="00716B90" w:rsidRDefault="002A67FF" w:rsidP="00DB0A65">
      <w:pPr>
        <w:spacing w:before="240"/>
        <w:jc w:val="both"/>
        <w:rPr>
          <w:rFonts w:ascii="Calibri" w:hAnsi="Calibri" w:cs="Calibri"/>
        </w:rPr>
      </w:pPr>
      <w:r w:rsidRPr="00716B90">
        <w:rPr>
          <w:rFonts w:ascii="Calibri" w:hAnsi="Calibri" w:cs="Calibri"/>
        </w:rPr>
        <w:t xml:space="preserve">Benzinga (2024) </w:t>
      </w:r>
      <w:proofErr w:type="spellStart"/>
      <w:r w:rsidRPr="00716B90">
        <w:rPr>
          <w:rFonts w:ascii="Calibri" w:hAnsi="Calibri" w:cs="Calibri"/>
        </w:rPr>
        <w:t>Analyzing</w:t>
      </w:r>
      <w:proofErr w:type="spellEnd"/>
      <w:r w:rsidRPr="00716B90">
        <w:rPr>
          <w:rFonts w:ascii="Calibri" w:hAnsi="Calibri" w:cs="Calibri"/>
        </w:rPr>
        <w:t xml:space="preserve"> Procter &amp; Gamble in comparison to competitors in household products industry by Benzinga, Investing.com UK. Available at: https://uk.investing.com/news/stock-market-news/analyzing-procter--gamble-in-comparison-to-competitors-in-household-products-industry-3535870. </w:t>
      </w:r>
    </w:p>
    <w:p w14:paraId="74046F9B" w14:textId="61E49194" w:rsidR="008816BF" w:rsidRPr="00716B90" w:rsidRDefault="008816BF" w:rsidP="00DB0A65">
      <w:pPr>
        <w:spacing w:before="240"/>
        <w:jc w:val="both"/>
        <w:rPr>
          <w:rFonts w:ascii="Calibri" w:hAnsi="Calibri" w:cs="Calibri"/>
        </w:rPr>
      </w:pPr>
      <w:r w:rsidRPr="008816BF">
        <w:rPr>
          <w:rFonts w:ascii="Calibri" w:hAnsi="Calibri" w:cs="Calibri"/>
        </w:rPr>
        <w:t xml:space="preserve">Borad, S.B. (2022) </w:t>
      </w:r>
      <w:r w:rsidRPr="008816BF">
        <w:rPr>
          <w:rFonts w:ascii="Calibri" w:hAnsi="Calibri" w:cs="Calibri"/>
          <w:i/>
          <w:iCs/>
        </w:rPr>
        <w:t>What is the accounting rate of return? its advantages and disadvantages</w:t>
      </w:r>
      <w:r w:rsidRPr="008816BF">
        <w:rPr>
          <w:rFonts w:ascii="Calibri" w:hAnsi="Calibri" w:cs="Calibri"/>
        </w:rPr>
        <w:t xml:space="preserve">, </w:t>
      </w:r>
      <w:proofErr w:type="spellStart"/>
      <w:r w:rsidRPr="008816BF">
        <w:rPr>
          <w:rFonts w:ascii="Calibri" w:hAnsi="Calibri" w:cs="Calibri"/>
          <w:i/>
          <w:iCs/>
        </w:rPr>
        <w:t>eFinanceManagement</w:t>
      </w:r>
      <w:proofErr w:type="spellEnd"/>
      <w:r w:rsidRPr="008816BF">
        <w:rPr>
          <w:rFonts w:ascii="Calibri" w:hAnsi="Calibri" w:cs="Calibri"/>
        </w:rPr>
        <w:t xml:space="preserve">. Available at: https://efinancemanagement.com/investment-decisions/accounting-rate-of-return. </w:t>
      </w:r>
    </w:p>
    <w:p w14:paraId="5CE7CD7F" w14:textId="7F7D2F36" w:rsidR="00931942" w:rsidRPr="00716B90" w:rsidRDefault="00931942" w:rsidP="00DB0A65">
      <w:pPr>
        <w:spacing w:before="240"/>
        <w:jc w:val="both"/>
        <w:rPr>
          <w:rFonts w:ascii="Calibri" w:hAnsi="Calibri" w:cs="Calibri"/>
        </w:rPr>
      </w:pPr>
      <w:r w:rsidRPr="00716B90">
        <w:rPr>
          <w:rFonts w:ascii="Calibri" w:hAnsi="Calibri" w:cs="Calibri"/>
        </w:rPr>
        <w:t xml:space="preserve">Cai, W. (2023) </w:t>
      </w:r>
      <w:r w:rsidRPr="00716B90">
        <w:rPr>
          <w:rFonts w:ascii="Calibri" w:hAnsi="Calibri" w:cs="Calibri"/>
          <w:i/>
          <w:iCs/>
        </w:rPr>
        <w:t>Analysis of Procter &amp; Gamble Company’s business strategy based on the Harvard Analytical Framework</w:t>
      </w:r>
      <w:r w:rsidRPr="00716B90">
        <w:rPr>
          <w:rFonts w:ascii="Calibri" w:hAnsi="Calibri" w:cs="Calibri"/>
        </w:rPr>
        <w:t xml:space="preserve">, </w:t>
      </w:r>
      <w:r w:rsidRPr="00716B90">
        <w:rPr>
          <w:rFonts w:ascii="Calibri" w:hAnsi="Calibri" w:cs="Calibri"/>
          <w:i/>
          <w:iCs/>
        </w:rPr>
        <w:t>Highlights in Business, Economics and Management</w:t>
      </w:r>
      <w:r w:rsidRPr="00716B90">
        <w:rPr>
          <w:rFonts w:ascii="Calibri" w:hAnsi="Calibri" w:cs="Calibri"/>
        </w:rPr>
        <w:t xml:space="preserve">. Available at: https://drpress.org/ojs/index.php/HBEM/article/view/14832. </w:t>
      </w:r>
    </w:p>
    <w:p w14:paraId="1FB71C63" w14:textId="1C5F5F1F" w:rsidR="000055DA" w:rsidRPr="00716B90" w:rsidRDefault="000055DA" w:rsidP="00DB0A65">
      <w:pPr>
        <w:spacing w:before="240"/>
        <w:jc w:val="both"/>
        <w:rPr>
          <w:rFonts w:ascii="Calibri" w:hAnsi="Calibri" w:cs="Calibri"/>
        </w:rPr>
      </w:pPr>
      <w:r w:rsidRPr="00716B90">
        <w:rPr>
          <w:rFonts w:ascii="Calibri" w:hAnsi="Calibri" w:cs="Calibri"/>
        </w:rPr>
        <w:t xml:space="preserve">Dai, H. </w:t>
      </w:r>
      <w:r w:rsidRPr="00716B90">
        <w:rPr>
          <w:rFonts w:ascii="Calibri" w:hAnsi="Calibri" w:cs="Calibri"/>
          <w:i/>
          <w:iCs/>
        </w:rPr>
        <w:t>et al.</w:t>
      </w:r>
      <w:r w:rsidRPr="00716B90">
        <w:rPr>
          <w:rFonts w:ascii="Calibri" w:hAnsi="Calibri" w:cs="Calibri"/>
        </w:rPr>
        <w:t xml:space="preserve"> (2022) ‘The analysis of Three Main Investment Criteria: NPV IRR and Payback Period’, </w:t>
      </w:r>
      <w:r w:rsidRPr="00716B90">
        <w:rPr>
          <w:rFonts w:ascii="Calibri" w:hAnsi="Calibri" w:cs="Calibri"/>
          <w:i/>
          <w:iCs/>
        </w:rPr>
        <w:t>Advances in Economics, Business and Management Research</w:t>
      </w:r>
      <w:r w:rsidRPr="00716B90">
        <w:rPr>
          <w:rFonts w:ascii="Calibri" w:hAnsi="Calibri" w:cs="Calibri"/>
        </w:rPr>
        <w:t xml:space="preserve">. Available at: doi:10.2991/aebmr.k.220307.028. </w:t>
      </w:r>
    </w:p>
    <w:p w14:paraId="35D6D7C5" w14:textId="21A5F2F8" w:rsidR="00445550" w:rsidRPr="00716B90" w:rsidRDefault="00445550" w:rsidP="00DB0A65">
      <w:pPr>
        <w:spacing w:before="240"/>
        <w:jc w:val="both"/>
        <w:rPr>
          <w:rFonts w:ascii="Calibri" w:hAnsi="Calibri" w:cs="Calibri"/>
        </w:rPr>
      </w:pPr>
      <w:r w:rsidRPr="00716B90">
        <w:rPr>
          <w:rFonts w:ascii="Calibri" w:hAnsi="Calibri" w:cs="Calibri"/>
        </w:rPr>
        <w:t>Daryanto, W.M., Maharani, A.P. and Wiradjaja, N., 2021</w:t>
      </w:r>
      <w:r w:rsidRPr="00716B90">
        <w:rPr>
          <w:rFonts w:ascii="Calibri" w:hAnsi="Calibri" w:cs="Calibri"/>
          <w:i/>
          <w:iCs/>
        </w:rPr>
        <w:t>. Profitability ratio analysis before and during Covid-19</w:t>
      </w:r>
      <w:r w:rsidRPr="00716B90">
        <w:rPr>
          <w:rFonts w:ascii="Calibri" w:hAnsi="Calibri" w:cs="Calibri"/>
        </w:rPr>
        <w:t xml:space="preserve">: Case study in PT </w:t>
      </w:r>
      <w:proofErr w:type="spellStart"/>
      <w:r w:rsidRPr="00716B90">
        <w:rPr>
          <w:rFonts w:ascii="Calibri" w:hAnsi="Calibri" w:cs="Calibri"/>
        </w:rPr>
        <w:t>Japfa</w:t>
      </w:r>
      <w:proofErr w:type="spellEnd"/>
      <w:r w:rsidRPr="00716B90">
        <w:rPr>
          <w:rFonts w:ascii="Calibri" w:hAnsi="Calibri" w:cs="Calibri"/>
        </w:rPr>
        <w:t xml:space="preserve"> </w:t>
      </w:r>
      <w:proofErr w:type="spellStart"/>
      <w:r w:rsidRPr="00716B90">
        <w:rPr>
          <w:rFonts w:ascii="Calibri" w:hAnsi="Calibri" w:cs="Calibri"/>
        </w:rPr>
        <w:t>Comfeed</w:t>
      </w:r>
      <w:proofErr w:type="spellEnd"/>
      <w:r w:rsidRPr="00716B90">
        <w:rPr>
          <w:rFonts w:ascii="Calibri" w:hAnsi="Calibri" w:cs="Calibri"/>
        </w:rPr>
        <w:t xml:space="preserve"> Indonesia. Life, 8, p.30. </w:t>
      </w:r>
    </w:p>
    <w:p w14:paraId="70456980" w14:textId="3839D5ED" w:rsidR="00317597" w:rsidRPr="00716B90" w:rsidRDefault="00317597" w:rsidP="00DB0A65">
      <w:pPr>
        <w:spacing w:before="240"/>
        <w:jc w:val="both"/>
        <w:rPr>
          <w:rFonts w:ascii="Calibri" w:hAnsi="Calibri" w:cs="Calibri"/>
        </w:rPr>
      </w:pPr>
      <w:r w:rsidRPr="00716B90">
        <w:rPr>
          <w:rFonts w:ascii="Calibri" w:hAnsi="Calibri" w:cs="Calibri"/>
        </w:rPr>
        <w:t xml:space="preserve">Devany, R. (no date) </w:t>
      </w:r>
      <w:r w:rsidRPr="00716B90">
        <w:rPr>
          <w:rFonts w:ascii="Calibri" w:hAnsi="Calibri" w:cs="Calibri"/>
          <w:i/>
          <w:iCs/>
        </w:rPr>
        <w:t>Procter and Gamble</w:t>
      </w:r>
      <w:r w:rsidRPr="00716B90">
        <w:rPr>
          <w:rFonts w:ascii="Calibri" w:hAnsi="Calibri" w:cs="Calibri"/>
        </w:rPr>
        <w:t xml:space="preserve">, </w:t>
      </w:r>
      <w:r w:rsidRPr="00716B90">
        <w:rPr>
          <w:rFonts w:ascii="Calibri" w:hAnsi="Calibri" w:cs="Calibri"/>
          <w:i/>
          <w:iCs/>
        </w:rPr>
        <w:t>INFORMS</w:t>
      </w:r>
      <w:r w:rsidRPr="00716B90">
        <w:rPr>
          <w:rFonts w:ascii="Calibri" w:hAnsi="Calibri" w:cs="Calibri"/>
        </w:rPr>
        <w:t xml:space="preserve">. Available at: https://www.informs.org/Explore/History-of-O.R.-Excellence/Non-Academic-Institutions/Procter-and-Gamble. </w:t>
      </w:r>
    </w:p>
    <w:p w14:paraId="73FF03A1" w14:textId="1C3F0385" w:rsidR="005C76DD" w:rsidRPr="00716B90" w:rsidRDefault="005C76DD" w:rsidP="00DB0A65">
      <w:pPr>
        <w:spacing w:before="240"/>
        <w:jc w:val="both"/>
        <w:rPr>
          <w:rFonts w:ascii="Calibri" w:hAnsi="Calibri" w:cs="Calibri"/>
        </w:rPr>
      </w:pPr>
      <w:r w:rsidRPr="00716B90">
        <w:rPr>
          <w:rFonts w:ascii="Calibri" w:hAnsi="Calibri" w:cs="Calibri"/>
        </w:rPr>
        <w:t xml:space="preserve">Hazeley, C. (2024) </w:t>
      </w:r>
      <w:r w:rsidRPr="00716B90">
        <w:rPr>
          <w:rFonts w:ascii="Calibri" w:hAnsi="Calibri" w:cs="Calibri"/>
          <w:i/>
          <w:iCs/>
        </w:rPr>
        <w:t xml:space="preserve">Procter &amp; Gamble’s strategic price hikes set new industry trends - </w:t>
      </w:r>
      <w:proofErr w:type="spellStart"/>
      <w:r w:rsidRPr="00716B90">
        <w:rPr>
          <w:rFonts w:ascii="Calibri" w:hAnsi="Calibri" w:cs="Calibri"/>
          <w:i/>
          <w:iCs/>
        </w:rPr>
        <w:t>finimize</w:t>
      </w:r>
      <w:proofErr w:type="spellEnd"/>
      <w:r w:rsidRPr="00716B90">
        <w:rPr>
          <w:rFonts w:ascii="Calibri" w:hAnsi="Calibri" w:cs="Calibri"/>
        </w:rPr>
        <w:t xml:space="preserve">, </w:t>
      </w:r>
      <w:proofErr w:type="spellStart"/>
      <w:r w:rsidRPr="00716B90">
        <w:rPr>
          <w:rFonts w:ascii="Calibri" w:hAnsi="Calibri" w:cs="Calibri"/>
          <w:i/>
          <w:iCs/>
        </w:rPr>
        <w:t>finimize</w:t>
      </w:r>
      <w:proofErr w:type="spellEnd"/>
      <w:r w:rsidRPr="00716B90">
        <w:rPr>
          <w:rFonts w:ascii="Calibri" w:hAnsi="Calibri" w:cs="Calibri"/>
        </w:rPr>
        <w:t xml:space="preserve">. Available at: https://finimize.com/content/procter-gambles-strategic-price-hikes-set-new-industry-trends. </w:t>
      </w:r>
    </w:p>
    <w:p w14:paraId="31FDD1E6" w14:textId="265D9097" w:rsidR="00086486" w:rsidRPr="00716B90" w:rsidRDefault="00086486" w:rsidP="00DB0A65">
      <w:pPr>
        <w:spacing w:before="240"/>
        <w:jc w:val="both"/>
        <w:rPr>
          <w:rFonts w:ascii="Calibri" w:hAnsi="Calibri" w:cs="Calibri"/>
        </w:rPr>
      </w:pPr>
      <w:r w:rsidRPr="00716B90">
        <w:rPr>
          <w:rFonts w:ascii="Calibri" w:hAnsi="Calibri" w:cs="Calibri"/>
        </w:rPr>
        <w:t>Husna, A. and Satria, I., 2019. Effects of return on asset, debt to asset ratio, current ratio, firm size, and dividend payout ratio on firm value. </w:t>
      </w:r>
      <w:r w:rsidRPr="00716B90">
        <w:rPr>
          <w:rFonts w:ascii="Calibri" w:hAnsi="Calibri" w:cs="Calibri"/>
          <w:i/>
          <w:iCs/>
        </w:rPr>
        <w:t>International Journal of Economics and Financial Issues</w:t>
      </w:r>
      <w:r w:rsidRPr="00716B90">
        <w:rPr>
          <w:rFonts w:ascii="Calibri" w:hAnsi="Calibri" w:cs="Calibri"/>
        </w:rPr>
        <w:t>, </w:t>
      </w:r>
      <w:r w:rsidRPr="00716B90">
        <w:rPr>
          <w:rFonts w:ascii="Calibri" w:hAnsi="Calibri" w:cs="Calibri"/>
          <w:i/>
          <w:iCs/>
        </w:rPr>
        <w:t>9</w:t>
      </w:r>
      <w:r w:rsidRPr="00716B90">
        <w:rPr>
          <w:rFonts w:ascii="Calibri" w:hAnsi="Calibri" w:cs="Calibri"/>
        </w:rPr>
        <w:t xml:space="preserve">(5), pp.50-54. </w:t>
      </w:r>
    </w:p>
    <w:p w14:paraId="3DBC8C4A" w14:textId="008255EF" w:rsidR="00CE4467" w:rsidRPr="00716B90" w:rsidRDefault="00CE4467" w:rsidP="00DB0A65">
      <w:pPr>
        <w:spacing w:before="240"/>
        <w:jc w:val="both"/>
        <w:rPr>
          <w:rFonts w:ascii="Calibri" w:hAnsi="Calibri" w:cs="Calibri"/>
        </w:rPr>
      </w:pPr>
      <w:proofErr w:type="spellStart"/>
      <w:r w:rsidRPr="00716B90">
        <w:rPr>
          <w:rFonts w:ascii="Calibri" w:hAnsi="Calibri" w:cs="Calibri"/>
        </w:rPr>
        <w:lastRenderedPageBreak/>
        <w:t>Ichsani</w:t>
      </w:r>
      <w:proofErr w:type="spellEnd"/>
      <w:r w:rsidRPr="00716B90">
        <w:rPr>
          <w:rFonts w:ascii="Calibri" w:hAnsi="Calibri" w:cs="Calibri"/>
        </w:rPr>
        <w:t xml:space="preserve">, S. and </w:t>
      </w:r>
      <w:proofErr w:type="spellStart"/>
      <w:r w:rsidRPr="00716B90">
        <w:rPr>
          <w:rFonts w:ascii="Calibri" w:hAnsi="Calibri" w:cs="Calibri"/>
        </w:rPr>
        <w:t>Suhardi</w:t>
      </w:r>
      <w:proofErr w:type="spellEnd"/>
      <w:r w:rsidRPr="00716B90">
        <w:rPr>
          <w:rFonts w:ascii="Calibri" w:hAnsi="Calibri" w:cs="Calibri"/>
        </w:rPr>
        <w:t>, A.R., 2015. The effect of return on equity (ROE) and return on investment (ROI) on trading volume. </w:t>
      </w:r>
      <w:r w:rsidRPr="00716B90">
        <w:rPr>
          <w:rFonts w:ascii="Calibri" w:hAnsi="Calibri" w:cs="Calibri"/>
          <w:i/>
          <w:iCs/>
        </w:rPr>
        <w:t xml:space="preserve">Procedia-Social and </w:t>
      </w:r>
      <w:proofErr w:type="spellStart"/>
      <w:r w:rsidRPr="00716B90">
        <w:rPr>
          <w:rFonts w:ascii="Calibri" w:hAnsi="Calibri" w:cs="Calibri"/>
          <w:i/>
          <w:iCs/>
        </w:rPr>
        <w:t>Behavioral</w:t>
      </w:r>
      <w:proofErr w:type="spellEnd"/>
      <w:r w:rsidRPr="00716B90">
        <w:rPr>
          <w:rFonts w:ascii="Calibri" w:hAnsi="Calibri" w:cs="Calibri"/>
          <w:i/>
          <w:iCs/>
        </w:rPr>
        <w:t xml:space="preserve"> Sciences</w:t>
      </w:r>
      <w:r w:rsidRPr="00716B90">
        <w:rPr>
          <w:rFonts w:ascii="Calibri" w:hAnsi="Calibri" w:cs="Calibri"/>
        </w:rPr>
        <w:t>, </w:t>
      </w:r>
      <w:r w:rsidRPr="00716B90">
        <w:rPr>
          <w:rFonts w:ascii="Calibri" w:hAnsi="Calibri" w:cs="Calibri"/>
          <w:i/>
          <w:iCs/>
        </w:rPr>
        <w:t>211</w:t>
      </w:r>
      <w:r w:rsidRPr="00716B90">
        <w:rPr>
          <w:rFonts w:ascii="Calibri" w:hAnsi="Calibri" w:cs="Calibri"/>
        </w:rPr>
        <w:t xml:space="preserve">, pp.896-902. </w:t>
      </w:r>
    </w:p>
    <w:p w14:paraId="4136137A" w14:textId="5BFC2D14" w:rsidR="00400043" w:rsidRPr="00716B90" w:rsidRDefault="00400043" w:rsidP="00DB0A65">
      <w:pPr>
        <w:spacing w:before="240"/>
        <w:jc w:val="both"/>
        <w:rPr>
          <w:rFonts w:ascii="Calibri" w:hAnsi="Calibri" w:cs="Calibri"/>
        </w:rPr>
      </w:pPr>
      <w:r w:rsidRPr="00716B90">
        <w:rPr>
          <w:rFonts w:ascii="Calibri" w:hAnsi="Calibri" w:cs="Calibri"/>
        </w:rPr>
        <w:t xml:space="preserve">Johnson, K. (2023) </w:t>
      </w:r>
      <w:r w:rsidRPr="00716B90">
        <w:rPr>
          <w:rFonts w:ascii="Calibri" w:hAnsi="Calibri" w:cs="Calibri"/>
          <w:i/>
          <w:iCs/>
        </w:rPr>
        <w:t>Top 10 Procter &amp; Gamble Competitors &amp; Alternatives, Business Strategy Hub.</w:t>
      </w:r>
      <w:r w:rsidRPr="00716B90">
        <w:rPr>
          <w:rFonts w:ascii="Calibri" w:hAnsi="Calibri" w:cs="Calibri"/>
        </w:rPr>
        <w:t xml:space="preserve"> Available at: https://bstrategyhub.com/procter-gamble-competitors-alternatives/. </w:t>
      </w:r>
    </w:p>
    <w:p w14:paraId="2E66EA32" w14:textId="2E9F7983" w:rsidR="00B60EFB" w:rsidRPr="00716B90" w:rsidRDefault="00B60EFB" w:rsidP="00DB0A65">
      <w:pPr>
        <w:spacing w:before="240"/>
        <w:jc w:val="both"/>
        <w:rPr>
          <w:rFonts w:ascii="Calibri" w:hAnsi="Calibri" w:cs="Calibri"/>
        </w:rPr>
      </w:pPr>
      <w:r w:rsidRPr="00716B90">
        <w:rPr>
          <w:rFonts w:ascii="Calibri" w:hAnsi="Calibri" w:cs="Calibri"/>
        </w:rPr>
        <w:t xml:space="preserve">Johnson, M.W., Christensen, C.M. and </w:t>
      </w:r>
      <w:proofErr w:type="spellStart"/>
      <w:r w:rsidRPr="00716B90">
        <w:rPr>
          <w:rFonts w:ascii="Calibri" w:hAnsi="Calibri" w:cs="Calibri"/>
        </w:rPr>
        <w:t>Kagermann</w:t>
      </w:r>
      <w:proofErr w:type="spellEnd"/>
      <w:r w:rsidRPr="00716B90">
        <w:rPr>
          <w:rFonts w:ascii="Calibri" w:hAnsi="Calibri" w:cs="Calibri"/>
        </w:rPr>
        <w:t>, H., 2006. Business model. In </w:t>
      </w:r>
      <w:r w:rsidRPr="00716B90">
        <w:rPr>
          <w:rFonts w:ascii="Calibri" w:hAnsi="Calibri" w:cs="Calibri"/>
          <w:i/>
          <w:iCs/>
        </w:rPr>
        <w:t>Astute Competition</w:t>
      </w:r>
      <w:r w:rsidRPr="00716B90">
        <w:rPr>
          <w:rFonts w:ascii="Calibri" w:hAnsi="Calibri" w:cs="Calibri"/>
        </w:rPr>
        <w:t> (Vol. 11, pp. 53-72). Emerald Group Publishing Limited.</w:t>
      </w:r>
      <w:r w:rsidR="00B971A6" w:rsidRPr="00716B90">
        <w:rPr>
          <w:rFonts w:ascii="Calibri" w:hAnsi="Calibri" w:cs="Calibri"/>
        </w:rPr>
        <w:t xml:space="preserve"> </w:t>
      </w:r>
    </w:p>
    <w:p w14:paraId="4738C643" w14:textId="3DDF42CB" w:rsidR="00015F0C" w:rsidRPr="00716B90" w:rsidRDefault="00015F0C" w:rsidP="00DB0A65">
      <w:pPr>
        <w:spacing w:before="240"/>
        <w:jc w:val="both"/>
        <w:rPr>
          <w:rFonts w:ascii="Calibri" w:hAnsi="Calibri" w:cs="Calibri"/>
        </w:rPr>
      </w:pPr>
      <w:r w:rsidRPr="00716B90">
        <w:rPr>
          <w:rFonts w:ascii="Calibri" w:hAnsi="Calibri" w:cs="Calibri"/>
        </w:rPr>
        <w:t>Patin, J.C., Rahman, M. and Mustafa, M., 2020. Impact of total asset turnover ratios on equity returns: Dynamic panel data analyses. </w:t>
      </w:r>
      <w:r w:rsidRPr="00716B90">
        <w:rPr>
          <w:rFonts w:ascii="Calibri" w:hAnsi="Calibri" w:cs="Calibri"/>
          <w:i/>
          <w:iCs/>
        </w:rPr>
        <w:t>Journal of Accounting, Business and Management (JABM)</w:t>
      </w:r>
      <w:r w:rsidRPr="00716B90">
        <w:rPr>
          <w:rFonts w:ascii="Calibri" w:hAnsi="Calibri" w:cs="Calibri"/>
        </w:rPr>
        <w:t>, </w:t>
      </w:r>
      <w:r w:rsidRPr="00716B90">
        <w:rPr>
          <w:rFonts w:ascii="Calibri" w:hAnsi="Calibri" w:cs="Calibri"/>
          <w:i/>
          <w:iCs/>
        </w:rPr>
        <w:t>27</w:t>
      </w:r>
      <w:r w:rsidRPr="00716B90">
        <w:rPr>
          <w:rFonts w:ascii="Calibri" w:hAnsi="Calibri" w:cs="Calibri"/>
        </w:rPr>
        <w:t xml:space="preserve">(1), pp.19-29. </w:t>
      </w:r>
    </w:p>
    <w:p w14:paraId="53101918" w14:textId="7C561E66" w:rsidR="00810EB4" w:rsidRPr="00716B90" w:rsidRDefault="00810EB4" w:rsidP="00DB0A65">
      <w:pPr>
        <w:spacing w:before="240"/>
        <w:jc w:val="both"/>
        <w:rPr>
          <w:rFonts w:ascii="Calibri" w:hAnsi="Calibri" w:cs="Calibri"/>
        </w:rPr>
      </w:pPr>
      <w:r w:rsidRPr="00716B90">
        <w:rPr>
          <w:rFonts w:ascii="Calibri" w:hAnsi="Calibri" w:cs="Calibri"/>
        </w:rPr>
        <w:t>Petersen, M., 2019. How corporate sustainability affects product developers’ approaches toward improving product sustainability. </w:t>
      </w:r>
      <w:r w:rsidRPr="00716B90">
        <w:rPr>
          <w:rFonts w:ascii="Calibri" w:hAnsi="Calibri" w:cs="Calibri"/>
          <w:i/>
          <w:iCs/>
        </w:rPr>
        <w:t>IEEE Transactions on Engineering Management</w:t>
      </w:r>
      <w:r w:rsidRPr="00716B90">
        <w:rPr>
          <w:rFonts w:ascii="Calibri" w:hAnsi="Calibri" w:cs="Calibri"/>
        </w:rPr>
        <w:t>, </w:t>
      </w:r>
      <w:r w:rsidRPr="00716B90">
        <w:rPr>
          <w:rFonts w:ascii="Calibri" w:hAnsi="Calibri" w:cs="Calibri"/>
          <w:i/>
          <w:iCs/>
        </w:rPr>
        <w:t>68</w:t>
      </w:r>
      <w:r w:rsidRPr="00716B90">
        <w:rPr>
          <w:rFonts w:ascii="Calibri" w:hAnsi="Calibri" w:cs="Calibri"/>
        </w:rPr>
        <w:t xml:space="preserve">(4), pp.955-969. </w:t>
      </w:r>
    </w:p>
    <w:p w14:paraId="55D11F0A" w14:textId="0B276D2C" w:rsidR="00FA7C37" w:rsidRPr="00716B90" w:rsidRDefault="00FA7C37" w:rsidP="00DB0A65">
      <w:pPr>
        <w:spacing w:before="240"/>
        <w:jc w:val="both"/>
        <w:rPr>
          <w:rFonts w:ascii="Calibri" w:hAnsi="Calibri" w:cs="Calibri"/>
        </w:rPr>
      </w:pPr>
      <w:r w:rsidRPr="00716B90">
        <w:rPr>
          <w:rFonts w:ascii="Calibri" w:hAnsi="Calibri" w:cs="Calibri"/>
        </w:rPr>
        <w:t>Kamar, K., 2017. Analysis of the effect of return on equity (ROE) and debt to equity ratio (DER) on stock price on cement industry listed in Indonesia stock exchange (IDX) in the year of 2011-2015. </w:t>
      </w:r>
      <w:r w:rsidRPr="00716B90">
        <w:rPr>
          <w:rFonts w:ascii="Calibri" w:hAnsi="Calibri" w:cs="Calibri"/>
          <w:i/>
          <w:iCs/>
        </w:rPr>
        <w:t>IOSR Journal of Business and Management</w:t>
      </w:r>
      <w:r w:rsidRPr="00716B90">
        <w:rPr>
          <w:rFonts w:ascii="Calibri" w:hAnsi="Calibri" w:cs="Calibri"/>
        </w:rPr>
        <w:t>, </w:t>
      </w:r>
      <w:r w:rsidRPr="00716B90">
        <w:rPr>
          <w:rFonts w:ascii="Calibri" w:hAnsi="Calibri" w:cs="Calibri"/>
          <w:i/>
          <w:iCs/>
        </w:rPr>
        <w:t>19</w:t>
      </w:r>
      <w:r w:rsidRPr="00716B90">
        <w:rPr>
          <w:rFonts w:ascii="Calibri" w:hAnsi="Calibri" w:cs="Calibri"/>
        </w:rPr>
        <w:t xml:space="preserve">(05), pp.66-76. </w:t>
      </w:r>
      <w:r w:rsidR="008F689B" w:rsidRPr="00716B90">
        <w:rPr>
          <w:rFonts w:ascii="Calibri" w:hAnsi="Calibri" w:cs="Calibri"/>
        </w:rPr>
        <w:t xml:space="preserve"> </w:t>
      </w:r>
    </w:p>
    <w:p w14:paraId="3A467A6C" w14:textId="141C3DE2" w:rsidR="008F689B" w:rsidRPr="00716B90" w:rsidRDefault="008F689B" w:rsidP="00DB0A65">
      <w:pPr>
        <w:spacing w:before="240"/>
        <w:jc w:val="both"/>
        <w:rPr>
          <w:rFonts w:ascii="Calibri" w:hAnsi="Calibri" w:cs="Calibri"/>
        </w:rPr>
      </w:pPr>
      <w:proofErr w:type="spellStart"/>
      <w:r w:rsidRPr="00716B90">
        <w:rPr>
          <w:rFonts w:ascii="Calibri" w:hAnsi="Calibri" w:cs="Calibri"/>
        </w:rPr>
        <w:t>Kishk</w:t>
      </w:r>
      <w:proofErr w:type="spellEnd"/>
      <w:r w:rsidRPr="00716B90">
        <w:rPr>
          <w:rFonts w:ascii="Calibri" w:hAnsi="Calibri" w:cs="Calibri"/>
        </w:rPr>
        <w:t xml:space="preserve">, M., Al-Hajj, A., Pollock, R., Aouad, G., Bakis, N. &amp; Sun, M. (2003) </w:t>
      </w:r>
      <w:r w:rsidRPr="00716B90">
        <w:rPr>
          <w:rFonts w:ascii="Calibri" w:hAnsi="Calibri" w:cs="Calibri"/>
          <w:i/>
          <w:iCs/>
        </w:rPr>
        <w:t>Whole life costing in construction</w:t>
      </w:r>
      <w:r w:rsidRPr="00716B90">
        <w:rPr>
          <w:rFonts w:ascii="Calibri" w:hAnsi="Calibri" w:cs="Calibri"/>
        </w:rPr>
        <w:t xml:space="preserve">: a </w:t>
      </w:r>
      <w:proofErr w:type="gramStart"/>
      <w:r w:rsidRPr="00716B90">
        <w:rPr>
          <w:rFonts w:ascii="Calibri" w:hAnsi="Calibri" w:cs="Calibri"/>
        </w:rPr>
        <w:t>state of the art</w:t>
      </w:r>
      <w:proofErr w:type="gramEnd"/>
      <w:r w:rsidRPr="00716B90">
        <w:rPr>
          <w:rFonts w:ascii="Calibri" w:hAnsi="Calibri" w:cs="Calibri"/>
        </w:rPr>
        <w:t xml:space="preserve"> review. RICS Foundation.</w:t>
      </w:r>
    </w:p>
    <w:p w14:paraId="431DB514" w14:textId="0D6CD4FC" w:rsidR="00C9354D" w:rsidRPr="00716B90" w:rsidRDefault="00C9354D" w:rsidP="00DB0A65">
      <w:pPr>
        <w:spacing w:before="240"/>
        <w:jc w:val="both"/>
        <w:rPr>
          <w:rFonts w:ascii="Calibri" w:hAnsi="Calibri" w:cs="Calibri"/>
        </w:rPr>
      </w:pPr>
      <w:r w:rsidRPr="00716B90">
        <w:rPr>
          <w:rFonts w:ascii="Calibri" w:hAnsi="Calibri" w:cs="Calibri"/>
        </w:rPr>
        <w:t xml:space="preserve">Kagan, J. (2024) </w:t>
      </w:r>
      <w:r w:rsidRPr="00716B90">
        <w:rPr>
          <w:rFonts w:ascii="Calibri" w:hAnsi="Calibri" w:cs="Calibri"/>
          <w:i/>
          <w:iCs/>
        </w:rPr>
        <w:t>Payback period: Definition, Formula, and calculation</w:t>
      </w:r>
      <w:r w:rsidRPr="00716B90">
        <w:rPr>
          <w:rFonts w:ascii="Calibri" w:hAnsi="Calibri" w:cs="Calibri"/>
        </w:rPr>
        <w:t xml:space="preserve">, </w:t>
      </w:r>
      <w:r w:rsidRPr="00716B90">
        <w:rPr>
          <w:rFonts w:ascii="Calibri" w:hAnsi="Calibri" w:cs="Calibri"/>
          <w:i/>
          <w:iCs/>
        </w:rPr>
        <w:t>Investopedia</w:t>
      </w:r>
      <w:r w:rsidRPr="00716B90">
        <w:rPr>
          <w:rFonts w:ascii="Calibri" w:hAnsi="Calibri" w:cs="Calibri"/>
        </w:rPr>
        <w:t xml:space="preserve">. Available at: https://www.investopedia.com/terms/p/paybackperiod.asp. </w:t>
      </w:r>
    </w:p>
    <w:p w14:paraId="2BA48E8E" w14:textId="735604C5" w:rsidR="008C0125" w:rsidRPr="00716B90" w:rsidRDefault="008C0125" w:rsidP="00DB0A65">
      <w:pPr>
        <w:spacing w:before="240"/>
        <w:jc w:val="both"/>
        <w:rPr>
          <w:rFonts w:ascii="Calibri" w:hAnsi="Calibri" w:cs="Calibri"/>
        </w:rPr>
      </w:pPr>
      <w:proofErr w:type="spellStart"/>
      <w:r w:rsidRPr="00716B90">
        <w:rPr>
          <w:rFonts w:ascii="Calibri" w:hAnsi="Calibri" w:cs="Calibri"/>
        </w:rPr>
        <w:t>Nariswari</w:t>
      </w:r>
      <w:proofErr w:type="spellEnd"/>
      <w:r w:rsidRPr="00716B90">
        <w:rPr>
          <w:rFonts w:ascii="Calibri" w:hAnsi="Calibri" w:cs="Calibri"/>
        </w:rPr>
        <w:t xml:space="preserve">, T.N. and Nugraha, N.M. (2020) ‘Profit </w:t>
      </w:r>
      <w:proofErr w:type="gramStart"/>
      <w:r w:rsidRPr="00716B90">
        <w:rPr>
          <w:rFonts w:ascii="Calibri" w:hAnsi="Calibri" w:cs="Calibri"/>
        </w:rPr>
        <w:t>growth :</w:t>
      </w:r>
      <w:proofErr w:type="gramEnd"/>
      <w:r w:rsidRPr="00716B90">
        <w:rPr>
          <w:rFonts w:ascii="Calibri" w:hAnsi="Calibri" w:cs="Calibri"/>
        </w:rPr>
        <w:t xml:space="preserve"> Impact of net profit margin, gross profit margin and total </w:t>
      </w:r>
      <w:proofErr w:type="spellStart"/>
      <w:r w:rsidRPr="00716B90">
        <w:rPr>
          <w:rFonts w:ascii="Calibri" w:hAnsi="Calibri" w:cs="Calibri"/>
        </w:rPr>
        <w:t>assests</w:t>
      </w:r>
      <w:proofErr w:type="spellEnd"/>
      <w:r w:rsidRPr="00716B90">
        <w:rPr>
          <w:rFonts w:ascii="Calibri" w:hAnsi="Calibri" w:cs="Calibri"/>
        </w:rPr>
        <w:t xml:space="preserve"> turnover’, </w:t>
      </w:r>
      <w:r w:rsidRPr="00716B90">
        <w:rPr>
          <w:rFonts w:ascii="Calibri" w:hAnsi="Calibri" w:cs="Calibri"/>
          <w:i/>
          <w:iCs/>
        </w:rPr>
        <w:t>International Journal of Finance &amp;amp; Banking Studies (2147-4486)</w:t>
      </w:r>
      <w:r w:rsidRPr="00716B90">
        <w:rPr>
          <w:rFonts w:ascii="Calibri" w:hAnsi="Calibri" w:cs="Calibri"/>
        </w:rPr>
        <w:t>, 9(4), pp. 87–96.</w:t>
      </w:r>
      <w:r w:rsidR="00C5487E" w:rsidRPr="00716B90">
        <w:rPr>
          <w:rFonts w:ascii="Calibri" w:hAnsi="Calibri" w:cs="Calibri"/>
        </w:rPr>
        <w:t xml:space="preserve"> Available at:</w:t>
      </w:r>
      <w:r w:rsidRPr="00716B90">
        <w:rPr>
          <w:rFonts w:ascii="Calibri" w:hAnsi="Calibri" w:cs="Calibri"/>
        </w:rPr>
        <w:t xml:space="preserve"> doi:10.20525/</w:t>
      </w:r>
      <w:proofErr w:type="gramStart"/>
      <w:r w:rsidRPr="00716B90">
        <w:rPr>
          <w:rFonts w:ascii="Calibri" w:hAnsi="Calibri" w:cs="Calibri"/>
        </w:rPr>
        <w:t>ijfbs.v</w:t>
      </w:r>
      <w:proofErr w:type="gramEnd"/>
      <w:r w:rsidRPr="00716B90">
        <w:rPr>
          <w:rFonts w:ascii="Calibri" w:hAnsi="Calibri" w:cs="Calibri"/>
        </w:rPr>
        <w:t xml:space="preserve">9i4.937. </w:t>
      </w:r>
    </w:p>
    <w:p w14:paraId="3CB7C9EB" w14:textId="15D9979F" w:rsidR="008446BC" w:rsidRPr="00716B90" w:rsidRDefault="008446BC" w:rsidP="00DB0A65">
      <w:pPr>
        <w:spacing w:before="240"/>
        <w:jc w:val="both"/>
        <w:rPr>
          <w:rFonts w:ascii="Calibri" w:hAnsi="Calibri" w:cs="Calibri"/>
        </w:rPr>
      </w:pPr>
      <w:r w:rsidRPr="00716B90">
        <w:rPr>
          <w:rFonts w:ascii="Calibri" w:hAnsi="Calibri" w:cs="Calibri"/>
        </w:rPr>
        <w:t>Macrotrends (2024</w:t>
      </w:r>
      <w:r w:rsidR="003A2402" w:rsidRPr="00716B90">
        <w:rPr>
          <w:rFonts w:ascii="Calibri" w:hAnsi="Calibri" w:cs="Calibri"/>
        </w:rPr>
        <w:t>a</w:t>
      </w:r>
      <w:r w:rsidRPr="00716B90">
        <w:rPr>
          <w:rFonts w:ascii="Calibri" w:hAnsi="Calibri" w:cs="Calibri"/>
        </w:rPr>
        <w:t xml:space="preserve">) </w:t>
      </w:r>
      <w:r w:rsidRPr="00716B90">
        <w:rPr>
          <w:rFonts w:ascii="Calibri" w:hAnsi="Calibri" w:cs="Calibri"/>
          <w:i/>
          <w:iCs/>
        </w:rPr>
        <w:t>Procter &amp; Gamble Financial Ratios for analysis 2009-2024: PG</w:t>
      </w:r>
      <w:r w:rsidRPr="00716B90">
        <w:rPr>
          <w:rFonts w:ascii="Calibri" w:hAnsi="Calibri" w:cs="Calibri"/>
        </w:rPr>
        <w:t xml:space="preserve">, </w:t>
      </w:r>
      <w:r w:rsidRPr="00716B90">
        <w:rPr>
          <w:rFonts w:ascii="Calibri" w:hAnsi="Calibri" w:cs="Calibri"/>
          <w:i/>
          <w:iCs/>
        </w:rPr>
        <w:t>Macrotrends</w:t>
      </w:r>
      <w:r w:rsidRPr="00716B90">
        <w:rPr>
          <w:rFonts w:ascii="Calibri" w:hAnsi="Calibri" w:cs="Calibri"/>
        </w:rPr>
        <w:t xml:space="preserve">. Available at: https://www.macrotrends.net/stocks/charts/PG/procter-gamble/financial-ratios. </w:t>
      </w:r>
    </w:p>
    <w:p w14:paraId="49FE4DBD" w14:textId="636953C6" w:rsidR="00C33ECC" w:rsidRPr="00716B90" w:rsidRDefault="00C33ECC" w:rsidP="00DB0A65">
      <w:pPr>
        <w:spacing w:before="240"/>
        <w:jc w:val="both"/>
        <w:rPr>
          <w:rFonts w:ascii="Calibri" w:hAnsi="Calibri" w:cs="Calibri"/>
        </w:rPr>
      </w:pPr>
      <w:r w:rsidRPr="00716B90">
        <w:rPr>
          <w:rFonts w:ascii="Calibri" w:hAnsi="Calibri" w:cs="Calibri"/>
        </w:rPr>
        <w:t>Macrotrends (2024</w:t>
      </w:r>
      <w:r w:rsidR="003A2402" w:rsidRPr="00716B90">
        <w:rPr>
          <w:rFonts w:ascii="Calibri" w:hAnsi="Calibri" w:cs="Calibri"/>
        </w:rPr>
        <w:t>b</w:t>
      </w:r>
      <w:r w:rsidRPr="00716B90">
        <w:rPr>
          <w:rFonts w:ascii="Calibri" w:hAnsi="Calibri" w:cs="Calibri"/>
        </w:rPr>
        <w:t xml:space="preserve">) </w:t>
      </w:r>
      <w:r w:rsidRPr="00716B90">
        <w:rPr>
          <w:rFonts w:ascii="Calibri" w:hAnsi="Calibri" w:cs="Calibri"/>
          <w:i/>
          <w:iCs/>
        </w:rPr>
        <w:t>Nestle SA Financial Ratios for analysis 2009-2024: NSRGY</w:t>
      </w:r>
      <w:r w:rsidRPr="00716B90">
        <w:rPr>
          <w:rFonts w:ascii="Calibri" w:hAnsi="Calibri" w:cs="Calibri"/>
        </w:rPr>
        <w:t xml:space="preserve">, </w:t>
      </w:r>
      <w:r w:rsidRPr="00716B90">
        <w:rPr>
          <w:rFonts w:ascii="Calibri" w:hAnsi="Calibri" w:cs="Calibri"/>
          <w:i/>
          <w:iCs/>
        </w:rPr>
        <w:t>Macrotrends</w:t>
      </w:r>
      <w:r w:rsidRPr="00716B90">
        <w:rPr>
          <w:rFonts w:ascii="Calibri" w:hAnsi="Calibri" w:cs="Calibri"/>
        </w:rPr>
        <w:t xml:space="preserve">. Available at: https://www.macrotrends.net/stocks/charts/NSRGY/nestle-sa/financial-ratios. </w:t>
      </w:r>
    </w:p>
    <w:p w14:paraId="2EF4290C" w14:textId="5A19F289" w:rsidR="001A36A4" w:rsidRPr="00716B90" w:rsidRDefault="001A36A4" w:rsidP="00DB0A65">
      <w:pPr>
        <w:spacing w:before="240"/>
        <w:jc w:val="both"/>
        <w:rPr>
          <w:rFonts w:ascii="Calibri" w:hAnsi="Calibri" w:cs="Calibri"/>
        </w:rPr>
      </w:pPr>
      <w:r w:rsidRPr="00716B90">
        <w:rPr>
          <w:rFonts w:ascii="Calibri" w:hAnsi="Calibri" w:cs="Calibri"/>
        </w:rPr>
        <w:t>Martina, S., Sadalia, I. and Bukit, R., 2019</w:t>
      </w:r>
      <w:r w:rsidRPr="00716B90">
        <w:rPr>
          <w:rFonts w:ascii="Calibri" w:hAnsi="Calibri" w:cs="Calibri"/>
          <w:i/>
          <w:iCs/>
        </w:rPr>
        <w:t>.</w:t>
      </w:r>
      <w:r w:rsidR="006E175B" w:rsidRPr="00716B90">
        <w:rPr>
          <w:rFonts w:ascii="Calibri" w:hAnsi="Calibri" w:cs="Calibri"/>
          <w:i/>
          <w:iCs/>
        </w:rPr>
        <w:t xml:space="preserve"> </w:t>
      </w:r>
      <w:r w:rsidR="001E2FE7" w:rsidRPr="00716B90">
        <w:rPr>
          <w:rFonts w:ascii="Calibri" w:hAnsi="Calibri" w:cs="Calibri"/>
          <w:i/>
          <w:iCs/>
        </w:rPr>
        <w:t>Effect of current ratio, debt to equity ratio</w:t>
      </w:r>
      <w:r w:rsidR="006E175B" w:rsidRPr="00716B90">
        <w:rPr>
          <w:rFonts w:ascii="Calibri" w:hAnsi="Calibri" w:cs="Calibri"/>
          <w:i/>
          <w:iCs/>
        </w:rPr>
        <w:t>, company</w:t>
      </w:r>
      <w:r w:rsidR="006E175B" w:rsidRPr="00716B90">
        <w:rPr>
          <w:rFonts w:ascii="Calibri" w:hAnsi="Calibri" w:cs="Calibri"/>
        </w:rPr>
        <w:t>,</w:t>
      </w:r>
      <w:r w:rsidRPr="00716B90">
        <w:rPr>
          <w:rFonts w:ascii="Calibri" w:hAnsi="Calibri" w:cs="Calibri"/>
        </w:rPr>
        <w:t xml:space="preserve"> (Study of Banking Companies Listed on Indonesia Stock Exchange Period 2008-2017). </w:t>
      </w:r>
      <w:r w:rsidRPr="00716B90">
        <w:rPr>
          <w:rFonts w:ascii="Calibri" w:hAnsi="Calibri" w:cs="Calibri"/>
          <w:i/>
          <w:iCs/>
        </w:rPr>
        <w:t>International Journal of Public Budgeting, Accounting and Finance</w:t>
      </w:r>
      <w:r w:rsidRPr="00716B90">
        <w:rPr>
          <w:rFonts w:ascii="Calibri" w:hAnsi="Calibri" w:cs="Calibri"/>
        </w:rPr>
        <w:t>, </w:t>
      </w:r>
      <w:r w:rsidRPr="00716B90">
        <w:rPr>
          <w:rFonts w:ascii="Calibri" w:hAnsi="Calibri" w:cs="Calibri"/>
          <w:i/>
          <w:iCs/>
        </w:rPr>
        <w:t>2</w:t>
      </w:r>
      <w:r w:rsidRPr="00716B90">
        <w:rPr>
          <w:rFonts w:ascii="Calibri" w:hAnsi="Calibri" w:cs="Calibri"/>
        </w:rPr>
        <w:t>(3), pp.1-10.</w:t>
      </w:r>
      <w:r w:rsidR="00B010FD" w:rsidRPr="00716B90">
        <w:rPr>
          <w:rFonts w:ascii="Calibri" w:hAnsi="Calibri" w:cs="Calibri"/>
        </w:rPr>
        <w:t xml:space="preserve"> </w:t>
      </w:r>
    </w:p>
    <w:p w14:paraId="229322C2" w14:textId="189F030A" w:rsidR="000358D1" w:rsidRPr="00716B90" w:rsidRDefault="000358D1" w:rsidP="00DB0A65">
      <w:pPr>
        <w:spacing w:before="240"/>
        <w:jc w:val="both"/>
        <w:rPr>
          <w:rFonts w:ascii="Calibri" w:hAnsi="Calibri" w:cs="Calibri"/>
        </w:rPr>
      </w:pPr>
      <w:r w:rsidRPr="000358D1">
        <w:rPr>
          <w:rFonts w:ascii="Calibri" w:hAnsi="Calibri" w:cs="Calibri"/>
        </w:rPr>
        <w:lastRenderedPageBreak/>
        <w:t xml:space="preserve">Maverick, J.B. (2024) </w:t>
      </w:r>
      <w:r w:rsidRPr="000358D1">
        <w:rPr>
          <w:rFonts w:ascii="Calibri" w:hAnsi="Calibri" w:cs="Calibri"/>
          <w:i/>
          <w:iCs/>
        </w:rPr>
        <w:t>Limitations of using a payback period for analysis</w:t>
      </w:r>
      <w:r w:rsidRPr="000358D1">
        <w:rPr>
          <w:rFonts w:ascii="Calibri" w:hAnsi="Calibri" w:cs="Calibri"/>
        </w:rPr>
        <w:t xml:space="preserve">, </w:t>
      </w:r>
      <w:r w:rsidRPr="000358D1">
        <w:rPr>
          <w:rFonts w:ascii="Calibri" w:hAnsi="Calibri" w:cs="Calibri"/>
          <w:i/>
          <w:iCs/>
        </w:rPr>
        <w:t>Investopedia</w:t>
      </w:r>
      <w:r w:rsidRPr="000358D1">
        <w:rPr>
          <w:rFonts w:ascii="Calibri" w:hAnsi="Calibri" w:cs="Calibri"/>
        </w:rPr>
        <w:t xml:space="preserve">. Available at: https://www.investopedia.com/ask/answers/062915/what-are-some-limitations-and-drawbacks-using-payback-period-analysis.asp. </w:t>
      </w:r>
    </w:p>
    <w:p w14:paraId="47BB67E3" w14:textId="356ECB74" w:rsidR="00CD7933" w:rsidRPr="00716B90" w:rsidRDefault="00AF1A3E" w:rsidP="00DB0A65">
      <w:pPr>
        <w:spacing w:before="240"/>
        <w:jc w:val="both"/>
        <w:rPr>
          <w:rFonts w:ascii="Calibri" w:hAnsi="Calibri" w:cs="Calibri"/>
        </w:rPr>
      </w:pPr>
      <w:r w:rsidRPr="00716B90">
        <w:rPr>
          <w:rFonts w:ascii="Calibri" w:hAnsi="Calibri" w:cs="Calibri"/>
        </w:rPr>
        <w:t xml:space="preserve">Muse, T. (2024) </w:t>
      </w:r>
      <w:r w:rsidRPr="00716B90">
        <w:rPr>
          <w:rFonts w:ascii="Calibri" w:hAnsi="Calibri" w:cs="Calibri"/>
          <w:i/>
          <w:iCs/>
        </w:rPr>
        <w:t>Procter &amp; Gamble (P&amp;G) CEO history</w:t>
      </w:r>
      <w:r w:rsidRPr="00716B90">
        <w:rPr>
          <w:rFonts w:ascii="Calibri" w:hAnsi="Calibri" w:cs="Calibri"/>
        </w:rPr>
        <w:t xml:space="preserve">, </w:t>
      </w:r>
      <w:r w:rsidRPr="00716B90">
        <w:rPr>
          <w:rFonts w:ascii="Calibri" w:hAnsi="Calibri" w:cs="Calibri"/>
          <w:i/>
          <w:iCs/>
        </w:rPr>
        <w:t>Procter &amp; Gamble (P&amp;G) CEO History: From Procter to Moeller</w:t>
      </w:r>
      <w:r w:rsidRPr="00716B90">
        <w:rPr>
          <w:rFonts w:ascii="Calibri" w:hAnsi="Calibri" w:cs="Calibri"/>
        </w:rPr>
        <w:t xml:space="preserve">. Available at: https://www.historyoasis.com/post/procter-gamble-ceo-history. </w:t>
      </w:r>
    </w:p>
    <w:p w14:paraId="258A0379" w14:textId="6AFA3CA6" w:rsidR="00AB4A79" w:rsidRPr="00716B90" w:rsidRDefault="00FD48DD" w:rsidP="00DB0A65">
      <w:pPr>
        <w:spacing w:before="240"/>
        <w:jc w:val="both"/>
        <w:rPr>
          <w:rFonts w:ascii="Calibri" w:hAnsi="Calibri" w:cs="Calibri"/>
          <w:lang w:val="en-US"/>
        </w:rPr>
      </w:pPr>
      <w:r w:rsidRPr="00716B90">
        <w:rPr>
          <w:rFonts w:ascii="Calibri" w:hAnsi="Calibri" w:cs="Calibri"/>
        </w:rPr>
        <w:t xml:space="preserve">Luca, F., 2019. </w:t>
      </w:r>
      <w:r w:rsidRPr="00716B90">
        <w:rPr>
          <w:rFonts w:ascii="Calibri" w:hAnsi="Calibri" w:cs="Calibri"/>
          <w:i/>
          <w:iCs/>
        </w:rPr>
        <w:t>Successful sustainability strategy</w:t>
      </w:r>
      <w:r w:rsidRPr="00716B90">
        <w:rPr>
          <w:rFonts w:ascii="Calibri" w:hAnsi="Calibri" w:cs="Calibri"/>
        </w:rPr>
        <w:t xml:space="preserve">: Procter &amp; gamble case. Award-Winning Case Studies. </w:t>
      </w:r>
      <w:r w:rsidR="000E2587" w:rsidRPr="00716B90">
        <w:rPr>
          <w:rFonts w:ascii="Calibri" w:hAnsi="Calibri" w:cs="Calibri"/>
          <w:lang w:val="en-US"/>
        </w:rPr>
        <w:tab/>
      </w:r>
    </w:p>
    <w:p w14:paraId="0BC1C11C" w14:textId="70E5A93D" w:rsidR="00D64725" w:rsidRPr="00716B90" w:rsidRDefault="008A0CC4" w:rsidP="00DB0A65">
      <w:pPr>
        <w:pStyle w:val="NormalWeb"/>
        <w:spacing w:before="240" w:beforeAutospacing="0"/>
        <w:jc w:val="both"/>
        <w:rPr>
          <w:rFonts w:ascii="Calibri" w:hAnsi="Calibri" w:cs="Calibri"/>
        </w:rPr>
      </w:pPr>
      <w:proofErr w:type="spellStart"/>
      <w:r w:rsidRPr="00716B90">
        <w:rPr>
          <w:rFonts w:ascii="Calibri" w:hAnsi="Calibri" w:cs="Calibri"/>
        </w:rPr>
        <w:t>Ongbali</w:t>
      </w:r>
      <w:proofErr w:type="spellEnd"/>
      <w:r w:rsidRPr="00716B90">
        <w:rPr>
          <w:rFonts w:ascii="Calibri" w:hAnsi="Calibri" w:cs="Calibri"/>
        </w:rPr>
        <w:t xml:space="preserve">, S.O. </w:t>
      </w:r>
      <w:r w:rsidRPr="00716B90">
        <w:rPr>
          <w:rFonts w:ascii="Calibri" w:hAnsi="Calibri" w:cs="Calibri"/>
          <w:i/>
          <w:iCs/>
        </w:rPr>
        <w:t>et al.</w:t>
      </w:r>
      <w:r w:rsidRPr="00716B90">
        <w:rPr>
          <w:rFonts w:ascii="Calibri" w:hAnsi="Calibri" w:cs="Calibri"/>
        </w:rPr>
        <w:t xml:space="preserve"> (2022) ‘The roles of implementing key sustainable manufacturing strategy in production efficiency improvement of </w:t>
      </w:r>
      <w:proofErr w:type="gramStart"/>
      <w:r w:rsidRPr="00716B90">
        <w:rPr>
          <w:rFonts w:ascii="Calibri" w:hAnsi="Calibri" w:cs="Calibri"/>
        </w:rPr>
        <w:t>fast moving</w:t>
      </w:r>
      <w:proofErr w:type="gramEnd"/>
      <w:r w:rsidRPr="00716B90">
        <w:rPr>
          <w:rFonts w:ascii="Calibri" w:hAnsi="Calibri" w:cs="Calibri"/>
        </w:rPr>
        <w:t xml:space="preserve"> consumable goods: A Review’, </w:t>
      </w:r>
      <w:r w:rsidRPr="00716B90">
        <w:rPr>
          <w:rFonts w:ascii="Calibri" w:hAnsi="Calibri" w:cs="Calibri"/>
          <w:i/>
          <w:iCs/>
        </w:rPr>
        <w:t>AIP Conference Proceedings</w:t>
      </w:r>
      <w:r w:rsidRPr="00716B90">
        <w:rPr>
          <w:rFonts w:ascii="Calibri" w:hAnsi="Calibri" w:cs="Calibri"/>
        </w:rPr>
        <w:t xml:space="preserve">. </w:t>
      </w:r>
      <w:r w:rsidR="003B67F8" w:rsidRPr="00716B90">
        <w:rPr>
          <w:rFonts w:ascii="Calibri" w:hAnsi="Calibri" w:cs="Calibri"/>
        </w:rPr>
        <w:t xml:space="preserve">Available at: </w:t>
      </w:r>
      <w:r w:rsidRPr="00716B90">
        <w:rPr>
          <w:rFonts w:ascii="Calibri" w:hAnsi="Calibri" w:cs="Calibri"/>
        </w:rPr>
        <w:t xml:space="preserve">doi:10.1063/5.0094062. </w:t>
      </w:r>
    </w:p>
    <w:p w14:paraId="329652EE" w14:textId="2B7F5E71" w:rsidR="00D64725" w:rsidRPr="00716B90" w:rsidRDefault="000E2587" w:rsidP="00DB0A65">
      <w:pPr>
        <w:spacing w:before="240"/>
        <w:jc w:val="both"/>
        <w:rPr>
          <w:rFonts w:ascii="Calibri" w:hAnsi="Calibri" w:cs="Calibri"/>
        </w:rPr>
      </w:pPr>
      <w:r w:rsidRPr="00716B90">
        <w:rPr>
          <w:rFonts w:ascii="Calibri" w:hAnsi="Calibri" w:cs="Calibri"/>
        </w:rPr>
        <w:t xml:space="preserve">Ozkan, N.N., 2015. </w:t>
      </w:r>
      <w:r w:rsidRPr="00716B90">
        <w:rPr>
          <w:rFonts w:ascii="Calibri" w:hAnsi="Calibri" w:cs="Calibri"/>
          <w:i/>
          <w:iCs/>
        </w:rPr>
        <w:t>An example of open innovation</w:t>
      </w:r>
      <w:r w:rsidRPr="00716B90">
        <w:rPr>
          <w:rFonts w:ascii="Calibri" w:hAnsi="Calibri" w:cs="Calibri"/>
        </w:rPr>
        <w:t xml:space="preserve">: P&amp;G. Procedia-Social and </w:t>
      </w:r>
      <w:proofErr w:type="spellStart"/>
      <w:r w:rsidRPr="00716B90">
        <w:rPr>
          <w:rFonts w:ascii="Calibri" w:hAnsi="Calibri" w:cs="Calibri"/>
        </w:rPr>
        <w:t>Behavioral</w:t>
      </w:r>
      <w:proofErr w:type="spellEnd"/>
      <w:r w:rsidRPr="00716B90">
        <w:rPr>
          <w:rFonts w:ascii="Calibri" w:hAnsi="Calibri" w:cs="Calibri"/>
        </w:rPr>
        <w:t xml:space="preserve"> Sciences, 195, pp.1496-1502. </w:t>
      </w:r>
    </w:p>
    <w:p w14:paraId="148E1339" w14:textId="46627EA6" w:rsidR="00036122" w:rsidRPr="00716B90" w:rsidRDefault="00036122" w:rsidP="00DB0A65">
      <w:pPr>
        <w:spacing w:before="240"/>
        <w:jc w:val="both"/>
        <w:rPr>
          <w:rFonts w:ascii="Calibri" w:hAnsi="Calibri" w:cs="Calibri"/>
        </w:rPr>
      </w:pPr>
      <w:r w:rsidRPr="00716B90">
        <w:rPr>
          <w:rFonts w:ascii="Calibri" w:hAnsi="Calibri" w:cs="Calibri"/>
        </w:rPr>
        <w:t>Procter and Gamble (2024) P&amp;G Leadership Team: About P&amp;G, P&amp;G leadership team | About P&amp;G. Available at: https://us.pg.com/leadership-team/.</w:t>
      </w:r>
    </w:p>
    <w:p w14:paraId="6EF838B2" w14:textId="5BA52893" w:rsidR="005C1F93" w:rsidRPr="00716B90" w:rsidRDefault="005C1F93" w:rsidP="00DB0A65">
      <w:pPr>
        <w:spacing w:before="240"/>
        <w:jc w:val="both"/>
        <w:rPr>
          <w:rFonts w:ascii="Calibri" w:hAnsi="Calibri" w:cs="Calibri"/>
        </w:rPr>
      </w:pPr>
      <w:r w:rsidRPr="00716B90">
        <w:rPr>
          <w:rFonts w:ascii="Calibri" w:hAnsi="Calibri" w:cs="Calibri"/>
        </w:rPr>
        <w:t xml:space="preserve">Rajesh, A.M. (2024) </w:t>
      </w:r>
      <w:r w:rsidRPr="00716B90">
        <w:rPr>
          <w:rFonts w:ascii="Calibri" w:hAnsi="Calibri" w:cs="Calibri"/>
          <w:i/>
          <w:iCs/>
        </w:rPr>
        <w:t>P&amp;G’s strong margins take heat off annual profit forecast cut | Reuters</w:t>
      </w:r>
      <w:r w:rsidRPr="00716B90">
        <w:rPr>
          <w:rFonts w:ascii="Calibri" w:hAnsi="Calibri" w:cs="Calibri"/>
        </w:rPr>
        <w:t xml:space="preserve">, </w:t>
      </w:r>
      <w:proofErr w:type="spellStart"/>
      <w:r w:rsidRPr="00716B90">
        <w:rPr>
          <w:rFonts w:ascii="Calibri" w:hAnsi="Calibri" w:cs="Calibri"/>
          <w:i/>
          <w:iCs/>
        </w:rPr>
        <w:t>Reutres</w:t>
      </w:r>
      <w:proofErr w:type="spellEnd"/>
      <w:r w:rsidRPr="00716B90">
        <w:rPr>
          <w:rFonts w:ascii="Calibri" w:hAnsi="Calibri" w:cs="Calibri"/>
        </w:rPr>
        <w:t xml:space="preserve">. Available at: https://www.reuters.com/business/retail-consumer/procter-gamble-misses-quarterly-sales-estimates-slowing-china-sales-2024-01-23/. </w:t>
      </w:r>
    </w:p>
    <w:p w14:paraId="6656A663" w14:textId="09F334E2" w:rsidR="00B53DFA" w:rsidRPr="00716B90" w:rsidRDefault="00B53DFA" w:rsidP="00DB0A65">
      <w:pPr>
        <w:spacing w:before="240"/>
        <w:jc w:val="both"/>
        <w:rPr>
          <w:rFonts w:ascii="Calibri" w:hAnsi="Calibri" w:cs="Calibri"/>
          <w:color w:val="222222"/>
          <w:shd w:val="clear" w:color="auto" w:fill="FFFFFF"/>
        </w:rPr>
      </w:pPr>
      <w:r w:rsidRPr="00716B90">
        <w:rPr>
          <w:rFonts w:ascii="Calibri" w:hAnsi="Calibri" w:cs="Calibri"/>
          <w:color w:val="222222"/>
          <w:shd w:val="clear" w:color="auto" w:fill="FFFFFF"/>
        </w:rPr>
        <w:t xml:space="preserve">Sari, B.P. and Daryanto, W.M., 2021. Profitability Ratio Analysis </w:t>
      </w:r>
      <w:proofErr w:type="gramStart"/>
      <w:r w:rsidRPr="00716B90">
        <w:rPr>
          <w:rFonts w:ascii="Calibri" w:hAnsi="Calibri" w:cs="Calibri"/>
          <w:color w:val="222222"/>
          <w:shd w:val="clear" w:color="auto" w:fill="FFFFFF"/>
        </w:rPr>
        <w:t>As</w:t>
      </w:r>
      <w:proofErr w:type="gramEnd"/>
      <w:r w:rsidRPr="00716B90">
        <w:rPr>
          <w:rFonts w:ascii="Calibri" w:hAnsi="Calibri" w:cs="Calibri"/>
          <w:color w:val="222222"/>
          <w:shd w:val="clear" w:color="auto" w:fill="FFFFFF"/>
        </w:rPr>
        <w:t xml:space="preserve"> Measurement Tool of Financial Performance Study Case PT </w:t>
      </w:r>
      <w:proofErr w:type="spellStart"/>
      <w:r w:rsidRPr="00716B90">
        <w:rPr>
          <w:rFonts w:ascii="Calibri" w:hAnsi="Calibri" w:cs="Calibri"/>
          <w:color w:val="222222"/>
          <w:shd w:val="clear" w:color="auto" w:fill="FFFFFF"/>
        </w:rPr>
        <w:t>Pertamina</w:t>
      </w:r>
      <w:proofErr w:type="spellEnd"/>
      <w:r w:rsidRPr="00716B90">
        <w:rPr>
          <w:rFonts w:ascii="Calibri" w:hAnsi="Calibri" w:cs="Calibri"/>
          <w:color w:val="222222"/>
          <w:shd w:val="clear" w:color="auto" w:fill="FFFFFF"/>
        </w:rPr>
        <w:t xml:space="preserve"> (Persero). </w:t>
      </w:r>
      <w:r w:rsidRPr="00716B90">
        <w:rPr>
          <w:rFonts w:ascii="Calibri" w:hAnsi="Calibri" w:cs="Calibri"/>
          <w:i/>
          <w:iCs/>
          <w:color w:val="222222"/>
          <w:shd w:val="clear" w:color="auto" w:fill="FFFFFF"/>
        </w:rPr>
        <w:t xml:space="preserve">International Journal of </w:t>
      </w:r>
      <w:proofErr w:type="spellStart"/>
      <w:r w:rsidRPr="00716B90">
        <w:rPr>
          <w:rFonts w:ascii="Calibri" w:hAnsi="Calibri" w:cs="Calibri"/>
          <w:i/>
          <w:iCs/>
          <w:color w:val="222222"/>
          <w:shd w:val="clear" w:color="auto" w:fill="FFFFFF"/>
        </w:rPr>
        <w:t>Businness</w:t>
      </w:r>
      <w:proofErr w:type="spellEnd"/>
      <w:r w:rsidRPr="00716B90">
        <w:rPr>
          <w:rFonts w:ascii="Calibri" w:hAnsi="Calibri" w:cs="Calibri"/>
          <w:i/>
          <w:iCs/>
          <w:color w:val="222222"/>
          <w:shd w:val="clear" w:color="auto" w:fill="FFFFFF"/>
        </w:rPr>
        <w:t>, Economics and Law</w:t>
      </w:r>
      <w:r w:rsidRPr="00716B90">
        <w:rPr>
          <w:rFonts w:ascii="Calibri" w:hAnsi="Calibri" w:cs="Calibri"/>
          <w:color w:val="222222"/>
          <w:shd w:val="clear" w:color="auto" w:fill="FFFFFF"/>
        </w:rPr>
        <w:t>, </w:t>
      </w:r>
      <w:r w:rsidRPr="00716B90">
        <w:rPr>
          <w:rFonts w:ascii="Calibri" w:hAnsi="Calibri" w:cs="Calibri"/>
          <w:i/>
          <w:iCs/>
          <w:color w:val="222222"/>
          <w:shd w:val="clear" w:color="auto" w:fill="FFFFFF"/>
        </w:rPr>
        <w:t>24</w:t>
      </w:r>
      <w:r w:rsidRPr="00716B90">
        <w:rPr>
          <w:rFonts w:ascii="Calibri" w:hAnsi="Calibri" w:cs="Calibri"/>
          <w:color w:val="222222"/>
          <w:shd w:val="clear" w:color="auto" w:fill="FFFFFF"/>
        </w:rPr>
        <w:t>, pp.82-86.</w:t>
      </w:r>
    </w:p>
    <w:p w14:paraId="7F24799B" w14:textId="7C6CE4F1" w:rsidR="00AC7FAA" w:rsidRPr="00716B90" w:rsidRDefault="00AC7FAA" w:rsidP="00DB0A65">
      <w:pPr>
        <w:spacing w:before="240"/>
        <w:jc w:val="both"/>
        <w:rPr>
          <w:rFonts w:ascii="Calibri" w:hAnsi="Calibri" w:cs="Calibri"/>
        </w:rPr>
      </w:pPr>
      <w:r w:rsidRPr="00716B90">
        <w:rPr>
          <w:rFonts w:ascii="Calibri" w:hAnsi="Calibri" w:cs="Calibri"/>
        </w:rPr>
        <w:t>Saleem, Q. and Rehman, R.U., 2011. Impacts of liquidity ratios on profitability. Interdisciplinary journal of research in business, 1(7), pp.95-98.</w:t>
      </w:r>
    </w:p>
    <w:p w14:paraId="0856AD2D" w14:textId="55171F28" w:rsidR="00007BD4" w:rsidRPr="00716B90" w:rsidRDefault="00007BD4" w:rsidP="00DB0A65">
      <w:pPr>
        <w:spacing w:before="240"/>
        <w:jc w:val="both"/>
        <w:rPr>
          <w:rFonts w:ascii="Calibri" w:hAnsi="Calibri" w:cs="Calibri"/>
        </w:rPr>
      </w:pPr>
      <w:r w:rsidRPr="00716B90">
        <w:rPr>
          <w:rFonts w:ascii="Calibri" w:hAnsi="Calibri" w:cs="Calibri"/>
        </w:rPr>
        <w:t xml:space="preserve">Simin, L. (2021) </w:t>
      </w:r>
      <w:r w:rsidRPr="00716B90">
        <w:rPr>
          <w:rFonts w:ascii="Calibri" w:hAnsi="Calibri" w:cs="Calibri"/>
          <w:i/>
          <w:iCs/>
        </w:rPr>
        <w:t>The applications of NPV in different types of markets</w:t>
      </w:r>
      <w:r w:rsidR="002505B8" w:rsidRPr="00716B90">
        <w:rPr>
          <w:rFonts w:ascii="Calibri" w:hAnsi="Calibri" w:cs="Calibri"/>
          <w:i/>
          <w:iCs/>
        </w:rPr>
        <w:t>.</w:t>
      </w:r>
      <w:r w:rsidR="00FE277C" w:rsidRPr="00716B90">
        <w:rPr>
          <w:rFonts w:ascii="Calibri" w:hAnsi="Calibri" w:cs="Calibri"/>
        </w:rPr>
        <w:t xml:space="preserve"> </w:t>
      </w:r>
      <w:r w:rsidRPr="00716B90">
        <w:rPr>
          <w:rFonts w:ascii="Calibri" w:hAnsi="Calibri" w:cs="Calibri"/>
        </w:rPr>
        <w:t xml:space="preserve"> Available at: https://www.atlantis-press.com/article/125966042.pdf. </w:t>
      </w:r>
    </w:p>
    <w:p w14:paraId="7EE44C51" w14:textId="1144EEDE" w:rsidR="007861A4" w:rsidRPr="00716B90" w:rsidRDefault="007861A4" w:rsidP="00DB0A65">
      <w:pPr>
        <w:spacing w:before="240"/>
        <w:jc w:val="both"/>
        <w:rPr>
          <w:rFonts w:ascii="Calibri" w:hAnsi="Calibri" w:cs="Calibri"/>
        </w:rPr>
      </w:pPr>
      <w:r w:rsidRPr="00716B90">
        <w:rPr>
          <w:rFonts w:ascii="Calibri" w:hAnsi="Calibri" w:cs="Calibri"/>
        </w:rPr>
        <w:t xml:space="preserve">Sinha, J. (2024) </w:t>
      </w:r>
      <w:r w:rsidRPr="00716B90">
        <w:rPr>
          <w:rFonts w:ascii="Calibri" w:hAnsi="Calibri" w:cs="Calibri"/>
          <w:i/>
          <w:iCs/>
        </w:rPr>
        <w:t>P&amp;G’s journey from a small firm to leading the FMCG market</w:t>
      </w:r>
      <w:r w:rsidRPr="00716B90">
        <w:rPr>
          <w:rFonts w:ascii="Calibri" w:hAnsi="Calibri" w:cs="Calibri"/>
        </w:rPr>
        <w:t>: Product and marketing strategy, Medium. Available at: https://medium.com/accredian/p-gs-journey-from-a-small-firm-to-leading-the-fmcg-market-product-and-marketing-strategy-0479c39e1d64.</w:t>
      </w:r>
    </w:p>
    <w:p w14:paraId="07A14613" w14:textId="202A9F05" w:rsidR="007270FB" w:rsidRPr="00716B90" w:rsidRDefault="009C1894" w:rsidP="00DB0A65">
      <w:pPr>
        <w:spacing w:before="240"/>
        <w:jc w:val="both"/>
        <w:rPr>
          <w:rFonts w:ascii="Calibri" w:hAnsi="Calibri" w:cs="Calibri"/>
        </w:rPr>
      </w:pPr>
      <w:r w:rsidRPr="00716B90">
        <w:rPr>
          <w:rFonts w:ascii="Calibri" w:hAnsi="Calibri" w:cs="Calibri"/>
        </w:rPr>
        <w:t xml:space="preserve">Shaikh, A.U.H., </w:t>
      </w:r>
      <w:proofErr w:type="spellStart"/>
      <w:r w:rsidRPr="00716B90">
        <w:rPr>
          <w:rFonts w:ascii="Calibri" w:hAnsi="Calibri" w:cs="Calibri"/>
        </w:rPr>
        <w:t>Solangi</w:t>
      </w:r>
      <w:proofErr w:type="spellEnd"/>
      <w:r w:rsidRPr="00716B90">
        <w:rPr>
          <w:rFonts w:ascii="Calibri" w:hAnsi="Calibri" w:cs="Calibri"/>
        </w:rPr>
        <w:t xml:space="preserve">, A. and Raza, A., 2022. An In-Depth Comparative Analysis of Financial Statement Metrics: A Study of Unilever and P&amp;G. </w:t>
      </w:r>
      <w:r w:rsidRPr="00716B90">
        <w:rPr>
          <w:rFonts w:ascii="Calibri" w:hAnsi="Calibri" w:cs="Calibri"/>
          <w:i/>
          <w:iCs/>
        </w:rPr>
        <w:t>Journal of Development and Social Sciences</w:t>
      </w:r>
      <w:r w:rsidRPr="00716B90">
        <w:rPr>
          <w:rFonts w:ascii="Calibri" w:hAnsi="Calibri" w:cs="Calibri"/>
        </w:rPr>
        <w:t>, 3(3), pp.594-609.</w:t>
      </w:r>
      <w:r w:rsidR="00DB2F36" w:rsidRPr="00716B90">
        <w:rPr>
          <w:rFonts w:ascii="Calibri" w:hAnsi="Calibri" w:cs="Calibri"/>
        </w:rPr>
        <w:t xml:space="preserve"> </w:t>
      </w:r>
    </w:p>
    <w:p w14:paraId="07CE61CB" w14:textId="6A98D900" w:rsidR="007270FB" w:rsidRPr="00716B90" w:rsidRDefault="007270FB" w:rsidP="00DB0A65">
      <w:pPr>
        <w:spacing w:before="240"/>
        <w:jc w:val="both"/>
        <w:rPr>
          <w:rFonts w:ascii="Calibri" w:hAnsi="Calibri" w:cs="Calibri"/>
        </w:rPr>
      </w:pPr>
      <w:r w:rsidRPr="00716B90">
        <w:rPr>
          <w:rFonts w:ascii="Calibri" w:hAnsi="Calibri" w:cs="Calibri"/>
        </w:rPr>
        <w:lastRenderedPageBreak/>
        <w:t xml:space="preserve">Suardana, I.B.R., </w:t>
      </w:r>
      <w:proofErr w:type="spellStart"/>
      <w:r w:rsidRPr="00716B90">
        <w:rPr>
          <w:rFonts w:ascii="Calibri" w:hAnsi="Calibri" w:cs="Calibri"/>
        </w:rPr>
        <w:t>Astawa</w:t>
      </w:r>
      <w:proofErr w:type="spellEnd"/>
      <w:r w:rsidRPr="00716B90">
        <w:rPr>
          <w:rFonts w:ascii="Calibri" w:hAnsi="Calibri" w:cs="Calibri"/>
        </w:rPr>
        <w:t>, I.N.D. and Martini, L.K.B., 2018. influential factors towards return on assets and profit change: Study on All BPR in Bali Province. </w:t>
      </w:r>
      <w:r w:rsidRPr="00716B90">
        <w:rPr>
          <w:rFonts w:ascii="Calibri" w:hAnsi="Calibri" w:cs="Calibri"/>
          <w:i/>
          <w:iCs/>
        </w:rPr>
        <w:t>International journal of social sciences and humanities</w:t>
      </w:r>
      <w:r w:rsidRPr="00716B90">
        <w:rPr>
          <w:rFonts w:ascii="Calibri" w:hAnsi="Calibri" w:cs="Calibri"/>
        </w:rPr>
        <w:t>, </w:t>
      </w:r>
      <w:r w:rsidRPr="00716B90">
        <w:rPr>
          <w:rFonts w:ascii="Calibri" w:hAnsi="Calibri" w:cs="Calibri"/>
          <w:i/>
          <w:iCs/>
        </w:rPr>
        <w:t>2</w:t>
      </w:r>
      <w:r w:rsidRPr="00716B90">
        <w:rPr>
          <w:rFonts w:ascii="Calibri" w:hAnsi="Calibri" w:cs="Calibri"/>
        </w:rPr>
        <w:t xml:space="preserve">(1), pp.105-116. </w:t>
      </w:r>
    </w:p>
    <w:p w14:paraId="60D187AF" w14:textId="510A00D2" w:rsidR="00AF6D40" w:rsidRPr="00716B90" w:rsidRDefault="00AF6D40" w:rsidP="00DB0A65">
      <w:pPr>
        <w:spacing w:before="240"/>
        <w:jc w:val="both"/>
        <w:rPr>
          <w:rFonts w:ascii="Calibri" w:hAnsi="Calibri" w:cs="Calibri"/>
        </w:rPr>
      </w:pPr>
      <w:r w:rsidRPr="00716B90">
        <w:rPr>
          <w:rFonts w:ascii="Calibri" w:hAnsi="Calibri" w:cs="Calibri"/>
        </w:rPr>
        <w:t>Sunaryo, D., 2020. The effect of net profit margin, return on asset, return on equity on share prices in The Southeast Asian metal industry. </w:t>
      </w:r>
      <w:r w:rsidRPr="00716B90">
        <w:rPr>
          <w:rFonts w:ascii="Calibri" w:hAnsi="Calibri" w:cs="Calibri"/>
          <w:i/>
          <w:iCs/>
        </w:rPr>
        <w:t>International Journal of Science, Technology &amp; Management</w:t>
      </w:r>
      <w:r w:rsidRPr="00716B90">
        <w:rPr>
          <w:rFonts w:ascii="Calibri" w:hAnsi="Calibri" w:cs="Calibri"/>
        </w:rPr>
        <w:t>, </w:t>
      </w:r>
      <w:r w:rsidRPr="00716B90">
        <w:rPr>
          <w:rFonts w:ascii="Calibri" w:hAnsi="Calibri" w:cs="Calibri"/>
          <w:i/>
          <w:iCs/>
        </w:rPr>
        <w:t>1</w:t>
      </w:r>
      <w:r w:rsidRPr="00716B90">
        <w:rPr>
          <w:rFonts w:ascii="Calibri" w:hAnsi="Calibri" w:cs="Calibri"/>
        </w:rPr>
        <w:t xml:space="preserve">(3), pp.198-208. </w:t>
      </w:r>
    </w:p>
    <w:p w14:paraId="4D8D2ADE" w14:textId="55454BE1" w:rsidR="0041705D" w:rsidRPr="00716B90" w:rsidRDefault="0041705D" w:rsidP="00DB0A65">
      <w:pPr>
        <w:spacing w:before="240"/>
        <w:jc w:val="both"/>
        <w:rPr>
          <w:rFonts w:ascii="Calibri" w:hAnsi="Calibri" w:cs="Calibri"/>
        </w:rPr>
      </w:pPr>
      <w:r w:rsidRPr="00716B90">
        <w:rPr>
          <w:rFonts w:ascii="Calibri" w:hAnsi="Calibri" w:cs="Calibri"/>
        </w:rPr>
        <w:t>SUNJOKO, M. I. and ARILYN, E. J. (2018) “</w:t>
      </w:r>
      <w:r w:rsidRPr="00716B90">
        <w:rPr>
          <w:rFonts w:ascii="Calibri" w:hAnsi="Calibri" w:cs="Calibri"/>
          <w:i/>
          <w:iCs/>
        </w:rPr>
        <w:t>Effects of inventory turnover, total asset turnover, fixed asset turnover, current ratio and average collection period on profitability</w:t>
      </w:r>
      <w:r w:rsidRPr="00716B90">
        <w:rPr>
          <w:rFonts w:ascii="Calibri" w:hAnsi="Calibri" w:cs="Calibri"/>
        </w:rPr>
        <w:t xml:space="preserve">”, </w:t>
      </w:r>
      <w:proofErr w:type="spellStart"/>
      <w:r w:rsidRPr="00716B90">
        <w:rPr>
          <w:rFonts w:ascii="Calibri" w:hAnsi="Calibri" w:cs="Calibri"/>
        </w:rPr>
        <w:t>Jurnal</w:t>
      </w:r>
      <w:proofErr w:type="spellEnd"/>
      <w:r w:rsidRPr="00716B90">
        <w:rPr>
          <w:rFonts w:ascii="Calibri" w:hAnsi="Calibri" w:cs="Calibri"/>
        </w:rPr>
        <w:t xml:space="preserve"> </w:t>
      </w:r>
      <w:proofErr w:type="spellStart"/>
      <w:r w:rsidRPr="00716B90">
        <w:rPr>
          <w:rFonts w:ascii="Calibri" w:hAnsi="Calibri" w:cs="Calibri"/>
        </w:rPr>
        <w:t>Bisnis</w:t>
      </w:r>
      <w:proofErr w:type="spellEnd"/>
      <w:r w:rsidRPr="00716B90">
        <w:rPr>
          <w:rFonts w:ascii="Calibri" w:hAnsi="Calibri" w:cs="Calibri"/>
        </w:rPr>
        <w:t xml:space="preserve"> dan </w:t>
      </w:r>
      <w:proofErr w:type="spellStart"/>
      <w:r w:rsidRPr="00716B90">
        <w:rPr>
          <w:rFonts w:ascii="Calibri" w:hAnsi="Calibri" w:cs="Calibri"/>
        </w:rPr>
        <w:t>Akuntansi</w:t>
      </w:r>
      <w:proofErr w:type="spellEnd"/>
      <w:r w:rsidRPr="00716B90">
        <w:rPr>
          <w:rFonts w:ascii="Calibri" w:hAnsi="Calibri" w:cs="Calibri"/>
        </w:rPr>
        <w:t>, 18(1), pp. 79-83.</w:t>
      </w:r>
    </w:p>
    <w:p w14:paraId="0F5F337B" w14:textId="5783F706" w:rsidR="001F63A5" w:rsidRPr="00716B90" w:rsidRDefault="001F63A5" w:rsidP="00DB0A65">
      <w:pPr>
        <w:spacing w:before="240"/>
        <w:jc w:val="both"/>
        <w:rPr>
          <w:rFonts w:ascii="Calibri" w:hAnsi="Calibri" w:cs="Calibri"/>
        </w:rPr>
      </w:pPr>
      <w:r w:rsidRPr="00716B90">
        <w:rPr>
          <w:rFonts w:ascii="Calibri" w:hAnsi="Calibri" w:cs="Calibri"/>
        </w:rPr>
        <w:t xml:space="preserve">Sutcliffe, C. (2024) </w:t>
      </w:r>
      <w:r w:rsidRPr="00716B90">
        <w:rPr>
          <w:rFonts w:ascii="Calibri" w:hAnsi="Calibri" w:cs="Calibri"/>
          <w:i/>
          <w:iCs/>
        </w:rPr>
        <w:t>P&amp;G CEO says ‘willingness to change’ is key to being a ‘constructive disruptor’ in brand building</w:t>
      </w:r>
      <w:r w:rsidRPr="00716B90">
        <w:rPr>
          <w:rFonts w:ascii="Calibri" w:hAnsi="Calibri" w:cs="Calibri"/>
        </w:rPr>
        <w:t xml:space="preserve">, </w:t>
      </w:r>
      <w:r w:rsidRPr="00716B90">
        <w:rPr>
          <w:rFonts w:ascii="Calibri" w:hAnsi="Calibri" w:cs="Calibri"/>
          <w:i/>
          <w:iCs/>
        </w:rPr>
        <w:t>Marketing Week</w:t>
      </w:r>
      <w:r w:rsidRPr="00716B90">
        <w:rPr>
          <w:rFonts w:ascii="Calibri" w:hAnsi="Calibri" w:cs="Calibri"/>
        </w:rPr>
        <w:t xml:space="preserve">. Available at: </w:t>
      </w:r>
      <w:r w:rsidR="00CD7933" w:rsidRPr="00716B90">
        <w:rPr>
          <w:rFonts w:ascii="Calibri" w:hAnsi="Calibri" w:cs="Calibri"/>
        </w:rPr>
        <w:t xml:space="preserve">https://www.marketingweek.com </w:t>
      </w:r>
      <w:r w:rsidRPr="00716B90">
        <w:rPr>
          <w:rFonts w:ascii="Calibri" w:hAnsi="Calibri" w:cs="Calibri"/>
        </w:rPr>
        <w:t>/</w:t>
      </w:r>
      <w:proofErr w:type="spellStart"/>
      <w:r w:rsidRPr="00716B90">
        <w:rPr>
          <w:rFonts w:ascii="Calibri" w:hAnsi="Calibri" w:cs="Calibri"/>
        </w:rPr>
        <w:t>procter</w:t>
      </w:r>
      <w:proofErr w:type="spellEnd"/>
      <w:r w:rsidRPr="00716B90">
        <w:rPr>
          <w:rFonts w:ascii="Calibri" w:hAnsi="Calibri" w:cs="Calibri"/>
        </w:rPr>
        <w:t xml:space="preserve">-gamble-change-advantage/. </w:t>
      </w:r>
    </w:p>
    <w:p w14:paraId="2144AF34" w14:textId="2EF8FFCA" w:rsidR="004570C9" w:rsidRPr="00716B90" w:rsidRDefault="004570C9" w:rsidP="00DB0A65">
      <w:pPr>
        <w:spacing w:before="240"/>
        <w:jc w:val="both"/>
        <w:rPr>
          <w:rFonts w:ascii="Calibri" w:hAnsi="Calibri" w:cs="Calibri"/>
        </w:rPr>
      </w:pPr>
      <w:r w:rsidRPr="00716B90">
        <w:rPr>
          <w:rFonts w:ascii="Calibri" w:hAnsi="Calibri" w:cs="Calibri"/>
        </w:rPr>
        <w:t xml:space="preserve">Thompson, A. (2023) </w:t>
      </w:r>
      <w:r w:rsidRPr="00716B90">
        <w:rPr>
          <w:rFonts w:ascii="Calibri" w:hAnsi="Calibri" w:cs="Calibri"/>
          <w:i/>
          <w:iCs/>
        </w:rPr>
        <w:t>Procter &amp; Gamble Swot Analysis &amp; Recommendations</w:t>
      </w:r>
      <w:r w:rsidRPr="00716B90">
        <w:rPr>
          <w:rFonts w:ascii="Calibri" w:hAnsi="Calibri" w:cs="Calibri"/>
        </w:rPr>
        <w:t xml:space="preserve">, </w:t>
      </w:r>
      <w:proofErr w:type="spellStart"/>
      <w:r w:rsidRPr="00716B90">
        <w:rPr>
          <w:rFonts w:ascii="Calibri" w:hAnsi="Calibri" w:cs="Calibri"/>
          <w:i/>
          <w:iCs/>
        </w:rPr>
        <w:t>Panmore</w:t>
      </w:r>
      <w:proofErr w:type="spellEnd"/>
      <w:r w:rsidRPr="00716B90">
        <w:rPr>
          <w:rFonts w:ascii="Calibri" w:hAnsi="Calibri" w:cs="Calibri"/>
          <w:i/>
          <w:iCs/>
        </w:rPr>
        <w:t xml:space="preserve"> Institute</w:t>
      </w:r>
      <w:r w:rsidRPr="00716B90">
        <w:rPr>
          <w:rFonts w:ascii="Calibri" w:hAnsi="Calibri" w:cs="Calibri"/>
        </w:rPr>
        <w:t xml:space="preserve">. Available at: https://panmore.com/procter-gamble-swot-analysis-recommendations. </w:t>
      </w:r>
    </w:p>
    <w:p w14:paraId="6448F727" w14:textId="3E85ED19" w:rsidR="00B92C17" w:rsidRPr="00716B90" w:rsidRDefault="00B92C17" w:rsidP="00DB0A65">
      <w:pPr>
        <w:spacing w:before="240"/>
        <w:jc w:val="both"/>
        <w:rPr>
          <w:rFonts w:ascii="Calibri" w:hAnsi="Calibri" w:cs="Calibri"/>
        </w:rPr>
      </w:pPr>
      <w:proofErr w:type="spellStart"/>
      <w:r w:rsidRPr="00716B90">
        <w:rPr>
          <w:rFonts w:ascii="Calibri" w:hAnsi="Calibri" w:cs="Calibri"/>
        </w:rPr>
        <w:t>Tulung</w:t>
      </w:r>
      <w:proofErr w:type="spellEnd"/>
      <w:r w:rsidRPr="00716B90">
        <w:rPr>
          <w:rFonts w:ascii="Calibri" w:hAnsi="Calibri" w:cs="Calibri"/>
        </w:rPr>
        <w:t xml:space="preserve">, J.E., </w:t>
      </w:r>
      <w:proofErr w:type="spellStart"/>
      <w:r w:rsidRPr="00716B90">
        <w:rPr>
          <w:rFonts w:ascii="Calibri" w:hAnsi="Calibri" w:cs="Calibri"/>
        </w:rPr>
        <w:t>Sondakh</w:t>
      </w:r>
      <w:proofErr w:type="spellEnd"/>
      <w:r w:rsidRPr="00716B90">
        <w:rPr>
          <w:rFonts w:ascii="Calibri" w:hAnsi="Calibri" w:cs="Calibri"/>
        </w:rPr>
        <w:t xml:space="preserve">, J.J., Wangke, S.J.C. and </w:t>
      </w:r>
      <w:proofErr w:type="spellStart"/>
      <w:r w:rsidRPr="00716B90">
        <w:rPr>
          <w:rFonts w:ascii="Calibri" w:hAnsi="Calibri" w:cs="Calibri"/>
        </w:rPr>
        <w:t>Posumah</w:t>
      </w:r>
      <w:proofErr w:type="spellEnd"/>
      <w:r w:rsidRPr="00716B90">
        <w:rPr>
          <w:rFonts w:ascii="Calibri" w:hAnsi="Calibri" w:cs="Calibri"/>
        </w:rPr>
        <w:t>, R.F.K., 2024</w:t>
      </w:r>
      <w:r w:rsidR="00780180" w:rsidRPr="00716B90">
        <w:rPr>
          <w:rFonts w:ascii="Calibri" w:hAnsi="Calibri" w:cs="Calibri"/>
        </w:rPr>
        <w:t xml:space="preserve">. Effects of capital ratio, quality of receivables, liquidity, and gearing ratio on profitability: a study financial </w:t>
      </w:r>
      <w:proofErr w:type="spellStart"/>
      <w:r w:rsidR="00780180" w:rsidRPr="00716B90">
        <w:rPr>
          <w:rFonts w:ascii="Calibri" w:hAnsi="Calibri" w:cs="Calibri"/>
        </w:rPr>
        <w:t>institutions’governance</w:t>
      </w:r>
      <w:proofErr w:type="spellEnd"/>
      <w:r w:rsidRPr="00716B90">
        <w:rPr>
          <w:rFonts w:ascii="Calibri" w:hAnsi="Calibri" w:cs="Calibri"/>
        </w:rPr>
        <w:t>. </w:t>
      </w:r>
      <w:r w:rsidRPr="00716B90">
        <w:rPr>
          <w:rFonts w:ascii="Calibri" w:hAnsi="Calibri" w:cs="Calibri"/>
          <w:i/>
          <w:iCs/>
        </w:rPr>
        <w:t>Journal of Governance and Regulation/Volume</w:t>
      </w:r>
      <w:r w:rsidRPr="00716B90">
        <w:rPr>
          <w:rFonts w:ascii="Calibri" w:hAnsi="Calibri" w:cs="Calibri"/>
        </w:rPr>
        <w:t>, </w:t>
      </w:r>
      <w:r w:rsidRPr="00716B90">
        <w:rPr>
          <w:rFonts w:ascii="Calibri" w:hAnsi="Calibri" w:cs="Calibri"/>
          <w:i/>
          <w:iCs/>
        </w:rPr>
        <w:t>13</w:t>
      </w:r>
      <w:r w:rsidRPr="00716B90">
        <w:rPr>
          <w:rFonts w:ascii="Calibri" w:hAnsi="Calibri" w:cs="Calibri"/>
        </w:rPr>
        <w:t xml:space="preserve">(3). </w:t>
      </w:r>
    </w:p>
    <w:p w14:paraId="36500FAC" w14:textId="16B8E575" w:rsidR="00227F41" w:rsidRPr="00716B90" w:rsidRDefault="00227F41" w:rsidP="00DB0A65">
      <w:pPr>
        <w:spacing w:before="240"/>
        <w:jc w:val="both"/>
        <w:rPr>
          <w:rFonts w:ascii="Calibri" w:hAnsi="Calibri" w:cs="Calibri"/>
        </w:rPr>
      </w:pPr>
      <w:r w:rsidRPr="00227F41">
        <w:rPr>
          <w:rFonts w:ascii="Calibri" w:hAnsi="Calibri" w:cs="Calibri"/>
        </w:rPr>
        <w:t xml:space="preserve">Vaidya, D. (2024) </w:t>
      </w:r>
      <w:r w:rsidRPr="00227F41">
        <w:rPr>
          <w:rFonts w:ascii="Calibri" w:hAnsi="Calibri" w:cs="Calibri"/>
          <w:i/>
          <w:iCs/>
        </w:rPr>
        <w:t>Payback period advantages and disadvantages | top examples</w:t>
      </w:r>
      <w:r w:rsidRPr="00227F41">
        <w:rPr>
          <w:rFonts w:ascii="Calibri" w:hAnsi="Calibri" w:cs="Calibri"/>
        </w:rPr>
        <w:t xml:space="preserve">, </w:t>
      </w:r>
      <w:proofErr w:type="spellStart"/>
      <w:r w:rsidRPr="00227F41">
        <w:rPr>
          <w:rFonts w:ascii="Calibri" w:hAnsi="Calibri" w:cs="Calibri"/>
          <w:i/>
          <w:iCs/>
        </w:rPr>
        <w:t>wallstreetmojo</w:t>
      </w:r>
      <w:proofErr w:type="spellEnd"/>
      <w:r w:rsidRPr="00227F41">
        <w:rPr>
          <w:rFonts w:ascii="Calibri" w:hAnsi="Calibri" w:cs="Calibri"/>
        </w:rPr>
        <w:t>. Available at: https://www.wallstreetmojo.com/payback-period-advantages-and-disadvantages/</w:t>
      </w:r>
    </w:p>
    <w:p w14:paraId="7604758F" w14:textId="21BA30C9" w:rsidR="00227F41" w:rsidRPr="00716B90" w:rsidRDefault="002F62B5" w:rsidP="00DB0A65">
      <w:pPr>
        <w:spacing w:before="240"/>
        <w:jc w:val="both"/>
        <w:rPr>
          <w:rFonts w:ascii="Calibri" w:hAnsi="Calibri" w:cs="Calibri"/>
        </w:rPr>
      </w:pPr>
      <w:r w:rsidRPr="00716B90">
        <w:rPr>
          <w:rFonts w:ascii="Calibri" w:hAnsi="Calibri" w:cs="Calibri"/>
        </w:rPr>
        <w:t xml:space="preserve">Vipond, T. (2023) </w:t>
      </w:r>
      <w:r w:rsidRPr="00716B90">
        <w:rPr>
          <w:rFonts w:ascii="Calibri" w:hAnsi="Calibri" w:cs="Calibri"/>
          <w:i/>
          <w:iCs/>
        </w:rPr>
        <w:t>ARR - accounting rate of return</w:t>
      </w:r>
      <w:r w:rsidRPr="00716B90">
        <w:rPr>
          <w:rFonts w:ascii="Calibri" w:hAnsi="Calibri" w:cs="Calibri"/>
        </w:rPr>
        <w:t xml:space="preserve">, </w:t>
      </w:r>
      <w:r w:rsidRPr="00716B90">
        <w:rPr>
          <w:rFonts w:ascii="Calibri" w:hAnsi="Calibri" w:cs="Calibri"/>
          <w:i/>
          <w:iCs/>
        </w:rPr>
        <w:t>Corporate Finance Institute</w:t>
      </w:r>
      <w:r w:rsidRPr="00716B90">
        <w:rPr>
          <w:rFonts w:ascii="Calibri" w:hAnsi="Calibri" w:cs="Calibri"/>
        </w:rPr>
        <w:t>. Available at: https://corporatefinanceinstitute.com/resources/accounting/arr-accounting-rate-of-return/</w:t>
      </w:r>
      <w:r w:rsidR="00BA4C73">
        <w:rPr>
          <w:rFonts w:ascii="Calibri" w:hAnsi="Calibri" w:cs="Calibri"/>
        </w:rPr>
        <w:t>.</w:t>
      </w:r>
    </w:p>
    <w:p w14:paraId="00EA3F07" w14:textId="0DE0BE7D" w:rsidR="00D3016F" w:rsidRPr="00716B90" w:rsidRDefault="00D3016F" w:rsidP="00DB0A65">
      <w:pPr>
        <w:spacing w:before="240"/>
        <w:jc w:val="both"/>
        <w:rPr>
          <w:rFonts w:ascii="Calibri" w:hAnsi="Calibri" w:cs="Calibri"/>
        </w:rPr>
      </w:pPr>
      <w:r w:rsidRPr="00716B90">
        <w:rPr>
          <w:rFonts w:ascii="Calibri" w:hAnsi="Calibri" w:cs="Calibri"/>
        </w:rPr>
        <w:t xml:space="preserve">Wang, Z., 2022, </w:t>
      </w:r>
      <w:r w:rsidRPr="00716B90">
        <w:rPr>
          <w:rFonts w:ascii="Calibri" w:hAnsi="Calibri" w:cs="Calibri"/>
          <w:i/>
          <w:iCs/>
        </w:rPr>
        <w:t>Financial and strategic analysis of FMCG industry</w:t>
      </w:r>
      <w:r w:rsidRPr="00716B90">
        <w:rPr>
          <w:rFonts w:ascii="Calibri" w:hAnsi="Calibri" w:cs="Calibri"/>
        </w:rPr>
        <w:t>--Taking P &amp; G as an example.</w:t>
      </w:r>
    </w:p>
    <w:p w14:paraId="7D80EE8D" w14:textId="4965F643" w:rsidR="00357A78" w:rsidRPr="00716B90" w:rsidRDefault="00357A78" w:rsidP="00DB0A65">
      <w:pPr>
        <w:spacing w:before="240"/>
        <w:jc w:val="both"/>
        <w:rPr>
          <w:rFonts w:ascii="Calibri" w:hAnsi="Calibri" w:cs="Calibri"/>
        </w:rPr>
      </w:pPr>
      <w:r w:rsidRPr="00716B90">
        <w:rPr>
          <w:rFonts w:ascii="Calibri" w:hAnsi="Calibri" w:cs="Calibri"/>
        </w:rPr>
        <w:t xml:space="preserve">Yang, D. (2023) </w:t>
      </w:r>
      <w:r w:rsidRPr="00716B90">
        <w:rPr>
          <w:rFonts w:ascii="Calibri" w:hAnsi="Calibri" w:cs="Calibri"/>
          <w:i/>
          <w:iCs/>
        </w:rPr>
        <w:t>Financial and Marketing Performance of P&amp;G and Unilever</w:t>
      </w:r>
      <w:r w:rsidRPr="00716B90">
        <w:rPr>
          <w:rFonts w:ascii="Calibri" w:hAnsi="Calibri" w:cs="Calibri"/>
        </w:rPr>
        <w:t xml:space="preserve">, </w:t>
      </w:r>
      <w:proofErr w:type="spellStart"/>
      <w:r w:rsidRPr="00716B90">
        <w:rPr>
          <w:rFonts w:ascii="Calibri" w:hAnsi="Calibri" w:cs="Calibri"/>
        </w:rPr>
        <w:t>Semanticscholar</w:t>
      </w:r>
      <w:proofErr w:type="spellEnd"/>
      <w:r w:rsidRPr="00716B90">
        <w:rPr>
          <w:rFonts w:ascii="Calibri" w:hAnsi="Calibri" w:cs="Calibri"/>
        </w:rPr>
        <w:t>. Available at: https://pdfs.semanticscholar.org/fc53/b53b68da1 beb9cd52d72be315eb 5b5e4 f608.pdf).</w:t>
      </w:r>
    </w:p>
    <w:p w14:paraId="2F82B9C8" w14:textId="3DA49F37" w:rsidR="007E0B90" w:rsidRPr="00716B90" w:rsidRDefault="000A6218" w:rsidP="00DB0A65">
      <w:pPr>
        <w:spacing w:before="240"/>
        <w:jc w:val="both"/>
        <w:rPr>
          <w:rFonts w:ascii="Calibri" w:hAnsi="Calibri" w:cs="Calibri"/>
        </w:rPr>
      </w:pPr>
      <w:r w:rsidRPr="00716B90">
        <w:rPr>
          <w:rFonts w:ascii="Calibri" w:hAnsi="Calibri" w:cs="Calibri"/>
        </w:rPr>
        <w:t xml:space="preserve">Yusuf, M., &amp; Surjaatmadja, S. (2018). Analysis of Financial Performance on Profitability with </w:t>
      </w:r>
      <w:r w:rsidR="00660B99" w:rsidRPr="00716B90">
        <w:rPr>
          <w:rFonts w:ascii="Calibri" w:hAnsi="Calibri" w:cs="Calibri"/>
        </w:rPr>
        <w:t>Non-Performance</w:t>
      </w:r>
      <w:r w:rsidRPr="00716B90">
        <w:rPr>
          <w:rFonts w:ascii="Calibri" w:hAnsi="Calibri" w:cs="Calibri"/>
        </w:rPr>
        <w:t xml:space="preserve"> Financing as Variable Moderation. </w:t>
      </w:r>
      <w:r w:rsidRPr="00716B90">
        <w:rPr>
          <w:rFonts w:ascii="Calibri" w:hAnsi="Calibri" w:cs="Calibri"/>
          <w:i/>
          <w:iCs/>
        </w:rPr>
        <w:t>International Journal of Economics and Financial Issues</w:t>
      </w:r>
      <w:r w:rsidRPr="00716B90">
        <w:rPr>
          <w:rFonts w:ascii="Calibri" w:hAnsi="Calibri" w:cs="Calibri"/>
        </w:rPr>
        <w:t>, 8(4), 126–132.</w:t>
      </w:r>
    </w:p>
    <w:p w14:paraId="3D660B29" w14:textId="77777777" w:rsidR="00D3016F" w:rsidRPr="00716B90" w:rsidRDefault="00D3016F" w:rsidP="000E2587">
      <w:pPr>
        <w:jc w:val="both"/>
        <w:rPr>
          <w:rFonts w:ascii="Calibri" w:hAnsi="Calibri" w:cs="Calibri"/>
        </w:rPr>
      </w:pPr>
    </w:p>
    <w:sectPr w:rsidR="00D3016F" w:rsidRPr="00716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36A"/>
    <w:rsid w:val="00004550"/>
    <w:rsid w:val="00004BDE"/>
    <w:rsid w:val="00004BF8"/>
    <w:rsid w:val="000055DA"/>
    <w:rsid w:val="000059B0"/>
    <w:rsid w:val="00005A6B"/>
    <w:rsid w:val="00007BD4"/>
    <w:rsid w:val="00007C94"/>
    <w:rsid w:val="00011A92"/>
    <w:rsid w:val="0001273E"/>
    <w:rsid w:val="00015F0C"/>
    <w:rsid w:val="0002746B"/>
    <w:rsid w:val="00032079"/>
    <w:rsid w:val="000322AC"/>
    <w:rsid w:val="0003242F"/>
    <w:rsid w:val="000358D1"/>
    <w:rsid w:val="00036122"/>
    <w:rsid w:val="000369E3"/>
    <w:rsid w:val="000419C8"/>
    <w:rsid w:val="0004227B"/>
    <w:rsid w:val="00042D92"/>
    <w:rsid w:val="00044085"/>
    <w:rsid w:val="00044E07"/>
    <w:rsid w:val="00052A99"/>
    <w:rsid w:val="00057F0A"/>
    <w:rsid w:val="00060532"/>
    <w:rsid w:val="000637E3"/>
    <w:rsid w:val="00066335"/>
    <w:rsid w:val="000736FA"/>
    <w:rsid w:val="0008214E"/>
    <w:rsid w:val="0008509E"/>
    <w:rsid w:val="00086486"/>
    <w:rsid w:val="000864B6"/>
    <w:rsid w:val="00090BF9"/>
    <w:rsid w:val="0009598F"/>
    <w:rsid w:val="00096E0C"/>
    <w:rsid w:val="000A12E5"/>
    <w:rsid w:val="000A6218"/>
    <w:rsid w:val="000B462C"/>
    <w:rsid w:val="000C0144"/>
    <w:rsid w:val="000C27CE"/>
    <w:rsid w:val="000C6A79"/>
    <w:rsid w:val="000C6CE5"/>
    <w:rsid w:val="000C797F"/>
    <w:rsid w:val="000D58A4"/>
    <w:rsid w:val="000D617A"/>
    <w:rsid w:val="000D6473"/>
    <w:rsid w:val="000E0CE1"/>
    <w:rsid w:val="000E2587"/>
    <w:rsid w:val="000E2E87"/>
    <w:rsid w:val="000F270E"/>
    <w:rsid w:val="00105393"/>
    <w:rsid w:val="00106881"/>
    <w:rsid w:val="00106D2A"/>
    <w:rsid w:val="001070F7"/>
    <w:rsid w:val="0010712D"/>
    <w:rsid w:val="001110D3"/>
    <w:rsid w:val="00116D41"/>
    <w:rsid w:val="00132759"/>
    <w:rsid w:val="00133EF8"/>
    <w:rsid w:val="00134EFD"/>
    <w:rsid w:val="0014267D"/>
    <w:rsid w:val="00142D7C"/>
    <w:rsid w:val="00145FB9"/>
    <w:rsid w:val="0015207D"/>
    <w:rsid w:val="001578C2"/>
    <w:rsid w:val="0016215D"/>
    <w:rsid w:val="00164BE2"/>
    <w:rsid w:val="00165627"/>
    <w:rsid w:val="00166615"/>
    <w:rsid w:val="00172744"/>
    <w:rsid w:val="001727AC"/>
    <w:rsid w:val="0017648D"/>
    <w:rsid w:val="0018038C"/>
    <w:rsid w:val="00180E0A"/>
    <w:rsid w:val="0018294B"/>
    <w:rsid w:val="00182B79"/>
    <w:rsid w:val="00192D27"/>
    <w:rsid w:val="0019583A"/>
    <w:rsid w:val="0019596E"/>
    <w:rsid w:val="0019615D"/>
    <w:rsid w:val="001972BC"/>
    <w:rsid w:val="00197385"/>
    <w:rsid w:val="001A0D1E"/>
    <w:rsid w:val="001A36A4"/>
    <w:rsid w:val="001A4C22"/>
    <w:rsid w:val="001A7B79"/>
    <w:rsid w:val="001B0830"/>
    <w:rsid w:val="001B2230"/>
    <w:rsid w:val="001C4B08"/>
    <w:rsid w:val="001C6360"/>
    <w:rsid w:val="001C6CDF"/>
    <w:rsid w:val="001C6DCB"/>
    <w:rsid w:val="001D0896"/>
    <w:rsid w:val="001D4984"/>
    <w:rsid w:val="001E1510"/>
    <w:rsid w:val="001E2491"/>
    <w:rsid w:val="001E2FE7"/>
    <w:rsid w:val="001E3E33"/>
    <w:rsid w:val="001E7120"/>
    <w:rsid w:val="001E7C6B"/>
    <w:rsid w:val="001F0CD1"/>
    <w:rsid w:val="001F1A5F"/>
    <w:rsid w:val="001F52BD"/>
    <w:rsid w:val="001F63A5"/>
    <w:rsid w:val="00200300"/>
    <w:rsid w:val="002034FA"/>
    <w:rsid w:val="002035B2"/>
    <w:rsid w:val="002100FB"/>
    <w:rsid w:val="002111B0"/>
    <w:rsid w:val="002116DA"/>
    <w:rsid w:val="002132A5"/>
    <w:rsid w:val="00217A3A"/>
    <w:rsid w:val="00220DE3"/>
    <w:rsid w:val="00220E40"/>
    <w:rsid w:val="002246D4"/>
    <w:rsid w:val="00225483"/>
    <w:rsid w:val="002258E4"/>
    <w:rsid w:val="00227787"/>
    <w:rsid w:val="00227F41"/>
    <w:rsid w:val="002319F3"/>
    <w:rsid w:val="00232A37"/>
    <w:rsid w:val="0023356C"/>
    <w:rsid w:val="00236EF9"/>
    <w:rsid w:val="002433FA"/>
    <w:rsid w:val="00244C8E"/>
    <w:rsid w:val="002505B8"/>
    <w:rsid w:val="00252331"/>
    <w:rsid w:val="002624F6"/>
    <w:rsid w:val="002714FD"/>
    <w:rsid w:val="002725ED"/>
    <w:rsid w:val="00274F6B"/>
    <w:rsid w:val="00280D60"/>
    <w:rsid w:val="00281A99"/>
    <w:rsid w:val="00281C8F"/>
    <w:rsid w:val="00282B26"/>
    <w:rsid w:val="00283F49"/>
    <w:rsid w:val="00287C84"/>
    <w:rsid w:val="00294A20"/>
    <w:rsid w:val="002A1D88"/>
    <w:rsid w:val="002A1D95"/>
    <w:rsid w:val="002A67FF"/>
    <w:rsid w:val="002B7EBB"/>
    <w:rsid w:val="002C0746"/>
    <w:rsid w:val="002C7120"/>
    <w:rsid w:val="002D215C"/>
    <w:rsid w:val="002D324F"/>
    <w:rsid w:val="002E1730"/>
    <w:rsid w:val="002E257E"/>
    <w:rsid w:val="002E5A87"/>
    <w:rsid w:val="002F06B1"/>
    <w:rsid w:val="002F1B11"/>
    <w:rsid w:val="002F3A9C"/>
    <w:rsid w:val="002F3C22"/>
    <w:rsid w:val="002F4358"/>
    <w:rsid w:val="002F5F08"/>
    <w:rsid w:val="002F62B5"/>
    <w:rsid w:val="0030220C"/>
    <w:rsid w:val="00306B63"/>
    <w:rsid w:val="003147F3"/>
    <w:rsid w:val="00315A5C"/>
    <w:rsid w:val="00316F3C"/>
    <w:rsid w:val="00317597"/>
    <w:rsid w:val="00320EF6"/>
    <w:rsid w:val="0032272D"/>
    <w:rsid w:val="00323CF1"/>
    <w:rsid w:val="0033017F"/>
    <w:rsid w:val="003309CC"/>
    <w:rsid w:val="003404F5"/>
    <w:rsid w:val="00341AA4"/>
    <w:rsid w:val="0034312F"/>
    <w:rsid w:val="00344FBA"/>
    <w:rsid w:val="003451F0"/>
    <w:rsid w:val="00353EE7"/>
    <w:rsid w:val="00356E19"/>
    <w:rsid w:val="00357A78"/>
    <w:rsid w:val="00357F98"/>
    <w:rsid w:val="0036197C"/>
    <w:rsid w:val="00387CD1"/>
    <w:rsid w:val="00393F8A"/>
    <w:rsid w:val="00395707"/>
    <w:rsid w:val="003A1FBE"/>
    <w:rsid w:val="003A2402"/>
    <w:rsid w:val="003B4892"/>
    <w:rsid w:val="003B67F8"/>
    <w:rsid w:val="003C1721"/>
    <w:rsid w:val="003C43BB"/>
    <w:rsid w:val="003C76AB"/>
    <w:rsid w:val="003D75F4"/>
    <w:rsid w:val="003D7DB3"/>
    <w:rsid w:val="003E0D05"/>
    <w:rsid w:val="003E318A"/>
    <w:rsid w:val="003E425A"/>
    <w:rsid w:val="003E7291"/>
    <w:rsid w:val="003E7B1F"/>
    <w:rsid w:val="003F326C"/>
    <w:rsid w:val="003F3B9B"/>
    <w:rsid w:val="003F3F60"/>
    <w:rsid w:val="003F4483"/>
    <w:rsid w:val="003F6579"/>
    <w:rsid w:val="003F7A48"/>
    <w:rsid w:val="003F7ADB"/>
    <w:rsid w:val="00400043"/>
    <w:rsid w:val="00400E98"/>
    <w:rsid w:val="004061B9"/>
    <w:rsid w:val="00410C82"/>
    <w:rsid w:val="004146F8"/>
    <w:rsid w:val="00415050"/>
    <w:rsid w:val="004155B1"/>
    <w:rsid w:val="0041705D"/>
    <w:rsid w:val="00417A65"/>
    <w:rsid w:val="00423908"/>
    <w:rsid w:val="00423B4C"/>
    <w:rsid w:val="00431DCD"/>
    <w:rsid w:val="004349B8"/>
    <w:rsid w:val="0043527C"/>
    <w:rsid w:val="00445550"/>
    <w:rsid w:val="00446073"/>
    <w:rsid w:val="0045032D"/>
    <w:rsid w:val="004540F5"/>
    <w:rsid w:val="00454675"/>
    <w:rsid w:val="00454A54"/>
    <w:rsid w:val="004557A0"/>
    <w:rsid w:val="00455E2C"/>
    <w:rsid w:val="004570C9"/>
    <w:rsid w:val="0046039A"/>
    <w:rsid w:val="004604F0"/>
    <w:rsid w:val="004618A2"/>
    <w:rsid w:val="004637FD"/>
    <w:rsid w:val="004643BE"/>
    <w:rsid w:val="00472F93"/>
    <w:rsid w:val="00476BDE"/>
    <w:rsid w:val="004822DA"/>
    <w:rsid w:val="00495D0C"/>
    <w:rsid w:val="0049612F"/>
    <w:rsid w:val="004A1DD1"/>
    <w:rsid w:val="004A6060"/>
    <w:rsid w:val="004C6F4D"/>
    <w:rsid w:val="004D5A14"/>
    <w:rsid w:val="004E012A"/>
    <w:rsid w:val="004E4A47"/>
    <w:rsid w:val="004E6779"/>
    <w:rsid w:val="004F30A1"/>
    <w:rsid w:val="004F3DD1"/>
    <w:rsid w:val="004F46AF"/>
    <w:rsid w:val="004F4A2D"/>
    <w:rsid w:val="004F6467"/>
    <w:rsid w:val="004F7D31"/>
    <w:rsid w:val="005054EA"/>
    <w:rsid w:val="005056E2"/>
    <w:rsid w:val="00505EFE"/>
    <w:rsid w:val="005111C3"/>
    <w:rsid w:val="00512B61"/>
    <w:rsid w:val="00514132"/>
    <w:rsid w:val="00515837"/>
    <w:rsid w:val="0051672C"/>
    <w:rsid w:val="005244AC"/>
    <w:rsid w:val="00530BE4"/>
    <w:rsid w:val="00532241"/>
    <w:rsid w:val="005336A2"/>
    <w:rsid w:val="00533CA5"/>
    <w:rsid w:val="0053497C"/>
    <w:rsid w:val="00540DBA"/>
    <w:rsid w:val="005412BB"/>
    <w:rsid w:val="00542B7A"/>
    <w:rsid w:val="00542F44"/>
    <w:rsid w:val="0054326E"/>
    <w:rsid w:val="00544183"/>
    <w:rsid w:val="00544B8E"/>
    <w:rsid w:val="005473E5"/>
    <w:rsid w:val="0054794C"/>
    <w:rsid w:val="00554931"/>
    <w:rsid w:val="00555682"/>
    <w:rsid w:val="00555AD4"/>
    <w:rsid w:val="00557051"/>
    <w:rsid w:val="0056211F"/>
    <w:rsid w:val="00575387"/>
    <w:rsid w:val="005808C9"/>
    <w:rsid w:val="00584F7F"/>
    <w:rsid w:val="005854D8"/>
    <w:rsid w:val="00586061"/>
    <w:rsid w:val="005915AB"/>
    <w:rsid w:val="0059188F"/>
    <w:rsid w:val="00592286"/>
    <w:rsid w:val="005954E3"/>
    <w:rsid w:val="00595E41"/>
    <w:rsid w:val="005A0626"/>
    <w:rsid w:val="005A2ECB"/>
    <w:rsid w:val="005B09DD"/>
    <w:rsid w:val="005B2F8A"/>
    <w:rsid w:val="005C05C9"/>
    <w:rsid w:val="005C1F93"/>
    <w:rsid w:val="005C2488"/>
    <w:rsid w:val="005C76DD"/>
    <w:rsid w:val="005C7809"/>
    <w:rsid w:val="005C7EBA"/>
    <w:rsid w:val="005D1F23"/>
    <w:rsid w:val="005E15F5"/>
    <w:rsid w:val="005E2968"/>
    <w:rsid w:val="005E431A"/>
    <w:rsid w:val="005E4F77"/>
    <w:rsid w:val="005E77EF"/>
    <w:rsid w:val="005F1F0D"/>
    <w:rsid w:val="005F2A50"/>
    <w:rsid w:val="005F3C8D"/>
    <w:rsid w:val="0060265F"/>
    <w:rsid w:val="00602A8E"/>
    <w:rsid w:val="00602C70"/>
    <w:rsid w:val="00603474"/>
    <w:rsid w:val="00603607"/>
    <w:rsid w:val="00603EF7"/>
    <w:rsid w:val="00604915"/>
    <w:rsid w:val="006078B1"/>
    <w:rsid w:val="006134FE"/>
    <w:rsid w:val="00614B4E"/>
    <w:rsid w:val="00624382"/>
    <w:rsid w:val="00626357"/>
    <w:rsid w:val="0062649E"/>
    <w:rsid w:val="00634FF5"/>
    <w:rsid w:val="006359A4"/>
    <w:rsid w:val="00637680"/>
    <w:rsid w:val="00643678"/>
    <w:rsid w:val="00645260"/>
    <w:rsid w:val="00645BD3"/>
    <w:rsid w:val="006512E3"/>
    <w:rsid w:val="006519F2"/>
    <w:rsid w:val="00657F1C"/>
    <w:rsid w:val="00660B99"/>
    <w:rsid w:val="00664E0C"/>
    <w:rsid w:val="006654EE"/>
    <w:rsid w:val="006678ED"/>
    <w:rsid w:val="00671A7D"/>
    <w:rsid w:val="00672EC0"/>
    <w:rsid w:val="0067408C"/>
    <w:rsid w:val="006860CF"/>
    <w:rsid w:val="006949C5"/>
    <w:rsid w:val="006A5E05"/>
    <w:rsid w:val="006B2A81"/>
    <w:rsid w:val="006B337F"/>
    <w:rsid w:val="006B4593"/>
    <w:rsid w:val="006B4747"/>
    <w:rsid w:val="006C404B"/>
    <w:rsid w:val="006C5693"/>
    <w:rsid w:val="006C6E48"/>
    <w:rsid w:val="006D1F9B"/>
    <w:rsid w:val="006D7124"/>
    <w:rsid w:val="006E08BF"/>
    <w:rsid w:val="006E1221"/>
    <w:rsid w:val="006E175B"/>
    <w:rsid w:val="006E206F"/>
    <w:rsid w:val="006E3ED4"/>
    <w:rsid w:val="006E7B5B"/>
    <w:rsid w:val="006F5272"/>
    <w:rsid w:val="006F5854"/>
    <w:rsid w:val="0070264B"/>
    <w:rsid w:val="007027CF"/>
    <w:rsid w:val="007107EB"/>
    <w:rsid w:val="00710A97"/>
    <w:rsid w:val="00716B90"/>
    <w:rsid w:val="00717DA2"/>
    <w:rsid w:val="00724BA2"/>
    <w:rsid w:val="00725465"/>
    <w:rsid w:val="007270FB"/>
    <w:rsid w:val="00727DE2"/>
    <w:rsid w:val="00727F75"/>
    <w:rsid w:val="00733EB1"/>
    <w:rsid w:val="00740D80"/>
    <w:rsid w:val="00742CDE"/>
    <w:rsid w:val="0074474D"/>
    <w:rsid w:val="00745ABD"/>
    <w:rsid w:val="0074672E"/>
    <w:rsid w:val="00747AF9"/>
    <w:rsid w:val="007513EA"/>
    <w:rsid w:val="00753E10"/>
    <w:rsid w:val="00754182"/>
    <w:rsid w:val="00757193"/>
    <w:rsid w:val="00760128"/>
    <w:rsid w:val="007629E9"/>
    <w:rsid w:val="007639EB"/>
    <w:rsid w:val="00767D32"/>
    <w:rsid w:val="00770120"/>
    <w:rsid w:val="00780180"/>
    <w:rsid w:val="00783630"/>
    <w:rsid w:val="007861A4"/>
    <w:rsid w:val="00786CDD"/>
    <w:rsid w:val="007878FF"/>
    <w:rsid w:val="00790B7E"/>
    <w:rsid w:val="007915AB"/>
    <w:rsid w:val="00796D67"/>
    <w:rsid w:val="00797960"/>
    <w:rsid w:val="007A0A5E"/>
    <w:rsid w:val="007A1D87"/>
    <w:rsid w:val="007A3383"/>
    <w:rsid w:val="007B2767"/>
    <w:rsid w:val="007B4ADF"/>
    <w:rsid w:val="007B68FA"/>
    <w:rsid w:val="007C0788"/>
    <w:rsid w:val="007C2F64"/>
    <w:rsid w:val="007C61D4"/>
    <w:rsid w:val="007C695A"/>
    <w:rsid w:val="007D5027"/>
    <w:rsid w:val="007D6C1D"/>
    <w:rsid w:val="007E0B90"/>
    <w:rsid w:val="007E1F1A"/>
    <w:rsid w:val="007E1FBD"/>
    <w:rsid w:val="007E38CA"/>
    <w:rsid w:val="007E3B19"/>
    <w:rsid w:val="007E5175"/>
    <w:rsid w:val="007E74A6"/>
    <w:rsid w:val="007F009B"/>
    <w:rsid w:val="007F2371"/>
    <w:rsid w:val="007F5219"/>
    <w:rsid w:val="007F71DE"/>
    <w:rsid w:val="008009FB"/>
    <w:rsid w:val="008017B7"/>
    <w:rsid w:val="00807D88"/>
    <w:rsid w:val="008104FF"/>
    <w:rsid w:val="00810EB4"/>
    <w:rsid w:val="00811745"/>
    <w:rsid w:val="00817553"/>
    <w:rsid w:val="0081762C"/>
    <w:rsid w:val="00821587"/>
    <w:rsid w:val="00821CF6"/>
    <w:rsid w:val="00823638"/>
    <w:rsid w:val="0082374E"/>
    <w:rsid w:val="00823B03"/>
    <w:rsid w:val="008361E1"/>
    <w:rsid w:val="008446BC"/>
    <w:rsid w:val="00845974"/>
    <w:rsid w:val="00855898"/>
    <w:rsid w:val="00860BB6"/>
    <w:rsid w:val="00860DFC"/>
    <w:rsid w:val="0086195C"/>
    <w:rsid w:val="008635E4"/>
    <w:rsid w:val="00866F73"/>
    <w:rsid w:val="00870EB0"/>
    <w:rsid w:val="00875F7F"/>
    <w:rsid w:val="008762E0"/>
    <w:rsid w:val="008816BF"/>
    <w:rsid w:val="00882346"/>
    <w:rsid w:val="00882784"/>
    <w:rsid w:val="00882CAA"/>
    <w:rsid w:val="008837FA"/>
    <w:rsid w:val="00884A6D"/>
    <w:rsid w:val="00887BFE"/>
    <w:rsid w:val="00893E7A"/>
    <w:rsid w:val="008978E0"/>
    <w:rsid w:val="008A0CC4"/>
    <w:rsid w:val="008A1B95"/>
    <w:rsid w:val="008A5317"/>
    <w:rsid w:val="008B7610"/>
    <w:rsid w:val="008B7E2F"/>
    <w:rsid w:val="008C0125"/>
    <w:rsid w:val="008C3E97"/>
    <w:rsid w:val="008D4B22"/>
    <w:rsid w:val="008D55BE"/>
    <w:rsid w:val="008D66C1"/>
    <w:rsid w:val="008E075C"/>
    <w:rsid w:val="008E0C49"/>
    <w:rsid w:val="008E0DFB"/>
    <w:rsid w:val="008E3C47"/>
    <w:rsid w:val="008E3D1D"/>
    <w:rsid w:val="008E4938"/>
    <w:rsid w:val="008E5F01"/>
    <w:rsid w:val="008E6495"/>
    <w:rsid w:val="008F689B"/>
    <w:rsid w:val="008F773E"/>
    <w:rsid w:val="00902956"/>
    <w:rsid w:val="009040C0"/>
    <w:rsid w:val="0090693D"/>
    <w:rsid w:val="00906AA3"/>
    <w:rsid w:val="00907173"/>
    <w:rsid w:val="009158CF"/>
    <w:rsid w:val="00917CAA"/>
    <w:rsid w:val="00921515"/>
    <w:rsid w:val="009217D9"/>
    <w:rsid w:val="009226BB"/>
    <w:rsid w:val="00922F5D"/>
    <w:rsid w:val="00925926"/>
    <w:rsid w:val="009273A3"/>
    <w:rsid w:val="009315F5"/>
    <w:rsid w:val="00931942"/>
    <w:rsid w:val="00943C12"/>
    <w:rsid w:val="00944756"/>
    <w:rsid w:val="00950942"/>
    <w:rsid w:val="00951CE6"/>
    <w:rsid w:val="00957503"/>
    <w:rsid w:val="009653C7"/>
    <w:rsid w:val="00966534"/>
    <w:rsid w:val="00967476"/>
    <w:rsid w:val="00974128"/>
    <w:rsid w:val="0097544C"/>
    <w:rsid w:val="00985BDF"/>
    <w:rsid w:val="009870C4"/>
    <w:rsid w:val="009934D5"/>
    <w:rsid w:val="009952B5"/>
    <w:rsid w:val="00995F5A"/>
    <w:rsid w:val="009A0472"/>
    <w:rsid w:val="009A32AA"/>
    <w:rsid w:val="009A3CF2"/>
    <w:rsid w:val="009A403F"/>
    <w:rsid w:val="009A7C31"/>
    <w:rsid w:val="009B1A73"/>
    <w:rsid w:val="009B2439"/>
    <w:rsid w:val="009B31BE"/>
    <w:rsid w:val="009B7039"/>
    <w:rsid w:val="009B71ED"/>
    <w:rsid w:val="009C1894"/>
    <w:rsid w:val="009C1AEA"/>
    <w:rsid w:val="009D0D24"/>
    <w:rsid w:val="009D177F"/>
    <w:rsid w:val="009D47F0"/>
    <w:rsid w:val="009D5A75"/>
    <w:rsid w:val="009D616C"/>
    <w:rsid w:val="009E260A"/>
    <w:rsid w:val="009E4861"/>
    <w:rsid w:val="009E59BE"/>
    <w:rsid w:val="009F0CA1"/>
    <w:rsid w:val="009F14C1"/>
    <w:rsid w:val="009F7392"/>
    <w:rsid w:val="00A00757"/>
    <w:rsid w:val="00A00D7E"/>
    <w:rsid w:val="00A103AE"/>
    <w:rsid w:val="00A1380D"/>
    <w:rsid w:val="00A13FEE"/>
    <w:rsid w:val="00A15CA5"/>
    <w:rsid w:val="00A16038"/>
    <w:rsid w:val="00A23A5E"/>
    <w:rsid w:val="00A30062"/>
    <w:rsid w:val="00A42A78"/>
    <w:rsid w:val="00A52E6A"/>
    <w:rsid w:val="00A542F9"/>
    <w:rsid w:val="00A60707"/>
    <w:rsid w:val="00A60FC9"/>
    <w:rsid w:val="00A63060"/>
    <w:rsid w:val="00A65725"/>
    <w:rsid w:val="00A66B65"/>
    <w:rsid w:val="00A70EB7"/>
    <w:rsid w:val="00A715A1"/>
    <w:rsid w:val="00A72557"/>
    <w:rsid w:val="00A77288"/>
    <w:rsid w:val="00A83957"/>
    <w:rsid w:val="00A87DD1"/>
    <w:rsid w:val="00A96FF1"/>
    <w:rsid w:val="00A97D8D"/>
    <w:rsid w:val="00AB153B"/>
    <w:rsid w:val="00AB4A79"/>
    <w:rsid w:val="00AB58B5"/>
    <w:rsid w:val="00AB5D16"/>
    <w:rsid w:val="00AC01BC"/>
    <w:rsid w:val="00AC1B7C"/>
    <w:rsid w:val="00AC616D"/>
    <w:rsid w:val="00AC7181"/>
    <w:rsid w:val="00AC767E"/>
    <w:rsid w:val="00AC7FAA"/>
    <w:rsid w:val="00AD1840"/>
    <w:rsid w:val="00AD3998"/>
    <w:rsid w:val="00AD428D"/>
    <w:rsid w:val="00AD495E"/>
    <w:rsid w:val="00AD508F"/>
    <w:rsid w:val="00AD74C4"/>
    <w:rsid w:val="00AD74CF"/>
    <w:rsid w:val="00AE02E7"/>
    <w:rsid w:val="00AE1AF5"/>
    <w:rsid w:val="00AE1F48"/>
    <w:rsid w:val="00AE7541"/>
    <w:rsid w:val="00AE79F7"/>
    <w:rsid w:val="00AF0960"/>
    <w:rsid w:val="00AF1A3E"/>
    <w:rsid w:val="00AF39ED"/>
    <w:rsid w:val="00AF6D40"/>
    <w:rsid w:val="00AF7C1F"/>
    <w:rsid w:val="00B000BB"/>
    <w:rsid w:val="00B010FD"/>
    <w:rsid w:val="00B01495"/>
    <w:rsid w:val="00B04FB6"/>
    <w:rsid w:val="00B10D7E"/>
    <w:rsid w:val="00B11232"/>
    <w:rsid w:val="00B16623"/>
    <w:rsid w:val="00B21FB7"/>
    <w:rsid w:val="00B30B03"/>
    <w:rsid w:val="00B30C5F"/>
    <w:rsid w:val="00B31832"/>
    <w:rsid w:val="00B3399B"/>
    <w:rsid w:val="00B33B66"/>
    <w:rsid w:val="00B35BB7"/>
    <w:rsid w:val="00B4518C"/>
    <w:rsid w:val="00B461C3"/>
    <w:rsid w:val="00B508CF"/>
    <w:rsid w:val="00B50FA4"/>
    <w:rsid w:val="00B5137A"/>
    <w:rsid w:val="00B525B0"/>
    <w:rsid w:val="00B53DFA"/>
    <w:rsid w:val="00B60104"/>
    <w:rsid w:val="00B60EFB"/>
    <w:rsid w:val="00B620FE"/>
    <w:rsid w:val="00B638E6"/>
    <w:rsid w:val="00B65B92"/>
    <w:rsid w:val="00B745E0"/>
    <w:rsid w:val="00B74A24"/>
    <w:rsid w:val="00B7641F"/>
    <w:rsid w:val="00B813D6"/>
    <w:rsid w:val="00B8192F"/>
    <w:rsid w:val="00B858C0"/>
    <w:rsid w:val="00B8591B"/>
    <w:rsid w:val="00B875DD"/>
    <w:rsid w:val="00B91E05"/>
    <w:rsid w:val="00B92C17"/>
    <w:rsid w:val="00B971A6"/>
    <w:rsid w:val="00BA16DF"/>
    <w:rsid w:val="00BA4C73"/>
    <w:rsid w:val="00BC1566"/>
    <w:rsid w:val="00BC1862"/>
    <w:rsid w:val="00BC2CEE"/>
    <w:rsid w:val="00BC69F0"/>
    <w:rsid w:val="00BC6ABD"/>
    <w:rsid w:val="00BD6027"/>
    <w:rsid w:val="00BD6AF0"/>
    <w:rsid w:val="00BE3D36"/>
    <w:rsid w:val="00BE62C1"/>
    <w:rsid w:val="00BE6C02"/>
    <w:rsid w:val="00BF0309"/>
    <w:rsid w:val="00BF31BC"/>
    <w:rsid w:val="00BF4C89"/>
    <w:rsid w:val="00BF53B3"/>
    <w:rsid w:val="00C0060D"/>
    <w:rsid w:val="00C04125"/>
    <w:rsid w:val="00C07A3D"/>
    <w:rsid w:val="00C07E5D"/>
    <w:rsid w:val="00C1416B"/>
    <w:rsid w:val="00C20D1F"/>
    <w:rsid w:val="00C227EC"/>
    <w:rsid w:val="00C27A6B"/>
    <w:rsid w:val="00C27B23"/>
    <w:rsid w:val="00C31D3A"/>
    <w:rsid w:val="00C33397"/>
    <w:rsid w:val="00C33ECC"/>
    <w:rsid w:val="00C35658"/>
    <w:rsid w:val="00C36DE2"/>
    <w:rsid w:val="00C5053C"/>
    <w:rsid w:val="00C547CD"/>
    <w:rsid w:val="00C5487E"/>
    <w:rsid w:val="00C55536"/>
    <w:rsid w:val="00C619D2"/>
    <w:rsid w:val="00C668CA"/>
    <w:rsid w:val="00C669A6"/>
    <w:rsid w:val="00C67837"/>
    <w:rsid w:val="00C71974"/>
    <w:rsid w:val="00C72461"/>
    <w:rsid w:val="00C75361"/>
    <w:rsid w:val="00C811A6"/>
    <w:rsid w:val="00C81969"/>
    <w:rsid w:val="00C821C6"/>
    <w:rsid w:val="00C90889"/>
    <w:rsid w:val="00C9217C"/>
    <w:rsid w:val="00C9354D"/>
    <w:rsid w:val="00C936B5"/>
    <w:rsid w:val="00CA0304"/>
    <w:rsid w:val="00CA4439"/>
    <w:rsid w:val="00CB0FD0"/>
    <w:rsid w:val="00CB35DC"/>
    <w:rsid w:val="00CB5459"/>
    <w:rsid w:val="00CC4EEA"/>
    <w:rsid w:val="00CC612F"/>
    <w:rsid w:val="00CC792A"/>
    <w:rsid w:val="00CD02C1"/>
    <w:rsid w:val="00CD1592"/>
    <w:rsid w:val="00CD1F19"/>
    <w:rsid w:val="00CD266C"/>
    <w:rsid w:val="00CD4806"/>
    <w:rsid w:val="00CD57B2"/>
    <w:rsid w:val="00CD5BEC"/>
    <w:rsid w:val="00CD7933"/>
    <w:rsid w:val="00CE00E7"/>
    <w:rsid w:val="00CE0397"/>
    <w:rsid w:val="00CE08B2"/>
    <w:rsid w:val="00CE1EAF"/>
    <w:rsid w:val="00CE21F0"/>
    <w:rsid w:val="00CE278C"/>
    <w:rsid w:val="00CE34C6"/>
    <w:rsid w:val="00CE4467"/>
    <w:rsid w:val="00CE498B"/>
    <w:rsid w:val="00CE5728"/>
    <w:rsid w:val="00CF7D10"/>
    <w:rsid w:val="00D03B2F"/>
    <w:rsid w:val="00D05040"/>
    <w:rsid w:val="00D12BCC"/>
    <w:rsid w:val="00D163B7"/>
    <w:rsid w:val="00D202D1"/>
    <w:rsid w:val="00D22EAC"/>
    <w:rsid w:val="00D23598"/>
    <w:rsid w:val="00D242F8"/>
    <w:rsid w:val="00D2548C"/>
    <w:rsid w:val="00D2748A"/>
    <w:rsid w:val="00D3016F"/>
    <w:rsid w:val="00D312C4"/>
    <w:rsid w:val="00D4203C"/>
    <w:rsid w:val="00D50507"/>
    <w:rsid w:val="00D5087B"/>
    <w:rsid w:val="00D53FBE"/>
    <w:rsid w:val="00D57753"/>
    <w:rsid w:val="00D600A6"/>
    <w:rsid w:val="00D64725"/>
    <w:rsid w:val="00D6515A"/>
    <w:rsid w:val="00D66FCE"/>
    <w:rsid w:val="00D72262"/>
    <w:rsid w:val="00D72584"/>
    <w:rsid w:val="00D8313E"/>
    <w:rsid w:val="00D83F07"/>
    <w:rsid w:val="00D913DC"/>
    <w:rsid w:val="00D921FB"/>
    <w:rsid w:val="00D97249"/>
    <w:rsid w:val="00DA1A3E"/>
    <w:rsid w:val="00DA1AE8"/>
    <w:rsid w:val="00DA20DC"/>
    <w:rsid w:val="00DA2381"/>
    <w:rsid w:val="00DA35DC"/>
    <w:rsid w:val="00DB0A65"/>
    <w:rsid w:val="00DB1AFA"/>
    <w:rsid w:val="00DB25BB"/>
    <w:rsid w:val="00DB2F36"/>
    <w:rsid w:val="00DB31A9"/>
    <w:rsid w:val="00DB4835"/>
    <w:rsid w:val="00DB66A6"/>
    <w:rsid w:val="00DC5752"/>
    <w:rsid w:val="00DD05E7"/>
    <w:rsid w:val="00DD400F"/>
    <w:rsid w:val="00DD5331"/>
    <w:rsid w:val="00DD66FC"/>
    <w:rsid w:val="00DD6C73"/>
    <w:rsid w:val="00DE1A58"/>
    <w:rsid w:val="00DE3304"/>
    <w:rsid w:val="00DE548E"/>
    <w:rsid w:val="00DE6E94"/>
    <w:rsid w:val="00DE7458"/>
    <w:rsid w:val="00DE7CF0"/>
    <w:rsid w:val="00E03C02"/>
    <w:rsid w:val="00E03FF4"/>
    <w:rsid w:val="00E05EC0"/>
    <w:rsid w:val="00E1198C"/>
    <w:rsid w:val="00E147BE"/>
    <w:rsid w:val="00E148DF"/>
    <w:rsid w:val="00E15937"/>
    <w:rsid w:val="00E2136A"/>
    <w:rsid w:val="00E22148"/>
    <w:rsid w:val="00E24462"/>
    <w:rsid w:val="00E25FB1"/>
    <w:rsid w:val="00E32C8B"/>
    <w:rsid w:val="00E35DA4"/>
    <w:rsid w:val="00E41C65"/>
    <w:rsid w:val="00E429A4"/>
    <w:rsid w:val="00E4647E"/>
    <w:rsid w:val="00E46AA7"/>
    <w:rsid w:val="00E55F29"/>
    <w:rsid w:val="00E60194"/>
    <w:rsid w:val="00E61DB4"/>
    <w:rsid w:val="00E62CB7"/>
    <w:rsid w:val="00E66F83"/>
    <w:rsid w:val="00E708C4"/>
    <w:rsid w:val="00E75666"/>
    <w:rsid w:val="00E7587F"/>
    <w:rsid w:val="00E82821"/>
    <w:rsid w:val="00E87530"/>
    <w:rsid w:val="00E94046"/>
    <w:rsid w:val="00EA05C6"/>
    <w:rsid w:val="00EA2172"/>
    <w:rsid w:val="00EA38F4"/>
    <w:rsid w:val="00EA3D61"/>
    <w:rsid w:val="00EB06F2"/>
    <w:rsid w:val="00EB0CB5"/>
    <w:rsid w:val="00EB1345"/>
    <w:rsid w:val="00EB48AA"/>
    <w:rsid w:val="00EB4FE7"/>
    <w:rsid w:val="00EB5AB0"/>
    <w:rsid w:val="00EB76EE"/>
    <w:rsid w:val="00EB7EDB"/>
    <w:rsid w:val="00EC2977"/>
    <w:rsid w:val="00EC34BC"/>
    <w:rsid w:val="00EC5C29"/>
    <w:rsid w:val="00EC713A"/>
    <w:rsid w:val="00ED301C"/>
    <w:rsid w:val="00EE1769"/>
    <w:rsid w:val="00EE1AD4"/>
    <w:rsid w:val="00EE2860"/>
    <w:rsid w:val="00EF21B9"/>
    <w:rsid w:val="00EF2526"/>
    <w:rsid w:val="00EF2CBC"/>
    <w:rsid w:val="00F15CC2"/>
    <w:rsid w:val="00F318AF"/>
    <w:rsid w:val="00F32231"/>
    <w:rsid w:val="00F32CD9"/>
    <w:rsid w:val="00F404B4"/>
    <w:rsid w:val="00F42738"/>
    <w:rsid w:val="00F4494F"/>
    <w:rsid w:val="00F529D4"/>
    <w:rsid w:val="00F55426"/>
    <w:rsid w:val="00F60CB0"/>
    <w:rsid w:val="00F61B9C"/>
    <w:rsid w:val="00F62BB6"/>
    <w:rsid w:val="00F64518"/>
    <w:rsid w:val="00F665E4"/>
    <w:rsid w:val="00F717AE"/>
    <w:rsid w:val="00F752F5"/>
    <w:rsid w:val="00F75C11"/>
    <w:rsid w:val="00F76E78"/>
    <w:rsid w:val="00F846C9"/>
    <w:rsid w:val="00F866BC"/>
    <w:rsid w:val="00F87349"/>
    <w:rsid w:val="00F91065"/>
    <w:rsid w:val="00F92D54"/>
    <w:rsid w:val="00F94952"/>
    <w:rsid w:val="00FA0CD0"/>
    <w:rsid w:val="00FA3629"/>
    <w:rsid w:val="00FA645E"/>
    <w:rsid w:val="00FA7C37"/>
    <w:rsid w:val="00FB1DE2"/>
    <w:rsid w:val="00FB797F"/>
    <w:rsid w:val="00FC0E1C"/>
    <w:rsid w:val="00FC5B44"/>
    <w:rsid w:val="00FD0681"/>
    <w:rsid w:val="00FD41ED"/>
    <w:rsid w:val="00FD48DD"/>
    <w:rsid w:val="00FD6FFB"/>
    <w:rsid w:val="00FE277C"/>
    <w:rsid w:val="00FE505D"/>
    <w:rsid w:val="00FF4240"/>
    <w:rsid w:val="00FF5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CFEA5F"/>
  <w15:chartTrackingRefBased/>
  <w15:docId w15:val="{6BF86D0F-A1F3-43DE-B744-58D80F521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C73"/>
  </w:style>
  <w:style w:type="paragraph" w:styleId="Heading1">
    <w:name w:val="heading 1"/>
    <w:basedOn w:val="Normal"/>
    <w:next w:val="Normal"/>
    <w:link w:val="Heading1Char"/>
    <w:uiPriority w:val="9"/>
    <w:qFormat/>
    <w:rsid w:val="005E15F5"/>
    <w:pPr>
      <w:keepNext/>
      <w:keepLines/>
      <w:spacing w:before="360" w:after="80"/>
      <w:outlineLvl w:val="0"/>
    </w:pPr>
    <w:rPr>
      <w:rFonts w:ascii="Times New Roman" w:eastAsiaTheme="majorEastAsia" w:hAnsi="Times New Roman" w:cstheme="majorBidi"/>
      <w:color w:val="0F4761" w:themeColor="accent1" w:themeShade="BF"/>
      <w:sz w:val="36"/>
      <w:szCs w:val="40"/>
    </w:rPr>
  </w:style>
  <w:style w:type="paragraph" w:styleId="Heading2">
    <w:name w:val="heading 2"/>
    <w:basedOn w:val="Normal"/>
    <w:next w:val="Normal"/>
    <w:link w:val="Heading2Char"/>
    <w:uiPriority w:val="9"/>
    <w:unhideWhenUsed/>
    <w:qFormat/>
    <w:rsid w:val="005E15F5"/>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15F5"/>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5F5"/>
    <w:rPr>
      <w:rFonts w:ascii="Times New Roman" w:eastAsiaTheme="majorEastAsia" w:hAnsi="Times New Roman" w:cstheme="majorBidi"/>
      <w:color w:val="0F4761" w:themeColor="accent1" w:themeShade="BF"/>
      <w:sz w:val="36"/>
      <w:szCs w:val="40"/>
    </w:rPr>
  </w:style>
  <w:style w:type="character" w:customStyle="1" w:styleId="Heading2Char">
    <w:name w:val="Heading 2 Char"/>
    <w:basedOn w:val="DefaultParagraphFont"/>
    <w:link w:val="Heading2"/>
    <w:uiPriority w:val="9"/>
    <w:rsid w:val="005E15F5"/>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5E15F5"/>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36A"/>
    <w:rPr>
      <w:rFonts w:eastAsiaTheme="majorEastAsia" w:cstheme="majorBidi"/>
      <w:color w:val="272727" w:themeColor="text1" w:themeTint="D8"/>
    </w:rPr>
  </w:style>
  <w:style w:type="paragraph" w:styleId="Title">
    <w:name w:val="Title"/>
    <w:basedOn w:val="Normal"/>
    <w:next w:val="Normal"/>
    <w:link w:val="TitleChar"/>
    <w:uiPriority w:val="10"/>
    <w:qFormat/>
    <w:rsid w:val="00E21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36A"/>
    <w:pPr>
      <w:spacing w:before="160"/>
      <w:jc w:val="center"/>
    </w:pPr>
    <w:rPr>
      <w:i/>
      <w:iCs/>
      <w:color w:val="404040" w:themeColor="text1" w:themeTint="BF"/>
    </w:rPr>
  </w:style>
  <w:style w:type="character" w:customStyle="1" w:styleId="QuoteChar">
    <w:name w:val="Quote Char"/>
    <w:basedOn w:val="DefaultParagraphFont"/>
    <w:link w:val="Quote"/>
    <w:uiPriority w:val="29"/>
    <w:rsid w:val="00E2136A"/>
    <w:rPr>
      <w:i/>
      <w:iCs/>
      <w:color w:val="404040" w:themeColor="text1" w:themeTint="BF"/>
    </w:rPr>
  </w:style>
  <w:style w:type="paragraph" w:styleId="ListParagraph">
    <w:name w:val="List Paragraph"/>
    <w:basedOn w:val="Normal"/>
    <w:uiPriority w:val="34"/>
    <w:qFormat/>
    <w:rsid w:val="00E2136A"/>
    <w:pPr>
      <w:ind w:left="720"/>
      <w:contextualSpacing/>
    </w:pPr>
  </w:style>
  <w:style w:type="character" w:styleId="IntenseEmphasis">
    <w:name w:val="Intense Emphasis"/>
    <w:basedOn w:val="DefaultParagraphFont"/>
    <w:uiPriority w:val="21"/>
    <w:qFormat/>
    <w:rsid w:val="00E2136A"/>
    <w:rPr>
      <w:i/>
      <w:iCs/>
      <w:color w:val="0F4761" w:themeColor="accent1" w:themeShade="BF"/>
    </w:rPr>
  </w:style>
  <w:style w:type="paragraph" w:styleId="IntenseQuote">
    <w:name w:val="Intense Quote"/>
    <w:basedOn w:val="Normal"/>
    <w:next w:val="Normal"/>
    <w:link w:val="IntenseQuoteChar"/>
    <w:uiPriority w:val="30"/>
    <w:qFormat/>
    <w:rsid w:val="00E21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36A"/>
    <w:rPr>
      <w:i/>
      <w:iCs/>
      <w:color w:val="0F4761" w:themeColor="accent1" w:themeShade="BF"/>
    </w:rPr>
  </w:style>
  <w:style w:type="character" w:styleId="IntenseReference">
    <w:name w:val="Intense Reference"/>
    <w:basedOn w:val="DefaultParagraphFont"/>
    <w:uiPriority w:val="32"/>
    <w:qFormat/>
    <w:rsid w:val="00E2136A"/>
    <w:rPr>
      <w:b/>
      <w:bCs/>
      <w:smallCaps/>
      <w:color w:val="0F4761" w:themeColor="accent1" w:themeShade="BF"/>
      <w:spacing w:val="5"/>
    </w:rPr>
  </w:style>
  <w:style w:type="character" w:styleId="Hyperlink">
    <w:name w:val="Hyperlink"/>
    <w:basedOn w:val="DefaultParagraphFont"/>
    <w:uiPriority w:val="99"/>
    <w:unhideWhenUsed/>
    <w:rsid w:val="00357A78"/>
    <w:rPr>
      <w:color w:val="467886" w:themeColor="hyperlink"/>
      <w:u w:val="single"/>
    </w:rPr>
  </w:style>
  <w:style w:type="character" w:styleId="UnresolvedMention">
    <w:name w:val="Unresolved Mention"/>
    <w:basedOn w:val="DefaultParagraphFont"/>
    <w:uiPriority w:val="99"/>
    <w:semiHidden/>
    <w:unhideWhenUsed/>
    <w:rsid w:val="00357A78"/>
    <w:rPr>
      <w:color w:val="605E5C"/>
      <w:shd w:val="clear" w:color="auto" w:fill="E1DFDD"/>
    </w:rPr>
  </w:style>
  <w:style w:type="paragraph" w:styleId="NormalWeb">
    <w:name w:val="Normal (Web)"/>
    <w:basedOn w:val="Normal"/>
    <w:uiPriority w:val="99"/>
    <w:unhideWhenUsed/>
    <w:rsid w:val="008A0C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404B4"/>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F404B4"/>
    <w:pPr>
      <w:spacing w:after="100"/>
    </w:pPr>
  </w:style>
  <w:style w:type="paragraph" w:styleId="TOC2">
    <w:name w:val="toc 2"/>
    <w:basedOn w:val="Normal"/>
    <w:next w:val="Normal"/>
    <w:autoRedefine/>
    <w:uiPriority w:val="39"/>
    <w:unhideWhenUsed/>
    <w:rsid w:val="00F404B4"/>
    <w:pPr>
      <w:spacing w:after="100"/>
      <w:ind w:left="240"/>
    </w:pPr>
  </w:style>
  <w:style w:type="paragraph" w:styleId="TOC3">
    <w:name w:val="toc 3"/>
    <w:basedOn w:val="Normal"/>
    <w:next w:val="Normal"/>
    <w:autoRedefine/>
    <w:uiPriority w:val="39"/>
    <w:unhideWhenUsed/>
    <w:rsid w:val="00F404B4"/>
    <w:pPr>
      <w:spacing w:after="100"/>
      <w:ind w:left="480"/>
    </w:pPr>
  </w:style>
  <w:style w:type="table" w:styleId="TableGrid">
    <w:name w:val="Table Grid"/>
    <w:basedOn w:val="TableNormal"/>
    <w:uiPriority w:val="39"/>
    <w:rsid w:val="009B24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00494">
      <w:bodyDiv w:val="1"/>
      <w:marLeft w:val="0"/>
      <w:marRight w:val="0"/>
      <w:marTop w:val="0"/>
      <w:marBottom w:val="0"/>
      <w:divBdr>
        <w:top w:val="none" w:sz="0" w:space="0" w:color="auto"/>
        <w:left w:val="none" w:sz="0" w:space="0" w:color="auto"/>
        <w:bottom w:val="none" w:sz="0" w:space="0" w:color="auto"/>
        <w:right w:val="none" w:sz="0" w:space="0" w:color="auto"/>
      </w:divBdr>
    </w:div>
    <w:div w:id="13924173">
      <w:bodyDiv w:val="1"/>
      <w:marLeft w:val="0"/>
      <w:marRight w:val="0"/>
      <w:marTop w:val="0"/>
      <w:marBottom w:val="0"/>
      <w:divBdr>
        <w:top w:val="none" w:sz="0" w:space="0" w:color="auto"/>
        <w:left w:val="none" w:sz="0" w:space="0" w:color="auto"/>
        <w:bottom w:val="none" w:sz="0" w:space="0" w:color="auto"/>
        <w:right w:val="none" w:sz="0" w:space="0" w:color="auto"/>
      </w:divBdr>
    </w:div>
    <w:div w:id="37632921">
      <w:bodyDiv w:val="1"/>
      <w:marLeft w:val="0"/>
      <w:marRight w:val="0"/>
      <w:marTop w:val="0"/>
      <w:marBottom w:val="0"/>
      <w:divBdr>
        <w:top w:val="none" w:sz="0" w:space="0" w:color="auto"/>
        <w:left w:val="none" w:sz="0" w:space="0" w:color="auto"/>
        <w:bottom w:val="none" w:sz="0" w:space="0" w:color="auto"/>
        <w:right w:val="none" w:sz="0" w:space="0" w:color="auto"/>
      </w:divBdr>
    </w:div>
    <w:div w:id="60300758">
      <w:bodyDiv w:val="1"/>
      <w:marLeft w:val="0"/>
      <w:marRight w:val="0"/>
      <w:marTop w:val="0"/>
      <w:marBottom w:val="0"/>
      <w:divBdr>
        <w:top w:val="none" w:sz="0" w:space="0" w:color="auto"/>
        <w:left w:val="none" w:sz="0" w:space="0" w:color="auto"/>
        <w:bottom w:val="none" w:sz="0" w:space="0" w:color="auto"/>
        <w:right w:val="none" w:sz="0" w:space="0" w:color="auto"/>
      </w:divBdr>
    </w:div>
    <w:div w:id="65032728">
      <w:bodyDiv w:val="1"/>
      <w:marLeft w:val="0"/>
      <w:marRight w:val="0"/>
      <w:marTop w:val="0"/>
      <w:marBottom w:val="0"/>
      <w:divBdr>
        <w:top w:val="none" w:sz="0" w:space="0" w:color="auto"/>
        <w:left w:val="none" w:sz="0" w:space="0" w:color="auto"/>
        <w:bottom w:val="none" w:sz="0" w:space="0" w:color="auto"/>
        <w:right w:val="none" w:sz="0" w:space="0" w:color="auto"/>
      </w:divBdr>
    </w:div>
    <w:div w:id="71126253">
      <w:bodyDiv w:val="1"/>
      <w:marLeft w:val="0"/>
      <w:marRight w:val="0"/>
      <w:marTop w:val="0"/>
      <w:marBottom w:val="0"/>
      <w:divBdr>
        <w:top w:val="none" w:sz="0" w:space="0" w:color="auto"/>
        <w:left w:val="none" w:sz="0" w:space="0" w:color="auto"/>
        <w:bottom w:val="none" w:sz="0" w:space="0" w:color="auto"/>
        <w:right w:val="none" w:sz="0" w:space="0" w:color="auto"/>
      </w:divBdr>
    </w:div>
    <w:div w:id="82729059">
      <w:bodyDiv w:val="1"/>
      <w:marLeft w:val="0"/>
      <w:marRight w:val="0"/>
      <w:marTop w:val="0"/>
      <w:marBottom w:val="0"/>
      <w:divBdr>
        <w:top w:val="none" w:sz="0" w:space="0" w:color="auto"/>
        <w:left w:val="none" w:sz="0" w:space="0" w:color="auto"/>
        <w:bottom w:val="none" w:sz="0" w:space="0" w:color="auto"/>
        <w:right w:val="none" w:sz="0" w:space="0" w:color="auto"/>
      </w:divBdr>
    </w:div>
    <w:div w:id="104274104">
      <w:bodyDiv w:val="1"/>
      <w:marLeft w:val="0"/>
      <w:marRight w:val="0"/>
      <w:marTop w:val="0"/>
      <w:marBottom w:val="0"/>
      <w:divBdr>
        <w:top w:val="none" w:sz="0" w:space="0" w:color="auto"/>
        <w:left w:val="none" w:sz="0" w:space="0" w:color="auto"/>
        <w:bottom w:val="none" w:sz="0" w:space="0" w:color="auto"/>
        <w:right w:val="none" w:sz="0" w:space="0" w:color="auto"/>
      </w:divBdr>
    </w:div>
    <w:div w:id="111756308">
      <w:bodyDiv w:val="1"/>
      <w:marLeft w:val="0"/>
      <w:marRight w:val="0"/>
      <w:marTop w:val="0"/>
      <w:marBottom w:val="0"/>
      <w:divBdr>
        <w:top w:val="none" w:sz="0" w:space="0" w:color="auto"/>
        <w:left w:val="none" w:sz="0" w:space="0" w:color="auto"/>
        <w:bottom w:val="none" w:sz="0" w:space="0" w:color="auto"/>
        <w:right w:val="none" w:sz="0" w:space="0" w:color="auto"/>
      </w:divBdr>
    </w:div>
    <w:div w:id="123012750">
      <w:bodyDiv w:val="1"/>
      <w:marLeft w:val="0"/>
      <w:marRight w:val="0"/>
      <w:marTop w:val="0"/>
      <w:marBottom w:val="0"/>
      <w:divBdr>
        <w:top w:val="none" w:sz="0" w:space="0" w:color="auto"/>
        <w:left w:val="none" w:sz="0" w:space="0" w:color="auto"/>
        <w:bottom w:val="none" w:sz="0" w:space="0" w:color="auto"/>
        <w:right w:val="none" w:sz="0" w:space="0" w:color="auto"/>
      </w:divBdr>
    </w:div>
    <w:div w:id="132530846">
      <w:bodyDiv w:val="1"/>
      <w:marLeft w:val="0"/>
      <w:marRight w:val="0"/>
      <w:marTop w:val="0"/>
      <w:marBottom w:val="0"/>
      <w:divBdr>
        <w:top w:val="none" w:sz="0" w:space="0" w:color="auto"/>
        <w:left w:val="none" w:sz="0" w:space="0" w:color="auto"/>
        <w:bottom w:val="none" w:sz="0" w:space="0" w:color="auto"/>
        <w:right w:val="none" w:sz="0" w:space="0" w:color="auto"/>
      </w:divBdr>
    </w:div>
    <w:div w:id="140969497">
      <w:bodyDiv w:val="1"/>
      <w:marLeft w:val="0"/>
      <w:marRight w:val="0"/>
      <w:marTop w:val="0"/>
      <w:marBottom w:val="0"/>
      <w:divBdr>
        <w:top w:val="none" w:sz="0" w:space="0" w:color="auto"/>
        <w:left w:val="none" w:sz="0" w:space="0" w:color="auto"/>
        <w:bottom w:val="none" w:sz="0" w:space="0" w:color="auto"/>
        <w:right w:val="none" w:sz="0" w:space="0" w:color="auto"/>
      </w:divBdr>
    </w:div>
    <w:div w:id="149639836">
      <w:bodyDiv w:val="1"/>
      <w:marLeft w:val="0"/>
      <w:marRight w:val="0"/>
      <w:marTop w:val="0"/>
      <w:marBottom w:val="0"/>
      <w:divBdr>
        <w:top w:val="none" w:sz="0" w:space="0" w:color="auto"/>
        <w:left w:val="none" w:sz="0" w:space="0" w:color="auto"/>
        <w:bottom w:val="none" w:sz="0" w:space="0" w:color="auto"/>
        <w:right w:val="none" w:sz="0" w:space="0" w:color="auto"/>
      </w:divBdr>
    </w:div>
    <w:div w:id="164589041">
      <w:bodyDiv w:val="1"/>
      <w:marLeft w:val="0"/>
      <w:marRight w:val="0"/>
      <w:marTop w:val="0"/>
      <w:marBottom w:val="0"/>
      <w:divBdr>
        <w:top w:val="none" w:sz="0" w:space="0" w:color="auto"/>
        <w:left w:val="none" w:sz="0" w:space="0" w:color="auto"/>
        <w:bottom w:val="none" w:sz="0" w:space="0" w:color="auto"/>
        <w:right w:val="none" w:sz="0" w:space="0" w:color="auto"/>
      </w:divBdr>
    </w:div>
    <w:div w:id="176189810">
      <w:bodyDiv w:val="1"/>
      <w:marLeft w:val="0"/>
      <w:marRight w:val="0"/>
      <w:marTop w:val="0"/>
      <w:marBottom w:val="0"/>
      <w:divBdr>
        <w:top w:val="none" w:sz="0" w:space="0" w:color="auto"/>
        <w:left w:val="none" w:sz="0" w:space="0" w:color="auto"/>
        <w:bottom w:val="none" w:sz="0" w:space="0" w:color="auto"/>
        <w:right w:val="none" w:sz="0" w:space="0" w:color="auto"/>
      </w:divBdr>
    </w:div>
    <w:div w:id="176232132">
      <w:bodyDiv w:val="1"/>
      <w:marLeft w:val="0"/>
      <w:marRight w:val="0"/>
      <w:marTop w:val="0"/>
      <w:marBottom w:val="0"/>
      <w:divBdr>
        <w:top w:val="none" w:sz="0" w:space="0" w:color="auto"/>
        <w:left w:val="none" w:sz="0" w:space="0" w:color="auto"/>
        <w:bottom w:val="none" w:sz="0" w:space="0" w:color="auto"/>
        <w:right w:val="none" w:sz="0" w:space="0" w:color="auto"/>
      </w:divBdr>
    </w:div>
    <w:div w:id="183443133">
      <w:bodyDiv w:val="1"/>
      <w:marLeft w:val="0"/>
      <w:marRight w:val="0"/>
      <w:marTop w:val="0"/>
      <w:marBottom w:val="0"/>
      <w:divBdr>
        <w:top w:val="none" w:sz="0" w:space="0" w:color="auto"/>
        <w:left w:val="none" w:sz="0" w:space="0" w:color="auto"/>
        <w:bottom w:val="none" w:sz="0" w:space="0" w:color="auto"/>
        <w:right w:val="none" w:sz="0" w:space="0" w:color="auto"/>
      </w:divBdr>
    </w:div>
    <w:div w:id="186451307">
      <w:bodyDiv w:val="1"/>
      <w:marLeft w:val="0"/>
      <w:marRight w:val="0"/>
      <w:marTop w:val="0"/>
      <w:marBottom w:val="0"/>
      <w:divBdr>
        <w:top w:val="none" w:sz="0" w:space="0" w:color="auto"/>
        <w:left w:val="none" w:sz="0" w:space="0" w:color="auto"/>
        <w:bottom w:val="none" w:sz="0" w:space="0" w:color="auto"/>
        <w:right w:val="none" w:sz="0" w:space="0" w:color="auto"/>
      </w:divBdr>
    </w:div>
    <w:div w:id="195242827">
      <w:bodyDiv w:val="1"/>
      <w:marLeft w:val="0"/>
      <w:marRight w:val="0"/>
      <w:marTop w:val="0"/>
      <w:marBottom w:val="0"/>
      <w:divBdr>
        <w:top w:val="none" w:sz="0" w:space="0" w:color="auto"/>
        <w:left w:val="none" w:sz="0" w:space="0" w:color="auto"/>
        <w:bottom w:val="none" w:sz="0" w:space="0" w:color="auto"/>
        <w:right w:val="none" w:sz="0" w:space="0" w:color="auto"/>
      </w:divBdr>
    </w:div>
    <w:div w:id="211579484">
      <w:bodyDiv w:val="1"/>
      <w:marLeft w:val="0"/>
      <w:marRight w:val="0"/>
      <w:marTop w:val="0"/>
      <w:marBottom w:val="0"/>
      <w:divBdr>
        <w:top w:val="none" w:sz="0" w:space="0" w:color="auto"/>
        <w:left w:val="none" w:sz="0" w:space="0" w:color="auto"/>
        <w:bottom w:val="none" w:sz="0" w:space="0" w:color="auto"/>
        <w:right w:val="none" w:sz="0" w:space="0" w:color="auto"/>
      </w:divBdr>
    </w:div>
    <w:div w:id="230166343">
      <w:bodyDiv w:val="1"/>
      <w:marLeft w:val="0"/>
      <w:marRight w:val="0"/>
      <w:marTop w:val="0"/>
      <w:marBottom w:val="0"/>
      <w:divBdr>
        <w:top w:val="none" w:sz="0" w:space="0" w:color="auto"/>
        <w:left w:val="none" w:sz="0" w:space="0" w:color="auto"/>
        <w:bottom w:val="none" w:sz="0" w:space="0" w:color="auto"/>
        <w:right w:val="none" w:sz="0" w:space="0" w:color="auto"/>
      </w:divBdr>
    </w:div>
    <w:div w:id="230699493">
      <w:bodyDiv w:val="1"/>
      <w:marLeft w:val="0"/>
      <w:marRight w:val="0"/>
      <w:marTop w:val="0"/>
      <w:marBottom w:val="0"/>
      <w:divBdr>
        <w:top w:val="none" w:sz="0" w:space="0" w:color="auto"/>
        <w:left w:val="none" w:sz="0" w:space="0" w:color="auto"/>
        <w:bottom w:val="none" w:sz="0" w:space="0" w:color="auto"/>
        <w:right w:val="none" w:sz="0" w:space="0" w:color="auto"/>
      </w:divBdr>
    </w:div>
    <w:div w:id="239944869">
      <w:bodyDiv w:val="1"/>
      <w:marLeft w:val="0"/>
      <w:marRight w:val="0"/>
      <w:marTop w:val="0"/>
      <w:marBottom w:val="0"/>
      <w:divBdr>
        <w:top w:val="none" w:sz="0" w:space="0" w:color="auto"/>
        <w:left w:val="none" w:sz="0" w:space="0" w:color="auto"/>
        <w:bottom w:val="none" w:sz="0" w:space="0" w:color="auto"/>
        <w:right w:val="none" w:sz="0" w:space="0" w:color="auto"/>
      </w:divBdr>
    </w:div>
    <w:div w:id="241643675">
      <w:bodyDiv w:val="1"/>
      <w:marLeft w:val="0"/>
      <w:marRight w:val="0"/>
      <w:marTop w:val="0"/>
      <w:marBottom w:val="0"/>
      <w:divBdr>
        <w:top w:val="none" w:sz="0" w:space="0" w:color="auto"/>
        <w:left w:val="none" w:sz="0" w:space="0" w:color="auto"/>
        <w:bottom w:val="none" w:sz="0" w:space="0" w:color="auto"/>
        <w:right w:val="none" w:sz="0" w:space="0" w:color="auto"/>
      </w:divBdr>
    </w:div>
    <w:div w:id="262155929">
      <w:bodyDiv w:val="1"/>
      <w:marLeft w:val="0"/>
      <w:marRight w:val="0"/>
      <w:marTop w:val="0"/>
      <w:marBottom w:val="0"/>
      <w:divBdr>
        <w:top w:val="none" w:sz="0" w:space="0" w:color="auto"/>
        <w:left w:val="none" w:sz="0" w:space="0" w:color="auto"/>
        <w:bottom w:val="none" w:sz="0" w:space="0" w:color="auto"/>
        <w:right w:val="none" w:sz="0" w:space="0" w:color="auto"/>
      </w:divBdr>
    </w:div>
    <w:div w:id="268507944">
      <w:bodyDiv w:val="1"/>
      <w:marLeft w:val="0"/>
      <w:marRight w:val="0"/>
      <w:marTop w:val="0"/>
      <w:marBottom w:val="0"/>
      <w:divBdr>
        <w:top w:val="none" w:sz="0" w:space="0" w:color="auto"/>
        <w:left w:val="none" w:sz="0" w:space="0" w:color="auto"/>
        <w:bottom w:val="none" w:sz="0" w:space="0" w:color="auto"/>
        <w:right w:val="none" w:sz="0" w:space="0" w:color="auto"/>
      </w:divBdr>
    </w:div>
    <w:div w:id="270090937">
      <w:bodyDiv w:val="1"/>
      <w:marLeft w:val="0"/>
      <w:marRight w:val="0"/>
      <w:marTop w:val="0"/>
      <w:marBottom w:val="0"/>
      <w:divBdr>
        <w:top w:val="none" w:sz="0" w:space="0" w:color="auto"/>
        <w:left w:val="none" w:sz="0" w:space="0" w:color="auto"/>
        <w:bottom w:val="none" w:sz="0" w:space="0" w:color="auto"/>
        <w:right w:val="none" w:sz="0" w:space="0" w:color="auto"/>
      </w:divBdr>
    </w:div>
    <w:div w:id="274749344">
      <w:bodyDiv w:val="1"/>
      <w:marLeft w:val="0"/>
      <w:marRight w:val="0"/>
      <w:marTop w:val="0"/>
      <w:marBottom w:val="0"/>
      <w:divBdr>
        <w:top w:val="none" w:sz="0" w:space="0" w:color="auto"/>
        <w:left w:val="none" w:sz="0" w:space="0" w:color="auto"/>
        <w:bottom w:val="none" w:sz="0" w:space="0" w:color="auto"/>
        <w:right w:val="none" w:sz="0" w:space="0" w:color="auto"/>
      </w:divBdr>
    </w:div>
    <w:div w:id="275523733">
      <w:bodyDiv w:val="1"/>
      <w:marLeft w:val="0"/>
      <w:marRight w:val="0"/>
      <w:marTop w:val="0"/>
      <w:marBottom w:val="0"/>
      <w:divBdr>
        <w:top w:val="none" w:sz="0" w:space="0" w:color="auto"/>
        <w:left w:val="none" w:sz="0" w:space="0" w:color="auto"/>
        <w:bottom w:val="none" w:sz="0" w:space="0" w:color="auto"/>
        <w:right w:val="none" w:sz="0" w:space="0" w:color="auto"/>
      </w:divBdr>
    </w:div>
    <w:div w:id="282465822">
      <w:bodyDiv w:val="1"/>
      <w:marLeft w:val="0"/>
      <w:marRight w:val="0"/>
      <w:marTop w:val="0"/>
      <w:marBottom w:val="0"/>
      <w:divBdr>
        <w:top w:val="none" w:sz="0" w:space="0" w:color="auto"/>
        <w:left w:val="none" w:sz="0" w:space="0" w:color="auto"/>
        <w:bottom w:val="none" w:sz="0" w:space="0" w:color="auto"/>
        <w:right w:val="none" w:sz="0" w:space="0" w:color="auto"/>
      </w:divBdr>
    </w:div>
    <w:div w:id="286089469">
      <w:bodyDiv w:val="1"/>
      <w:marLeft w:val="0"/>
      <w:marRight w:val="0"/>
      <w:marTop w:val="0"/>
      <w:marBottom w:val="0"/>
      <w:divBdr>
        <w:top w:val="none" w:sz="0" w:space="0" w:color="auto"/>
        <w:left w:val="none" w:sz="0" w:space="0" w:color="auto"/>
        <w:bottom w:val="none" w:sz="0" w:space="0" w:color="auto"/>
        <w:right w:val="none" w:sz="0" w:space="0" w:color="auto"/>
      </w:divBdr>
    </w:div>
    <w:div w:id="294258736">
      <w:bodyDiv w:val="1"/>
      <w:marLeft w:val="0"/>
      <w:marRight w:val="0"/>
      <w:marTop w:val="0"/>
      <w:marBottom w:val="0"/>
      <w:divBdr>
        <w:top w:val="none" w:sz="0" w:space="0" w:color="auto"/>
        <w:left w:val="none" w:sz="0" w:space="0" w:color="auto"/>
        <w:bottom w:val="none" w:sz="0" w:space="0" w:color="auto"/>
        <w:right w:val="none" w:sz="0" w:space="0" w:color="auto"/>
      </w:divBdr>
    </w:div>
    <w:div w:id="297492889">
      <w:bodyDiv w:val="1"/>
      <w:marLeft w:val="0"/>
      <w:marRight w:val="0"/>
      <w:marTop w:val="0"/>
      <w:marBottom w:val="0"/>
      <w:divBdr>
        <w:top w:val="none" w:sz="0" w:space="0" w:color="auto"/>
        <w:left w:val="none" w:sz="0" w:space="0" w:color="auto"/>
        <w:bottom w:val="none" w:sz="0" w:space="0" w:color="auto"/>
        <w:right w:val="none" w:sz="0" w:space="0" w:color="auto"/>
      </w:divBdr>
    </w:div>
    <w:div w:id="306516463">
      <w:bodyDiv w:val="1"/>
      <w:marLeft w:val="0"/>
      <w:marRight w:val="0"/>
      <w:marTop w:val="0"/>
      <w:marBottom w:val="0"/>
      <w:divBdr>
        <w:top w:val="none" w:sz="0" w:space="0" w:color="auto"/>
        <w:left w:val="none" w:sz="0" w:space="0" w:color="auto"/>
        <w:bottom w:val="none" w:sz="0" w:space="0" w:color="auto"/>
        <w:right w:val="none" w:sz="0" w:space="0" w:color="auto"/>
      </w:divBdr>
    </w:div>
    <w:div w:id="322045457">
      <w:bodyDiv w:val="1"/>
      <w:marLeft w:val="0"/>
      <w:marRight w:val="0"/>
      <w:marTop w:val="0"/>
      <w:marBottom w:val="0"/>
      <w:divBdr>
        <w:top w:val="none" w:sz="0" w:space="0" w:color="auto"/>
        <w:left w:val="none" w:sz="0" w:space="0" w:color="auto"/>
        <w:bottom w:val="none" w:sz="0" w:space="0" w:color="auto"/>
        <w:right w:val="none" w:sz="0" w:space="0" w:color="auto"/>
      </w:divBdr>
    </w:div>
    <w:div w:id="330453512">
      <w:bodyDiv w:val="1"/>
      <w:marLeft w:val="0"/>
      <w:marRight w:val="0"/>
      <w:marTop w:val="0"/>
      <w:marBottom w:val="0"/>
      <w:divBdr>
        <w:top w:val="none" w:sz="0" w:space="0" w:color="auto"/>
        <w:left w:val="none" w:sz="0" w:space="0" w:color="auto"/>
        <w:bottom w:val="none" w:sz="0" w:space="0" w:color="auto"/>
        <w:right w:val="none" w:sz="0" w:space="0" w:color="auto"/>
      </w:divBdr>
    </w:div>
    <w:div w:id="331564060">
      <w:bodyDiv w:val="1"/>
      <w:marLeft w:val="0"/>
      <w:marRight w:val="0"/>
      <w:marTop w:val="0"/>
      <w:marBottom w:val="0"/>
      <w:divBdr>
        <w:top w:val="none" w:sz="0" w:space="0" w:color="auto"/>
        <w:left w:val="none" w:sz="0" w:space="0" w:color="auto"/>
        <w:bottom w:val="none" w:sz="0" w:space="0" w:color="auto"/>
        <w:right w:val="none" w:sz="0" w:space="0" w:color="auto"/>
      </w:divBdr>
    </w:div>
    <w:div w:id="342588743">
      <w:bodyDiv w:val="1"/>
      <w:marLeft w:val="0"/>
      <w:marRight w:val="0"/>
      <w:marTop w:val="0"/>
      <w:marBottom w:val="0"/>
      <w:divBdr>
        <w:top w:val="none" w:sz="0" w:space="0" w:color="auto"/>
        <w:left w:val="none" w:sz="0" w:space="0" w:color="auto"/>
        <w:bottom w:val="none" w:sz="0" w:space="0" w:color="auto"/>
        <w:right w:val="none" w:sz="0" w:space="0" w:color="auto"/>
      </w:divBdr>
    </w:div>
    <w:div w:id="345331676">
      <w:bodyDiv w:val="1"/>
      <w:marLeft w:val="0"/>
      <w:marRight w:val="0"/>
      <w:marTop w:val="0"/>
      <w:marBottom w:val="0"/>
      <w:divBdr>
        <w:top w:val="none" w:sz="0" w:space="0" w:color="auto"/>
        <w:left w:val="none" w:sz="0" w:space="0" w:color="auto"/>
        <w:bottom w:val="none" w:sz="0" w:space="0" w:color="auto"/>
        <w:right w:val="none" w:sz="0" w:space="0" w:color="auto"/>
      </w:divBdr>
    </w:div>
    <w:div w:id="345640052">
      <w:bodyDiv w:val="1"/>
      <w:marLeft w:val="0"/>
      <w:marRight w:val="0"/>
      <w:marTop w:val="0"/>
      <w:marBottom w:val="0"/>
      <w:divBdr>
        <w:top w:val="none" w:sz="0" w:space="0" w:color="auto"/>
        <w:left w:val="none" w:sz="0" w:space="0" w:color="auto"/>
        <w:bottom w:val="none" w:sz="0" w:space="0" w:color="auto"/>
        <w:right w:val="none" w:sz="0" w:space="0" w:color="auto"/>
      </w:divBdr>
    </w:div>
    <w:div w:id="352611690">
      <w:bodyDiv w:val="1"/>
      <w:marLeft w:val="0"/>
      <w:marRight w:val="0"/>
      <w:marTop w:val="0"/>
      <w:marBottom w:val="0"/>
      <w:divBdr>
        <w:top w:val="none" w:sz="0" w:space="0" w:color="auto"/>
        <w:left w:val="none" w:sz="0" w:space="0" w:color="auto"/>
        <w:bottom w:val="none" w:sz="0" w:space="0" w:color="auto"/>
        <w:right w:val="none" w:sz="0" w:space="0" w:color="auto"/>
      </w:divBdr>
    </w:div>
    <w:div w:id="356321511">
      <w:bodyDiv w:val="1"/>
      <w:marLeft w:val="0"/>
      <w:marRight w:val="0"/>
      <w:marTop w:val="0"/>
      <w:marBottom w:val="0"/>
      <w:divBdr>
        <w:top w:val="none" w:sz="0" w:space="0" w:color="auto"/>
        <w:left w:val="none" w:sz="0" w:space="0" w:color="auto"/>
        <w:bottom w:val="none" w:sz="0" w:space="0" w:color="auto"/>
        <w:right w:val="none" w:sz="0" w:space="0" w:color="auto"/>
      </w:divBdr>
    </w:div>
    <w:div w:id="359938596">
      <w:bodyDiv w:val="1"/>
      <w:marLeft w:val="0"/>
      <w:marRight w:val="0"/>
      <w:marTop w:val="0"/>
      <w:marBottom w:val="0"/>
      <w:divBdr>
        <w:top w:val="none" w:sz="0" w:space="0" w:color="auto"/>
        <w:left w:val="none" w:sz="0" w:space="0" w:color="auto"/>
        <w:bottom w:val="none" w:sz="0" w:space="0" w:color="auto"/>
        <w:right w:val="none" w:sz="0" w:space="0" w:color="auto"/>
      </w:divBdr>
    </w:div>
    <w:div w:id="378555245">
      <w:bodyDiv w:val="1"/>
      <w:marLeft w:val="0"/>
      <w:marRight w:val="0"/>
      <w:marTop w:val="0"/>
      <w:marBottom w:val="0"/>
      <w:divBdr>
        <w:top w:val="none" w:sz="0" w:space="0" w:color="auto"/>
        <w:left w:val="none" w:sz="0" w:space="0" w:color="auto"/>
        <w:bottom w:val="none" w:sz="0" w:space="0" w:color="auto"/>
        <w:right w:val="none" w:sz="0" w:space="0" w:color="auto"/>
      </w:divBdr>
    </w:div>
    <w:div w:id="380054700">
      <w:bodyDiv w:val="1"/>
      <w:marLeft w:val="0"/>
      <w:marRight w:val="0"/>
      <w:marTop w:val="0"/>
      <w:marBottom w:val="0"/>
      <w:divBdr>
        <w:top w:val="none" w:sz="0" w:space="0" w:color="auto"/>
        <w:left w:val="none" w:sz="0" w:space="0" w:color="auto"/>
        <w:bottom w:val="none" w:sz="0" w:space="0" w:color="auto"/>
        <w:right w:val="none" w:sz="0" w:space="0" w:color="auto"/>
      </w:divBdr>
    </w:div>
    <w:div w:id="385035558">
      <w:bodyDiv w:val="1"/>
      <w:marLeft w:val="0"/>
      <w:marRight w:val="0"/>
      <w:marTop w:val="0"/>
      <w:marBottom w:val="0"/>
      <w:divBdr>
        <w:top w:val="none" w:sz="0" w:space="0" w:color="auto"/>
        <w:left w:val="none" w:sz="0" w:space="0" w:color="auto"/>
        <w:bottom w:val="none" w:sz="0" w:space="0" w:color="auto"/>
        <w:right w:val="none" w:sz="0" w:space="0" w:color="auto"/>
      </w:divBdr>
    </w:div>
    <w:div w:id="392507963">
      <w:bodyDiv w:val="1"/>
      <w:marLeft w:val="0"/>
      <w:marRight w:val="0"/>
      <w:marTop w:val="0"/>
      <w:marBottom w:val="0"/>
      <w:divBdr>
        <w:top w:val="none" w:sz="0" w:space="0" w:color="auto"/>
        <w:left w:val="none" w:sz="0" w:space="0" w:color="auto"/>
        <w:bottom w:val="none" w:sz="0" w:space="0" w:color="auto"/>
        <w:right w:val="none" w:sz="0" w:space="0" w:color="auto"/>
      </w:divBdr>
    </w:div>
    <w:div w:id="398019621">
      <w:bodyDiv w:val="1"/>
      <w:marLeft w:val="0"/>
      <w:marRight w:val="0"/>
      <w:marTop w:val="0"/>
      <w:marBottom w:val="0"/>
      <w:divBdr>
        <w:top w:val="none" w:sz="0" w:space="0" w:color="auto"/>
        <w:left w:val="none" w:sz="0" w:space="0" w:color="auto"/>
        <w:bottom w:val="none" w:sz="0" w:space="0" w:color="auto"/>
        <w:right w:val="none" w:sz="0" w:space="0" w:color="auto"/>
      </w:divBdr>
    </w:div>
    <w:div w:id="402261156">
      <w:bodyDiv w:val="1"/>
      <w:marLeft w:val="0"/>
      <w:marRight w:val="0"/>
      <w:marTop w:val="0"/>
      <w:marBottom w:val="0"/>
      <w:divBdr>
        <w:top w:val="none" w:sz="0" w:space="0" w:color="auto"/>
        <w:left w:val="none" w:sz="0" w:space="0" w:color="auto"/>
        <w:bottom w:val="none" w:sz="0" w:space="0" w:color="auto"/>
        <w:right w:val="none" w:sz="0" w:space="0" w:color="auto"/>
      </w:divBdr>
    </w:div>
    <w:div w:id="405763806">
      <w:bodyDiv w:val="1"/>
      <w:marLeft w:val="0"/>
      <w:marRight w:val="0"/>
      <w:marTop w:val="0"/>
      <w:marBottom w:val="0"/>
      <w:divBdr>
        <w:top w:val="none" w:sz="0" w:space="0" w:color="auto"/>
        <w:left w:val="none" w:sz="0" w:space="0" w:color="auto"/>
        <w:bottom w:val="none" w:sz="0" w:space="0" w:color="auto"/>
        <w:right w:val="none" w:sz="0" w:space="0" w:color="auto"/>
      </w:divBdr>
    </w:div>
    <w:div w:id="405877561">
      <w:bodyDiv w:val="1"/>
      <w:marLeft w:val="0"/>
      <w:marRight w:val="0"/>
      <w:marTop w:val="0"/>
      <w:marBottom w:val="0"/>
      <w:divBdr>
        <w:top w:val="none" w:sz="0" w:space="0" w:color="auto"/>
        <w:left w:val="none" w:sz="0" w:space="0" w:color="auto"/>
        <w:bottom w:val="none" w:sz="0" w:space="0" w:color="auto"/>
        <w:right w:val="none" w:sz="0" w:space="0" w:color="auto"/>
      </w:divBdr>
    </w:div>
    <w:div w:id="415593971">
      <w:bodyDiv w:val="1"/>
      <w:marLeft w:val="0"/>
      <w:marRight w:val="0"/>
      <w:marTop w:val="0"/>
      <w:marBottom w:val="0"/>
      <w:divBdr>
        <w:top w:val="none" w:sz="0" w:space="0" w:color="auto"/>
        <w:left w:val="none" w:sz="0" w:space="0" w:color="auto"/>
        <w:bottom w:val="none" w:sz="0" w:space="0" w:color="auto"/>
        <w:right w:val="none" w:sz="0" w:space="0" w:color="auto"/>
      </w:divBdr>
    </w:div>
    <w:div w:id="417214764">
      <w:bodyDiv w:val="1"/>
      <w:marLeft w:val="0"/>
      <w:marRight w:val="0"/>
      <w:marTop w:val="0"/>
      <w:marBottom w:val="0"/>
      <w:divBdr>
        <w:top w:val="none" w:sz="0" w:space="0" w:color="auto"/>
        <w:left w:val="none" w:sz="0" w:space="0" w:color="auto"/>
        <w:bottom w:val="none" w:sz="0" w:space="0" w:color="auto"/>
        <w:right w:val="none" w:sz="0" w:space="0" w:color="auto"/>
      </w:divBdr>
    </w:div>
    <w:div w:id="420420261">
      <w:bodyDiv w:val="1"/>
      <w:marLeft w:val="0"/>
      <w:marRight w:val="0"/>
      <w:marTop w:val="0"/>
      <w:marBottom w:val="0"/>
      <w:divBdr>
        <w:top w:val="none" w:sz="0" w:space="0" w:color="auto"/>
        <w:left w:val="none" w:sz="0" w:space="0" w:color="auto"/>
        <w:bottom w:val="none" w:sz="0" w:space="0" w:color="auto"/>
        <w:right w:val="none" w:sz="0" w:space="0" w:color="auto"/>
      </w:divBdr>
    </w:div>
    <w:div w:id="428695086">
      <w:bodyDiv w:val="1"/>
      <w:marLeft w:val="0"/>
      <w:marRight w:val="0"/>
      <w:marTop w:val="0"/>
      <w:marBottom w:val="0"/>
      <w:divBdr>
        <w:top w:val="none" w:sz="0" w:space="0" w:color="auto"/>
        <w:left w:val="none" w:sz="0" w:space="0" w:color="auto"/>
        <w:bottom w:val="none" w:sz="0" w:space="0" w:color="auto"/>
        <w:right w:val="none" w:sz="0" w:space="0" w:color="auto"/>
      </w:divBdr>
    </w:div>
    <w:div w:id="451020743">
      <w:bodyDiv w:val="1"/>
      <w:marLeft w:val="0"/>
      <w:marRight w:val="0"/>
      <w:marTop w:val="0"/>
      <w:marBottom w:val="0"/>
      <w:divBdr>
        <w:top w:val="none" w:sz="0" w:space="0" w:color="auto"/>
        <w:left w:val="none" w:sz="0" w:space="0" w:color="auto"/>
        <w:bottom w:val="none" w:sz="0" w:space="0" w:color="auto"/>
        <w:right w:val="none" w:sz="0" w:space="0" w:color="auto"/>
      </w:divBdr>
    </w:div>
    <w:div w:id="451898223">
      <w:bodyDiv w:val="1"/>
      <w:marLeft w:val="0"/>
      <w:marRight w:val="0"/>
      <w:marTop w:val="0"/>
      <w:marBottom w:val="0"/>
      <w:divBdr>
        <w:top w:val="none" w:sz="0" w:space="0" w:color="auto"/>
        <w:left w:val="none" w:sz="0" w:space="0" w:color="auto"/>
        <w:bottom w:val="none" w:sz="0" w:space="0" w:color="auto"/>
        <w:right w:val="none" w:sz="0" w:space="0" w:color="auto"/>
      </w:divBdr>
    </w:div>
    <w:div w:id="452018275">
      <w:bodyDiv w:val="1"/>
      <w:marLeft w:val="0"/>
      <w:marRight w:val="0"/>
      <w:marTop w:val="0"/>
      <w:marBottom w:val="0"/>
      <w:divBdr>
        <w:top w:val="none" w:sz="0" w:space="0" w:color="auto"/>
        <w:left w:val="none" w:sz="0" w:space="0" w:color="auto"/>
        <w:bottom w:val="none" w:sz="0" w:space="0" w:color="auto"/>
        <w:right w:val="none" w:sz="0" w:space="0" w:color="auto"/>
      </w:divBdr>
    </w:div>
    <w:div w:id="453597238">
      <w:bodyDiv w:val="1"/>
      <w:marLeft w:val="0"/>
      <w:marRight w:val="0"/>
      <w:marTop w:val="0"/>
      <w:marBottom w:val="0"/>
      <w:divBdr>
        <w:top w:val="none" w:sz="0" w:space="0" w:color="auto"/>
        <w:left w:val="none" w:sz="0" w:space="0" w:color="auto"/>
        <w:bottom w:val="none" w:sz="0" w:space="0" w:color="auto"/>
        <w:right w:val="none" w:sz="0" w:space="0" w:color="auto"/>
      </w:divBdr>
    </w:div>
    <w:div w:id="454370314">
      <w:bodyDiv w:val="1"/>
      <w:marLeft w:val="0"/>
      <w:marRight w:val="0"/>
      <w:marTop w:val="0"/>
      <w:marBottom w:val="0"/>
      <w:divBdr>
        <w:top w:val="none" w:sz="0" w:space="0" w:color="auto"/>
        <w:left w:val="none" w:sz="0" w:space="0" w:color="auto"/>
        <w:bottom w:val="none" w:sz="0" w:space="0" w:color="auto"/>
        <w:right w:val="none" w:sz="0" w:space="0" w:color="auto"/>
      </w:divBdr>
    </w:div>
    <w:div w:id="458034971">
      <w:bodyDiv w:val="1"/>
      <w:marLeft w:val="0"/>
      <w:marRight w:val="0"/>
      <w:marTop w:val="0"/>
      <w:marBottom w:val="0"/>
      <w:divBdr>
        <w:top w:val="none" w:sz="0" w:space="0" w:color="auto"/>
        <w:left w:val="none" w:sz="0" w:space="0" w:color="auto"/>
        <w:bottom w:val="none" w:sz="0" w:space="0" w:color="auto"/>
        <w:right w:val="none" w:sz="0" w:space="0" w:color="auto"/>
      </w:divBdr>
    </w:div>
    <w:div w:id="458231062">
      <w:bodyDiv w:val="1"/>
      <w:marLeft w:val="0"/>
      <w:marRight w:val="0"/>
      <w:marTop w:val="0"/>
      <w:marBottom w:val="0"/>
      <w:divBdr>
        <w:top w:val="none" w:sz="0" w:space="0" w:color="auto"/>
        <w:left w:val="none" w:sz="0" w:space="0" w:color="auto"/>
        <w:bottom w:val="none" w:sz="0" w:space="0" w:color="auto"/>
        <w:right w:val="none" w:sz="0" w:space="0" w:color="auto"/>
      </w:divBdr>
    </w:div>
    <w:div w:id="468978267">
      <w:bodyDiv w:val="1"/>
      <w:marLeft w:val="0"/>
      <w:marRight w:val="0"/>
      <w:marTop w:val="0"/>
      <w:marBottom w:val="0"/>
      <w:divBdr>
        <w:top w:val="none" w:sz="0" w:space="0" w:color="auto"/>
        <w:left w:val="none" w:sz="0" w:space="0" w:color="auto"/>
        <w:bottom w:val="none" w:sz="0" w:space="0" w:color="auto"/>
        <w:right w:val="none" w:sz="0" w:space="0" w:color="auto"/>
      </w:divBdr>
    </w:div>
    <w:div w:id="504826310">
      <w:bodyDiv w:val="1"/>
      <w:marLeft w:val="0"/>
      <w:marRight w:val="0"/>
      <w:marTop w:val="0"/>
      <w:marBottom w:val="0"/>
      <w:divBdr>
        <w:top w:val="none" w:sz="0" w:space="0" w:color="auto"/>
        <w:left w:val="none" w:sz="0" w:space="0" w:color="auto"/>
        <w:bottom w:val="none" w:sz="0" w:space="0" w:color="auto"/>
        <w:right w:val="none" w:sz="0" w:space="0" w:color="auto"/>
      </w:divBdr>
    </w:div>
    <w:div w:id="522401756">
      <w:bodyDiv w:val="1"/>
      <w:marLeft w:val="0"/>
      <w:marRight w:val="0"/>
      <w:marTop w:val="0"/>
      <w:marBottom w:val="0"/>
      <w:divBdr>
        <w:top w:val="none" w:sz="0" w:space="0" w:color="auto"/>
        <w:left w:val="none" w:sz="0" w:space="0" w:color="auto"/>
        <w:bottom w:val="none" w:sz="0" w:space="0" w:color="auto"/>
        <w:right w:val="none" w:sz="0" w:space="0" w:color="auto"/>
      </w:divBdr>
    </w:div>
    <w:div w:id="523128295">
      <w:bodyDiv w:val="1"/>
      <w:marLeft w:val="0"/>
      <w:marRight w:val="0"/>
      <w:marTop w:val="0"/>
      <w:marBottom w:val="0"/>
      <w:divBdr>
        <w:top w:val="none" w:sz="0" w:space="0" w:color="auto"/>
        <w:left w:val="none" w:sz="0" w:space="0" w:color="auto"/>
        <w:bottom w:val="none" w:sz="0" w:space="0" w:color="auto"/>
        <w:right w:val="none" w:sz="0" w:space="0" w:color="auto"/>
      </w:divBdr>
    </w:div>
    <w:div w:id="534461055">
      <w:bodyDiv w:val="1"/>
      <w:marLeft w:val="0"/>
      <w:marRight w:val="0"/>
      <w:marTop w:val="0"/>
      <w:marBottom w:val="0"/>
      <w:divBdr>
        <w:top w:val="none" w:sz="0" w:space="0" w:color="auto"/>
        <w:left w:val="none" w:sz="0" w:space="0" w:color="auto"/>
        <w:bottom w:val="none" w:sz="0" w:space="0" w:color="auto"/>
        <w:right w:val="none" w:sz="0" w:space="0" w:color="auto"/>
      </w:divBdr>
    </w:div>
    <w:div w:id="535121961">
      <w:bodyDiv w:val="1"/>
      <w:marLeft w:val="0"/>
      <w:marRight w:val="0"/>
      <w:marTop w:val="0"/>
      <w:marBottom w:val="0"/>
      <w:divBdr>
        <w:top w:val="none" w:sz="0" w:space="0" w:color="auto"/>
        <w:left w:val="none" w:sz="0" w:space="0" w:color="auto"/>
        <w:bottom w:val="none" w:sz="0" w:space="0" w:color="auto"/>
        <w:right w:val="none" w:sz="0" w:space="0" w:color="auto"/>
      </w:divBdr>
    </w:div>
    <w:div w:id="544409171">
      <w:bodyDiv w:val="1"/>
      <w:marLeft w:val="0"/>
      <w:marRight w:val="0"/>
      <w:marTop w:val="0"/>
      <w:marBottom w:val="0"/>
      <w:divBdr>
        <w:top w:val="none" w:sz="0" w:space="0" w:color="auto"/>
        <w:left w:val="none" w:sz="0" w:space="0" w:color="auto"/>
        <w:bottom w:val="none" w:sz="0" w:space="0" w:color="auto"/>
        <w:right w:val="none" w:sz="0" w:space="0" w:color="auto"/>
      </w:divBdr>
    </w:div>
    <w:div w:id="550658545">
      <w:bodyDiv w:val="1"/>
      <w:marLeft w:val="0"/>
      <w:marRight w:val="0"/>
      <w:marTop w:val="0"/>
      <w:marBottom w:val="0"/>
      <w:divBdr>
        <w:top w:val="none" w:sz="0" w:space="0" w:color="auto"/>
        <w:left w:val="none" w:sz="0" w:space="0" w:color="auto"/>
        <w:bottom w:val="none" w:sz="0" w:space="0" w:color="auto"/>
        <w:right w:val="none" w:sz="0" w:space="0" w:color="auto"/>
      </w:divBdr>
    </w:div>
    <w:div w:id="551888873">
      <w:bodyDiv w:val="1"/>
      <w:marLeft w:val="0"/>
      <w:marRight w:val="0"/>
      <w:marTop w:val="0"/>
      <w:marBottom w:val="0"/>
      <w:divBdr>
        <w:top w:val="none" w:sz="0" w:space="0" w:color="auto"/>
        <w:left w:val="none" w:sz="0" w:space="0" w:color="auto"/>
        <w:bottom w:val="none" w:sz="0" w:space="0" w:color="auto"/>
        <w:right w:val="none" w:sz="0" w:space="0" w:color="auto"/>
      </w:divBdr>
    </w:div>
    <w:div w:id="568349122">
      <w:bodyDiv w:val="1"/>
      <w:marLeft w:val="0"/>
      <w:marRight w:val="0"/>
      <w:marTop w:val="0"/>
      <w:marBottom w:val="0"/>
      <w:divBdr>
        <w:top w:val="none" w:sz="0" w:space="0" w:color="auto"/>
        <w:left w:val="none" w:sz="0" w:space="0" w:color="auto"/>
        <w:bottom w:val="none" w:sz="0" w:space="0" w:color="auto"/>
        <w:right w:val="none" w:sz="0" w:space="0" w:color="auto"/>
      </w:divBdr>
    </w:div>
    <w:div w:id="581452931">
      <w:bodyDiv w:val="1"/>
      <w:marLeft w:val="0"/>
      <w:marRight w:val="0"/>
      <w:marTop w:val="0"/>
      <w:marBottom w:val="0"/>
      <w:divBdr>
        <w:top w:val="none" w:sz="0" w:space="0" w:color="auto"/>
        <w:left w:val="none" w:sz="0" w:space="0" w:color="auto"/>
        <w:bottom w:val="none" w:sz="0" w:space="0" w:color="auto"/>
        <w:right w:val="none" w:sz="0" w:space="0" w:color="auto"/>
      </w:divBdr>
    </w:div>
    <w:div w:id="584076949">
      <w:bodyDiv w:val="1"/>
      <w:marLeft w:val="0"/>
      <w:marRight w:val="0"/>
      <w:marTop w:val="0"/>
      <w:marBottom w:val="0"/>
      <w:divBdr>
        <w:top w:val="none" w:sz="0" w:space="0" w:color="auto"/>
        <w:left w:val="none" w:sz="0" w:space="0" w:color="auto"/>
        <w:bottom w:val="none" w:sz="0" w:space="0" w:color="auto"/>
        <w:right w:val="none" w:sz="0" w:space="0" w:color="auto"/>
      </w:divBdr>
    </w:div>
    <w:div w:id="590433846">
      <w:bodyDiv w:val="1"/>
      <w:marLeft w:val="0"/>
      <w:marRight w:val="0"/>
      <w:marTop w:val="0"/>
      <w:marBottom w:val="0"/>
      <w:divBdr>
        <w:top w:val="none" w:sz="0" w:space="0" w:color="auto"/>
        <w:left w:val="none" w:sz="0" w:space="0" w:color="auto"/>
        <w:bottom w:val="none" w:sz="0" w:space="0" w:color="auto"/>
        <w:right w:val="none" w:sz="0" w:space="0" w:color="auto"/>
      </w:divBdr>
    </w:div>
    <w:div w:id="595558199">
      <w:bodyDiv w:val="1"/>
      <w:marLeft w:val="0"/>
      <w:marRight w:val="0"/>
      <w:marTop w:val="0"/>
      <w:marBottom w:val="0"/>
      <w:divBdr>
        <w:top w:val="none" w:sz="0" w:space="0" w:color="auto"/>
        <w:left w:val="none" w:sz="0" w:space="0" w:color="auto"/>
        <w:bottom w:val="none" w:sz="0" w:space="0" w:color="auto"/>
        <w:right w:val="none" w:sz="0" w:space="0" w:color="auto"/>
      </w:divBdr>
    </w:div>
    <w:div w:id="617570419">
      <w:bodyDiv w:val="1"/>
      <w:marLeft w:val="0"/>
      <w:marRight w:val="0"/>
      <w:marTop w:val="0"/>
      <w:marBottom w:val="0"/>
      <w:divBdr>
        <w:top w:val="none" w:sz="0" w:space="0" w:color="auto"/>
        <w:left w:val="none" w:sz="0" w:space="0" w:color="auto"/>
        <w:bottom w:val="none" w:sz="0" w:space="0" w:color="auto"/>
        <w:right w:val="none" w:sz="0" w:space="0" w:color="auto"/>
      </w:divBdr>
    </w:div>
    <w:div w:id="633944392">
      <w:bodyDiv w:val="1"/>
      <w:marLeft w:val="0"/>
      <w:marRight w:val="0"/>
      <w:marTop w:val="0"/>
      <w:marBottom w:val="0"/>
      <w:divBdr>
        <w:top w:val="none" w:sz="0" w:space="0" w:color="auto"/>
        <w:left w:val="none" w:sz="0" w:space="0" w:color="auto"/>
        <w:bottom w:val="none" w:sz="0" w:space="0" w:color="auto"/>
        <w:right w:val="none" w:sz="0" w:space="0" w:color="auto"/>
      </w:divBdr>
    </w:div>
    <w:div w:id="638998068">
      <w:bodyDiv w:val="1"/>
      <w:marLeft w:val="0"/>
      <w:marRight w:val="0"/>
      <w:marTop w:val="0"/>
      <w:marBottom w:val="0"/>
      <w:divBdr>
        <w:top w:val="none" w:sz="0" w:space="0" w:color="auto"/>
        <w:left w:val="none" w:sz="0" w:space="0" w:color="auto"/>
        <w:bottom w:val="none" w:sz="0" w:space="0" w:color="auto"/>
        <w:right w:val="none" w:sz="0" w:space="0" w:color="auto"/>
      </w:divBdr>
    </w:div>
    <w:div w:id="661391110">
      <w:bodyDiv w:val="1"/>
      <w:marLeft w:val="0"/>
      <w:marRight w:val="0"/>
      <w:marTop w:val="0"/>
      <w:marBottom w:val="0"/>
      <w:divBdr>
        <w:top w:val="none" w:sz="0" w:space="0" w:color="auto"/>
        <w:left w:val="none" w:sz="0" w:space="0" w:color="auto"/>
        <w:bottom w:val="none" w:sz="0" w:space="0" w:color="auto"/>
        <w:right w:val="none" w:sz="0" w:space="0" w:color="auto"/>
      </w:divBdr>
    </w:div>
    <w:div w:id="667757027">
      <w:bodyDiv w:val="1"/>
      <w:marLeft w:val="0"/>
      <w:marRight w:val="0"/>
      <w:marTop w:val="0"/>
      <w:marBottom w:val="0"/>
      <w:divBdr>
        <w:top w:val="none" w:sz="0" w:space="0" w:color="auto"/>
        <w:left w:val="none" w:sz="0" w:space="0" w:color="auto"/>
        <w:bottom w:val="none" w:sz="0" w:space="0" w:color="auto"/>
        <w:right w:val="none" w:sz="0" w:space="0" w:color="auto"/>
      </w:divBdr>
    </w:div>
    <w:div w:id="667825649">
      <w:bodyDiv w:val="1"/>
      <w:marLeft w:val="0"/>
      <w:marRight w:val="0"/>
      <w:marTop w:val="0"/>
      <w:marBottom w:val="0"/>
      <w:divBdr>
        <w:top w:val="none" w:sz="0" w:space="0" w:color="auto"/>
        <w:left w:val="none" w:sz="0" w:space="0" w:color="auto"/>
        <w:bottom w:val="none" w:sz="0" w:space="0" w:color="auto"/>
        <w:right w:val="none" w:sz="0" w:space="0" w:color="auto"/>
      </w:divBdr>
    </w:div>
    <w:div w:id="679697159">
      <w:bodyDiv w:val="1"/>
      <w:marLeft w:val="0"/>
      <w:marRight w:val="0"/>
      <w:marTop w:val="0"/>
      <w:marBottom w:val="0"/>
      <w:divBdr>
        <w:top w:val="none" w:sz="0" w:space="0" w:color="auto"/>
        <w:left w:val="none" w:sz="0" w:space="0" w:color="auto"/>
        <w:bottom w:val="none" w:sz="0" w:space="0" w:color="auto"/>
        <w:right w:val="none" w:sz="0" w:space="0" w:color="auto"/>
      </w:divBdr>
    </w:div>
    <w:div w:id="702898465">
      <w:bodyDiv w:val="1"/>
      <w:marLeft w:val="0"/>
      <w:marRight w:val="0"/>
      <w:marTop w:val="0"/>
      <w:marBottom w:val="0"/>
      <w:divBdr>
        <w:top w:val="none" w:sz="0" w:space="0" w:color="auto"/>
        <w:left w:val="none" w:sz="0" w:space="0" w:color="auto"/>
        <w:bottom w:val="none" w:sz="0" w:space="0" w:color="auto"/>
        <w:right w:val="none" w:sz="0" w:space="0" w:color="auto"/>
      </w:divBdr>
    </w:div>
    <w:div w:id="704252960">
      <w:bodyDiv w:val="1"/>
      <w:marLeft w:val="0"/>
      <w:marRight w:val="0"/>
      <w:marTop w:val="0"/>
      <w:marBottom w:val="0"/>
      <w:divBdr>
        <w:top w:val="none" w:sz="0" w:space="0" w:color="auto"/>
        <w:left w:val="none" w:sz="0" w:space="0" w:color="auto"/>
        <w:bottom w:val="none" w:sz="0" w:space="0" w:color="auto"/>
        <w:right w:val="none" w:sz="0" w:space="0" w:color="auto"/>
      </w:divBdr>
    </w:div>
    <w:div w:id="714236175">
      <w:bodyDiv w:val="1"/>
      <w:marLeft w:val="0"/>
      <w:marRight w:val="0"/>
      <w:marTop w:val="0"/>
      <w:marBottom w:val="0"/>
      <w:divBdr>
        <w:top w:val="none" w:sz="0" w:space="0" w:color="auto"/>
        <w:left w:val="none" w:sz="0" w:space="0" w:color="auto"/>
        <w:bottom w:val="none" w:sz="0" w:space="0" w:color="auto"/>
        <w:right w:val="none" w:sz="0" w:space="0" w:color="auto"/>
      </w:divBdr>
    </w:div>
    <w:div w:id="714430162">
      <w:bodyDiv w:val="1"/>
      <w:marLeft w:val="0"/>
      <w:marRight w:val="0"/>
      <w:marTop w:val="0"/>
      <w:marBottom w:val="0"/>
      <w:divBdr>
        <w:top w:val="none" w:sz="0" w:space="0" w:color="auto"/>
        <w:left w:val="none" w:sz="0" w:space="0" w:color="auto"/>
        <w:bottom w:val="none" w:sz="0" w:space="0" w:color="auto"/>
        <w:right w:val="none" w:sz="0" w:space="0" w:color="auto"/>
      </w:divBdr>
    </w:div>
    <w:div w:id="729575061">
      <w:bodyDiv w:val="1"/>
      <w:marLeft w:val="0"/>
      <w:marRight w:val="0"/>
      <w:marTop w:val="0"/>
      <w:marBottom w:val="0"/>
      <w:divBdr>
        <w:top w:val="none" w:sz="0" w:space="0" w:color="auto"/>
        <w:left w:val="none" w:sz="0" w:space="0" w:color="auto"/>
        <w:bottom w:val="none" w:sz="0" w:space="0" w:color="auto"/>
        <w:right w:val="none" w:sz="0" w:space="0" w:color="auto"/>
      </w:divBdr>
    </w:div>
    <w:div w:id="738090938">
      <w:bodyDiv w:val="1"/>
      <w:marLeft w:val="0"/>
      <w:marRight w:val="0"/>
      <w:marTop w:val="0"/>
      <w:marBottom w:val="0"/>
      <w:divBdr>
        <w:top w:val="none" w:sz="0" w:space="0" w:color="auto"/>
        <w:left w:val="none" w:sz="0" w:space="0" w:color="auto"/>
        <w:bottom w:val="none" w:sz="0" w:space="0" w:color="auto"/>
        <w:right w:val="none" w:sz="0" w:space="0" w:color="auto"/>
      </w:divBdr>
    </w:div>
    <w:div w:id="739862205">
      <w:bodyDiv w:val="1"/>
      <w:marLeft w:val="0"/>
      <w:marRight w:val="0"/>
      <w:marTop w:val="0"/>
      <w:marBottom w:val="0"/>
      <w:divBdr>
        <w:top w:val="none" w:sz="0" w:space="0" w:color="auto"/>
        <w:left w:val="none" w:sz="0" w:space="0" w:color="auto"/>
        <w:bottom w:val="none" w:sz="0" w:space="0" w:color="auto"/>
        <w:right w:val="none" w:sz="0" w:space="0" w:color="auto"/>
      </w:divBdr>
    </w:div>
    <w:div w:id="766654311">
      <w:bodyDiv w:val="1"/>
      <w:marLeft w:val="0"/>
      <w:marRight w:val="0"/>
      <w:marTop w:val="0"/>
      <w:marBottom w:val="0"/>
      <w:divBdr>
        <w:top w:val="none" w:sz="0" w:space="0" w:color="auto"/>
        <w:left w:val="none" w:sz="0" w:space="0" w:color="auto"/>
        <w:bottom w:val="none" w:sz="0" w:space="0" w:color="auto"/>
        <w:right w:val="none" w:sz="0" w:space="0" w:color="auto"/>
      </w:divBdr>
    </w:div>
    <w:div w:id="767503659">
      <w:bodyDiv w:val="1"/>
      <w:marLeft w:val="0"/>
      <w:marRight w:val="0"/>
      <w:marTop w:val="0"/>
      <w:marBottom w:val="0"/>
      <w:divBdr>
        <w:top w:val="none" w:sz="0" w:space="0" w:color="auto"/>
        <w:left w:val="none" w:sz="0" w:space="0" w:color="auto"/>
        <w:bottom w:val="none" w:sz="0" w:space="0" w:color="auto"/>
        <w:right w:val="none" w:sz="0" w:space="0" w:color="auto"/>
      </w:divBdr>
    </w:div>
    <w:div w:id="772896110">
      <w:bodyDiv w:val="1"/>
      <w:marLeft w:val="0"/>
      <w:marRight w:val="0"/>
      <w:marTop w:val="0"/>
      <w:marBottom w:val="0"/>
      <w:divBdr>
        <w:top w:val="none" w:sz="0" w:space="0" w:color="auto"/>
        <w:left w:val="none" w:sz="0" w:space="0" w:color="auto"/>
        <w:bottom w:val="none" w:sz="0" w:space="0" w:color="auto"/>
        <w:right w:val="none" w:sz="0" w:space="0" w:color="auto"/>
      </w:divBdr>
    </w:div>
    <w:div w:id="783814778">
      <w:bodyDiv w:val="1"/>
      <w:marLeft w:val="0"/>
      <w:marRight w:val="0"/>
      <w:marTop w:val="0"/>
      <w:marBottom w:val="0"/>
      <w:divBdr>
        <w:top w:val="none" w:sz="0" w:space="0" w:color="auto"/>
        <w:left w:val="none" w:sz="0" w:space="0" w:color="auto"/>
        <w:bottom w:val="none" w:sz="0" w:space="0" w:color="auto"/>
        <w:right w:val="none" w:sz="0" w:space="0" w:color="auto"/>
      </w:divBdr>
    </w:div>
    <w:div w:id="799954250">
      <w:bodyDiv w:val="1"/>
      <w:marLeft w:val="0"/>
      <w:marRight w:val="0"/>
      <w:marTop w:val="0"/>
      <w:marBottom w:val="0"/>
      <w:divBdr>
        <w:top w:val="none" w:sz="0" w:space="0" w:color="auto"/>
        <w:left w:val="none" w:sz="0" w:space="0" w:color="auto"/>
        <w:bottom w:val="none" w:sz="0" w:space="0" w:color="auto"/>
        <w:right w:val="none" w:sz="0" w:space="0" w:color="auto"/>
      </w:divBdr>
    </w:div>
    <w:div w:id="801725305">
      <w:bodyDiv w:val="1"/>
      <w:marLeft w:val="0"/>
      <w:marRight w:val="0"/>
      <w:marTop w:val="0"/>
      <w:marBottom w:val="0"/>
      <w:divBdr>
        <w:top w:val="none" w:sz="0" w:space="0" w:color="auto"/>
        <w:left w:val="none" w:sz="0" w:space="0" w:color="auto"/>
        <w:bottom w:val="none" w:sz="0" w:space="0" w:color="auto"/>
        <w:right w:val="none" w:sz="0" w:space="0" w:color="auto"/>
      </w:divBdr>
    </w:div>
    <w:div w:id="807208287">
      <w:bodyDiv w:val="1"/>
      <w:marLeft w:val="0"/>
      <w:marRight w:val="0"/>
      <w:marTop w:val="0"/>
      <w:marBottom w:val="0"/>
      <w:divBdr>
        <w:top w:val="none" w:sz="0" w:space="0" w:color="auto"/>
        <w:left w:val="none" w:sz="0" w:space="0" w:color="auto"/>
        <w:bottom w:val="none" w:sz="0" w:space="0" w:color="auto"/>
        <w:right w:val="none" w:sz="0" w:space="0" w:color="auto"/>
      </w:divBdr>
    </w:div>
    <w:div w:id="817108749">
      <w:bodyDiv w:val="1"/>
      <w:marLeft w:val="0"/>
      <w:marRight w:val="0"/>
      <w:marTop w:val="0"/>
      <w:marBottom w:val="0"/>
      <w:divBdr>
        <w:top w:val="none" w:sz="0" w:space="0" w:color="auto"/>
        <w:left w:val="none" w:sz="0" w:space="0" w:color="auto"/>
        <w:bottom w:val="none" w:sz="0" w:space="0" w:color="auto"/>
        <w:right w:val="none" w:sz="0" w:space="0" w:color="auto"/>
      </w:divBdr>
    </w:div>
    <w:div w:id="828181688">
      <w:bodyDiv w:val="1"/>
      <w:marLeft w:val="0"/>
      <w:marRight w:val="0"/>
      <w:marTop w:val="0"/>
      <w:marBottom w:val="0"/>
      <w:divBdr>
        <w:top w:val="none" w:sz="0" w:space="0" w:color="auto"/>
        <w:left w:val="none" w:sz="0" w:space="0" w:color="auto"/>
        <w:bottom w:val="none" w:sz="0" w:space="0" w:color="auto"/>
        <w:right w:val="none" w:sz="0" w:space="0" w:color="auto"/>
      </w:divBdr>
    </w:div>
    <w:div w:id="828905597">
      <w:bodyDiv w:val="1"/>
      <w:marLeft w:val="0"/>
      <w:marRight w:val="0"/>
      <w:marTop w:val="0"/>
      <w:marBottom w:val="0"/>
      <w:divBdr>
        <w:top w:val="none" w:sz="0" w:space="0" w:color="auto"/>
        <w:left w:val="none" w:sz="0" w:space="0" w:color="auto"/>
        <w:bottom w:val="none" w:sz="0" w:space="0" w:color="auto"/>
        <w:right w:val="none" w:sz="0" w:space="0" w:color="auto"/>
      </w:divBdr>
    </w:div>
    <w:div w:id="841624864">
      <w:bodyDiv w:val="1"/>
      <w:marLeft w:val="0"/>
      <w:marRight w:val="0"/>
      <w:marTop w:val="0"/>
      <w:marBottom w:val="0"/>
      <w:divBdr>
        <w:top w:val="none" w:sz="0" w:space="0" w:color="auto"/>
        <w:left w:val="none" w:sz="0" w:space="0" w:color="auto"/>
        <w:bottom w:val="none" w:sz="0" w:space="0" w:color="auto"/>
        <w:right w:val="none" w:sz="0" w:space="0" w:color="auto"/>
      </w:divBdr>
    </w:div>
    <w:div w:id="857237463">
      <w:bodyDiv w:val="1"/>
      <w:marLeft w:val="0"/>
      <w:marRight w:val="0"/>
      <w:marTop w:val="0"/>
      <w:marBottom w:val="0"/>
      <w:divBdr>
        <w:top w:val="none" w:sz="0" w:space="0" w:color="auto"/>
        <w:left w:val="none" w:sz="0" w:space="0" w:color="auto"/>
        <w:bottom w:val="none" w:sz="0" w:space="0" w:color="auto"/>
        <w:right w:val="none" w:sz="0" w:space="0" w:color="auto"/>
      </w:divBdr>
    </w:div>
    <w:div w:id="864632451">
      <w:bodyDiv w:val="1"/>
      <w:marLeft w:val="0"/>
      <w:marRight w:val="0"/>
      <w:marTop w:val="0"/>
      <w:marBottom w:val="0"/>
      <w:divBdr>
        <w:top w:val="none" w:sz="0" w:space="0" w:color="auto"/>
        <w:left w:val="none" w:sz="0" w:space="0" w:color="auto"/>
        <w:bottom w:val="none" w:sz="0" w:space="0" w:color="auto"/>
        <w:right w:val="none" w:sz="0" w:space="0" w:color="auto"/>
      </w:divBdr>
    </w:div>
    <w:div w:id="866408892">
      <w:bodyDiv w:val="1"/>
      <w:marLeft w:val="0"/>
      <w:marRight w:val="0"/>
      <w:marTop w:val="0"/>
      <w:marBottom w:val="0"/>
      <w:divBdr>
        <w:top w:val="none" w:sz="0" w:space="0" w:color="auto"/>
        <w:left w:val="none" w:sz="0" w:space="0" w:color="auto"/>
        <w:bottom w:val="none" w:sz="0" w:space="0" w:color="auto"/>
        <w:right w:val="none" w:sz="0" w:space="0" w:color="auto"/>
      </w:divBdr>
    </w:div>
    <w:div w:id="866912586">
      <w:bodyDiv w:val="1"/>
      <w:marLeft w:val="0"/>
      <w:marRight w:val="0"/>
      <w:marTop w:val="0"/>
      <w:marBottom w:val="0"/>
      <w:divBdr>
        <w:top w:val="none" w:sz="0" w:space="0" w:color="auto"/>
        <w:left w:val="none" w:sz="0" w:space="0" w:color="auto"/>
        <w:bottom w:val="none" w:sz="0" w:space="0" w:color="auto"/>
        <w:right w:val="none" w:sz="0" w:space="0" w:color="auto"/>
      </w:divBdr>
    </w:div>
    <w:div w:id="870726059">
      <w:bodyDiv w:val="1"/>
      <w:marLeft w:val="0"/>
      <w:marRight w:val="0"/>
      <w:marTop w:val="0"/>
      <w:marBottom w:val="0"/>
      <w:divBdr>
        <w:top w:val="none" w:sz="0" w:space="0" w:color="auto"/>
        <w:left w:val="none" w:sz="0" w:space="0" w:color="auto"/>
        <w:bottom w:val="none" w:sz="0" w:space="0" w:color="auto"/>
        <w:right w:val="none" w:sz="0" w:space="0" w:color="auto"/>
      </w:divBdr>
    </w:div>
    <w:div w:id="872763097">
      <w:bodyDiv w:val="1"/>
      <w:marLeft w:val="0"/>
      <w:marRight w:val="0"/>
      <w:marTop w:val="0"/>
      <w:marBottom w:val="0"/>
      <w:divBdr>
        <w:top w:val="none" w:sz="0" w:space="0" w:color="auto"/>
        <w:left w:val="none" w:sz="0" w:space="0" w:color="auto"/>
        <w:bottom w:val="none" w:sz="0" w:space="0" w:color="auto"/>
        <w:right w:val="none" w:sz="0" w:space="0" w:color="auto"/>
      </w:divBdr>
    </w:div>
    <w:div w:id="878012109">
      <w:bodyDiv w:val="1"/>
      <w:marLeft w:val="0"/>
      <w:marRight w:val="0"/>
      <w:marTop w:val="0"/>
      <w:marBottom w:val="0"/>
      <w:divBdr>
        <w:top w:val="none" w:sz="0" w:space="0" w:color="auto"/>
        <w:left w:val="none" w:sz="0" w:space="0" w:color="auto"/>
        <w:bottom w:val="none" w:sz="0" w:space="0" w:color="auto"/>
        <w:right w:val="none" w:sz="0" w:space="0" w:color="auto"/>
      </w:divBdr>
    </w:div>
    <w:div w:id="881290320">
      <w:bodyDiv w:val="1"/>
      <w:marLeft w:val="0"/>
      <w:marRight w:val="0"/>
      <w:marTop w:val="0"/>
      <w:marBottom w:val="0"/>
      <w:divBdr>
        <w:top w:val="none" w:sz="0" w:space="0" w:color="auto"/>
        <w:left w:val="none" w:sz="0" w:space="0" w:color="auto"/>
        <w:bottom w:val="none" w:sz="0" w:space="0" w:color="auto"/>
        <w:right w:val="none" w:sz="0" w:space="0" w:color="auto"/>
      </w:divBdr>
    </w:div>
    <w:div w:id="888497534">
      <w:bodyDiv w:val="1"/>
      <w:marLeft w:val="0"/>
      <w:marRight w:val="0"/>
      <w:marTop w:val="0"/>
      <w:marBottom w:val="0"/>
      <w:divBdr>
        <w:top w:val="none" w:sz="0" w:space="0" w:color="auto"/>
        <w:left w:val="none" w:sz="0" w:space="0" w:color="auto"/>
        <w:bottom w:val="none" w:sz="0" w:space="0" w:color="auto"/>
        <w:right w:val="none" w:sz="0" w:space="0" w:color="auto"/>
      </w:divBdr>
    </w:div>
    <w:div w:id="890766970">
      <w:bodyDiv w:val="1"/>
      <w:marLeft w:val="0"/>
      <w:marRight w:val="0"/>
      <w:marTop w:val="0"/>
      <w:marBottom w:val="0"/>
      <w:divBdr>
        <w:top w:val="none" w:sz="0" w:space="0" w:color="auto"/>
        <w:left w:val="none" w:sz="0" w:space="0" w:color="auto"/>
        <w:bottom w:val="none" w:sz="0" w:space="0" w:color="auto"/>
        <w:right w:val="none" w:sz="0" w:space="0" w:color="auto"/>
      </w:divBdr>
    </w:div>
    <w:div w:id="892278374">
      <w:bodyDiv w:val="1"/>
      <w:marLeft w:val="0"/>
      <w:marRight w:val="0"/>
      <w:marTop w:val="0"/>
      <w:marBottom w:val="0"/>
      <w:divBdr>
        <w:top w:val="none" w:sz="0" w:space="0" w:color="auto"/>
        <w:left w:val="none" w:sz="0" w:space="0" w:color="auto"/>
        <w:bottom w:val="none" w:sz="0" w:space="0" w:color="auto"/>
        <w:right w:val="none" w:sz="0" w:space="0" w:color="auto"/>
      </w:divBdr>
    </w:div>
    <w:div w:id="900751157">
      <w:bodyDiv w:val="1"/>
      <w:marLeft w:val="0"/>
      <w:marRight w:val="0"/>
      <w:marTop w:val="0"/>
      <w:marBottom w:val="0"/>
      <w:divBdr>
        <w:top w:val="none" w:sz="0" w:space="0" w:color="auto"/>
        <w:left w:val="none" w:sz="0" w:space="0" w:color="auto"/>
        <w:bottom w:val="none" w:sz="0" w:space="0" w:color="auto"/>
        <w:right w:val="none" w:sz="0" w:space="0" w:color="auto"/>
      </w:divBdr>
    </w:div>
    <w:div w:id="915625204">
      <w:bodyDiv w:val="1"/>
      <w:marLeft w:val="0"/>
      <w:marRight w:val="0"/>
      <w:marTop w:val="0"/>
      <w:marBottom w:val="0"/>
      <w:divBdr>
        <w:top w:val="none" w:sz="0" w:space="0" w:color="auto"/>
        <w:left w:val="none" w:sz="0" w:space="0" w:color="auto"/>
        <w:bottom w:val="none" w:sz="0" w:space="0" w:color="auto"/>
        <w:right w:val="none" w:sz="0" w:space="0" w:color="auto"/>
      </w:divBdr>
    </w:div>
    <w:div w:id="917326096">
      <w:bodyDiv w:val="1"/>
      <w:marLeft w:val="0"/>
      <w:marRight w:val="0"/>
      <w:marTop w:val="0"/>
      <w:marBottom w:val="0"/>
      <w:divBdr>
        <w:top w:val="none" w:sz="0" w:space="0" w:color="auto"/>
        <w:left w:val="none" w:sz="0" w:space="0" w:color="auto"/>
        <w:bottom w:val="none" w:sz="0" w:space="0" w:color="auto"/>
        <w:right w:val="none" w:sz="0" w:space="0" w:color="auto"/>
      </w:divBdr>
    </w:div>
    <w:div w:id="921331784">
      <w:bodyDiv w:val="1"/>
      <w:marLeft w:val="0"/>
      <w:marRight w:val="0"/>
      <w:marTop w:val="0"/>
      <w:marBottom w:val="0"/>
      <w:divBdr>
        <w:top w:val="none" w:sz="0" w:space="0" w:color="auto"/>
        <w:left w:val="none" w:sz="0" w:space="0" w:color="auto"/>
        <w:bottom w:val="none" w:sz="0" w:space="0" w:color="auto"/>
        <w:right w:val="none" w:sz="0" w:space="0" w:color="auto"/>
      </w:divBdr>
    </w:div>
    <w:div w:id="928272421">
      <w:bodyDiv w:val="1"/>
      <w:marLeft w:val="0"/>
      <w:marRight w:val="0"/>
      <w:marTop w:val="0"/>
      <w:marBottom w:val="0"/>
      <w:divBdr>
        <w:top w:val="none" w:sz="0" w:space="0" w:color="auto"/>
        <w:left w:val="none" w:sz="0" w:space="0" w:color="auto"/>
        <w:bottom w:val="none" w:sz="0" w:space="0" w:color="auto"/>
        <w:right w:val="none" w:sz="0" w:space="0" w:color="auto"/>
      </w:divBdr>
    </w:div>
    <w:div w:id="933318242">
      <w:bodyDiv w:val="1"/>
      <w:marLeft w:val="0"/>
      <w:marRight w:val="0"/>
      <w:marTop w:val="0"/>
      <w:marBottom w:val="0"/>
      <w:divBdr>
        <w:top w:val="none" w:sz="0" w:space="0" w:color="auto"/>
        <w:left w:val="none" w:sz="0" w:space="0" w:color="auto"/>
        <w:bottom w:val="none" w:sz="0" w:space="0" w:color="auto"/>
        <w:right w:val="none" w:sz="0" w:space="0" w:color="auto"/>
      </w:divBdr>
    </w:div>
    <w:div w:id="939604301">
      <w:bodyDiv w:val="1"/>
      <w:marLeft w:val="0"/>
      <w:marRight w:val="0"/>
      <w:marTop w:val="0"/>
      <w:marBottom w:val="0"/>
      <w:divBdr>
        <w:top w:val="none" w:sz="0" w:space="0" w:color="auto"/>
        <w:left w:val="none" w:sz="0" w:space="0" w:color="auto"/>
        <w:bottom w:val="none" w:sz="0" w:space="0" w:color="auto"/>
        <w:right w:val="none" w:sz="0" w:space="0" w:color="auto"/>
      </w:divBdr>
    </w:div>
    <w:div w:id="949818960">
      <w:bodyDiv w:val="1"/>
      <w:marLeft w:val="0"/>
      <w:marRight w:val="0"/>
      <w:marTop w:val="0"/>
      <w:marBottom w:val="0"/>
      <w:divBdr>
        <w:top w:val="none" w:sz="0" w:space="0" w:color="auto"/>
        <w:left w:val="none" w:sz="0" w:space="0" w:color="auto"/>
        <w:bottom w:val="none" w:sz="0" w:space="0" w:color="auto"/>
        <w:right w:val="none" w:sz="0" w:space="0" w:color="auto"/>
      </w:divBdr>
    </w:div>
    <w:div w:id="962886578">
      <w:bodyDiv w:val="1"/>
      <w:marLeft w:val="0"/>
      <w:marRight w:val="0"/>
      <w:marTop w:val="0"/>
      <w:marBottom w:val="0"/>
      <w:divBdr>
        <w:top w:val="none" w:sz="0" w:space="0" w:color="auto"/>
        <w:left w:val="none" w:sz="0" w:space="0" w:color="auto"/>
        <w:bottom w:val="none" w:sz="0" w:space="0" w:color="auto"/>
        <w:right w:val="none" w:sz="0" w:space="0" w:color="auto"/>
      </w:divBdr>
    </w:div>
    <w:div w:id="975137441">
      <w:bodyDiv w:val="1"/>
      <w:marLeft w:val="0"/>
      <w:marRight w:val="0"/>
      <w:marTop w:val="0"/>
      <w:marBottom w:val="0"/>
      <w:divBdr>
        <w:top w:val="none" w:sz="0" w:space="0" w:color="auto"/>
        <w:left w:val="none" w:sz="0" w:space="0" w:color="auto"/>
        <w:bottom w:val="none" w:sz="0" w:space="0" w:color="auto"/>
        <w:right w:val="none" w:sz="0" w:space="0" w:color="auto"/>
      </w:divBdr>
    </w:div>
    <w:div w:id="985356551">
      <w:bodyDiv w:val="1"/>
      <w:marLeft w:val="0"/>
      <w:marRight w:val="0"/>
      <w:marTop w:val="0"/>
      <w:marBottom w:val="0"/>
      <w:divBdr>
        <w:top w:val="none" w:sz="0" w:space="0" w:color="auto"/>
        <w:left w:val="none" w:sz="0" w:space="0" w:color="auto"/>
        <w:bottom w:val="none" w:sz="0" w:space="0" w:color="auto"/>
        <w:right w:val="none" w:sz="0" w:space="0" w:color="auto"/>
      </w:divBdr>
    </w:div>
    <w:div w:id="995381559">
      <w:bodyDiv w:val="1"/>
      <w:marLeft w:val="0"/>
      <w:marRight w:val="0"/>
      <w:marTop w:val="0"/>
      <w:marBottom w:val="0"/>
      <w:divBdr>
        <w:top w:val="none" w:sz="0" w:space="0" w:color="auto"/>
        <w:left w:val="none" w:sz="0" w:space="0" w:color="auto"/>
        <w:bottom w:val="none" w:sz="0" w:space="0" w:color="auto"/>
        <w:right w:val="none" w:sz="0" w:space="0" w:color="auto"/>
      </w:divBdr>
    </w:div>
    <w:div w:id="999038494">
      <w:bodyDiv w:val="1"/>
      <w:marLeft w:val="0"/>
      <w:marRight w:val="0"/>
      <w:marTop w:val="0"/>
      <w:marBottom w:val="0"/>
      <w:divBdr>
        <w:top w:val="none" w:sz="0" w:space="0" w:color="auto"/>
        <w:left w:val="none" w:sz="0" w:space="0" w:color="auto"/>
        <w:bottom w:val="none" w:sz="0" w:space="0" w:color="auto"/>
        <w:right w:val="none" w:sz="0" w:space="0" w:color="auto"/>
      </w:divBdr>
    </w:div>
    <w:div w:id="999499967">
      <w:bodyDiv w:val="1"/>
      <w:marLeft w:val="0"/>
      <w:marRight w:val="0"/>
      <w:marTop w:val="0"/>
      <w:marBottom w:val="0"/>
      <w:divBdr>
        <w:top w:val="none" w:sz="0" w:space="0" w:color="auto"/>
        <w:left w:val="none" w:sz="0" w:space="0" w:color="auto"/>
        <w:bottom w:val="none" w:sz="0" w:space="0" w:color="auto"/>
        <w:right w:val="none" w:sz="0" w:space="0" w:color="auto"/>
      </w:divBdr>
    </w:div>
    <w:div w:id="1001198942">
      <w:bodyDiv w:val="1"/>
      <w:marLeft w:val="0"/>
      <w:marRight w:val="0"/>
      <w:marTop w:val="0"/>
      <w:marBottom w:val="0"/>
      <w:divBdr>
        <w:top w:val="none" w:sz="0" w:space="0" w:color="auto"/>
        <w:left w:val="none" w:sz="0" w:space="0" w:color="auto"/>
        <w:bottom w:val="none" w:sz="0" w:space="0" w:color="auto"/>
        <w:right w:val="none" w:sz="0" w:space="0" w:color="auto"/>
      </w:divBdr>
    </w:div>
    <w:div w:id="1001347077">
      <w:bodyDiv w:val="1"/>
      <w:marLeft w:val="0"/>
      <w:marRight w:val="0"/>
      <w:marTop w:val="0"/>
      <w:marBottom w:val="0"/>
      <w:divBdr>
        <w:top w:val="none" w:sz="0" w:space="0" w:color="auto"/>
        <w:left w:val="none" w:sz="0" w:space="0" w:color="auto"/>
        <w:bottom w:val="none" w:sz="0" w:space="0" w:color="auto"/>
        <w:right w:val="none" w:sz="0" w:space="0" w:color="auto"/>
      </w:divBdr>
    </w:div>
    <w:div w:id="1004238513">
      <w:bodyDiv w:val="1"/>
      <w:marLeft w:val="0"/>
      <w:marRight w:val="0"/>
      <w:marTop w:val="0"/>
      <w:marBottom w:val="0"/>
      <w:divBdr>
        <w:top w:val="none" w:sz="0" w:space="0" w:color="auto"/>
        <w:left w:val="none" w:sz="0" w:space="0" w:color="auto"/>
        <w:bottom w:val="none" w:sz="0" w:space="0" w:color="auto"/>
        <w:right w:val="none" w:sz="0" w:space="0" w:color="auto"/>
      </w:divBdr>
    </w:div>
    <w:div w:id="1017729736">
      <w:bodyDiv w:val="1"/>
      <w:marLeft w:val="0"/>
      <w:marRight w:val="0"/>
      <w:marTop w:val="0"/>
      <w:marBottom w:val="0"/>
      <w:divBdr>
        <w:top w:val="none" w:sz="0" w:space="0" w:color="auto"/>
        <w:left w:val="none" w:sz="0" w:space="0" w:color="auto"/>
        <w:bottom w:val="none" w:sz="0" w:space="0" w:color="auto"/>
        <w:right w:val="none" w:sz="0" w:space="0" w:color="auto"/>
      </w:divBdr>
    </w:div>
    <w:div w:id="1017971218">
      <w:bodyDiv w:val="1"/>
      <w:marLeft w:val="0"/>
      <w:marRight w:val="0"/>
      <w:marTop w:val="0"/>
      <w:marBottom w:val="0"/>
      <w:divBdr>
        <w:top w:val="none" w:sz="0" w:space="0" w:color="auto"/>
        <w:left w:val="none" w:sz="0" w:space="0" w:color="auto"/>
        <w:bottom w:val="none" w:sz="0" w:space="0" w:color="auto"/>
        <w:right w:val="none" w:sz="0" w:space="0" w:color="auto"/>
      </w:divBdr>
      <w:divsChild>
        <w:div w:id="1671257123">
          <w:marLeft w:val="0"/>
          <w:marRight w:val="0"/>
          <w:marTop w:val="0"/>
          <w:marBottom w:val="0"/>
          <w:divBdr>
            <w:top w:val="none" w:sz="0" w:space="0" w:color="auto"/>
            <w:left w:val="none" w:sz="0" w:space="0" w:color="auto"/>
            <w:bottom w:val="none" w:sz="0" w:space="0" w:color="auto"/>
            <w:right w:val="none" w:sz="0" w:space="0" w:color="auto"/>
          </w:divBdr>
        </w:div>
      </w:divsChild>
    </w:div>
    <w:div w:id="1023702386">
      <w:bodyDiv w:val="1"/>
      <w:marLeft w:val="0"/>
      <w:marRight w:val="0"/>
      <w:marTop w:val="0"/>
      <w:marBottom w:val="0"/>
      <w:divBdr>
        <w:top w:val="none" w:sz="0" w:space="0" w:color="auto"/>
        <w:left w:val="none" w:sz="0" w:space="0" w:color="auto"/>
        <w:bottom w:val="none" w:sz="0" w:space="0" w:color="auto"/>
        <w:right w:val="none" w:sz="0" w:space="0" w:color="auto"/>
      </w:divBdr>
    </w:div>
    <w:div w:id="1035732996">
      <w:bodyDiv w:val="1"/>
      <w:marLeft w:val="0"/>
      <w:marRight w:val="0"/>
      <w:marTop w:val="0"/>
      <w:marBottom w:val="0"/>
      <w:divBdr>
        <w:top w:val="none" w:sz="0" w:space="0" w:color="auto"/>
        <w:left w:val="none" w:sz="0" w:space="0" w:color="auto"/>
        <w:bottom w:val="none" w:sz="0" w:space="0" w:color="auto"/>
        <w:right w:val="none" w:sz="0" w:space="0" w:color="auto"/>
      </w:divBdr>
    </w:div>
    <w:div w:id="1039166950">
      <w:bodyDiv w:val="1"/>
      <w:marLeft w:val="0"/>
      <w:marRight w:val="0"/>
      <w:marTop w:val="0"/>
      <w:marBottom w:val="0"/>
      <w:divBdr>
        <w:top w:val="none" w:sz="0" w:space="0" w:color="auto"/>
        <w:left w:val="none" w:sz="0" w:space="0" w:color="auto"/>
        <w:bottom w:val="none" w:sz="0" w:space="0" w:color="auto"/>
        <w:right w:val="none" w:sz="0" w:space="0" w:color="auto"/>
      </w:divBdr>
    </w:div>
    <w:div w:id="1056665356">
      <w:bodyDiv w:val="1"/>
      <w:marLeft w:val="0"/>
      <w:marRight w:val="0"/>
      <w:marTop w:val="0"/>
      <w:marBottom w:val="0"/>
      <w:divBdr>
        <w:top w:val="none" w:sz="0" w:space="0" w:color="auto"/>
        <w:left w:val="none" w:sz="0" w:space="0" w:color="auto"/>
        <w:bottom w:val="none" w:sz="0" w:space="0" w:color="auto"/>
        <w:right w:val="none" w:sz="0" w:space="0" w:color="auto"/>
      </w:divBdr>
    </w:div>
    <w:div w:id="1058554885">
      <w:bodyDiv w:val="1"/>
      <w:marLeft w:val="0"/>
      <w:marRight w:val="0"/>
      <w:marTop w:val="0"/>
      <w:marBottom w:val="0"/>
      <w:divBdr>
        <w:top w:val="none" w:sz="0" w:space="0" w:color="auto"/>
        <w:left w:val="none" w:sz="0" w:space="0" w:color="auto"/>
        <w:bottom w:val="none" w:sz="0" w:space="0" w:color="auto"/>
        <w:right w:val="none" w:sz="0" w:space="0" w:color="auto"/>
      </w:divBdr>
    </w:div>
    <w:div w:id="1064718278">
      <w:bodyDiv w:val="1"/>
      <w:marLeft w:val="0"/>
      <w:marRight w:val="0"/>
      <w:marTop w:val="0"/>
      <w:marBottom w:val="0"/>
      <w:divBdr>
        <w:top w:val="none" w:sz="0" w:space="0" w:color="auto"/>
        <w:left w:val="none" w:sz="0" w:space="0" w:color="auto"/>
        <w:bottom w:val="none" w:sz="0" w:space="0" w:color="auto"/>
        <w:right w:val="none" w:sz="0" w:space="0" w:color="auto"/>
      </w:divBdr>
    </w:div>
    <w:div w:id="1070689312">
      <w:bodyDiv w:val="1"/>
      <w:marLeft w:val="0"/>
      <w:marRight w:val="0"/>
      <w:marTop w:val="0"/>
      <w:marBottom w:val="0"/>
      <w:divBdr>
        <w:top w:val="none" w:sz="0" w:space="0" w:color="auto"/>
        <w:left w:val="none" w:sz="0" w:space="0" w:color="auto"/>
        <w:bottom w:val="none" w:sz="0" w:space="0" w:color="auto"/>
        <w:right w:val="none" w:sz="0" w:space="0" w:color="auto"/>
      </w:divBdr>
    </w:div>
    <w:div w:id="1073236947">
      <w:bodyDiv w:val="1"/>
      <w:marLeft w:val="0"/>
      <w:marRight w:val="0"/>
      <w:marTop w:val="0"/>
      <w:marBottom w:val="0"/>
      <w:divBdr>
        <w:top w:val="none" w:sz="0" w:space="0" w:color="auto"/>
        <w:left w:val="none" w:sz="0" w:space="0" w:color="auto"/>
        <w:bottom w:val="none" w:sz="0" w:space="0" w:color="auto"/>
        <w:right w:val="none" w:sz="0" w:space="0" w:color="auto"/>
      </w:divBdr>
    </w:div>
    <w:div w:id="1074666836">
      <w:bodyDiv w:val="1"/>
      <w:marLeft w:val="0"/>
      <w:marRight w:val="0"/>
      <w:marTop w:val="0"/>
      <w:marBottom w:val="0"/>
      <w:divBdr>
        <w:top w:val="none" w:sz="0" w:space="0" w:color="auto"/>
        <w:left w:val="none" w:sz="0" w:space="0" w:color="auto"/>
        <w:bottom w:val="none" w:sz="0" w:space="0" w:color="auto"/>
        <w:right w:val="none" w:sz="0" w:space="0" w:color="auto"/>
      </w:divBdr>
    </w:div>
    <w:div w:id="1076047494">
      <w:bodyDiv w:val="1"/>
      <w:marLeft w:val="0"/>
      <w:marRight w:val="0"/>
      <w:marTop w:val="0"/>
      <w:marBottom w:val="0"/>
      <w:divBdr>
        <w:top w:val="none" w:sz="0" w:space="0" w:color="auto"/>
        <w:left w:val="none" w:sz="0" w:space="0" w:color="auto"/>
        <w:bottom w:val="none" w:sz="0" w:space="0" w:color="auto"/>
        <w:right w:val="none" w:sz="0" w:space="0" w:color="auto"/>
      </w:divBdr>
    </w:div>
    <w:div w:id="1082293207">
      <w:bodyDiv w:val="1"/>
      <w:marLeft w:val="0"/>
      <w:marRight w:val="0"/>
      <w:marTop w:val="0"/>
      <w:marBottom w:val="0"/>
      <w:divBdr>
        <w:top w:val="none" w:sz="0" w:space="0" w:color="auto"/>
        <w:left w:val="none" w:sz="0" w:space="0" w:color="auto"/>
        <w:bottom w:val="none" w:sz="0" w:space="0" w:color="auto"/>
        <w:right w:val="none" w:sz="0" w:space="0" w:color="auto"/>
      </w:divBdr>
      <w:divsChild>
        <w:div w:id="217592178">
          <w:marLeft w:val="0"/>
          <w:marRight w:val="0"/>
          <w:marTop w:val="0"/>
          <w:marBottom w:val="0"/>
          <w:divBdr>
            <w:top w:val="none" w:sz="0" w:space="0" w:color="auto"/>
            <w:left w:val="none" w:sz="0" w:space="0" w:color="auto"/>
            <w:bottom w:val="none" w:sz="0" w:space="0" w:color="auto"/>
            <w:right w:val="none" w:sz="0" w:space="0" w:color="auto"/>
          </w:divBdr>
        </w:div>
      </w:divsChild>
    </w:div>
    <w:div w:id="1082751966">
      <w:bodyDiv w:val="1"/>
      <w:marLeft w:val="0"/>
      <w:marRight w:val="0"/>
      <w:marTop w:val="0"/>
      <w:marBottom w:val="0"/>
      <w:divBdr>
        <w:top w:val="none" w:sz="0" w:space="0" w:color="auto"/>
        <w:left w:val="none" w:sz="0" w:space="0" w:color="auto"/>
        <w:bottom w:val="none" w:sz="0" w:space="0" w:color="auto"/>
        <w:right w:val="none" w:sz="0" w:space="0" w:color="auto"/>
      </w:divBdr>
    </w:div>
    <w:div w:id="1084766139">
      <w:bodyDiv w:val="1"/>
      <w:marLeft w:val="0"/>
      <w:marRight w:val="0"/>
      <w:marTop w:val="0"/>
      <w:marBottom w:val="0"/>
      <w:divBdr>
        <w:top w:val="none" w:sz="0" w:space="0" w:color="auto"/>
        <w:left w:val="none" w:sz="0" w:space="0" w:color="auto"/>
        <w:bottom w:val="none" w:sz="0" w:space="0" w:color="auto"/>
        <w:right w:val="none" w:sz="0" w:space="0" w:color="auto"/>
      </w:divBdr>
    </w:div>
    <w:div w:id="1087119049">
      <w:bodyDiv w:val="1"/>
      <w:marLeft w:val="0"/>
      <w:marRight w:val="0"/>
      <w:marTop w:val="0"/>
      <w:marBottom w:val="0"/>
      <w:divBdr>
        <w:top w:val="none" w:sz="0" w:space="0" w:color="auto"/>
        <w:left w:val="none" w:sz="0" w:space="0" w:color="auto"/>
        <w:bottom w:val="none" w:sz="0" w:space="0" w:color="auto"/>
        <w:right w:val="none" w:sz="0" w:space="0" w:color="auto"/>
      </w:divBdr>
    </w:div>
    <w:div w:id="1097557680">
      <w:bodyDiv w:val="1"/>
      <w:marLeft w:val="0"/>
      <w:marRight w:val="0"/>
      <w:marTop w:val="0"/>
      <w:marBottom w:val="0"/>
      <w:divBdr>
        <w:top w:val="none" w:sz="0" w:space="0" w:color="auto"/>
        <w:left w:val="none" w:sz="0" w:space="0" w:color="auto"/>
        <w:bottom w:val="none" w:sz="0" w:space="0" w:color="auto"/>
        <w:right w:val="none" w:sz="0" w:space="0" w:color="auto"/>
      </w:divBdr>
    </w:div>
    <w:div w:id="1108620737">
      <w:bodyDiv w:val="1"/>
      <w:marLeft w:val="0"/>
      <w:marRight w:val="0"/>
      <w:marTop w:val="0"/>
      <w:marBottom w:val="0"/>
      <w:divBdr>
        <w:top w:val="none" w:sz="0" w:space="0" w:color="auto"/>
        <w:left w:val="none" w:sz="0" w:space="0" w:color="auto"/>
        <w:bottom w:val="none" w:sz="0" w:space="0" w:color="auto"/>
        <w:right w:val="none" w:sz="0" w:space="0" w:color="auto"/>
      </w:divBdr>
    </w:div>
    <w:div w:id="1112440356">
      <w:bodyDiv w:val="1"/>
      <w:marLeft w:val="0"/>
      <w:marRight w:val="0"/>
      <w:marTop w:val="0"/>
      <w:marBottom w:val="0"/>
      <w:divBdr>
        <w:top w:val="none" w:sz="0" w:space="0" w:color="auto"/>
        <w:left w:val="none" w:sz="0" w:space="0" w:color="auto"/>
        <w:bottom w:val="none" w:sz="0" w:space="0" w:color="auto"/>
        <w:right w:val="none" w:sz="0" w:space="0" w:color="auto"/>
      </w:divBdr>
    </w:div>
    <w:div w:id="1114666488">
      <w:bodyDiv w:val="1"/>
      <w:marLeft w:val="0"/>
      <w:marRight w:val="0"/>
      <w:marTop w:val="0"/>
      <w:marBottom w:val="0"/>
      <w:divBdr>
        <w:top w:val="none" w:sz="0" w:space="0" w:color="auto"/>
        <w:left w:val="none" w:sz="0" w:space="0" w:color="auto"/>
        <w:bottom w:val="none" w:sz="0" w:space="0" w:color="auto"/>
        <w:right w:val="none" w:sz="0" w:space="0" w:color="auto"/>
      </w:divBdr>
    </w:div>
    <w:div w:id="1133518804">
      <w:bodyDiv w:val="1"/>
      <w:marLeft w:val="0"/>
      <w:marRight w:val="0"/>
      <w:marTop w:val="0"/>
      <w:marBottom w:val="0"/>
      <w:divBdr>
        <w:top w:val="none" w:sz="0" w:space="0" w:color="auto"/>
        <w:left w:val="none" w:sz="0" w:space="0" w:color="auto"/>
        <w:bottom w:val="none" w:sz="0" w:space="0" w:color="auto"/>
        <w:right w:val="none" w:sz="0" w:space="0" w:color="auto"/>
      </w:divBdr>
      <w:divsChild>
        <w:div w:id="1827554369">
          <w:marLeft w:val="0"/>
          <w:marRight w:val="0"/>
          <w:marTop w:val="0"/>
          <w:marBottom w:val="0"/>
          <w:divBdr>
            <w:top w:val="none" w:sz="0" w:space="0" w:color="auto"/>
            <w:left w:val="none" w:sz="0" w:space="0" w:color="auto"/>
            <w:bottom w:val="none" w:sz="0" w:space="0" w:color="auto"/>
            <w:right w:val="none" w:sz="0" w:space="0" w:color="auto"/>
          </w:divBdr>
        </w:div>
      </w:divsChild>
    </w:div>
    <w:div w:id="1145852308">
      <w:bodyDiv w:val="1"/>
      <w:marLeft w:val="0"/>
      <w:marRight w:val="0"/>
      <w:marTop w:val="0"/>
      <w:marBottom w:val="0"/>
      <w:divBdr>
        <w:top w:val="none" w:sz="0" w:space="0" w:color="auto"/>
        <w:left w:val="none" w:sz="0" w:space="0" w:color="auto"/>
        <w:bottom w:val="none" w:sz="0" w:space="0" w:color="auto"/>
        <w:right w:val="none" w:sz="0" w:space="0" w:color="auto"/>
      </w:divBdr>
    </w:div>
    <w:div w:id="1155487448">
      <w:bodyDiv w:val="1"/>
      <w:marLeft w:val="0"/>
      <w:marRight w:val="0"/>
      <w:marTop w:val="0"/>
      <w:marBottom w:val="0"/>
      <w:divBdr>
        <w:top w:val="none" w:sz="0" w:space="0" w:color="auto"/>
        <w:left w:val="none" w:sz="0" w:space="0" w:color="auto"/>
        <w:bottom w:val="none" w:sz="0" w:space="0" w:color="auto"/>
        <w:right w:val="none" w:sz="0" w:space="0" w:color="auto"/>
      </w:divBdr>
    </w:div>
    <w:div w:id="1169638975">
      <w:bodyDiv w:val="1"/>
      <w:marLeft w:val="0"/>
      <w:marRight w:val="0"/>
      <w:marTop w:val="0"/>
      <w:marBottom w:val="0"/>
      <w:divBdr>
        <w:top w:val="none" w:sz="0" w:space="0" w:color="auto"/>
        <w:left w:val="none" w:sz="0" w:space="0" w:color="auto"/>
        <w:bottom w:val="none" w:sz="0" w:space="0" w:color="auto"/>
        <w:right w:val="none" w:sz="0" w:space="0" w:color="auto"/>
      </w:divBdr>
    </w:div>
    <w:div w:id="1170176658">
      <w:bodyDiv w:val="1"/>
      <w:marLeft w:val="0"/>
      <w:marRight w:val="0"/>
      <w:marTop w:val="0"/>
      <w:marBottom w:val="0"/>
      <w:divBdr>
        <w:top w:val="none" w:sz="0" w:space="0" w:color="auto"/>
        <w:left w:val="none" w:sz="0" w:space="0" w:color="auto"/>
        <w:bottom w:val="none" w:sz="0" w:space="0" w:color="auto"/>
        <w:right w:val="none" w:sz="0" w:space="0" w:color="auto"/>
      </w:divBdr>
    </w:div>
    <w:div w:id="1176269479">
      <w:bodyDiv w:val="1"/>
      <w:marLeft w:val="0"/>
      <w:marRight w:val="0"/>
      <w:marTop w:val="0"/>
      <w:marBottom w:val="0"/>
      <w:divBdr>
        <w:top w:val="none" w:sz="0" w:space="0" w:color="auto"/>
        <w:left w:val="none" w:sz="0" w:space="0" w:color="auto"/>
        <w:bottom w:val="none" w:sz="0" w:space="0" w:color="auto"/>
        <w:right w:val="none" w:sz="0" w:space="0" w:color="auto"/>
      </w:divBdr>
    </w:div>
    <w:div w:id="1177958831">
      <w:bodyDiv w:val="1"/>
      <w:marLeft w:val="0"/>
      <w:marRight w:val="0"/>
      <w:marTop w:val="0"/>
      <w:marBottom w:val="0"/>
      <w:divBdr>
        <w:top w:val="none" w:sz="0" w:space="0" w:color="auto"/>
        <w:left w:val="none" w:sz="0" w:space="0" w:color="auto"/>
        <w:bottom w:val="none" w:sz="0" w:space="0" w:color="auto"/>
        <w:right w:val="none" w:sz="0" w:space="0" w:color="auto"/>
      </w:divBdr>
    </w:div>
    <w:div w:id="1178344704">
      <w:bodyDiv w:val="1"/>
      <w:marLeft w:val="0"/>
      <w:marRight w:val="0"/>
      <w:marTop w:val="0"/>
      <w:marBottom w:val="0"/>
      <w:divBdr>
        <w:top w:val="none" w:sz="0" w:space="0" w:color="auto"/>
        <w:left w:val="none" w:sz="0" w:space="0" w:color="auto"/>
        <w:bottom w:val="none" w:sz="0" w:space="0" w:color="auto"/>
        <w:right w:val="none" w:sz="0" w:space="0" w:color="auto"/>
      </w:divBdr>
    </w:div>
    <w:div w:id="1205948629">
      <w:bodyDiv w:val="1"/>
      <w:marLeft w:val="0"/>
      <w:marRight w:val="0"/>
      <w:marTop w:val="0"/>
      <w:marBottom w:val="0"/>
      <w:divBdr>
        <w:top w:val="none" w:sz="0" w:space="0" w:color="auto"/>
        <w:left w:val="none" w:sz="0" w:space="0" w:color="auto"/>
        <w:bottom w:val="none" w:sz="0" w:space="0" w:color="auto"/>
        <w:right w:val="none" w:sz="0" w:space="0" w:color="auto"/>
      </w:divBdr>
    </w:div>
    <w:div w:id="1226725625">
      <w:bodyDiv w:val="1"/>
      <w:marLeft w:val="0"/>
      <w:marRight w:val="0"/>
      <w:marTop w:val="0"/>
      <w:marBottom w:val="0"/>
      <w:divBdr>
        <w:top w:val="none" w:sz="0" w:space="0" w:color="auto"/>
        <w:left w:val="none" w:sz="0" w:space="0" w:color="auto"/>
        <w:bottom w:val="none" w:sz="0" w:space="0" w:color="auto"/>
        <w:right w:val="none" w:sz="0" w:space="0" w:color="auto"/>
      </w:divBdr>
    </w:div>
    <w:div w:id="1242714922">
      <w:bodyDiv w:val="1"/>
      <w:marLeft w:val="0"/>
      <w:marRight w:val="0"/>
      <w:marTop w:val="0"/>
      <w:marBottom w:val="0"/>
      <w:divBdr>
        <w:top w:val="none" w:sz="0" w:space="0" w:color="auto"/>
        <w:left w:val="none" w:sz="0" w:space="0" w:color="auto"/>
        <w:bottom w:val="none" w:sz="0" w:space="0" w:color="auto"/>
        <w:right w:val="none" w:sz="0" w:space="0" w:color="auto"/>
      </w:divBdr>
    </w:div>
    <w:div w:id="1243294962">
      <w:bodyDiv w:val="1"/>
      <w:marLeft w:val="0"/>
      <w:marRight w:val="0"/>
      <w:marTop w:val="0"/>
      <w:marBottom w:val="0"/>
      <w:divBdr>
        <w:top w:val="none" w:sz="0" w:space="0" w:color="auto"/>
        <w:left w:val="none" w:sz="0" w:space="0" w:color="auto"/>
        <w:bottom w:val="none" w:sz="0" w:space="0" w:color="auto"/>
        <w:right w:val="none" w:sz="0" w:space="0" w:color="auto"/>
      </w:divBdr>
    </w:div>
    <w:div w:id="1248886410">
      <w:bodyDiv w:val="1"/>
      <w:marLeft w:val="0"/>
      <w:marRight w:val="0"/>
      <w:marTop w:val="0"/>
      <w:marBottom w:val="0"/>
      <w:divBdr>
        <w:top w:val="none" w:sz="0" w:space="0" w:color="auto"/>
        <w:left w:val="none" w:sz="0" w:space="0" w:color="auto"/>
        <w:bottom w:val="none" w:sz="0" w:space="0" w:color="auto"/>
        <w:right w:val="none" w:sz="0" w:space="0" w:color="auto"/>
      </w:divBdr>
    </w:div>
    <w:div w:id="1252353321">
      <w:bodyDiv w:val="1"/>
      <w:marLeft w:val="0"/>
      <w:marRight w:val="0"/>
      <w:marTop w:val="0"/>
      <w:marBottom w:val="0"/>
      <w:divBdr>
        <w:top w:val="none" w:sz="0" w:space="0" w:color="auto"/>
        <w:left w:val="none" w:sz="0" w:space="0" w:color="auto"/>
        <w:bottom w:val="none" w:sz="0" w:space="0" w:color="auto"/>
        <w:right w:val="none" w:sz="0" w:space="0" w:color="auto"/>
      </w:divBdr>
    </w:div>
    <w:div w:id="1264076075">
      <w:bodyDiv w:val="1"/>
      <w:marLeft w:val="0"/>
      <w:marRight w:val="0"/>
      <w:marTop w:val="0"/>
      <w:marBottom w:val="0"/>
      <w:divBdr>
        <w:top w:val="none" w:sz="0" w:space="0" w:color="auto"/>
        <w:left w:val="none" w:sz="0" w:space="0" w:color="auto"/>
        <w:bottom w:val="none" w:sz="0" w:space="0" w:color="auto"/>
        <w:right w:val="none" w:sz="0" w:space="0" w:color="auto"/>
      </w:divBdr>
    </w:div>
    <w:div w:id="1268737247">
      <w:bodyDiv w:val="1"/>
      <w:marLeft w:val="0"/>
      <w:marRight w:val="0"/>
      <w:marTop w:val="0"/>
      <w:marBottom w:val="0"/>
      <w:divBdr>
        <w:top w:val="none" w:sz="0" w:space="0" w:color="auto"/>
        <w:left w:val="none" w:sz="0" w:space="0" w:color="auto"/>
        <w:bottom w:val="none" w:sz="0" w:space="0" w:color="auto"/>
        <w:right w:val="none" w:sz="0" w:space="0" w:color="auto"/>
      </w:divBdr>
    </w:div>
    <w:div w:id="1277982197">
      <w:bodyDiv w:val="1"/>
      <w:marLeft w:val="0"/>
      <w:marRight w:val="0"/>
      <w:marTop w:val="0"/>
      <w:marBottom w:val="0"/>
      <w:divBdr>
        <w:top w:val="none" w:sz="0" w:space="0" w:color="auto"/>
        <w:left w:val="none" w:sz="0" w:space="0" w:color="auto"/>
        <w:bottom w:val="none" w:sz="0" w:space="0" w:color="auto"/>
        <w:right w:val="none" w:sz="0" w:space="0" w:color="auto"/>
      </w:divBdr>
    </w:div>
    <w:div w:id="1303198666">
      <w:bodyDiv w:val="1"/>
      <w:marLeft w:val="0"/>
      <w:marRight w:val="0"/>
      <w:marTop w:val="0"/>
      <w:marBottom w:val="0"/>
      <w:divBdr>
        <w:top w:val="none" w:sz="0" w:space="0" w:color="auto"/>
        <w:left w:val="none" w:sz="0" w:space="0" w:color="auto"/>
        <w:bottom w:val="none" w:sz="0" w:space="0" w:color="auto"/>
        <w:right w:val="none" w:sz="0" w:space="0" w:color="auto"/>
      </w:divBdr>
    </w:div>
    <w:div w:id="1307010075">
      <w:bodyDiv w:val="1"/>
      <w:marLeft w:val="0"/>
      <w:marRight w:val="0"/>
      <w:marTop w:val="0"/>
      <w:marBottom w:val="0"/>
      <w:divBdr>
        <w:top w:val="none" w:sz="0" w:space="0" w:color="auto"/>
        <w:left w:val="none" w:sz="0" w:space="0" w:color="auto"/>
        <w:bottom w:val="none" w:sz="0" w:space="0" w:color="auto"/>
        <w:right w:val="none" w:sz="0" w:space="0" w:color="auto"/>
      </w:divBdr>
    </w:div>
    <w:div w:id="1329597863">
      <w:bodyDiv w:val="1"/>
      <w:marLeft w:val="0"/>
      <w:marRight w:val="0"/>
      <w:marTop w:val="0"/>
      <w:marBottom w:val="0"/>
      <w:divBdr>
        <w:top w:val="none" w:sz="0" w:space="0" w:color="auto"/>
        <w:left w:val="none" w:sz="0" w:space="0" w:color="auto"/>
        <w:bottom w:val="none" w:sz="0" w:space="0" w:color="auto"/>
        <w:right w:val="none" w:sz="0" w:space="0" w:color="auto"/>
      </w:divBdr>
    </w:div>
    <w:div w:id="1336493729">
      <w:bodyDiv w:val="1"/>
      <w:marLeft w:val="0"/>
      <w:marRight w:val="0"/>
      <w:marTop w:val="0"/>
      <w:marBottom w:val="0"/>
      <w:divBdr>
        <w:top w:val="none" w:sz="0" w:space="0" w:color="auto"/>
        <w:left w:val="none" w:sz="0" w:space="0" w:color="auto"/>
        <w:bottom w:val="none" w:sz="0" w:space="0" w:color="auto"/>
        <w:right w:val="none" w:sz="0" w:space="0" w:color="auto"/>
      </w:divBdr>
    </w:div>
    <w:div w:id="1351880985">
      <w:bodyDiv w:val="1"/>
      <w:marLeft w:val="0"/>
      <w:marRight w:val="0"/>
      <w:marTop w:val="0"/>
      <w:marBottom w:val="0"/>
      <w:divBdr>
        <w:top w:val="none" w:sz="0" w:space="0" w:color="auto"/>
        <w:left w:val="none" w:sz="0" w:space="0" w:color="auto"/>
        <w:bottom w:val="none" w:sz="0" w:space="0" w:color="auto"/>
        <w:right w:val="none" w:sz="0" w:space="0" w:color="auto"/>
      </w:divBdr>
    </w:div>
    <w:div w:id="1354965155">
      <w:bodyDiv w:val="1"/>
      <w:marLeft w:val="0"/>
      <w:marRight w:val="0"/>
      <w:marTop w:val="0"/>
      <w:marBottom w:val="0"/>
      <w:divBdr>
        <w:top w:val="none" w:sz="0" w:space="0" w:color="auto"/>
        <w:left w:val="none" w:sz="0" w:space="0" w:color="auto"/>
        <w:bottom w:val="none" w:sz="0" w:space="0" w:color="auto"/>
        <w:right w:val="none" w:sz="0" w:space="0" w:color="auto"/>
      </w:divBdr>
      <w:divsChild>
        <w:div w:id="1057507439">
          <w:marLeft w:val="0"/>
          <w:marRight w:val="0"/>
          <w:marTop w:val="0"/>
          <w:marBottom w:val="0"/>
          <w:divBdr>
            <w:top w:val="none" w:sz="0" w:space="0" w:color="auto"/>
            <w:left w:val="none" w:sz="0" w:space="0" w:color="auto"/>
            <w:bottom w:val="none" w:sz="0" w:space="0" w:color="auto"/>
            <w:right w:val="none" w:sz="0" w:space="0" w:color="auto"/>
          </w:divBdr>
        </w:div>
      </w:divsChild>
    </w:div>
    <w:div w:id="1359506529">
      <w:bodyDiv w:val="1"/>
      <w:marLeft w:val="0"/>
      <w:marRight w:val="0"/>
      <w:marTop w:val="0"/>
      <w:marBottom w:val="0"/>
      <w:divBdr>
        <w:top w:val="none" w:sz="0" w:space="0" w:color="auto"/>
        <w:left w:val="none" w:sz="0" w:space="0" w:color="auto"/>
        <w:bottom w:val="none" w:sz="0" w:space="0" w:color="auto"/>
        <w:right w:val="none" w:sz="0" w:space="0" w:color="auto"/>
      </w:divBdr>
    </w:div>
    <w:div w:id="1367755714">
      <w:bodyDiv w:val="1"/>
      <w:marLeft w:val="0"/>
      <w:marRight w:val="0"/>
      <w:marTop w:val="0"/>
      <w:marBottom w:val="0"/>
      <w:divBdr>
        <w:top w:val="none" w:sz="0" w:space="0" w:color="auto"/>
        <w:left w:val="none" w:sz="0" w:space="0" w:color="auto"/>
        <w:bottom w:val="none" w:sz="0" w:space="0" w:color="auto"/>
        <w:right w:val="none" w:sz="0" w:space="0" w:color="auto"/>
      </w:divBdr>
    </w:div>
    <w:div w:id="1381705179">
      <w:bodyDiv w:val="1"/>
      <w:marLeft w:val="0"/>
      <w:marRight w:val="0"/>
      <w:marTop w:val="0"/>
      <w:marBottom w:val="0"/>
      <w:divBdr>
        <w:top w:val="none" w:sz="0" w:space="0" w:color="auto"/>
        <w:left w:val="none" w:sz="0" w:space="0" w:color="auto"/>
        <w:bottom w:val="none" w:sz="0" w:space="0" w:color="auto"/>
        <w:right w:val="none" w:sz="0" w:space="0" w:color="auto"/>
      </w:divBdr>
    </w:div>
    <w:div w:id="1383409159">
      <w:bodyDiv w:val="1"/>
      <w:marLeft w:val="0"/>
      <w:marRight w:val="0"/>
      <w:marTop w:val="0"/>
      <w:marBottom w:val="0"/>
      <w:divBdr>
        <w:top w:val="none" w:sz="0" w:space="0" w:color="auto"/>
        <w:left w:val="none" w:sz="0" w:space="0" w:color="auto"/>
        <w:bottom w:val="none" w:sz="0" w:space="0" w:color="auto"/>
        <w:right w:val="none" w:sz="0" w:space="0" w:color="auto"/>
      </w:divBdr>
    </w:div>
    <w:div w:id="1399746259">
      <w:bodyDiv w:val="1"/>
      <w:marLeft w:val="0"/>
      <w:marRight w:val="0"/>
      <w:marTop w:val="0"/>
      <w:marBottom w:val="0"/>
      <w:divBdr>
        <w:top w:val="none" w:sz="0" w:space="0" w:color="auto"/>
        <w:left w:val="none" w:sz="0" w:space="0" w:color="auto"/>
        <w:bottom w:val="none" w:sz="0" w:space="0" w:color="auto"/>
        <w:right w:val="none" w:sz="0" w:space="0" w:color="auto"/>
      </w:divBdr>
      <w:divsChild>
        <w:div w:id="629360414">
          <w:marLeft w:val="0"/>
          <w:marRight w:val="0"/>
          <w:marTop w:val="0"/>
          <w:marBottom w:val="0"/>
          <w:divBdr>
            <w:top w:val="none" w:sz="0" w:space="0" w:color="auto"/>
            <w:left w:val="none" w:sz="0" w:space="0" w:color="auto"/>
            <w:bottom w:val="none" w:sz="0" w:space="0" w:color="auto"/>
            <w:right w:val="none" w:sz="0" w:space="0" w:color="auto"/>
          </w:divBdr>
        </w:div>
      </w:divsChild>
    </w:div>
    <w:div w:id="1425490487">
      <w:bodyDiv w:val="1"/>
      <w:marLeft w:val="0"/>
      <w:marRight w:val="0"/>
      <w:marTop w:val="0"/>
      <w:marBottom w:val="0"/>
      <w:divBdr>
        <w:top w:val="none" w:sz="0" w:space="0" w:color="auto"/>
        <w:left w:val="none" w:sz="0" w:space="0" w:color="auto"/>
        <w:bottom w:val="none" w:sz="0" w:space="0" w:color="auto"/>
        <w:right w:val="none" w:sz="0" w:space="0" w:color="auto"/>
      </w:divBdr>
    </w:div>
    <w:div w:id="1428041828">
      <w:bodyDiv w:val="1"/>
      <w:marLeft w:val="0"/>
      <w:marRight w:val="0"/>
      <w:marTop w:val="0"/>
      <w:marBottom w:val="0"/>
      <w:divBdr>
        <w:top w:val="none" w:sz="0" w:space="0" w:color="auto"/>
        <w:left w:val="none" w:sz="0" w:space="0" w:color="auto"/>
        <w:bottom w:val="none" w:sz="0" w:space="0" w:color="auto"/>
        <w:right w:val="none" w:sz="0" w:space="0" w:color="auto"/>
      </w:divBdr>
    </w:div>
    <w:div w:id="1434088864">
      <w:bodyDiv w:val="1"/>
      <w:marLeft w:val="0"/>
      <w:marRight w:val="0"/>
      <w:marTop w:val="0"/>
      <w:marBottom w:val="0"/>
      <w:divBdr>
        <w:top w:val="none" w:sz="0" w:space="0" w:color="auto"/>
        <w:left w:val="none" w:sz="0" w:space="0" w:color="auto"/>
        <w:bottom w:val="none" w:sz="0" w:space="0" w:color="auto"/>
        <w:right w:val="none" w:sz="0" w:space="0" w:color="auto"/>
      </w:divBdr>
    </w:div>
    <w:div w:id="1436973024">
      <w:bodyDiv w:val="1"/>
      <w:marLeft w:val="0"/>
      <w:marRight w:val="0"/>
      <w:marTop w:val="0"/>
      <w:marBottom w:val="0"/>
      <w:divBdr>
        <w:top w:val="none" w:sz="0" w:space="0" w:color="auto"/>
        <w:left w:val="none" w:sz="0" w:space="0" w:color="auto"/>
        <w:bottom w:val="none" w:sz="0" w:space="0" w:color="auto"/>
        <w:right w:val="none" w:sz="0" w:space="0" w:color="auto"/>
      </w:divBdr>
    </w:div>
    <w:div w:id="1459035122">
      <w:bodyDiv w:val="1"/>
      <w:marLeft w:val="0"/>
      <w:marRight w:val="0"/>
      <w:marTop w:val="0"/>
      <w:marBottom w:val="0"/>
      <w:divBdr>
        <w:top w:val="none" w:sz="0" w:space="0" w:color="auto"/>
        <w:left w:val="none" w:sz="0" w:space="0" w:color="auto"/>
        <w:bottom w:val="none" w:sz="0" w:space="0" w:color="auto"/>
        <w:right w:val="none" w:sz="0" w:space="0" w:color="auto"/>
      </w:divBdr>
    </w:div>
    <w:div w:id="1462117739">
      <w:bodyDiv w:val="1"/>
      <w:marLeft w:val="0"/>
      <w:marRight w:val="0"/>
      <w:marTop w:val="0"/>
      <w:marBottom w:val="0"/>
      <w:divBdr>
        <w:top w:val="none" w:sz="0" w:space="0" w:color="auto"/>
        <w:left w:val="none" w:sz="0" w:space="0" w:color="auto"/>
        <w:bottom w:val="none" w:sz="0" w:space="0" w:color="auto"/>
        <w:right w:val="none" w:sz="0" w:space="0" w:color="auto"/>
      </w:divBdr>
    </w:div>
    <w:div w:id="1477918466">
      <w:bodyDiv w:val="1"/>
      <w:marLeft w:val="0"/>
      <w:marRight w:val="0"/>
      <w:marTop w:val="0"/>
      <w:marBottom w:val="0"/>
      <w:divBdr>
        <w:top w:val="none" w:sz="0" w:space="0" w:color="auto"/>
        <w:left w:val="none" w:sz="0" w:space="0" w:color="auto"/>
        <w:bottom w:val="none" w:sz="0" w:space="0" w:color="auto"/>
        <w:right w:val="none" w:sz="0" w:space="0" w:color="auto"/>
      </w:divBdr>
    </w:div>
    <w:div w:id="1486315632">
      <w:bodyDiv w:val="1"/>
      <w:marLeft w:val="0"/>
      <w:marRight w:val="0"/>
      <w:marTop w:val="0"/>
      <w:marBottom w:val="0"/>
      <w:divBdr>
        <w:top w:val="none" w:sz="0" w:space="0" w:color="auto"/>
        <w:left w:val="none" w:sz="0" w:space="0" w:color="auto"/>
        <w:bottom w:val="none" w:sz="0" w:space="0" w:color="auto"/>
        <w:right w:val="none" w:sz="0" w:space="0" w:color="auto"/>
      </w:divBdr>
    </w:div>
    <w:div w:id="1492328314">
      <w:bodyDiv w:val="1"/>
      <w:marLeft w:val="0"/>
      <w:marRight w:val="0"/>
      <w:marTop w:val="0"/>
      <w:marBottom w:val="0"/>
      <w:divBdr>
        <w:top w:val="none" w:sz="0" w:space="0" w:color="auto"/>
        <w:left w:val="none" w:sz="0" w:space="0" w:color="auto"/>
        <w:bottom w:val="none" w:sz="0" w:space="0" w:color="auto"/>
        <w:right w:val="none" w:sz="0" w:space="0" w:color="auto"/>
      </w:divBdr>
    </w:div>
    <w:div w:id="1510370222">
      <w:bodyDiv w:val="1"/>
      <w:marLeft w:val="0"/>
      <w:marRight w:val="0"/>
      <w:marTop w:val="0"/>
      <w:marBottom w:val="0"/>
      <w:divBdr>
        <w:top w:val="none" w:sz="0" w:space="0" w:color="auto"/>
        <w:left w:val="none" w:sz="0" w:space="0" w:color="auto"/>
        <w:bottom w:val="none" w:sz="0" w:space="0" w:color="auto"/>
        <w:right w:val="none" w:sz="0" w:space="0" w:color="auto"/>
      </w:divBdr>
    </w:div>
    <w:div w:id="1515994784">
      <w:bodyDiv w:val="1"/>
      <w:marLeft w:val="0"/>
      <w:marRight w:val="0"/>
      <w:marTop w:val="0"/>
      <w:marBottom w:val="0"/>
      <w:divBdr>
        <w:top w:val="none" w:sz="0" w:space="0" w:color="auto"/>
        <w:left w:val="none" w:sz="0" w:space="0" w:color="auto"/>
        <w:bottom w:val="none" w:sz="0" w:space="0" w:color="auto"/>
        <w:right w:val="none" w:sz="0" w:space="0" w:color="auto"/>
      </w:divBdr>
    </w:div>
    <w:div w:id="1517386605">
      <w:bodyDiv w:val="1"/>
      <w:marLeft w:val="0"/>
      <w:marRight w:val="0"/>
      <w:marTop w:val="0"/>
      <w:marBottom w:val="0"/>
      <w:divBdr>
        <w:top w:val="none" w:sz="0" w:space="0" w:color="auto"/>
        <w:left w:val="none" w:sz="0" w:space="0" w:color="auto"/>
        <w:bottom w:val="none" w:sz="0" w:space="0" w:color="auto"/>
        <w:right w:val="none" w:sz="0" w:space="0" w:color="auto"/>
      </w:divBdr>
    </w:div>
    <w:div w:id="1524243242">
      <w:bodyDiv w:val="1"/>
      <w:marLeft w:val="0"/>
      <w:marRight w:val="0"/>
      <w:marTop w:val="0"/>
      <w:marBottom w:val="0"/>
      <w:divBdr>
        <w:top w:val="none" w:sz="0" w:space="0" w:color="auto"/>
        <w:left w:val="none" w:sz="0" w:space="0" w:color="auto"/>
        <w:bottom w:val="none" w:sz="0" w:space="0" w:color="auto"/>
        <w:right w:val="none" w:sz="0" w:space="0" w:color="auto"/>
      </w:divBdr>
    </w:div>
    <w:div w:id="1530297561">
      <w:bodyDiv w:val="1"/>
      <w:marLeft w:val="0"/>
      <w:marRight w:val="0"/>
      <w:marTop w:val="0"/>
      <w:marBottom w:val="0"/>
      <w:divBdr>
        <w:top w:val="none" w:sz="0" w:space="0" w:color="auto"/>
        <w:left w:val="none" w:sz="0" w:space="0" w:color="auto"/>
        <w:bottom w:val="none" w:sz="0" w:space="0" w:color="auto"/>
        <w:right w:val="none" w:sz="0" w:space="0" w:color="auto"/>
      </w:divBdr>
    </w:div>
    <w:div w:id="1535343659">
      <w:bodyDiv w:val="1"/>
      <w:marLeft w:val="0"/>
      <w:marRight w:val="0"/>
      <w:marTop w:val="0"/>
      <w:marBottom w:val="0"/>
      <w:divBdr>
        <w:top w:val="none" w:sz="0" w:space="0" w:color="auto"/>
        <w:left w:val="none" w:sz="0" w:space="0" w:color="auto"/>
        <w:bottom w:val="none" w:sz="0" w:space="0" w:color="auto"/>
        <w:right w:val="none" w:sz="0" w:space="0" w:color="auto"/>
      </w:divBdr>
    </w:div>
    <w:div w:id="1558667312">
      <w:bodyDiv w:val="1"/>
      <w:marLeft w:val="0"/>
      <w:marRight w:val="0"/>
      <w:marTop w:val="0"/>
      <w:marBottom w:val="0"/>
      <w:divBdr>
        <w:top w:val="none" w:sz="0" w:space="0" w:color="auto"/>
        <w:left w:val="none" w:sz="0" w:space="0" w:color="auto"/>
        <w:bottom w:val="none" w:sz="0" w:space="0" w:color="auto"/>
        <w:right w:val="none" w:sz="0" w:space="0" w:color="auto"/>
      </w:divBdr>
    </w:div>
    <w:div w:id="1569344809">
      <w:bodyDiv w:val="1"/>
      <w:marLeft w:val="0"/>
      <w:marRight w:val="0"/>
      <w:marTop w:val="0"/>
      <w:marBottom w:val="0"/>
      <w:divBdr>
        <w:top w:val="none" w:sz="0" w:space="0" w:color="auto"/>
        <w:left w:val="none" w:sz="0" w:space="0" w:color="auto"/>
        <w:bottom w:val="none" w:sz="0" w:space="0" w:color="auto"/>
        <w:right w:val="none" w:sz="0" w:space="0" w:color="auto"/>
      </w:divBdr>
    </w:div>
    <w:div w:id="1583099020">
      <w:bodyDiv w:val="1"/>
      <w:marLeft w:val="0"/>
      <w:marRight w:val="0"/>
      <w:marTop w:val="0"/>
      <w:marBottom w:val="0"/>
      <w:divBdr>
        <w:top w:val="none" w:sz="0" w:space="0" w:color="auto"/>
        <w:left w:val="none" w:sz="0" w:space="0" w:color="auto"/>
        <w:bottom w:val="none" w:sz="0" w:space="0" w:color="auto"/>
        <w:right w:val="none" w:sz="0" w:space="0" w:color="auto"/>
      </w:divBdr>
    </w:div>
    <w:div w:id="1598782074">
      <w:bodyDiv w:val="1"/>
      <w:marLeft w:val="0"/>
      <w:marRight w:val="0"/>
      <w:marTop w:val="0"/>
      <w:marBottom w:val="0"/>
      <w:divBdr>
        <w:top w:val="none" w:sz="0" w:space="0" w:color="auto"/>
        <w:left w:val="none" w:sz="0" w:space="0" w:color="auto"/>
        <w:bottom w:val="none" w:sz="0" w:space="0" w:color="auto"/>
        <w:right w:val="none" w:sz="0" w:space="0" w:color="auto"/>
      </w:divBdr>
    </w:div>
    <w:div w:id="1609854978">
      <w:bodyDiv w:val="1"/>
      <w:marLeft w:val="0"/>
      <w:marRight w:val="0"/>
      <w:marTop w:val="0"/>
      <w:marBottom w:val="0"/>
      <w:divBdr>
        <w:top w:val="none" w:sz="0" w:space="0" w:color="auto"/>
        <w:left w:val="none" w:sz="0" w:space="0" w:color="auto"/>
        <w:bottom w:val="none" w:sz="0" w:space="0" w:color="auto"/>
        <w:right w:val="none" w:sz="0" w:space="0" w:color="auto"/>
      </w:divBdr>
    </w:div>
    <w:div w:id="1613780372">
      <w:bodyDiv w:val="1"/>
      <w:marLeft w:val="0"/>
      <w:marRight w:val="0"/>
      <w:marTop w:val="0"/>
      <w:marBottom w:val="0"/>
      <w:divBdr>
        <w:top w:val="none" w:sz="0" w:space="0" w:color="auto"/>
        <w:left w:val="none" w:sz="0" w:space="0" w:color="auto"/>
        <w:bottom w:val="none" w:sz="0" w:space="0" w:color="auto"/>
        <w:right w:val="none" w:sz="0" w:space="0" w:color="auto"/>
      </w:divBdr>
    </w:div>
    <w:div w:id="1621184145">
      <w:bodyDiv w:val="1"/>
      <w:marLeft w:val="0"/>
      <w:marRight w:val="0"/>
      <w:marTop w:val="0"/>
      <w:marBottom w:val="0"/>
      <w:divBdr>
        <w:top w:val="none" w:sz="0" w:space="0" w:color="auto"/>
        <w:left w:val="none" w:sz="0" w:space="0" w:color="auto"/>
        <w:bottom w:val="none" w:sz="0" w:space="0" w:color="auto"/>
        <w:right w:val="none" w:sz="0" w:space="0" w:color="auto"/>
      </w:divBdr>
    </w:div>
    <w:div w:id="1624313591">
      <w:bodyDiv w:val="1"/>
      <w:marLeft w:val="0"/>
      <w:marRight w:val="0"/>
      <w:marTop w:val="0"/>
      <w:marBottom w:val="0"/>
      <w:divBdr>
        <w:top w:val="none" w:sz="0" w:space="0" w:color="auto"/>
        <w:left w:val="none" w:sz="0" w:space="0" w:color="auto"/>
        <w:bottom w:val="none" w:sz="0" w:space="0" w:color="auto"/>
        <w:right w:val="none" w:sz="0" w:space="0" w:color="auto"/>
      </w:divBdr>
    </w:div>
    <w:div w:id="1626813197">
      <w:bodyDiv w:val="1"/>
      <w:marLeft w:val="0"/>
      <w:marRight w:val="0"/>
      <w:marTop w:val="0"/>
      <w:marBottom w:val="0"/>
      <w:divBdr>
        <w:top w:val="none" w:sz="0" w:space="0" w:color="auto"/>
        <w:left w:val="none" w:sz="0" w:space="0" w:color="auto"/>
        <w:bottom w:val="none" w:sz="0" w:space="0" w:color="auto"/>
        <w:right w:val="none" w:sz="0" w:space="0" w:color="auto"/>
      </w:divBdr>
    </w:div>
    <w:div w:id="1654868090">
      <w:bodyDiv w:val="1"/>
      <w:marLeft w:val="0"/>
      <w:marRight w:val="0"/>
      <w:marTop w:val="0"/>
      <w:marBottom w:val="0"/>
      <w:divBdr>
        <w:top w:val="none" w:sz="0" w:space="0" w:color="auto"/>
        <w:left w:val="none" w:sz="0" w:space="0" w:color="auto"/>
        <w:bottom w:val="none" w:sz="0" w:space="0" w:color="auto"/>
        <w:right w:val="none" w:sz="0" w:space="0" w:color="auto"/>
      </w:divBdr>
    </w:div>
    <w:div w:id="1655257358">
      <w:bodyDiv w:val="1"/>
      <w:marLeft w:val="0"/>
      <w:marRight w:val="0"/>
      <w:marTop w:val="0"/>
      <w:marBottom w:val="0"/>
      <w:divBdr>
        <w:top w:val="none" w:sz="0" w:space="0" w:color="auto"/>
        <w:left w:val="none" w:sz="0" w:space="0" w:color="auto"/>
        <w:bottom w:val="none" w:sz="0" w:space="0" w:color="auto"/>
        <w:right w:val="none" w:sz="0" w:space="0" w:color="auto"/>
      </w:divBdr>
    </w:div>
    <w:div w:id="1658413403">
      <w:bodyDiv w:val="1"/>
      <w:marLeft w:val="0"/>
      <w:marRight w:val="0"/>
      <w:marTop w:val="0"/>
      <w:marBottom w:val="0"/>
      <w:divBdr>
        <w:top w:val="none" w:sz="0" w:space="0" w:color="auto"/>
        <w:left w:val="none" w:sz="0" w:space="0" w:color="auto"/>
        <w:bottom w:val="none" w:sz="0" w:space="0" w:color="auto"/>
        <w:right w:val="none" w:sz="0" w:space="0" w:color="auto"/>
      </w:divBdr>
    </w:div>
    <w:div w:id="1665861831">
      <w:bodyDiv w:val="1"/>
      <w:marLeft w:val="0"/>
      <w:marRight w:val="0"/>
      <w:marTop w:val="0"/>
      <w:marBottom w:val="0"/>
      <w:divBdr>
        <w:top w:val="none" w:sz="0" w:space="0" w:color="auto"/>
        <w:left w:val="none" w:sz="0" w:space="0" w:color="auto"/>
        <w:bottom w:val="none" w:sz="0" w:space="0" w:color="auto"/>
        <w:right w:val="none" w:sz="0" w:space="0" w:color="auto"/>
      </w:divBdr>
      <w:divsChild>
        <w:div w:id="1718313863">
          <w:marLeft w:val="0"/>
          <w:marRight w:val="0"/>
          <w:marTop w:val="0"/>
          <w:marBottom w:val="0"/>
          <w:divBdr>
            <w:top w:val="none" w:sz="0" w:space="0" w:color="auto"/>
            <w:left w:val="none" w:sz="0" w:space="0" w:color="auto"/>
            <w:bottom w:val="none" w:sz="0" w:space="0" w:color="auto"/>
            <w:right w:val="none" w:sz="0" w:space="0" w:color="auto"/>
          </w:divBdr>
        </w:div>
      </w:divsChild>
    </w:div>
    <w:div w:id="1667977424">
      <w:bodyDiv w:val="1"/>
      <w:marLeft w:val="0"/>
      <w:marRight w:val="0"/>
      <w:marTop w:val="0"/>
      <w:marBottom w:val="0"/>
      <w:divBdr>
        <w:top w:val="none" w:sz="0" w:space="0" w:color="auto"/>
        <w:left w:val="none" w:sz="0" w:space="0" w:color="auto"/>
        <w:bottom w:val="none" w:sz="0" w:space="0" w:color="auto"/>
        <w:right w:val="none" w:sz="0" w:space="0" w:color="auto"/>
      </w:divBdr>
    </w:div>
    <w:div w:id="1673483908">
      <w:bodyDiv w:val="1"/>
      <w:marLeft w:val="0"/>
      <w:marRight w:val="0"/>
      <w:marTop w:val="0"/>
      <w:marBottom w:val="0"/>
      <w:divBdr>
        <w:top w:val="none" w:sz="0" w:space="0" w:color="auto"/>
        <w:left w:val="none" w:sz="0" w:space="0" w:color="auto"/>
        <w:bottom w:val="none" w:sz="0" w:space="0" w:color="auto"/>
        <w:right w:val="none" w:sz="0" w:space="0" w:color="auto"/>
      </w:divBdr>
    </w:div>
    <w:div w:id="1678919989">
      <w:bodyDiv w:val="1"/>
      <w:marLeft w:val="0"/>
      <w:marRight w:val="0"/>
      <w:marTop w:val="0"/>
      <w:marBottom w:val="0"/>
      <w:divBdr>
        <w:top w:val="none" w:sz="0" w:space="0" w:color="auto"/>
        <w:left w:val="none" w:sz="0" w:space="0" w:color="auto"/>
        <w:bottom w:val="none" w:sz="0" w:space="0" w:color="auto"/>
        <w:right w:val="none" w:sz="0" w:space="0" w:color="auto"/>
      </w:divBdr>
    </w:div>
    <w:div w:id="1693190175">
      <w:bodyDiv w:val="1"/>
      <w:marLeft w:val="0"/>
      <w:marRight w:val="0"/>
      <w:marTop w:val="0"/>
      <w:marBottom w:val="0"/>
      <w:divBdr>
        <w:top w:val="none" w:sz="0" w:space="0" w:color="auto"/>
        <w:left w:val="none" w:sz="0" w:space="0" w:color="auto"/>
        <w:bottom w:val="none" w:sz="0" w:space="0" w:color="auto"/>
        <w:right w:val="none" w:sz="0" w:space="0" w:color="auto"/>
      </w:divBdr>
    </w:div>
    <w:div w:id="1706326786">
      <w:bodyDiv w:val="1"/>
      <w:marLeft w:val="0"/>
      <w:marRight w:val="0"/>
      <w:marTop w:val="0"/>
      <w:marBottom w:val="0"/>
      <w:divBdr>
        <w:top w:val="none" w:sz="0" w:space="0" w:color="auto"/>
        <w:left w:val="none" w:sz="0" w:space="0" w:color="auto"/>
        <w:bottom w:val="none" w:sz="0" w:space="0" w:color="auto"/>
        <w:right w:val="none" w:sz="0" w:space="0" w:color="auto"/>
      </w:divBdr>
    </w:div>
    <w:div w:id="1709723911">
      <w:bodyDiv w:val="1"/>
      <w:marLeft w:val="0"/>
      <w:marRight w:val="0"/>
      <w:marTop w:val="0"/>
      <w:marBottom w:val="0"/>
      <w:divBdr>
        <w:top w:val="none" w:sz="0" w:space="0" w:color="auto"/>
        <w:left w:val="none" w:sz="0" w:space="0" w:color="auto"/>
        <w:bottom w:val="none" w:sz="0" w:space="0" w:color="auto"/>
        <w:right w:val="none" w:sz="0" w:space="0" w:color="auto"/>
      </w:divBdr>
    </w:div>
    <w:div w:id="1713070751">
      <w:bodyDiv w:val="1"/>
      <w:marLeft w:val="0"/>
      <w:marRight w:val="0"/>
      <w:marTop w:val="0"/>
      <w:marBottom w:val="0"/>
      <w:divBdr>
        <w:top w:val="none" w:sz="0" w:space="0" w:color="auto"/>
        <w:left w:val="none" w:sz="0" w:space="0" w:color="auto"/>
        <w:bottom w:val="none" w:sz="0" w:space="0" w:color="auto"/>
        <w:right w:val="none" w:sz="0" w:space="0" w:color="auto"/>
      </w:divBdr>
    </w:div>
    <w:div w:id="1717505531">
      <w:bodyDiv w:val="1"/>
      <w:marLeft w:val="0"/>
      <w:marRight w:val="0"/>
      <w:marTop w:val="0"/>
      <w:marBottom w:val="0"/>
      <w:divBdr>
        <w:top w:val="none" w:sz="0" w:space="0" w:color="auto"/>
        <w:left w:val="none" w:sz="0" w:space="0" w:color="auto"/>
        <w:bottom w:val="none" w:sz="0" w:space="0" w:color="auto"/>
        <w:right w:val="none" w:sz="0" w:space="0" w:color="auto"/>
      </w:divBdr>
    </w:div>
    <w:div w:id="1727341071">
      <w:bodyDiv w:val="1"/>
      <w:marLeft w:val="0"/>
      <w:marRight w:val="0"/>
      <w:marTop w:val="0"/>
      <w:marBottom w:val="0"/>
      <w:divBdr>
        <w:top w:val="none" w:sz="0" w:space="0" w:color="auto"/>
        <w:left w:val="none" w:sz="0" w:space="0" w:color="auto"/>
        <w:bottom w:val="none" w:sz="0" w:space="0" w:color="auto"/>
        <w:right w:val="none" w:sz="0" w:space="0" w:color="auto"/>
      </w:divBdr>
    </w:div>
    <w:div w:id="1732386278">
      <w:bodyDiv w:val="1"/>
      <w:marLeft w:val="0"/>
      <w:marRight w:val="0"/>
      <w:marTop w:val="0"/>
      <w:marBottom w:val="0"/>
      <w:divBdr>
        <w:top w:val="none" w:sz="0" w:space="0" w:color="auto"/>
        <w:left w:val="none" w:sz="0" w:space="0" w:color="auto"/>
        <w:bottom w:val="none" w:sz="0" w:space="0" w:color="auto"/>
        <w:right w:val="none" w:sz="0" w:space="0" w:color="auto"/>
      </w:divBdr>
    </w:div>
    <w:div w:id="1738934099">
      <w:bodyDiv w:val="1"/>
      <w:marLeft w:val="0"/>
      <w:marRight w:val="0"/>
      <w:marTop w:val="0"/>
      <w:marBottom w:val="0"/>
      <w:divBdr>
        <w:top w:val="none" w:sz="0" w:space="0" w:color="auto"/>
        <w:left w:val="none" w:sz="0" w:space="0" w:color="auto"/>
        <w:bottom w:val="none" w:sz="0" w:space="0" w:color="auto"/>
        <w:right w:val="none" w:sz="0" w:space="0" w:color="auto"/>
      </w:divBdr>
    </w:div>
    <w:div w:id="1760368751">
      <w:bodyDiv w:val="1"/>
      <w:marLeft w:val="0"/>
      <w:marRight w:val="0"/>
      <w:marTop w:val="0"/>
      <w:marBottom w:val="0"/>
      <w:divBdr>
        <w:top w:val="none" w:sz="0" w:space="0" w:color="auto"/>
        <w:left w:val="none" w:sz="0" w:space="0" w:color="auto"/>
        <w:bottom w:val="none" w:sz="0" w:space="0" w:color="auto"/>
        <w:right w:val="none" w:sz="0" w:space="0" w:color="auto"/>
      </w:divBdr>
    </w:div>
    <w:div w:id="1805274107">
      <w:bodyDiv w:val="1"/>
      <w:marLeft w:val="0"/>
      <w:marRight w:val="0"/>
      <w:marTop w:val="0"/>
      <w:marBottom w:val="0"/>
      <w:divBdr>
        <w:top w:val="none" w:sz="0" w:space="0" w:color="auto"/>
        <w:left w:val="none" w:sz="0" w:space="0" w:color="auto"/>
        <w:bottom w:val="none" w:sz="0" w:space="0" w:color="auto"/>
        <w:right w:val="none" w:sz="0" w:space="0" w:color="auto"/>
      </w:divBdr>
    </w:div>
    <w:div w:id="1819027268">
      <w:bodyDiv w:val="1"/>
      <w:marLeft w:val="0"/>
      <w:marRight w:val="0"/>
      <w:marTop w:val="0"/>
      <w:marBottom w:val="0"/>
      <w:divBdr>
        <w:top w:val="none" w:sz="0" w:space="0" w:color="auto"/>
        <w:left w:val="none" w:sz="0" w:space="0" w:color="auto"/>
        <w:bottom w:val="none" w:sz="0" w:space="0" w:color="auto"/>
        <w:right w:val="none" w:sz="0" w:space="0" w:color="auto"/>
      </w:divBdr>
    </w:div>
    <w:div w:id="1844853043">
      <w:bodyDiv w:val="1"/>
      <w:marLeft w:val="0"/>
      <w:marRight w:val="0"/>
      <w:marTop w:val="0"/>
      <w:marBottom w:val="0"/>
      <w:divBdr>
        <w:top w:val="none" w:sz="0" w:space="0" w:color="auto"/>
        <w:left w:val="none" w:sz="0" w:space="0" w:color="auto"/>
        <w:bottom w:val="none" w:sz="0" w:space="0" w:color="auto"/>
        <w:right w:val="none" w:sz="0" w:space="0" w:color="auto"/>
      </w:divBdr>
    </w:div>
    <w:div w:id="1871186181">
      <w:bodyDiv w:val="1"/>
      <w:marLeft w:val="0"/>
      <w:marRight w:val="0"/>
      <w:marTop w:val="0"/>
      <w:marBottom w:val="0"/>
      <w:divBdr>
        <w:top w:val="none" w:sz="0" w:space="0" w:color="auto"/>
        <w:left w:val="none" w:sz="0" w:space="0" w:color="auto"/>
        <w:bottom w:val="none" w:sz="0" w:space="0" w:color="auto"/>
        <w:right w:val="none" w:sz="0" w:space="0" w:color="auto"/>
      </w:divBdr>
    </w:div>
    <w:div w:id="1878395789">
      <w:bodyDiv w:val="1"/>
      <w:marLeft w:val="0"/>
      <w:marRight w:val="0"/>
      <w:marTop w:val="0"/>
      <w:marBottom w:val="0"/>
      <w:divBdr>
        <w:top w:val="none" w:sz="0" w:space="0" w:color="auto"/>
        <w:left w:val="none" w:sz="0" w:space="0" w:color="auto"/>
        <w:bottom w:val="none" w:sz="0" w:space="0" w:color="auto"/>
        <w:right w:val="none" w:sz="0" w:space="0" w:color="auto"/>
      </w:divBdr>
    </w:div>
    <w:div w:id="1915510375">
      <w:bodyDiv w:val="1"/>
      <w:marLeft w:val="0"/>
      <w:marRight w:val="0"/>
      <w:marTop w:val="0"/>
      <w:marBottom w:val="0"/>
      <w:divBdr>
        <w:top w:val="none" w:sz="0" w:space="0" w:color="auto"/>
        <w:left w:val="none" w:sz="0" w:space="0" w:color="auto"/>
        <w:bottom w:val="none" w:sz="0" w:space="0" w:color="auto"/>
        <w:right w:val="none" w:sz="0" w:space="0" w:color="auto"/>
      </w:divBdr>
    </w:div>
    <w:div w:id="1916351443">
      <w:bodyDiv w:val="1"/>
      <w:marLeft w:val="0"/>
      <w:marRight w:val="0"/>
      <w:marTop w:val="0"/>
      <w:marBottom w:val="0"/>
      <w:divBdr>
        <w:top w:val="none" w:sz="0" w:space="0" w:color="auto"/>
        <w:left w:val="none" w:sz="0" w:space="0" w:color="auto"/>
        <w:bottom w:val="none" w:sz="0" w:space="0" w:color="auto"/>
        <w:right w:val="none" w:sz="0" w:space="0" w:color="auto"/>
      </w:divBdr>
    </w:div>
    <w:div w:id="1917863848">
      <w:bodyDiv w:val="1"/>
      <w:marLeft w:val="0"/>
      <w:marRight w:val="0"/>
      <w:marTop w:val="0"/>
      <w:marBottom w:val="0"/>
      <w:divBdr>
        <w:top w:val="none" w:sz="0" w:space="0" w:color="auto"/>
        <w:left w:val="none" w:sz="0" w:space="0" w:color="auto"/>
        <w:bottom w:val="none" w:sz="0" w:space="0" w:color="auto"/>
        <w:right w:val="none" w:sz="0" w:space="0" w:color="auto"/>
      </w:divBdr>
    </w:div>
    <w:div w:id="1918976397">
      <w:bodyDiv w:val="1"/>
      <w:marLeft w:val="0"/>
      <w:marRight w:val="0"/>
      <w:marTop w:val="0"/>
      <w:marBottom w:val="0"/>
      <w:divBdr>
        <w:top w:val="none" w:sz="0" w:space="0" w:color="auto"/>
        <w:left w:val="none" w:sz="0" w:space="0" w:color="auto"/>
        <w:bottom w:val="none" w:sz="0" w:space="0" w:color="auto"/>
        <w:right w:val="none" w:sz="0" w:space="0" w:color="auto"/>
      </w:divBdr>
    </w:div>
    <w:div w:id="1922057922">
      <w:bodyDiv w:val="1"/>
      <w:marLeft w:val="0"/>
      <w:marRight w:val="0"/>
      <w:marTop w:val="0"/>
      <w:marBottom w:val="0"/>
      <w:divBdr>
        <w:top w:val="none" w:sz="0" w:space="0" w:color="auto"/>
        <w:left w:val="none" w:sz="0" w:space="0" w:color="auto"/>
        <w:bottom w:val="none" w:sz="0" w:space="0" w:color="auto"/>
        <w:right w:val="none" w:sz="0" w:space="0" w:color="auto"/>
      </w:divBdr>
    </w:div>
    <w:div w:id="1939947829">
      <w:bodyDiv w:val="1"/>
      <w:marLeft w:val="0"/>
      <w:marRight w:val="0"/>
      <w:marTop w:val="0"/>
      <w:marBottom w:val="0"/>
      <w:divBdr>
        <w:top w:val="none" w:sz="0" w:space="0" w:color="auto"/>
        <w:left w:val="none" w:sz="0" w:space="0" w:color="auto"/>
        <w:bottom w:val="none" w:sz="0" w:space="0" w:color="auto"/>
        <w:right w:val="none" w:sz="0" w:space="0" w:color="auto"/>
      </w:divBdr>
    </w:div>
    <w:div w:id="1941647586">
      <w:bodyDiv w:val="1"/>
      <w:marLeft w:val="0"/>
      <w:marRight w:val="0"/>
      <w:marTop w:val="0"/>
      <w:marBottom w:val="0"/>
      <w:divBdr>
        <w:top w:val="none" w:sz="0" w:space="0" w:color="auto"/>
        <w:left w:val="none" w:sz="0" w:space="0" w:color="auto"/>
        <w:bottom w:val="none" w:sz="0" w:space="0" w:color="auto"/>
        <w:right w:val="none" w:sz="0" w:space="0" w:color="auto"/>
      </w:divBdr>
    </w:div>
    <w:div w:id="1946620168">
      <w:bodyDiv w:val="1"/>
      <w:marLeft w:val="0"/>
      <w:marRight w:val="0"/>
      <w:marTop w:val="0"/>
      <w:marBottom w:val="0"/>
      <w:divBdr>
        <w:top w:val="none" w:sz="0" w:space="0" w:color="auto"/>
        <w:left w:val="none" w:sz="0" w:space="0" w:color="auto"/>
        <w:bottom w:val="none" w:sz="0" w:space="0" w:color="auto"/>
        <w:right w:val="none" w:sz="0" w:space="0" w:color="auto"/>
      </w:divBdr>
    </w:div>
    <w:div w:id="1951475406">
      <w:bodyDiv w:val="1"/>
      <w:marLeft w:val="0"/>
      <w:marRight w:val="0"/>
      <w:marTop w:val="0"/>
      <w:marBottom w:val="0"/>
      <w:divBdr>
        <w:top w:val="none" w:sz="0" w:space="0" w:color="auto"/>
        <w:left w:val="none" w:sz="0" w:space="0" w:color="auto"/>
        <w:bottom w:val="none" w:sz="0" w:space="0" w:color="auto"/>
        <w:right w:val="none" w:sz="0" w:space="0" w:color="auto"/>
      </w:divBdr>
    </w:div>
    <w:div w:id="1951891123">
      <w:bodyDiv w:val="1"/>
      <w:marLeft w:val="0"/>
      <w:marRight w:val="0"/>
      <w:marTop w:val="0"/>
      <w:marBottom w:val="0"/>
      <w:divBdr>
        <w:top w:val="none" w:sz="0" w:space="0" w:color="auto"/>
        <w:left w:val="none" w:sz="0" w:space="0" w:color="auto"/>
        <w:bottom w:val="none" w:sz="0" w:space="0" w:color="auto"/>
        <w:right w:val="none" w:sz="0" w:space="0" w:color="auto"/>
      </w:divBdr>
    </w:div>
    <w:div w:id="1951928896">
      <w:bodyDiv w:val="1"/>
      <w:marLeft w:val="0"/>
      <w:marRight w:val="0"/>
      <w:marTop w:val="0"/>
      <w:marBottom w:val="0"/>
      <w:divBdr>
        <w:top w:val="none" w:sz="0" w:space="0" w:color="auto"/>
        <w:left w:val="none" w:sz="0" w:space="0" w:color="auto"/>
        <w:bottom w:val="none" w:sz="0" w:space="0" w:color="auto"/>
        <w:right w:val="none" w:sz="0" w:space="0" w:color="auto"/>
      </w:divBdr>
    </w:div>
    <w:div w:id="1959603073">
      <w:bodyDiv w:val="1"/>
      <w:marLeft w:val="0"/>
      <w:marRight w:val="0"/>
      <w:marTop w:val="0"/>
      <w:marBottom w:val="0"/>
      <w:divBdr>
        <w:top w:val="none" w:sz="0" w:space="0" w:color="auto"/>
        <w:left w:val="none" w:sz="0" w:space="0" w:color="auto"/>
        <w:bottom w:val="none" w:sz="0" w:space="0" w:color="auto"/>
        <w:right w:val="none" w:sz="0" w:space="0" w:color="auto"/>
      </w:divBdr>
    </w:div>
    <w:div w:id="1962804267">
      <w:bodyDiv w:val="1"/>
      <w:marLeft w:val="0"/>
      <w:marRight w:val="0"/>
      <w:marTop w:val="0"/>
      <w:marBottom w:val="0"/>
      <w:divBdr>
        <w:top w:val="none" w:sz="0" w:space="0" w:color="auto"/>
        <w:left w:val="none" w:sz="0" w:space="0" w:color="auto"/>
        <w:bottom w:val="none" w:sz="0" w:space="0" w:color="auto"/>
        <w:right w:val="none" w:sz="0" w:space="0" w:color="auto"/>
      </w:divBdr>
    </w:div>
    <w:div w:id="1964648483">
      <w:bodyDiv w:val="1"/>
      <w:marLeft w:val="0"/>
      <w:marRight w:val="0"/>
      <w:marTop w:val="0"/>
      <w:marBottom w:val="0"/>
      <w:divBdr>
        <w:top w:val="none" w:sz="0" w:space="0" w:color="auto"/>
        <w:left w:val="none" w:sz="0" w:space="0" w:color="auto"/>
        <w:bottom w:val="none" w:sz="0" w:space="0" w:color="auto"/>
        <w:right w:val="none" w:sz="0" w:space="0" w:color="auto"/>
      </w:divBdr>
    </w:div>
    <w:div w:id="1988704634">
      <w:bodyDiv w:val="1"/>
      <w:marLeft w:val="0"/>
      <w:marRight w:val="0"/>
      <w:marTop w:val="0"/>
      <w:marBottom w:val="0"/>
      <w:divBdr>
        <w:top w:val="none" w:sz="0" w:space="0" w:color="auto"/>
        <w:left w:val="none" w:sz="0" w:space="0" w:color="auto"/>
        <w:bottom w:val="none" w:sz="0" w:space="0" w:color="auto"/>
        <w:right w:val="none" w:sz="0" w:space="0" w:color="auto"/>
      </w:divBdr>
    </w:div>
    <w:div w:id="1990280678">
      <w:bodyDiv w:val="1"/>
      <w:marLeft w:val="0"/>
      <w:marRight w:val="0"/>
      <w:marTop w:val="0"/>
      <w:marBottom w:val="0"/>
      <w:divBdr>
        <w:top w:val="none" w:sz="0" w:space="0" w:color="auto"/>
        <w:left w:val="none" w:sz="0" w:space="0" w:color="auto"/>
        <w:bottom w:val="none" w:sz="0" w:space="0" w:color="auto"/>
        <w:right w:val="none" w:sz="0" w:space="0" w:color="auto"/>
      </w:divBdr>
    </w:div>
    <w:div w:id="2000696452">
      <w:bodyDiv w:val="1"/>
      <w:marLeft w:val="0"/>
      <w:marRight w:val="0"/>
      <w:marTop w:val="0"/>
      <w:marBottom w:val="0"/>
      <w:divBdr>
        <w:top w:val="none" w:sz="0" w:space="0" w:color="auto"/>
        <w:left w:val="none" w:sz="0" w:space="0" w:color="auto"/>
        <w:bottom w:val="none" w:sz="0" w:space="0" w:color="auto"/>
        <w:right w:val="none" w:sz="0" w:space="0" w:color="auto"/>
      </w:divBdr>
    </w:div>
    <w:div w:id="2021740362">
      <w:bodyDiv w:val="1"/>
      <w:marLeft w:val="0"/>
      <w:marRight w:val="0"/>
      <w:marTop w:val="0"/>
      <w:marBottom w:val="0"/>
      <w:divBdr>
        <w:top w:val="none" w:sz="0" w:space="0" w:color="auto"/>
        <w:left w:val="none" w:sz="0" w:space="0" w:color="auto"/>
        <w:bottom w:val="none" w:sz="0" w:space="0" w:color="auto"/>
        <w:right w:val="none" w:sz="0" w:space="0" w:color="auto"/>
      </w:divBdr>
      <w:divsChild>
        <w:div w:id="1099329691">
          <w:marLeft w:val="0"/>
          <w:marRight w:val="0"/>
          <w:marTop w:val="0"/>
          <w:marBottom w:val="0"/>
          <w:divBdr>
            <w:top w:val="none" w:sz="0" w:space="0" w:color="auto"/>
            <w:left w:val="none" w:sz="0" w:space="0" w:color="auto"/>
            <w:bottom w:val="none" w:sz="0" w:space="0" w:color="auto"/>
            <w:right w:val="none" w:sz="0" w:space="0" w:color="auto"/>
          </w:divBdr>
        </w:div>
      </w:divsChild>
    </w:div>
    <w:div w:id="2022001152">
      <w:bodyDiv w:val="1"/>
      <w:marLeft w:val="0"/>
      <w:marRight w:val="0"/>
      <w:marTop w:val="0"/>
      <w:marBottom w:val="0"/>
      <w:divBdr>
        <w:top w:val="none" w:sz="0" w:space="0" w:color="auto"/>
        <w:left w:val="none" w:sz="0" w:space="0" w:color="auto"/>
        <w:bottom w:val="none" w:sz="0" w:space="0" w:color="auto"/>
        <w:right w:val="none" w:sz="0" w:space="0" w:color="auto"/>
      </w:divBdr>
    </w:div>
    <w:div w:id="2028750067">
      <w:bodyDiv w:val="1"/>
      <w:marLeft w:val="0"/>
      <w:marRight w:val="0"/>
      <w:marTop w:val="0"/>
      <w:marBottom w:val="0"/>
      <w:divBdr>
        <w:top w:val="none" w:sz="0" w:space="0" w:color="auto"/>
        <w:left w:val="none" w:sz="0" w:space="0" w:color="auto"/>
        <w:bottom w:val="none" w:sz="0" w:space="0" w:color="auto"/>
        <w:right w:val="none" w:sz="0" w:space="0" w:color="auto"/>
      </w:divBdr>
    </w:div>
    <w:div w:id="2037076376">
      <w:bodyDiv w:val="1"/>
      <w:marLeft w:val="0"/>
      <w:marRight w:val="0"/>
      <w:marTop w:val="0"/>
      <w:marBottom w:val="0"/>
      <w:divBdr>
        <w:top w:val="none" w:sz="0" w:space="0" w:color="auto"/>
        <w:left w:val="none" w:sz="0" w:space="0" w:color="auto"/>
        <w:bottom w:val="none" w:sz="0" w:space="0" w:color="auto"/>
        <w:right w:val="none" w:sz="0" w:space="0" w:color="auto"/>
      </w:divBdr>
    </w:div>
    <w:div w:id="2049453638">
      <w:bodyDiv w:val="1"/>
      <w:marLeft w:val="0"/>
      <w:marRight w:val="0"/>
      <w:marTop w:val="0"/>
      <w:marBottom w:val="0"/>
      <w:divBdr>
        <w:top w:val="none" w:sz="0" w:space="0" w:color="auto"/>
        <w:left w:val="none" w:sz="0" w:space="0" w:color="auto"/>
        <w:bottom w:val="none" w:sz="0" w:space="0" w:color="auto"/>
        <w:right w:val="none" w:sz="0" w:space="0" w:color="auto"/>
      </w:divBdr>
    </w:div>
    <w:div w:id="2055882948">
      <w:bodyDiv w:val="1"/>
      <w:marLeft w:val="0"/>
      <w:marRight w:val="0"/>
      <w:marTop w:val="0"/>
      <w:marBottom w:val="0"/>
      <w:divBdr>
        <w:top w:val="none" w:sz="0" w:space="0" w:color="auto"/>
        <w:left w:val="none" w:sz="0" w:space="0" w:color="auto"/>
        <w:bottom w:val="none" w:sz="0" w:space="0" w:color="auto"/>
        <w:right w:val="none" w:sz="0" w:space="0" w:color="auto"/>
      </w:divBdr>
    </w:div>
    <w:div w:id="2060396096">
      <w:bodyDiv w:val="1"/>
      <w:marLeft w:val="0"/>
      <w:marRight w:val="0"/>
      <w:marTop w:val="0"/>
      <w:marBottom w:val="0"/>
      <w:divBdr>
        <w:top w:val="none" w:sz="0" w:space="0" w:color="auto"/>
        <w:left w:val="none" w:sz="0" w:space="0" w:color="auto"/>
        <w:bottom w:val="none" w:sz="0" w:space="0" w:color="auto"/>
        <w:right w:val="none" w:sz="0" w:space="0" w:color="auto"/>
      </w:divBdr>
    </w:div>
    <w:div w:id="2082635464">
      <w:bodyDiv w:val="1"/>
      <w:marLeft w:val="0"/>
      <w:marRight w:val="0"/>
      <w:marTop w:val="0"/>
      <w:marBottom w:val="0"/>
      <w:divBdr>
        <w:top w:val="none" w:sz="0" w:space="0" w:color="auto"/>
        <w:left w:val="none" w:sz="0" w:space="0" w:color="auto"/>
        <w:bottom w:val="none" w:sz="0" w:space="0" w:color="auto"/>
        <w:right w:val="none" w:sz="0" w:space="0" w:color="auto"/>
      </w:divBdr>
    </w:div>
    <w:div w:id="2085369397">
      <w:bodyDiv w:val="1"/>
      <w:marLeft w:val="0"/>
      <w:marRight w:val="0"/>
      <w:marTop w:val="0"/>
      <w:marBottom w:val="0"/>
      <w:divBdr>
        <w:top w:val="none" w:sz="0" w:space="0" w:color="auto"/>
        <w:left w:val="none" w:sz="0" w:space="0" w:color="auto"/>
        <w:bottom w:val="none" w:sz="0" w:space="0" w:color="auto"/>
        <w:right w:val="none" w:sz="0" w:space="0" w:color="auto"/>
      </w:divBdr>
    </w:div>
    <w:div w:id="2111195803">
      <w:bodyDiv w:val="1"/>
      <w:marLeft w:val="0"/>
      <w:marRight w:val="0"/>
      <w:marTop w:val="0"/>
      <w:marBottom w:val="0"/>
      <w:divBdr>
        <w:top w:val="none" w:sz="0" w:space="0" w:color="auto"/>
        <w:left w:val="none" w:sz="0" w:space="0" w:color="auto"/>
        <w:bottom w:val="none" w:sz="0" w:space="0" w:color="auto"/>
        <w:right w:val="none" w:sz="0" w:space="0" w:color="auto"/>
      </w:divBdr>
    </w:div>
    <w:div w:id="2112047405">
      <w:bodyDiv w:val="1"/>
      <w:marLeft w:val="0"/>
      <w:marRight w:val="0"/>
      <w:marTop w:val="0"/>
      <w:marBottom w:val="0"/>
      <w:divBdr>
        <w:top w:val="none" w:sz="0" w:space="0" w:color="auto"/>
        <w:left w:val="none" w:sz="0" w:space="0" w:color="auto"/>
        <w:bottom w:val="none" w:sz="0" w:space="0" w:color="auto"/>
        <w:right w:val="none" w:sz="0" w:space="0" w:color="auto"/>
      </w:divBdr>
      <w:divsChild>
        <w:div w:id="660622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30906-FEF4-45A2-A0EC-54D5FE519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6638</Words>
  <Characters>37842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Vijaykanth Surampudi</dc:creator>
  <cp:keywords/>
  <dc:description/>
  <cp:lastModifiedBy>Ram babu</cp:lastModifiedBy>
  <cp:revision>2</cp:revision>
  <dcterms:created xsi:type="dcterms:W3CDTF">2024-08-21T10:18:00Z</dcterms:created>
  <dcterms:modified xsi:type="dcterms:W3CDTF">2024-08-21T10:18:00Z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50d21a0d457d0fd590e8eb4f7faf04b69cf1113cb6c28ee7478a3e33e0e2ead0</vt:lpwstr>
  </property>
</Properties>
</file>