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04787E7" w:rsidRDefault="204787E7" w14:paraId="45CBC2D4" w14:textId="70AADA8B"/>
    <w:p xmlns:wp14="http://schemas.microsoft.com/office/word/2010/wordml" w:rsidP="204787E7" wp14:paraId="0929D3E5" wp14:textId="2942609B">
      <w:pPr>
        <w:rPr>
          <w:b w:val="1"/>
          <w:bCs w:val="1"/>
        </w:rPr>
      </w:pPr>
    </w:p>
    <w:p xmlns:wp14="http://schemas.microsoft.com/office/word/2010/wordml" wp14:paraId="2C078E63" wp14:textId="07B7F24E">
      <w:r w:rsidR="61D73BAE">
        <w:rPr/>
        <w:t xml:space="preserve">Student </w:t>
      </w:r>
      <w:r w:rsidR="50D52F03">
        <w:rPr/>
        <w:t>N</w:t>
      </w:r>
      <w:r w:rsidR="61D73BAE">
        <w:rPr/>
        <w:t>ame: Felicia Tejuoso</w:t>
      </w:r>
    </w:p>
    <w:p w:rsidR="7094ACD6" w:rsidP="204787E7" w:rsidRDefault="7094ACD6" w14:paraId="47BB34A8" w14:textId="36F28736">
      <w:pPr>
        <w:pStyle w:val="Normal"/>
        <w:rPr>
          <w:rFonts w:ascii="Aptos" w:hAnsi="Aptos"/>
          <w:noProof w:val="0"/>
          <w:sz w:val="24"/>
          <w:szCs w:val="24"/>
          <w:lang w:val="en-US"/>
        </w:rPr>
      </w:pPr>
      <w:r w:rsidRPr="204787E7" w:rsidR="7094ACD6">
        <w:rPr>
          <w:rFonts w:ascii="Aptos" w:hAnsi="Aptos"/>
          <w:b w:val="0"/>
          <w:bCs w:val="0"/>
          <w:i w:val="1"/>
          <w:iCs w:val="1"/>
          <w:caps w:val="1"/>
          <w:strike w:val="0"/>
          <w:dstrike w:val="0"/>
          <w:noProof w:val="0"/>
          <w:color w:val="000000" w:themeColor="text1" w:themeTint="FF" w:themeShade="FF"/>
          <w:sz w:val="24"/>
          <w:szCs w:val="24"/>
          <w:u w:val="none"/>
          <w:vertAlign w:val="superscript"/>
          <w:lang w:val="en-US"/>
        </w:rPr>
        <w:t>Student number:2311756</w:t>
      </w:r>
      <w:r>
        <w:br/>
      </w:r>
      <w:r w:rsidRPr="204787E7" w:rsidR="7094ACD6">
        <w:rPr>
          <w:rFonts w:ascii="Aptos" w:hAnsi="Aptos"/>
          <w:b w:val="0"/>
          <w:bCs w:val="0"/>
          <w:i w:val="1"/>
          <w:iCs w:val="1"/>
          <w:caps w:val="1"/>
          <w:strike w:val="0"/>
          <w:dstrike w:val="0"/>
          <w:noProof w:val="0"/>
          <w:color w:val="000000" w:themeColor="text1" w:themeTint="FF" w:themeShade="FF"/>
          <w:sz w:val="24"/>
          <w:szCs w:val="24"/>
          <w:u w:val="none"/>
          <w:vertAlign w:val="superscript"/>
          <w:lang w:val="en-US"/>
        </w:rPr>
        <w:t>Lecturer: Rizwan nadim</w:t>
      </w:r>
      <w:r>
        <w:br/>
      </w:r>
      <w:r w:rsidRPr="204787E7" w:rsidR="7094ACD6">
        <w:rPr>
          <w:rFonts w:ascii="Aptos" w:hAnsi="Aptos"/>
          <w:b w:val="0"/>
          <w:bCs w:val="0"/>
          <w:i w:val="1"/>
          <w:iCs w:val="1"/>
          <w:caps w:val="1"/>
          <w:strike w:val="0"/>
          <w:dstrike w:val="0"/>
          <w:noProof w:val="0"/>
          <w:color w:val="000000" w:themeColor="text1" w:themeTint="FF" w:themeShade="FF"/>
          <w:sz w:val="24"/>
          <w:szCs w:val="24"/>
          <w:u w:val="none"/>
          <w:vertAlign w:val="superscript"/>
          <w:lang w:val="en-US"/>
        </w:rPr>
        <w:t>MODULE: BMHP6027</w:t>
      </w:r>
    </w:p>
    <w:p w:rsidR="6900491A" w:rsidP="204787E7" w:rsidRDefault="6900491A" w14:paraId="77EED655" w14:textId="2BF56231">
      <w:pPr>
        <w:pStyle w:val="Normal"/>
        <w:rPr>
          <w:rFonts w:ascii="Aptos" w:hAnsi="Aptos"/>
          <w:noProof w:val="0"/>
          <w:sz w:val="24"/>
          <w:szCs w:val="24"/>
          <w:lang w:val="en-US"/>
        </w:rPr>
      </w:pPr>
      <w:r w:rsidRPr="204787E7" w:rsidR="6900491A">
        <w:rPr>
          <w:rFonts w:ascii="Aptos" w:hAnsi="Aptos"/>
          <w:b w:val="0"/>
          <w:bCs w:val="0"/>
          <w:i w:val="0"/>
          <w:iCs w:val="0"/>
          <w:caps w:val="0"/>
          <w:smallCaps w:val="0"/>
          <w:noProof w:val="0"/>
          <w:color w:val="000000" w:themeColor="text1" w:themeTint="FF" w:themeShade="FF"/>
          <w:sz w:val="24"/>
          <w:szCs w:val="24"/>
          <w:lang w:val="en-US"/>
        </w:rPr>
        <w:t xml:space="preserve">Assignment Title: </w:t>
      </w:r>
      <w:r w:rsidRPr="204787E7" w:rsidR="6900491A">
        <w:rPr>
          <w:rFonts w:ascii="Aptos" w:hAnsi="Aptos"/>
          <w:b w:val="1"/>
          <w:bCs w:val="1"/>
          <w:noProof w:val="0"/>
          <w:sz w:val="24"/>
          <w:szCs w:val="24"/>
          <w:lang w:val="en-US"/>
        </w:rPr>
        <w:t>Component 2: Debate / Discussion</w:t>
      </w:r>
    </w:p>
    <w:p w:rsidR="3E574476" w:rsidP="204787E7" w:rsidRDefault="3E574476" w14:paraId="5243554C" w14:textId="1514C462">
      <w:pPr>
        <w:rPr>
          <w:rFonts w:ascii="Aptos" w:hAnsi="Aptos"/>
          <w:b w:val="0"/>
          <w:bCs w:val="0"/>
          <w:i w:val="0"/>
          <w:iCs w:val="0"/>
          <w:caps w:val="0"/>
          <w:smallCaps w:val="0"/>
          <w:noProof w:val="0"/>
          <w:color w:val="000000" w:themeColor="text1" w:themeTint="FF" w:themeShade="FF"/>
          <w:sz w:val="24"/>
          <w:szCs w:val="24"/>
          <w:lang w:val="en-US"/>
        </w:rPr>
      </w:pPr>
      <w:r w:rsidRPr="204787E7" w:rsidR="3E574476">
        <w:rPr>
          <w:rFonts w:ascii="Aptos" w:hAnsi="Aptos"/>
          <w:b w:val="0"/>
          <w:bCs w:val="0"/>
          <w:i w:val="0"/>
          <w:iCs w:val="0"/>
          <w:caps w:val="0"/>
          <w:smallCaps w:val="0"/>
          <w:noProof w:val="0"/>
          <w:color w:val="000000" w:themeColor="text1" w:themeTint="FF" w:themeShade="FF"/>
          <w:sz w:val="24"/>
          <w:szCs w:val="24"/>
          <w:lang w:val="en-GB"/>
        </w:rPr>
        <w:t xml:space="preserve">Robinson, A. (Lynwall A., Ruebain, D. and Uppal, S. (2021) Blackstone’s guide to the Equality Act 2010. Fourth edition. Edited by S. Uppal, D. Ruebain, and A. Robinson. Oxford: Oxford University Press. Available at: </w:t>
      </w:r>
      <w:hyperlink r:id="Raedee9cd874443b1">
        <w:r w:rsidRPr="204787E7" w:rsidR="3E574476">
          <w:rPr>
            <w:rStyle w:val="Hyperlink"/>
            <w:rFonts w:ascii="Aptos" w:hAnsi="Aptos"/>
            <w:b w:val="0"/>
            <w:bCs w:val="0"/>
            <w:i w:val="0"/>
            <w:iCs w:val="0"/>
            <w:caps w:val="0"/>
            <w:smallCaps w:val="0"/>
            <w:strike w:val="0"/>
            <w:dstrike w:val="0"/>
            <w:noProof w:val="0"/>
            <w:sz w:val="24"/>
            <w:szCs w:val="24"/>
            <w:lang w:val="en-GB"/>
          </w:rPr>
          <w:t>https://doi.org/10.1093/oso/9780198870876.001.0001</w:t>
        </w:r>
      </w:hyperlink>
      <w:r w:rsidRPr="204787E7" w:rsidR="3E574476">
        <w:rPr>
          <w:rFonts w:ascii="Aptos" w:hAnsi="Aptos"/>
          <w:b w:val="0"/>
          <w:bCs w:val="0"/>
          <w:i w:val="0"/>
          <w:iCs w:val="0"/>
          <w:caps w:val="0"/>
          <w:smallCaps w:val="0"/>
          <w:noProof w:val="0"/>
          <w:color w:val="000000" w:themeColor="text1" w:themeTint="FF" w:themeShade="FF"/>
          <w:sz w:val="24"/>
          <w:szCs w:val="24"/>
          <w:lang w:val="en-GB"/>
        </w:rPr>
        <w:t>.</w:t>
      </w:r>
    </w:p>
    <w:p w:rsidR="3E574476" w:rsidP="204787E7" w:rsidRDefault="3E574476" w14:paraId="220D3509" w14:textId="78728185">
      <w:pPr>
        <w:rPr>
          <w:rFonts w:ascii="Aptos" w:hAnsi="Aptos"/>
          <w:b w:val="0"/>
          <w:bCs w:val="0"/>
          <w:i w:val="0"/>
          <w:iCs w:val="0"/>
          <w:caps w:val="0"/>
          <w:smallCaps w:val="0"/>
          <w:noProof w:val="0"/>
          <w:color w:val="000000" w:themeColor="text1" w:themeTint="FF" w:themeShade="FF"/>
          <w:sz w:val="24"/>
          <w:szCs w:val="24"/>
          <w:lang w:val="en-US"/>
        </w:rPr>
      </w:pPr>
      <w:r w:rsidRPr="204787E7" w:rsidR="3E574476">
        <w:rPr>
          <w:rFonts w:ascii="Aptos" w:hAnsi="Aptos"/>
          <w:b w:val="0"/>
          <w:bCs w:val="0"/>
          <w:i w:val="0"/>
          <w:iCs w:val="0"/>
          <w:caps w:val="0"/>
          <w:smallCaps w:val="0"/>
          <w:noProof w:val="0"/>
          <w:color w:val="000000" w:themeColor="text1" w:themeTint="FF" w:themeShade="FF"/>
          <w:sz w:val="24"/>
          <w:szCs w:val="24"/>
          <w:lang w:val="en-GB"/>
        </w:rPr>
        <w:t>Bobillier Chaumon, M.E., Michel, C., Tarpin Bernard, F. and Croisile, B., 2014. Can ICT improve the quality of life of elderly adults living in residential home care units? From actual impacts to hidden artefacts. Behaviour &amp; Information Technology, 33(6), pp.574-59</w:t>
      </w:r>
    </w:p>
    <w:p w:rsidR="3E574476" w:rsidP="204787E7" w:rsidRDefault="3E574476" w14:paraId="05CDD3A8" w14:textId="6524C626">
      <w:pPr>
        <w:rPr>
          <w:rFonts w:ascii="Aptos" w:hAnsi="Aptos"/>
          <w:b w:val="0"/>
          <w:bCs w:val="0"/>
          <w:i w:val="0"/>
          <w:iCs w:val="0"/>
          <w:caps w:val="0"/>
          <w:smallCaps w:val="0"/>
          <w:noProof w:val="0"/>
          <w:color w:val="000000" w:themeColor="text1" w:themeTint="FF" w:themeShade="FF"/>
          <w:sz w:val="24"/>
          <w:szCs w:val="24"/>
          <w:lang w:val="en-US"/>
        </w:rPr>
      </w:pPr>
      <w:r w:rsidRPr="204787E7" w:rsidR="3E574476">
        <w:rPr>
          <w:rFonts w:ascii="Aptos" w:hAnsi="Aptos"/>
          <w:b w:val="0"/>
          <w:bCs w:val="0"/>
          <w:i w:val="0"/>
          <w:iCs w:val="0"/>
          <w:caps w:val="0"/>
          <w:smallCaps w:val="0"/>
          <w:noProof w:val="0"/>
          <w:color w:val="000000" w:themeColor="text1" w:themeTint="FF" w:themeShade="FF"/>
          <w:sz w:val="24"/>
          <w:szCs w:val="24"/>
          <w:lang w:val="en-GB"/>
        </w:rPr>
        <w:t xml:space="preserve">CQC (2022). Care Quality Commission. [online] Cqc.org.uk. Available at: </w:t>
      </w:r>
      <w:hyperlink r:id="R545ab6e1f027400e">
        <w:r w:rsidRPr="204787E7" w:rsidR="3E574476">
          <w:rPr>
            <w:rStyle w:val="Hyperlink"/>
            <w:rFonts w:ascii="Aptos" w:hAnsi="Aptos"/>
            <w:b w:val="0"/>
            <w:bCs w:val="0"/>
            <w:i w:val="0"/>
            <w:iCs w:val="0"/>
            <w:caps w:val="0"/>
            <w:smallCaps w:val="0"/>
            <w:strike w:val="0"/>
            <w:dstrike w:val="0"/>
            <w:noProof w:val="0"/>
            <w:sz w:val="24"/>
            <w:szCs w:val="24"/>
            <w:lang w:val="en-GB"/>
          </w:rPr>
          <w:t>https://www.cqc.org.uk</w:t>
        </w:r>
      </w:hyperlink>
      <w:r w:rsidRPr="204787E7" w:rsidR="3E574476">
        <w:rPr>
          <w:rFonts w:ascii="Aptos" w:hAnsi="Aptos"/>
          <w:b w:val="0"/>
          <w:bCs w:val="0"/>
          <w:i w:val="0"/>
          <w:iCs w:val="0"/>
          <w:caps w:val="0"/>
          <w:smallCaps w:val="0"/>
          <w:noProof w:val="0"/>
          <w:color w:val="000000" w:themeColor="text1" w:themeTint="FF" w:themeShade="FF"/>
          <w:sz w:val="24"/>
          <w:szCs w:val="24"/>
          <w:lang w:val="en-GB"/>
        </w:rPr>
        <w:t xml:space="preserve"> (Accessed: 2 March 2026).</w:t>
      </w:r>
    </w:p>
    <w:p w:rsidR="3E574476" w:rsidP="204787E7" w:rsidRDefault="3E574476" w14:paraId="1FCC22F8" w14:textId="1B6BC370">
      <w:pPr>
        <w:rPr>
          <w:rFonts w:ascii="Aptos" w:hAnsi="Aptos"/>
          <w:b w:val="0"/>
          <w:bCs w:val="0"/>
          <w:i w:val="0"/>
          <w:iCs w:val="0"/>
          <w:caps w:val="0"/>
          <w:smallCaps w:val="0"/>
          <w:noProof w:val="0"/>
          <w:color w:val="000000" w:themeColor="text1" w:themeTint="FF" w:themeShade="FF"/>
          <w:sz w:val="24"/>
          <w:szCs w:val="24"/>
          <w:lang w:val="en-US"/>
        </w:rPr>
      </w:pPr>
      <w:r w:rsidRPr="204787E7" w:rsidR="3E574476">
        <w:rPr>
          <w:rFonts w:ascii="Aptos" w:hAnsi="Aptos"/>
          <w:b w:val="0"/>
          <w:bCs w:val="0"/>
          <w:i w:val="0"/>
          <w:iCs w:val="0"/>
          <w:caps w:val="0"/>
          <w:smallCaps w:val="0"/>
          <w:noProof w:val="0"/>
          <w:color w:val="000000" w:themeColor="text1" w:themeTint="FF" w:themeShade="FF"/>
          <w:sz w:val="24"/>
          <w:szCs w:val="24"/>
          <w:lang w:val="en-GB"/>
        </w:rPr>
        <w:t>‌Age UK (2024) Different types of care homes Available at: The Different Types of Care Homes | Age UK (Accessed: 2 March 2026).</w:t>
      </w:r>
    </w:p>
    <w:p w:rsidR="3E574476" w:rsidP="204787E7" w:rsidRDefault="3E574476" w14:paraId="37B300F5" w14:textId="476EBDBF">
      <w:pPr>
        <w:rPr>
          <w:rFonts w:ascii="Aptos" w:hAnsi="Aptos"/>
          <w:b w:val="0"/>
          <w:bCs w:val="0"/>
          <w:i w:val="0"/>
          <w:iCs w:val="0"/>
          <w:caps w:val="0"/>
          <w:smallCaps w:val="0"/>
          <w:noProof w:val="0"/>
          <w:color w:val="000000" w:themeColor="text1" w:themeTint="FF" w:themeShade="FF"/>
          <w:sz w:val="24"/>
          <w:szCs w:val="24"/>
          <w:lang w:val="en-US"/>
        </w:rPr>
      </w:pPr>
      <w:r w:rsidRPr="204787E7" w:rsidR="3E574476">
        <w:rPr>
          <w:rFonts w:ascii="Aptos" w:hAnsi="Aptos"/>
          <w:b w:val="0"/>
          <w:bCs w:val="0"/>
          <w:i w:val="0"/>
          <w:iCs w:val="0"/>
          <w:caps w:val="0"/>
          <w:smallCaps w:val="0"/>
          <w:noProof w:val="0"/>
          <w:color w:val="000000" w:themeColor="text1" w:themeTint="FF" w:themeShade="FF"/>
          <w:sz w:val="24"/>
          <w:szCs w:val="24"/>
          <w:lang w:val="en-GB"/>
        </w:rPr>
        <w:t xml:space="preserve">Cqc.org.uk. (2022). Digital care assistant - Care Quality Commission. [online] Available at: </w:t>
      </w:r>
      <w:hyperlink r:id="R59fd60ab7a924a8b">
        <w:r w:rsidRPr="204787E7" w:rsidR="3E574476">
          <w:rPr>
            <w:rStyle w:val="Hyperlink"/>
            <w:rFonts w:ascii="Aptos" w:hAnsi="Aptos"/>
            <w:b w:val="0"/>
            <w:bCs w:val="0"/>
            <w:i w:val="0"/>
            <w:iCs w:val="0"/>
            <w:caps w:val="0"/>
            <w:smallCaps w:val="0"/>
            <w:strike w:val="0"/>
            <w:dstrike w:val="0"/>
            <w:noProof w:val="0"/>
            <w:sz w:val="24"/>
            <w:szCs w:val="24"/>
            <w:lang w:val="en-GB"/>
          </w:rPr>
          <w:t>https://www.cqc.org.uk/publications/themes-care/digital-care-assistant?utm_source=chatgpt.com</w:t>
        </w:r>
      </w:hyperlink>
      <w:r w:rsidRPr="204787E7" w:rsidR="3E574476">
        <w:rPr>
          <w:rFonts w:ascii="Aptos" w:hAnsi="Aptos"/>
          <w:b w:val="0"/>
          <w:bCs w:val="0"/>
          <w:i w:val="0"/>
          <w:iCs w:val="0"/>
          <w:caps w:val="0"/>
          <w:smallCaps w:val="0"/>
          <w:noProof w:val="0"/>
          <w:color w:val="000000" w:themeColor="text1" w:themeTint="FF" w:themeShade="FF"/>
          <w:sz w:val="24"/>
          <w:szCs w:val="24"/>
          <w:lang w:val="en-GB"/>
        </w:rPr>
        <w:t xml:space="preserve"> [Accessed 11 Mar. 2026].</w:t>
      </w:r>
    </w:p>
    <w:p w:rsidR="204787E7" w:rsidP="204787E7" w:rsidRDefault="204787E7" w14:paraId="42318D69" w14:textId="2AE80A5A">
      <w:pPr>
        <w:rPr>
          <w:rFonts w:ascii="Aptos" w:hAnsi="Aptos"/>
          <w:b w:val="0"/>
          <w:bCs w:val="0"/>
          <w:i w:val="0"/>
          <w:iCs w:val="0"/>
          <w:caps w:val="0"/>
          <w:smallCaps w:val="0"/>
          <w:noProof w:val="0"/>
          <w:color w:val="000000" w:themeColor="text1" w:themeTint="FF" w:themeShade="FF"/>
          <w:sz w:val="24"/>
          <w:szCs w:val="24"/>
          <w:lang w:val="en-US"/>
        </w:rPr>
      </w:pPr>
    </w:p>
    <w:p w:rsidR="3E574476" w:rsidP="204787E7" w:rsidRDefault="3E574476" w14:paraId="6450CFD6" w14:textId="361D8C7D">
      <w:pPr>
        <w:rPr>
          <w:rFonts w:ascii="Aptos" w:hAnsi="Aptos"/>
          <w:b w:val="0"/>
          <w:bCs w:val="0"/>
          <w:i w:val="0"/>
          <w:iCs w:val="0"/>
          <w:caps w:val="0"/>
          <w:smallCaps w:val="0"/>
          <w:noProof w:val="0"/>
          <w:color w:val="000000" w:themeColor="text1" w:themeTint="FF" w:themeShade="FF"/>
          <w:sz w:val="24"/>
          <w:szCs w:val="24"/>
          <w:lang w:val="en-US"/>
        </w:rPr>
      </w:pPr>
      <w:r w:rsidRPr="204787E7" w:rsidR="3E574476">
        <w:rPr>
          <w:rFonts w:ascii="Aptos" w:hAnsi="Aptos"/>
          <w:b w:val="0"/>
          <w:bCs w:val="0"/>
          <w:i w:val="0"/>
          <w:iCs w:val="0"/>
          <w:caps w:val="0"/>
          <w:smallCaps w:val="0"/>
          <w:noProof w:val="0"/>
          <w:color w:val="000000" w:themeColor="text1" w:themeTint="FF" w:themeShade="FF"/>
          <w:sz w:val="24"/>
          <w:szCs w:val="24"/>
          <w:lang w:val="en-GB"/>
        </w:rPr>
        <w:t xml:space="preserve">Buckley, C., Malcolm, R. and Hanlon, J. (2024). Economic impact of a vision-based patient monitoring system across five NHS mental health trusts. PLOS Digital Health, 3(9), p.e0000559. doi:https://doi.org/10.1371/journal.pdig.0000559. </w:t>
      </w:r>
    </w:p>
    <w:p w:rsidR="3E574476" w:rsidP="204787E7" w:rsidRDefault="3E574476" w14:paraId="11859E92" w14:textId="39C16E4E">
      <w:pPr>
        <w:rPr>
          <w:rFonts w:ascii="Aptos" w:hAnsi="Aptos"/>
          <w:b w:val="0"/>
          <w:bCs w:val="0"/>
          <w:i w:val="0"/>
          <w:iCs w:val="0"/>
          <w:caps w:val="0"/>
          <w:smallCaps w:val="0"/>
          <w:noProof w:val="0"/>
          <w:color w:val="000000" w:themeColor="text1" w:themeTint="FF" w:themeShade="FF"/>
          <w:sz w:val="24"/>
          <w:szCs w:val="24"/>
          <w:lang w:val="en-US"/>
        </w:rPr>
      </w:pPr>
      <w:r w:rsidRPr="204787E7" w:rsidR="3E574476">
        <w:rPr>
          <w:rFonts w:ascii="Aptos" w:hAnsi="Aptos"/>
          <w:b w:val="0"/>
          <w:bCs w:val="0"/>
          <w:i w:val="0"/>
          <w:iCs w:val="0"/>
          <w:caps w:val="0"/>
          <w:smallCaps w:val="0"/>
          <w:noProof w:val="0"/>
          <w:color w:val="000000" w:themeColor="text1" w:themeTint="FF" w:themeShade="FF"/>
          <w:sz w:val="24"/>
          <w:szCs w:val="24"/>
          <w:lang w:val="en-GB"/>
        </w:rPr>
        <w:t xml:space="preserve">van Loon, J., Luijkx, K., Janssen, M., de Rooij, I., &amp; Janssen, B. (2021). Facilitators and barriers to autonomy: a systematic literature review for older adults with physical impairments, living in residential care facilities. Ageing and Society, 41(5), 1021–1050. </w:t>
      </w:r>
      <w:hyperlink r:id="R3a736ed8fdc640f8">
        <w:r w:rsidRPr="204787E7" w:rsidR="3E574476">
          <w:rPr>
            <w:rStyle w:val="Hyperlink"/>
            <w:rFonts w:ascii="Aptos" w:hAnsi="Aptos"/>
            <w:b w:val="0"/>
            <w:bCs w:val="0"/>
            <w:i w:val="0"/>
            <w:iCs w:val="0"/>
            <w:caps w:val="0"/>
            <w:smallCaps w:val="0"/>
            <w:noProof w:val="0"/>
            <w:sz w:val="24"/>
            <w:szCs w:val="24"/>
            <w:lang w:val="en-GB"/>
          </w:rPr>
          <w:t>https://doi.org/10.1017/S0144686X19001557</w:t>
        </w:r>
      </w:hyperlink>
    </w:p>
    <w:p w:rsidR="3E574476" w:rsidP="204787E7" w:rsidRDefault="3E574476" w14:paraId="3050A51E" w14:textId="694AFC7D">
      <w:pPr>
        <w:rPr>
          <w:rFonts w:ascii="Aptos" w:hAnsi="Aptos"/>
          <w:b w:val="0"/>
          <w:bCs w:val="0"/>
          <w:i w:val="0"/>
          <w:iCs w:val="0"/>
          <w:caps w:val="0"/>
          <w:smallCaps w:val="0"/>
          <w:noProof w:val="0"/>
          <w:color w:val="000000" w:themeColor="text1" w:themeTint="FF" w:themeShade="FF"/>
          <w:sz w:val="24"/>
          <w:szCs w:val="24"/>
          <w:lang w:val="en-US"/>
        </w:rPr>
      </w:pPr>
      <w:r w:rsidRPr="204787E7" w:rsidR="3E574476">
        <w:rPr>
          <w:rFonts w:ascii="Aptos" w:hAnsi="Aptos"/>
          <w:b w:val="0"/>
          <w:bCs w:val="0"/>
          <w:i w:val="0"/>
          <w:iCs w:val="0"/>
          <w:caps w:val="0"/>
          <w:smallCaps w:val="0"/>
          <w:noProof w:val="0"/>
          <w:color w:val="000000" w:themeColor="text1" w:themeTint="FF" w:themeShade="FF"/>
          <w:sz w:val="24"/>
          <w:szCs w:val="24"/>
          <w:lang w:val="en-GB"/>
        </w:rPr>
        <w:t>KNIGHT, C., HASLAM, S.A. and HASLAM, C., 2010. In home or at home? How collective decision making in a new care facility enhances social interaction and wellbeing amongst older adults. Ageing and Society, 30(8), pp. 1393-1418</w:t>
      </w:r>
    </w:p>
    <w:p w:rsidR="3E574476" w:rsidP="204787E7" w:rsidRDefault="3E574476" w14:paraId="58E9ECCD" w14:textId="11DCC8B9">
      <w:pPr>
        <w:rPr>
          <w:rFonts w:ascii="Aptos" w:hAnsi="Aptos"/>
          <w:b w:val="0"/>
          <w:bCs w:val="0"/>
          <w:i w:val="0"/>
          <w:iCs w:val="0"/>
          <w:caps w:val="0"/>
          <w:smallCaps w:val="0"/>
          <w:noProof w:val="0"/>
          <w:color w:val="000000" w:themeColor="text1" w:themeTint="FF" w:themeShade="FF"/>
          <w:sz w:val="24"/>
          <w:szCs w:val="24"/>
          <w:lang w:val="en-US"/>
        </w:rPr>
      </w:pPr>
      <w:r w:rsidRPr="204787E7" w:rsidR="3E574476">
        <w:rPr>
          <w:rFonts w:ascii="Aptos" w:hAnsi="Aptos"/>
          <w:b w:val="0"/>
          <w:bCs w:val="0"/>
          <w:i w:val="0"/>
          <w:iCs w:val="0"/>
          <w:caps w:val="0"/>
          <w:smallCaps w:val="0"/>
          <w:noProof w:val="0"/>
          <w:color w:val="000000" w:themeColor="text1" w:themeTint="FF" w:themeShade="FF"/>
          <w:sz w:val="24"/>
          <w:szCs w:val="24"/>
          <w:lang w:val="en-GB"/>
        </w:rPr>
        <w:t>Knight, C., Haslam, S.A. and Haslam, C., 2010. In home or at home? How collective decision making in a new care facility enhances social interaction and wellbeing amongst older adults. Ageing &amp; Society, 30(8), pp.1393-1418.</w:t>
      </w:r>
    </w:p>
    <w:p w:rsidR="3E574476" w:rsidP="204787E7" w:rsidRDefault="3E574476" w14:paraId="02C438E5" w14:textId="6DB09C52">
      <w:pPr>
        <w:rPr>
          <w:rFonts w:ascii="Aptos" w:hAnsi="Aptos"/>
          <w:b w:val="0"/>
          <w:bCs w:val="0"/>
          <w:i w:val="0"/>
          <w:iCs w:val="0"/>
          <w:caps w:val="0"/>
          <w:smallCaps w:val="0"/>
          <w:noProof w:val="0"/>
          <w:color w:val="000000" w:themeColor="text1" w:themeTint="FF" w:themeShade="FF"/>
          <w:sz w:val="24"/>
          <w:szCs w:val="24"/>
          <w:lang w:val="en-US"/>
        </w:rPr>
      </w:pPr>
      <w:r w:rsidRPr="204787E7" w:rsidR="3E574476">
        <w:rPr>
          <w:rFonts w:ascii="Aptos" w:hAnsi="Aptos"/>
          <w:b w:val="0"/>
          <w:bCs w:val="0"/>
          <w:i w:val="0"/>
          <w:iCs w:val="0"/>
          <w:caps w:val="0"/>
          <w:smallCaps w:val="0"/>
          <w:noProof w:val="0"/>
          <w:color w:val="000000" w:themeColor="text1" w:themeTint="FF" w:themeShade="FF"/>
          <w:sz w:val="24"/>
          <w:szCs w:val="24"/>
          <w:lang w:val="en-GB"/>
        </w:rPr>
        <w:t xml:space="preserve">Brammer, A. (2001) “Human Rights Act 1998: implications for adult protection,” The journal of adult protection, 3(1), pp. 43–52. Available at: </w:t>
      </w:r>
      <w:hyperlink r:id="R0738aee1dc974c3d">
        <w:r w:rsidRPr="204787E7" w:rsidR="3E574476">
          <w:rPr>
            <w:rStyle w:val="Hyperlink"/>
            <w:rFonts w:ascii="Aptos" w:hAnsi="Aptos"/>
            <w:b w:val="0"/>
            <w:bCs w:val="0"/>
            <w:i w:val="0"/>
            <w:iCs w:val="0"/>
            <w:caps w:val="0"/>
            <w:smallCaps w:val="0"/>
            <w:strike w:val="0"/>
            <w:dstrike w:val="0"/>
            <w:noProof w:val="0"/>
            <w:sz w:val="24"/>
            <w:szCs w:val="24"/>
            <w:lang w:val="en-GB"/>
          </w:rPr>
          <w:t>https://doi.org/10.1108/14668203200100007</w:t>
        </w:r>
      </w:hyperlink>
      <w:r w:rsidRPr="204787E7" w:rsidR="3E574476">
        <w:rPr>
          <w:rFonts w:ascii="Aptos" w:hAnsi="Aptos"/>
          <w:b w:val="0"/>
          <w:bCs w:val="0"/>
          <w:i w:val="0"/>
          <w:iCs w:val="0"/>
          <w:caps w:val="0"/>
          <w:smallCaps w:val="0"/>
          <w:noProof w:val="0"/>
          <w:color w:val="000000" w:themeColor="text1" w:themeTint="FF" w:themeShade="FF"/>
          <w:sz w:val="24"/>
          <w:szCs w:val="24"/>
          <w:lang w:val="en-GB"/>
        </w:rPr>
        <w:t>.</w:t>
      </w:r>
    </w:p>
    <w:p w:rsidR="3E574476" w:rsidP="204787E7" w:rsidRDefault="3E574476" w14:paraId="09B47BB7" w14:textId="4342556C">
      <w:pPr>
        <w:rPr>
          <w:rFonts w:ascii="Aptos" w:hAnsi="Aptos"/>
          <w:b w:val="0"/>
          <w:bCs w:val="0"/>
          <w:i w:val="0"/>
          <w:iCs w:val="0"/>
          <w:caps w:val="0"/>
          <w:smallCaps w:val="0"/>
          <w:noProof w:val="0"/>
          <w:color w:val="000000" w:themeColor="text1" w:themeTint="FF" w:themeShade="FF"/>
          <w:sz w:val="24"/>
          <w:szCs w:val="24"/>
          <w:lang w:val="en-US"/>
        </w:rPr>
      </w:pPr>
      <w:r w:rsidRPr="204787E7" w:rsidR="3E574476">
        <w:rPr>
          <w:rFonts w:ascii="Aptos" w:hAnsi="Aptos"/>
          <w:b w:val="0"/>
          <w:bCs w:val="0"/>
          <w:i w:val="0"/>
          <w:iCs w:val="0"/>
          <w:caps w:val="0"/>
          <w:smallCaps w:val="0"/>
          <w:noProof w:val="0"/>
          <w:color w:val="000000" w:themeColor="text1" w:themeTint="FF" w:themeShade="FF"/>
          <w:sz w:val="24"/>
          <w:szCs w:val="24"/>
          <w:lang w:val="en-GB"/>
        </w:rPr>
        <w:t xml:space="preserve">NHS England (2019) NHS Long Term Plan, NHS. Available at: </w:t>
      </w:r>
      <w:hyperlink r:id="R2385060cc731480f">
        <w:r w:rsidRPr="204787E7" w:rsidR="3E574476">
          <w:rPr>
            <w:rStyle w:val="Hyperlink"/>
            <w:rFonts w:ascii="Aptos" w:hAnsi="Aptos"/>
            <w:b w:val="0"/>
            <w:bCs w:val="0"/>
            <w:i w:val="0"/>
            <w:iCs w:val="0"/>
            <w:caps w:val="0"/>
            <w:smallCaps w:val="0"/>
            <w:strike w:val="0"/>
            <w:dstrike w:val="0"/>
            <w:noProof w:val="0"/>
            <w:sz w:val="24"/>
            <w:szCs w:val="24"/>
            <w:lang w:val="en-GB"/>
          </w:rPr>
          <w:t>https://www.longtermplan.nhs.uk</w:t>
        </w:r>
      </w:hyperlink>
      <w:r w:rsidRPr="204787E7" w:rsidR="3E574476">
        <w:rPr>
          <w:rFonts w:ascii="Aptos" w:hAnsi="Aptos"/>
          <w:b w:val="0"/>
          <w:bCs w:val="0"/>
          <w:i w:val="0"/>
          <w:iCs w:val="0"/>
          <w:caps w:val="0"/>
          <w:smallCaps w:val="0"/>
          <w:noProof w:val="0"/>
          <w:color w:val="000000" w:themeColor="text1" w:themeTint="FF" w:themeShade="FF"/>
          <w:sz w:val="24"/>
          <w:szCs w:val="24"/>
          <w:lang w:val="en-GB"/>
        </w:rPr>
        <w:t>.</w:t>
      </w:r>
    </w:p>
    <w:p w:rsidR="204787E7" w:rsidP="204787E7" w:rsidRDefault="204787E7" w14:paraId="43EF66C1" w14:textId="4A66188F">
      <w:pPr>
        <w:rPr>
          <w:rFonts w:ascii="Aptos" w:hAnsi="Aptos"/>
          <w:b w:val="0"/>
          <w:bCs w:val="0"/>
          <w:i w:val="0"/>
          <w:iCs w:val="0"/>
          <w:caps w:val="0"/>
          <w:smallCaps w:val="0"/>
          <w:noProof w:val="0"/>
          <w:color w:val="000000" w:themeColor="text1" w:themeTint="FF" w:themeShade="FF"/>
          <w:sz w:val="24"/>
          <w:szCs w:val="24"/>
          <w:lang w:val="en-US"/>
        </w:rPr>
      </w:pPr>
    </w:p>
    <w:p w:rsidR="3E574476" w:rsidP="204787E7" w:rsidRDefault="3E574476" w14:paraId="2D81EE27" w14:textId="4ECCC174">
      <w:pPr>
        <w:rPr>
          <w:rFonts w:ascii="Aptos" w:hAnsi="Aptos"/>
          <w:b w:val="0"/>
          <w:bCs w:val="0"/>
          <w:i w:val="0"/>
          <w:iCs w:val="0"/>
          <w:caps w:val="0"/>
          <w:smallCaps w:val="0"/>
          <w:noProof w:val="0"/>
          <w:color w:val="000000" w:themeColor="text1" w:themeTint="FF" w:themeShade="FF"/>
          <w:sz w:val="24"/>
          <w:szCs w:val="24"/>
          <w:lang w:val="en-US"/>
        </w:rPr>
      </w:pPr>
      <w:r w:rsidRPr="204787E7" w:rsidR="3E574476">
        <w:rPr>
          <w:rFonts w:ascii="Aptos" w:hAnsi="Aptos"/>
          <w:b w:val="0"/>
          <w:bCs w:val="0"/>
          <w:i w:val="0"/>
          <w:iCs w:val="0"/>
          <w:caps w:val="0"/>
          <w:smallCaps w:val="0"/>
          <w:noProof w:val="0"/>
          <w:color w:val="000000" w:themeColor="text1" w:themeTint="FF" w:themeShade="FF"/>
          <w:sz w:val="24"/>
          <w:szCs w:val="24"/>
          <w:lang w:val="en-GB"/>
        </w:rPr>
        <w:t xml:space="preserve">Sterke, S., Nascimento da Cunha, A.P., Oomen, H., Voogt, L. and Goumans, M., 2021. Physiotherapy in nursing homes. A qualitative study of physiotherapists’ views and experiences. BMC geriatrics, 21(1), p.150.Rippon, I. et al. (2014) “Perceived age discrimination in older adults,” Age and ageing, 43(3), pp. 379–386. Available at: </w:t>
      </w:r>
      <w:hyperlink r:id="Rf94ad01299e04619">
        <w:r w:rsidRPr="204787E7" w:rsidR="3E574476">
          <w:rPr>
            <w:rStyle w:val="Hyperlink"/>
            <w:rFonts w:ascii="Aptos" w:hAnsi="Aptos"/>
            <w:b w:val="0"/>
            <w:bCs w:val="0"/>
            <w:i w:val="0"/>
            <w:iCs w:val="0"/>
            <w:caps w:val="0"/>
            <w:smallCaps w:val="0"/>
            <w:noProof w:val="0"/>
            <w:sz w:val="24"/>
            <w:szCs w:val="24"/>
            <w:lang w:val="en-GB"/>
          </w:rPr>
          <w:t>https://doi.org/10.1093/ageing/aft146</w:t>
        </w:r>
      </w:hyperlink>
      <w:r w:rsidRPr="204787E7" w:rsidR="3E574476">
        <w:rPr>
          <w:rFonts w:ascii="Aptos" w:hAnsi="Aptos"/>
          <w:b w:val="0"/>
          <w:bCs w:val="0"/>
          <w:i w:val="0"/>
          <w:iCs w:val="0"/>
          <w:caps w:val="0"/>
          <w:smallCaps w:val="0"/>
          <w:noProof w:val="0"/>
          <w:color w:val="000000" w:themeColor="text1" w:themeTint="FF" w:themeShade="FF"/>
          <w:sz w:val="24"/>
          <w:szCs w:val="24"/>
          <w:lang w:val="en-GB"/>
        </w:rPr>
        <w:t>.</w:t>
      </w:r>
    </w:p>
    <w:p w:rsidR="204787E7" w:rsidP="204787E7" w:rsidRDefault="204787E7" w14:paraId="6FCAD2D3" w14:textId="118FF1CC">
      <w:pPr>
        <w:rPr>
          <w:rFonts w:ascii="Aptos" w:hAnsi="Aptos"/>
          <w:b w:val="0"/>
          <w:bCs w:val="0"/>
          <w:i w:val="0"/>
          <w:iCs w:val="0"/>
          <w:caps w:val="0"/>
          <w:smallCaps w:val="0"/>
          <w:noProof w:val="0"/>
          <w:color w:val="000000" w:themeColor="text1" w:themeTint="FF" w:themeShade="FF"/>
          <w:sz w:val="24"/>
          <w:szCs w:val="24"/>
          <w:lang w:val="en-US"/>
        </w:rPr>
      </w:pPr>
    </w:p>
    <w:p w:rsidR="204787E7" w:rsidP="204787E7" w:rsidRDefault="204787E7" w14:paraId="32BF9247" w14:textId="2084E023">
      <w:pPr>
        <w:rPr>
          <w:rFonts w:ascii="Aptos" w:hAnsi="Aptos"/>
          <w:b w:val="0"/>
          <w:bCs w:val="0"/>
          <w:i w:val="0"/>
          <w:iCs w:val="0"/>
          <w:caps w:val="0"/>
          <w:smallCaps w:val="0"/>
          <w:noProof w:val="0"/>
          <w:color w:val="000000" w:themeColor="text1" w:themeTint="FF" w:themeShade="FF"/>
          <w:sz w:val="24"/>
          <w:szCs w:val="24"/>
          <w:lang w:val="en-US"/>
        </w:rPr>
      </w:pPr>
    </w:p>
    <w:p w:rsidR="3E574476" w:rsidP="204787E7" w:rsidRDefault="3E574476" w14:paraId="536C275A" w14:textId="2AB55101">
      <w:pPr>
        <w:rPr>
          <w:rFonts w:ascii="Aptos" w:hAnsi="Aptos"/>
          <w:b w:val="0"/>
          <w:bCs w:val="0"/>
          <w:i w:val="0"/>
          <w:iCs w:val="0"/>
          <w:caps w:val="0"/>
          <w:smallCaps w:val="0"/>
          <w:noProof w:val="0"/>
          <w:color w:val="000000" w:themeColor="text1" w:themeTint="FF" w:themeShade="FF"/>
          <w:sz w:val="24"/>
          <w:szCs w:val="24"/>
          <w:lang w:val="en-US"/>
        </w:rPr>
      </w:pPr>
      <w:r w:rsidRPr="204787E7" w:rsidR="3E574476">
        <w:rPr>
          <w:rFonts w:ascii="Aptos" w:hAnsi="Aptos"/>
          <w:b w:val="0"/>
          <w:bCs w:val="0"/>
          <w:i w:val="0"/>
          <w:iCs w:val="0"/>
          <w:caps w:val="0"/>
          <w:smallCaps w:val="0"/>
          <w:noProof w:val="0"/>
          <w:color w:val="000000" w:themeColor="text1" w:themeTint="FF" w:themeShade="FF"/>
          <w:sz w:val="24"/>
          <w:szCs w:val="24"/>
          <w:lang w:val="en-GB"/>
        </w:rPr>
        <w:t>Nordin, S., McKee, K., Wijk, H. and Elf, M., 2017. The association between the physical environment and the well‐being of older people in residential care facilities: A multilevel analysis. Journal of Advanced Nursing, 73(12), pp.2942-2952.</w:t>
      </w:r>
    </w:p>
    <w:p w:rsidR="3E574476" w:rsidP="204787E7" w:rsidRDefault="3E574476" w14:paraId="0B7C37C1" w14:textId="1286C371">
      <w:pPr>
        <w:rPr>
          <w:rFonts w:ascii="Aptos" w:hAnsi="Aptos"/>
          <w:b w:val="0"/>
          <w:bCs w:val="0"/>
          <w:i w:val="0"/>
          <w:iCs w:val="0"/>
          <w:caps w:val="0"/>
          <w:smallCaps w:val="0"/>
          <w:noProof w:val="0"/>
          <w:color w:val="000000" w:themeColor="text1" w:themeTint="FF" w:themeShade="FF"/>
          <w:sz w:val="24"/>
          <w:szCs w:val="24"/>
          <w:lang w:val="en-US"/>
        </w:rPr>
      </w:pPr>
      <w:r w:rsidRPr="204787E7" w:rsidR="3E574476">
        <w:rPr>
          <w:rFonts w:ascii="Aptos" w:hAnsi="Aptos"/>
          <w:b w:val="0"/>
          <w:bCs w:val="0"/>
          <w:i w:val="0"/>
          <w:iCs w:val="0"/>
          <w:caps w:val="0"/>
          <w:smallCaps w:val="0"/>
          <w:noProof w:val="0"/>
          <w:color w:val="000000" w:themeColor="text1" w:themeTint="FF" w:themeShade="FF"/>
          <w:sz w:val="24"/>
          <w:szCs w:val="24"/>
          <w:lang w:val="en-GB"/>
        </w:rPr>
        <w:t>Nordin, S., 2016. The quality of the physical environment and its association with activities and well-being among older people in residential care facilities (Doctoral dissertation, Karolinska Institutet (Sweden)).</w:t>
      </w:r>
    </w:p>
    <w:p w:rsidR="204787E7" w:rsidP="204787E7" w:rsidRDefault="204787E7" w14:paraId="5EF6499A" w14:textId="1DD6B8E4">
      <w:pPr>
        <w:rPr>
          <w:rFonts w:ascii="Aptos" w:hAnsi="Aptos"/>
          <w:b w:val="0"/>
          <w:bCs w:val="0"/>
          <w:i w:val="0"/>
          <w:iCs w:val="0"/>
          <w:caps w:val="0"/>
          <w:smallCaps w:val="0"/>
          <w:noProof w:val="0"/>
          <w:color w:val="000000" w:themeColor="text1" w:themeTint="FF" w:themeShade="FF"/>
          <w:sz w:val="24"/>
          <w:szCs w:val="24"/>
          <w:lang w:val="en-US"/>
        </w:rPr>
      </w:pPr>
    </w:p>
    <w:p w:rsidR="3E574476" w:rsidP="204787E7" w:rsidRDefault="3E574476" w14:paraId="4BD776E9" w14:textId="301EAE8F">
      <w:pPr>
        <w:rPr>
          <w:rFonts w:ascii="Aptos" w:hAnsi="Aptos"/>
          <w:b w:val="0"/>
          <w:bCs w:val="0"/>
          <w:i w:val="0"/>
          <w:iCs w:val="0"/>
          <w:caps w:val="0"/>
          <w:smallCaps w:val="0"/>
          <w:noProof w:val="0"/>
          <w:color w:val="000000" w:themeColor="text1" w:themeTint="FF" w:themeShade="FF"/>
          <w:sz w:val="24"/>
          <w:szCs w:val="24"/>
          <w:lang w:val="en-US"/>
        </w:rPr>
      </w:pPr>
      <w:r w:rsidRPr="204787E7" w:rsidR="3E574476">
        <w:rPr>
          <w:rFonts w:ascii="Aptos" w:hAnsi="Aptos"/>
          <w:b w:val="0"/>
          <w:bCs w:val="0"/>
          <w:i w:val="0"/>
          <w:iCs w:val="0"/>
          <w:caps w:val="0"/>
          <w:smallCaps w:val="0"/>
          <w:noProof w:val="0"/>
          <w:color w:val="000000" w:themeColor="text1" w:themeTint="FF" w:themeShade="FF"/>
          <w:sz w:val="24"/>
          <w:szCs w:val="24"/>
          <w:lang w:val="en-GB"/>
        </w:rPr>
        <w:t xml:space="preserve">Care Quality Commission (CQC) (2024). The state of health care and adult social care in England 2023/24 - Care Quality Commission. [online] Cqc.org.uk. Available at: </w:t>
      </w:r>
      <w:hyperlink r:id="Rbf81bbb963d0426c">
        <w:r w:rsidRPr="204787E7" w:rsidR="3E574476">
          <w:rPr>
            <w:rStyle w:val="Hyperlink"/>
            <w:rFonts w:ascii="Aptos" w:hAnsi="Aptos"/>
            <w:b w:val="0"/>
            <w:bCs w:val="0"/>
            <w:i w:val="0"/>
            <w:iCs w:val="0"/>
            <w:caps w:val="0"/>
            <w:smallCaps w:val="0"/>
            <w:strike w:val="0"/>
            <w:dstrike w:val="0"/>
            <w:noProof w:val="0"/>
            <w:sz w:val="24"/>
            <w:szCs w:val="24"/>
            <w:lang w:val="en-GB"/>
          </w:rPr>
          <w:t>https://www.cqc.org.uk/publications/major-report/state-care/2023-2024</w:t>
        </w:r>
      </w:hyperlink>
      <w:r w:rsidRPr="204787E7" w:rsidR="3E574476">
        <w:rPr>
          <w:rFonts w:ascii="Aptos" w:hAnsi="Aptos"/>
          <w:b w:val="0"/>
          <w:bCs w:val="0"/>
          <w:i w:val="0"/>
          <w:iCs w:val="0"/>
          <w:caps w:val="0"/>
          <w:smallCaps w:val="0"/>
          <w:noProof w:val="0"/>
          <w:color w:val="000000" w:themeColor="text1" w:themeTint="FF" w:themeShade="FF"/>
          <w:sz w:val="24"/>
          <w:szCs w:val="24"/>
          <w:lang w:val="en-GB"/>
        </w:rPr>
        <w:t>.</w:t>
      </w:r>
    </w:p>
    <w:p w:rsidR="3E574476" w:rsidP="204787E7" w:rsidRDefault="3E574476" w14:paraId="1E5CE1FF" w14:textId="35890B72">
      <w:pPr>
        <w:rPr>
          <w:rFonts w:ascii="Aptos" w:hAnsi="Aptos"/>
          <w:b w:val="0"/>
          <w:bCs w:val="0"/>
          <w:i w:val="0"/>
          <w:iCs w:val="0"/>
          <w:caps w:val="0"/>
          <w:smallCaps w:val="0"/>
          <w:noProof w:val="0"/>
          <w:color w:val="000000" w:themeColor="text1" w:themeTint="FF" w:themeShade="FF"/>
          <w:sz w:val="24"/>
          <w:szCs w:val="24"/>
          <w:lang w:val="en-US"/>
        </w:rPr>
      </w:pPr>
      <w:r w:rsidRPr="204787E7" w:rsidR="3E574476">
        <w:rPr>
          <w:rFonts w:ascii="Aptos" w:hAnsi="Aptos"/>
          <w:b w:val="0"/>
          <w:bCs w:val="0"/>
          <w:i w:val="0"/>
          <w:iCs w:val="0"/>
          <w:caps w:val="0"/>
          <w:smallCaps w:val="0"/>
          <w:noProof w:val="0"/>
          <w:color w:val="000000" w:themeColor="text1" w:themeTint="FF" w:themeShade="FF"/>
          <w:sz w:val="24"/>
          <w:szCs w:val="24"/>
          <w:lang w:val="en-GB"/>
        </w:rPr>
        <w:t xml:space="preserve">‌ Bing. (2023). Age UK (2023) Technology and older people: Evidence review. London: Age UK. Available at: </w:t>
      </w:r>
      <w:hyperlink r:id="Rf4abcaeaa1334f40">
        <w:r w:rsidRPr="204787E7" w:rsidR="3E574476">
          <w:rPr>
            <w:rStyle w:val="Hyperlink"/>
            <w:rFonts w:ascii="Aptos" w:hAnsi="Aptos"/>
            <w:b w:val="0"/>
            <w:bCs w:val="0"/>
            <w:i w:val="0"/>
            <w:iCs w:val="0"/>
            <w:caps w:val="0"/>
            <w:smallCaps w:val="0"/>
            <w:strike w:val="0"/>
            <w:dstrike w:val="0"/>
            <w:noProof w:val="0"/>
            <w:sz w:val="24"/>
            <w:szCs w:val="24"/>
            <w:lang w:val="en-GB"/>
          </w:rPr>
          <w:t>https://www.ageuk.org.uk</w:t>
        </w:r>
      </w:hyperlink>
      <w:r w:rsidRPr="204787E7" w:rsidR="3E574476">
        <w:rPr>
          <w:rFonts w:ascii="Aptos" w:hAnsi="Aptos"/>
          <w:b w:val="0"/>
          <w:bCs w:val="0"/>
          <w:i w:val="0"/>
          <w:iCs w:val="0"/>
          <w:caps w:val="0"/>
          <w:smallCaps w:val="0"/>
          <w:noProof w:val="0"/>
          <w:color w:val="000000" w:themeColor="text1" w:themeTint="FF" w:themeShade="FF"/>
          <w:sz w:val="24"/>
          <w:szCs w:val="24"/>
          <w:lang w:val="en-GB"/>
        </w:rPr>
        <w:t xml:space="preserve"> - Bing. [online] Available at: </w:t>
      </w:r>
      <w:hyperlink r:id="R49343271e2874071">
        <w:r w:rsidRPr="204787E7" w:rsidR="3E574476">
          <w:rPr>
            <w:rStyle w:val="Hyperlink"/>
            <w:rFonts w:ascii="Aptos" w:hAnsi="Aptos"/>
            <w:b w:val="0"/>
            <w:bCs w:val="0"/>
            <w:i w:val="0"/>
            <w:iCs w:val="0"/>
            <w:caps w:val="0"/>
            <w:smallCaps w:val="0"/>
            <w:strike w:val="0"/>
            <w:dstrike w:val="0"/>
            <w:noProof w:val="0"/>
            <w:sz w:val="24"/>
            <w:szCs w:val="24"/>
            <w:lang w:val="en-GB"/>
          </w:rPr>
          <w:t>https://www.bing.com/search?pglt=299&amp;q=Age+UK+(2023)+Technology+and+older+people%3A+Evidence+review.+London%3A+Age+UK.+Available+at%3A+https%3A%2F%2Fwww.ageuk.org.uk&amp;cvid=5ed2ce313d9947c58c8913357cb406b1&amp;gs_lcrp=EgRlZGdlKgYIABBFGDkyBggAEEUYOTIHCAEQ6wcYQNIBCDE1MzZqMGoxqAIIsAIB&amp;FORM=ANNTA1&amp;PC=LCTS</w:t>
        </w:r>
      </w:hyperlink>
      <w:r w:rsidRPr="204787E7" w:rsidR="3E574476">
        <w:rPr>
          <w:rFonts w:ascii="Aptos" w:hAnsi="Aptos"/>
          <w:b w:val="0"/>
          <w:bCs w:val="0"/>
          <w:i w:val="0"/>
          <w:iCs w:val="0"/>
          <w:caps w:val="0"/>
          <w:smallCaps w:val="0"/>
          <w:noProof w:val="0"/>
          <w:color w:val="000000" w:themeColor="text1" w:themeTint="FF" w:themeShade="FF"/>
          <w:sz w:val="24"/>
          <w:szCs w:val="24"/>
          <w:lang w:val="en-GB"/>
        </w:rPr>
        <w:t xml:space="preserve"> [Accessed 12 Mar. 2026].</w:t>
      </w:r>
    </w:p>
    <w:p w:rsidR="3E574476" w:rsidP="204787E7" w:rsidRDefault="3E574476" w14:paraId="0E8583D4" w14:textId="4CB11517">
      <w:pPr>
        <w:rPr>
          <w:rFonts w:ascii="Aptos" w:hAnsi="Aptos"/>
          <w:b w:val="0"/>
          <w:bCs w:val="0"/>
          <w:i w:val="0"/>
          <w:iCs w:val="0"/>
          <w:caps w:val="0"/>
          <w:smallCaps w:val="0"/>
          <w:noProof w:val="0"/>
          <w:color w:val="000000" w:themeColor="text1" w:themeTint="FF" w:themeShade="FF"/>
          <w:sz w:val="24"/>
          <w:szCs w:val="24"/>
          <w:lang w:val="en-US"/>
        </w:rPr>
      </w:pPr>
      <w:r w:rsidRPr="204787E7" w:rsidR="3E574476">
        <w:rPr>
          <w:rFonts w:ascii="Aptos" w:hAnsi="Aptos"/>
          <w:b w:val="0"/>
          <w:bCs w:val="0"/>
          <w:i w:val="0"/>
          <w:iCs w:val="0"/>
          <w:caps w:val="0"/>
          <w:smallCaps w:val="0"/>
          <w:noProof w:val="0"/>
          <w:color w:val="000000" w:themeColor="text1" w:themeTint="FF" w:themeShade="FF"/>
          <w:sz w:val="24"/>
          <w:szCs w:val="24"/>
          <w:lang w:val="en-GB"/>
        </w:rPr>
        <w:t>Silverglow, A., Lidèn, E., Berglund, H., Johansson, L. and Wijk, H., 2021. What constitutes feeling safe at home? A qualitative interview study with frail older people receiving home care. Nursing Open, 8(1), pp.191-199.</w:t>
      </w:r>
    </w:p>
    <w:p w:rsidR="7094ACD6" w:rsidP="204787E7" w:rsidRDefault="7094ACD6" w14:paraId="674E20CA" w14:textId="08B3BA60">
      <w:pPr>
        <w:pStyle w:val="Normal"/>
        <w:rPr>
          <w:rFonts w:ascii="Aptos" w:hAnsi="Aptos"/>
          <w:noProof w:val="0"/>
          <w:sz w:val="24"/>
          <w:szCs w:val="24"/>
          <w:lang w:val="en-US"/>
        </w:rPr>
      </w:pP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7FA5A2"/>
    <w:rsid w:val="0F7FA5A2"/>
    <w:rsid w:val="16D67CB3"/>
    <w:rsid w:val="1A81C4CC"/>
    <w:rsid w:val="204787E7"/>
    <w:rsid w:val="26213C17"/>
    <w:rsid w:val="30CDBED5"/>
    <w:rsid w:val="37969147"/>
    <w:rsid w:val="3E574476"/>
    <w:rsid w:val="4B4E3831"/>
    <w:rsid w:val="4C8556CC"/>
    <w:rsid w:val="50D52F03"/>
    <w:rsid w:val="5A07DC29"/>
    <w:rsid w:val="5C779906"/>
    <w:rsid w:val="5DCEE1D2"/>
    <w:rsid w:val="61D73BAE"/>
    <w:rsid w:val="62659933"/>
    <w:rsid w:val="6900491A"/>
    <w:rsid w:val="6C742281"/>
    <w:rsid w:val="7094ACD6"/>
    <w:rsid w:val="7C6110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FA5A2"/>
  <w15:chartTrackingRefBased/>
  <w15:docId w15:val="{A9562927-3012-41BD-81C0-A142DD5093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93/oso/9780198870876.001.0001" TargetMode="External" Id="Raedee9cd874443b1" /><Relationship Type="http://schemas.openxmlformats.org/officeDocument/2006/relationships/hyperlink" Target="https://www.cqc.org.uk/" TargetMode="External" Id="R545ab6e1f027400e" /><Relationship Type="http://schemas.openxmlformats.org/officeDocument/2006/relationships/hyperlink" Target="https://www.cqc.org.uk/publications/themes-care/digital-care-assistant?utm_source=chatgpt.com" TargetMode="External" Id="R59fd60ab7a924a8b" /><Relationship Type="http://schemas.openxmlformats.org/officeDocument/2006/relationships/hyperlink" Target="https://doi.org/10.1017/S0144686X19001557" TargetMode="External" Id="R3a736ed8fdc640f8" /><Relationship Type="http://schemas.openxmlformats.org/officeDocument/2006/relationships/hyperlink" Target="https://doi.org/10.1108/14668203200100007" TargetMode="External" Id="R0738aee1dc974c3d" /><Relationship Type="http://schemas.openxmlformats.org/officeDocument/2006/relationships/hyperlink" Target="https://www.longtermplan.nhs.uk/" TargetMode="External" Id="R2385060cc731480f" /><Relationship Type="http://schemas.openxmlformats.org/officeDocument/2006/relationships/hyperlink" Target="https://doi.org/10.1093/ageing/aft146" TargetMode="External" Id="Rf94ad01299e04619" /><Relationship Type="http://schemas.openxmlformats.org/officeDocument/2006/relationships/hyperlink" Target="https://www.cqc.org.uk/publications/major-report/state-care/2023-2024" TargetMode="External" Id="Rbf81bbb963d0426c" /><Relationship Type="http://schemas.openxmlformats.org/officeDocument/2006/relationships/hyperlink" Target="https://www.ageuk.org.uk/" TargetMode="External" Id="Rf4abcaeaa1334f40" /><Relationship Type="http://schemas.openxmlformats.org/officeDocument/2006/relationships/hyperlink" Target="https://www.bing.com/search?pglt=299&amp;q=Age+UK+(2023)+Technology+and+older+people%3A+Evidence+review.+London%3A+Age+UK.+Available+at%3A+https%3A%2F%2Fwww.ageuk.org.uk&amp;cvid=5ed2ce313d9947c58c8913357cb406b1&amp;gs_lcrp=EgRlZGdlKgYIABBFGDkyBggAEEUYOTIHCAEQ6wcYQNIBCDE1MzZqMGoxqAIIsAIB&amp;FORM=ANNTA1&amp;PC=LCTS" TargetMode="External" Id="R49343271e287407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2026-03-15T13:11:26.2966677Z</dcterms:created>
  <dcterms:modified xsi:type="dcterms:W3CDTF">2026-03-15T13:38:06.2725001Z</dcterms:modified>
  <dc:creator>Felicia Tejuoso (2311756)</dc:creator>
  <lastModifiedBy>Felicia Tejuoso (2311756)</lastModifiedBy>
</coreProperties>
</file>