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8705F" w14:textId="5293260A" w:rsidR="00CE11F7" w:rsidRPr="0060262C" w:rsidRDefault="00CE11F7" w:rsidP="00314196">
      <w:pPr>
        <w:rPr>
          <w:b/>
          <w:bCs/>
        </w:rPr>
      </w:pPr>
      <w:r w:rsidRPr="0060262C">
        <w:rPr>
          <w:b/>
          <w:bCs/>
        </w:rPr>
        <w:t xml:space="preserve">To </w:t>
      </w:r>
      <w:r w:rsidR="008C552C" w:rsidRPr="0060262C">
        <w:rPr>
          <w:b/>
          <w:bCs/>
        </w:rPr>
        <w:t xml:space="preserve">Mr. </w:t>
      </w:r>
      <w:r w:rsidRPr="0060262C">
        <w:rPr>
          <w:b/>
          <w:bCs/>
        </w:rPr>
        <w:t xml:space="preserve">Peter Matthews </w:t>
      </w:r>
    </w:p>
    <w:p w14:paraId="4C0BD27D" w14:textId="77777777" w:rsidR="00CE11F7" w:rsidRPr="0060262C" w:rsidRDefault="00CE11F7" w:rsidP="00314196">
      <w:pPr>
        <w:rPr>
          <w:b/>
          <w:bCs/>
        </w:rPr>
      </w:pPr>
      <w:r w:rsidRPr="0060262C">
        <w:rPr>
          <w:b/>
          <w:bCs/>
        </w:rPr>
        <w:t xml:space="preserve">97 High street </w:t>
      </w:r>
    </w:p>
    <w:p w14:paraId="7C96E76A" w14:textId="77777777" w:rsidR="00CE11F7" w:rsidRPr="0060262C" w:rsidRDefault="00CE11F7" w:rsidP="00314196">
      <w:pPr>
        <w:rPr>
          <w:b/>
          <w:bCs/>
        </w:rPr>
      </w:pPr>
      <w:r w:rsidRPr="0060262C">
        <w:rPr>
          <w:b/>
          <w:bCs/>
        </w:rPr>
        <w:t xml:space="preserve">Swansea </w:t>
      </w:r>
    </w:p>
    <w:p w14:paraId="4438BDD3" w14:textId="77777777" w:rsidR="00CE11F7" w:rsidRPr="0060262C" w:rsidRDefault="00CE11F7" w:rsidP="00CE11F7">
      <w:pPr>
        <w:ind w:left="720" w:hanging="360"/>
        <w:rPr>
          <w:b/>
          <w:bCs/>
        </w:rPr>
      </w:pPr>
    </w:p>
    <w:p w14:paraId="4FD72C48" w14:textId="77777777" w:rsidR="00CE11F7" w:rsidRPr="0060262C" w:rsidRDefault="00CE11F7" w:rsidP="00CE11F7">
      <w:pPr>
        <w:ind w:left="720" w:hanging="360"/>
        <w:rPr>
          <w:b/>
          <w:bCs/>
        </w:rPr>
      </w:pPr>
    </w:p>
    <w:p w14:paraId="0CCA9DD3" w14:textId="7227400C" w:rsidR="00CE11F7" w:rsidRPr="00314196" w:rsidRDefault="00CE11F7" w:rsidP="00314196">
      <w:r w:rsidRPr="00314196">
        <w:t>Dear Mr Matthews</w:t>
      </w:r>
      <w:r w:rsidR="00CE2B5D" w:rsidRPr="00314196">
        <w:t xml:space="preserve">, </w:t>
      </w:r>
    </w:p>
    <w:p w14:paraId="54156F0F" w14:textId="77777777" w:rsidR="00CE11F7" w:rsidRPr="0060262C" w:rsidRDefault="00CE11F7" w:rsidP="00CE11F7">
      <w:pPr>
        <w:ind w:left="720" w:hanging="360"/>
        <w:rPr>
          <w:b/>
          <w:bCs/>
        </w:rPr>
      </w:pPr>
    </w:p>
    <w:p w14:paraId="553B1E44" w14:textId="66000A1D" w:rsidR="008C552C" w:rsidRPr="0060262C" w:rsidRDefault="00CE11F7" w:rsidP="00314196">
      <w:pPr>
        <w:rPr>
          <w:bCs/>
        </w:rPr>
      </w:pPr>
      <w:r w:rsidRPr="0060262C">
        <w:rPr>
          <w:bCs/>
        </w:rPr>
        <w:t>As per your instruction</w:t>
      </w:r>
      <w:r w:rsidR="008B3347" w:rsidRPr="0060262C">
        <w:rPr>
          <w:bCs/>
        </w:rPr>
        <w:t>s</w:t>
      </w:r>
      <w:r w:rsidRPr="0060262C">
        <w:rPr>
          <w:bCs/>
        </w:rPr>
        <w:t xml:space="preserve">, </w:t>
      </w:r>
      <w:r w:rsidR="008B3347" w:rsidRPr="0060262C">
        <w:rPr>
          <w:bCs/>
        </w:rPr>
        <w:t>the following letter of advice will outline your</w:t>
      </w:r>
      <w:r w:rsidRPr="0060262C">
        <w:rPr>
          <w:bCs/>
        </w:rPr>
        <w:t xml:space="preserve"> current legal position and the processes you will </w:t>
      </w:r>
      <w:r w:rsidR="008C552C" w:rsidRPr="0060262C">
        <w:rPr>
          <w:bCs/>
        </w:rPr>
        <w:t>may go</w:t>
      </w:r>
      <w:r w:rsidRPr="0060262C">
        <w:rPr>
          <w:bCs/>
        </w:rPr>
        <w:t xml:space="preserve"> through</w:t>
      </w:r>
      <w:r w:rsidR="008B3347" w:rsidRPr="0060262C">
        <w:rPr>
          <w:bCs/>
        </w:rPr>
        <w:t>. I will be</w:t>
      </w:r>
      <w:r w:rsidRPr="0060262C">
        <w:rPr>
          <w:bCs/>
        </w:rPr>
        <w:t xml:space="preserve"> including your choices of plea</w:t>
      </w:r>
      <w:r w:rsidR="008B3347" w:rsidRPr="0060262C">
        <w:rPr>
          <w:bCs/>
        </w:rPr>
        <w:t>, bail</w:t>
      </w:r>
      <w:r w:rsidR="008C552C" w:rsidRPr="0060262C">
        <w:rPr>
          <w:bCs/>
        </w:rPr>
        <w:t xml:space="preserve"> and</w:t>
      </w:r>
      <w:r w:rsidRPr="0060262C">
        <w:rPr>
          <w:bCs/>
        </w:rPr>
        <w:t xml:space="preserve"> possible sentence you are likely to receive i</w:t>
      </w:r>
      <w:r w:rsidR="008C552C" w:rsidRPr="0060262C">
        <w:rPr>
          <w:bCs/>
        </w:rPr>
        <w:t>f</w:t>
      </w:r>
      <w:r w:rsidRPr="0060262C">
        <w:rPr>
          <w:bCs/>
        </w:rPr>
        <w:t xml:space="preserve"> you plead guilty or not </w:t>
      </w:r>
      <w:r w:rsidR="00CE2B5D" w:rsidRPr="0060262C">
        <w:rPr>
          <w:bCs/>
        </w:rPr>
        <w:t xml:space="preserve">guilty </w:t>
      </w:r>
      <w:r w:rsidRPr="0060262C">
        <w:rPr>
          <w:bCs/>
        </w:rPr>
        <w:t xml:space="preserve">and the next steps thereafter. </w:t>
      </w:r>
    </w:p>
    <w:p w14:paraId="1C625D40" w14:textId="2A90F040" w:rsidR="008C552C" w:rsidRPr="0060262C" w:rsidRDefault="008C552C" w:rsidP="00314196">
      <w:pPr>
        <w:rPr>
          <w:bCs/>
        </w:rPr>
      </w:pPr>
      <w:r w:rsidRPr="0060262C">
        <w:rPr>
          <w:bCs/>
        </w:rPr>
        <w:t>You have been charged with assaulting occasioning actual bodily harm contrary to section 47 of the Offences Against the Person Act 1861 against PC Jared Thomas on Friday 5</w:t>
      </w:r>
      <w:r w:rsidRPr="00314196">
        <w:rPr>
          <w:bCs/>
          <w:vertAlign w:val="superscript"/>
        </w:rPr>
        <w:t>th</w:t>
      </w:r>
      <w:r w:rsidRPr="0060262C">
        <w:rPr>
          <w:bCs/>
        </w:rPr>
        <w:t xml:space="preserve"> March 2021.</w:t>
      </w:r>
    </w:p>
    <w:p w14:paraId="56A97DB3" w14:textId="07C1EEC3" w:rsidR="00CE11F7" w:rsidRPr="0060262C" w:rsidRDefault="00CE11F7" w:rsidP="00314196">
      <w:pPr>
        <w:rPr>
          <w:bCs/>
        </w:rPr>
      </w:pPr>
      <w:r w:rsidRPr="0060262C">
        <w:rPr>
          <w:bCs/>
        </w:rPr>
        <w:t>You are currently in the first stage of your case where you have been bailed pending a</w:t>
      </w:r>
      <w:r w:rsidR="008C552C" w:rsidRPr="0060262C">
        <w:rPr>
          <w:bCs/>
        </w:rPr>
        <w:t xml:space="preserve"> </w:t>
      </w:r>
      <w:r w:rsidRPr="0060262C">
        <w:rPr>
          <w:bCs/>
        </w:rPr>
        <w:t xml:space="preserve">court hearing at Swansea’s Magistrate court on March the </w:t>
      </w:r>
      <w:r w:rsidR="00EB0FBC">
        <w:rPr>
          <w:bCs/>
        </w:rPr>
        <w:t>26</w:t>
      </w:r>
      <w:r w:rsidR="00EB0FBC" w:rsidRPr="00314196">
        <w:rPr>
          <w:bCs/>
          <w:vertAlign w:val="superscript"/>
        </w:rPr>
        <w:t>th</w:t>
      </w:r>
      <w:r w:rsidR="00EB0FBC">
        <w:rPr>
          <w:bCs/>
        </w:rPr>
        <w:t>.</w:t>
      </w:r>
    </w:p>
    <w:p w14:paraId="4D2DC3CB" w14:textId="77777777" w:rsidR="00CE11F7" w:rsidRPr="0060262C" w:rsidRDefault="00CE11F7" w:rsidP="00314196">
      <w:pPr>
        <w:rPr>
          <w:bCs/>
        </w:rPr>
      </w:pPr>
    </w:p>
    <w:p w14:paraId="6FBD13AB" w14:textId="77777777" w:rsidR="00CE11F7" w:rsidRPr="00314196" w:rsidRDefault="00CE11F7" w:rsidP="00314196">
      <w:pPr>
        <w:rPr>
          <w:b/>
          <w:bCs/>
        </w:rPr>
      </w:pPr>
      <w:r w:rsidRPr="00314196">
        <w:rPr>
          <w:b/>
          <w:bCs/>
        </w:rPr>
        <w:t>The police and your rights</w:t>
      </w:r>
    </w:p>
    <w:p w14:paraId="43A8678E" w14:textId="77777777" w:rsidR="00CE11F7" w:rsidRPr="0060262C" w:rsidRDefault="00CE11F7" w:rsidP="00CE11F7">
      <w:pPr>
        <w:ind w:left="720" w:hanging="360"/>
        <w:rPr>
          <w:bCs/>
        </w:rPr>
      </w:pPr>
    </w:p>
    <w:p w14:paraId="2E9983BC" w14:textId="77777777" w:rsidR="00CE11F7" w:rsidRPr="0060262C" w:rsidRDefault="00CE11F7" w:rsidP="00CE11F7">
      <w:pPr>
        <w:rPr>
          <w:bCs/>
        </w:rPr>
      </w:pPr>
      <w:r w:rsidRPr="0060262C">
        <w:rPr>
          <w:bCs/>
        </w:rPr>
        <w:t xml:space="preserve">A request was made to the police to provide requested the following documents in support of your defence and to check that the actions taken by the police were legal and within their code of practice. </w:t>
      </w:r>
    </w:p>
    <w:p w14:paraId="525F9245" w14:textId="37CF5E10" w:rsidR="00CE11F7" w:rsidRPr="0060262C" w:rsidRDefault="00CE11F7" w:rsidP="00CE11F7">
      <w:pPr>
        <w:pStyle w:val="ListParagraph"/>
        <w:numPr>
          <w:ilvl w:val="0"/>
          <w:numId w:val="10"/>
        </w:numPr>
        <w:rPr>
          <w:bCs/>
        </w:rPr>
      </w:pPr>
      <w:r w:rsidRPr="0060262C">
        <w:rPr>
          <w:bCs/>
        </w:rPr>
        <w:t xml:space="preserve">A witness statement of PC Thomas (the victim) </w:t>
      </w:r>
    </w:p>
    <w:p w14:paraId="377B4C24" w14:textId="6E2FCDEA" w:rsidR="00CE11F7" w:rsidRPr="0060262C" w:rsidRDefault="00CE11F7" w:rsidP="00CE11F7">
      <w:pPr>
        <w:pStyle w:val="ListParagraph"/>
        <w:numPr>
          <w:ilvl w:val="0"/>
          <w:numId w:val="10"/>
        </w:numPr>
        <w:rPr>
          <w:bCs/>
        </w:rPr>
      </w:pPr>
      <w:r w:rsidRPr="0060262C">
        <w:rPr>
          <w:bCs/>
        </w:rPr>
        <w:t>A CCTV footage of the cell you were held in</w:t>
      </w:r>
      <w:r w:rsidR="00CE2B5D" w:rsidRPr="0060262C">
        <w:rPr>
          <w:bCs/>
        </w:rPr>
        <w:t xml:space="preserve"> </w:t>
      </w:r>
    </w:p>
    <w:p w14:paraId="01D24B58" w14:textId="42AF4197" w:rsidR="00CE2B5D" w:rsidRPr="00314196" w:rsidRDefault="00894721" w:rsidP="00F003BD">
      <w:pPr>
        <w:pStyle w:val="ListParagraph"/>
        <w:numPr>
          <w:ilvl w:val="0"/>
          <w:numId w:val="10"/>
        </w:numPr>
        <w:rPr>
          <w:bCs/>
        </w:rPr>
      </w:pPr>
      <w:r w:rsidRPr="00314196">
        <w:rPr>
          <w:bCs/>
        </w:rPr>
        <w:t>The</w:t>
      </w:r>
      <w:r w:rsidR="00CE11F7" w:rsidRPr="00314196">
        <w:rPr>
          <w:bCs/>
        </w:rPr>
        <w:t xml:space="preserve"> interview</w:t>
      </w:r>
      <w:r w:rsidRPr="00314196">
        <w:rPr>
          <w:bCs/>
        </w:rPr>
        <w:t xml:space="preserve"> transcript</w:t>
      </w:r>
      <w:r w:rsidR="00CE11F7" w:rsidRPr="00314196">
        <w:rPr>
          <w:bCs/>
        </w:rPr>
        <w:t xml:space="preserve"> given by yourself (defendant)</w:t>
      </w:r>
    </w:p>
    <w:p w14:paraId="6E6E37E1" w14:textId="71CF5179" w:rsidR="00CE11F7" w:rsidRPr="0060262C" w:rsidRDefault="00CE11F7" w:rsidP="00CE11F7">
      <w:pPr>
        <w:rPr>
          <w:bCs/>
        </w:rPr>
      </w:pPr>
      <w:r w:rsidRPr="0060262C">
        <w:rPr>
          <w:bCs/>
        </w:rPr>
        <w:t>I have also checked that the following been adhere</w:t>
      </w:r>
      <w:r w:rsidR="00EB0FBC">
        <w:rPr>
          <w:bCs/>
        </w:rPr>
        <w:t>d</w:t>
      </w:r>
      <w:r w:rsidRPr="0060262C">
        <w:rPr>
          <w:bCs/>
        </w:rPr>
        <w:t xml:space="preserve"> to: - </w:t>
      </w:r>
    </w:p>
    <w:p w14:paraId="1562B0C5" w14:textId="77777777" w:rsidR="00CE11F7" w:rsidRPr="0060262C" w:rsidRDefault="00CE11F7" w:rsidP="00CE11F7">
      <w:pPr>
        <w:pStyle w:val="ListParagraph"/>
        <w:numPr>
          <w:ilvl w:val="0"/>
          <w:numId w:val="11"/>
        </w:numPr>
        <w:rPr>
          <w:bCs/>
        </w:rPr>
      </w:pPr>
      <w:r w:rsidRPr="0060262C">
        <w:rPr>
          <w:bCs/>
        </w:rPr>
        <w:t>Your right to consult a solicitor in private</w:t>
      </w:r>
    </w:p>
    <w:p w14:paraId="06243D20" w14:textId="77777777" w:rsidR="00CE11F7" w:rsidRPr="0060262C" w:rsidRDefault="00CE11F7" w:rsidP="00CE11F7">
      <w:pPr>
        <w:pStyle w:val="ListParagraph"/>
        <w:numPr>
          <w:ilvl w:val="0"/>
          <w:numId w:val="11"/>
        </w:numPr>
        <w:rPr>
          <w:bCs/>
        </w:rPr>
      </w:pPr>
      <w:r w:rsidRPr="0060262C">
        <w:rPr>
          <w:bCs/>
        </w:rPr>
        <w:t>Your right to inform someone that you have been arrested and where you are held</w:t>
      </w:r>
    </w:p>
    <w:p w14:paraId="3749BA02" w14:textId="77777777" w:rsidR="00CE11F7" w:rsidRPr="0060262C" w:rsidRDefault="00CE11F7" w:rsidP="00CE11F7">
      <w:pPr>
        <w:rPr>
          <w:bCs/>
        </w:rPr>
      </w:pPr>
    </w:p>
    <w:p w14:paraId="2271C036" w14:textId="7508869B" w:rsidR="00CE11F7" w:rsidRPr="00314196" w:rsidRDefault="00CE11F7" w:rsidP="008C552C">
      <w:pPr>
        <w:rPr>
          <w:b/>
          <w:bCs/>
        </w:rPr>
      </w:pPr>
      <w:r w:rsidRPr="00314196">
        <w:rPr>
          <w:b/>
          <w:bCs/>
        </w:rPr>
        <w:t>Disclosure</w:t>
      </w:r>
    </w:p>
    <w:p w14:paraId="6320CCDC" w14:textId="77777777" w:rsidR="008C552C" w:rsidRPr="00314196" w:rsidRDefault="008C552C" w:rsidP="00314196">
      <w:pPr>
        <w:rPr>
          <w:b/>
          <w:bCs/>
        </w:rPr>
      </w:pPr>
    </w:p>
    <w:p w14:paraId="4F9EB492" w14:textId="2839582A" w:rsidR="00CE11F7" w:rsidRPr="0060262C" w:rsidRDefault="00B233CA" w:rsidP="00CE11F7">
      <w:pPr>
        <w:rPr>
          <w:bCs/>
        </w:rPr>
      </w:pPr>
      <w:r w:rsidRPr="00314196">
        <w:rPr>
          <w:rFonts w:cs="Arial"/>
          <w:color w:val="0D0D0D" w:themeColor="text1" w:themeTint="F2"/>
        </w:rPr>
        <w:t>The CPS have a continuing duty to review its evidence and make disclosure of any material which undermines the prosecution’s case or assists the defence (S.7A CPIA 1996).</w:t>
      </w:r>
      <w:r w:rsidR="00CE2B5D" w:rsidRPr="00314196">
        <w:rPr>
          <w:rFonts w:cs="Arial"/>
          <w:color w:val="0D0D0D" w:themeColor="text1" w:themeTint="F2"/>
        </w:rPr>
        <w:t xml:space="preserve"> Given the current stage of your case, </w:t>
      </w:r>
      <w:r w:rsidR="00CE2B5D" w:rsidRPr="0060262C">
        <w:rPr>
          <w:bCs/>
        </w:rPr>
        <w:t>t</w:t>
      </w:r>
      <w:r w:rsidR="00CE11F7" w:rsidRPr="0060262C">
        <w:rPr>
          <w:bCs/>
        </w:rPr>
        <w:t>he prosecutor in this case the police must disclose</w:t>
      </w:r>
      <w:r w:rsidR="00CE2B5D" w:rsidRPr="0060262C">
        <w:rPr>
          <w:bCs/>
        </w:rPr>
        <w:t xml:space="preserve"> to you, the ‘initial details’</w:t>
      </w:r>
      <w:r w:rsidR="00CE2B5D" w:rsidRPr="0060262C">
        <w:rPr>
          <w:rStyle w:val="FootnoteReference"/>
          <w:bCs/>
        </w:rPr>
        <w:footnoteReference w:id="1"/>
      </w:r>
      <w:r w:rsidR="00CE2B5D" w:rsidRPr="0060262C">
        <w:rPr>
          <w:bCs/>
        </w:rPr>
        <w:t xml:space="preserve"> of your case </w:t>
      </w:r>
      <w:r w:rsidR="00CE11F7" w:rsidRPr="0060262C">
        <w:rPr>
          <w:bCs/>
        </w:rPr>
        <w:t>no later than the beginning of the day of the first hearing</w:t>
      </w:r>
      <w:r w:rsidR="00CE2B5D" w:rsidRPr="0060262C">
        <w:rPr>
          <w:bCs/>
        </w:rPr>
        <w:t xml:space="preserve"> </w:t>
      </w:r>
      <w:r w:rsidR="00CE11F7" w:rsidRPr="0060262C">
        <w:rPr>
          <w:bCs/>
        </w:rPr>
        <w:t>and it includes:</w:t>
      </w:r>
      <w:r w:rsidR="00894721" w:rsidRPr="0060262C">
        <w:rPr>
          <w:rStyle w:val="FootnoteReference"/>
          <w:bCs/>
        </w:rPr>
        <w:footnoteReference w:id="2"/>
      </w:r>
    </w:p>
    <w:p w14:paraId="1682131E" w14:textId="77777777" w:rsidR="00CE11F7" w:rsidRPr="0060262C" w:rsidRDefault="00CE11F7" w:rsidP="00CE11F7">
      <w:pPr>
        <w:ind w:left="720" w:hanging="360"/>
        <w:rPr>
          <w:b/>
          <w:bCs/>
        </w:rPr>
      </w:pPr>
    </w:p>
    <w:p w14:paraId="09C17605" w14:textId="7BFA9890" w:rsidR="00CE2B5D" w:rsidRPr="0060262C" w:rsidRDefault="00CE2B5D" w:rsidP="00CE2B5D">
      <w:pPr>
        <w:pStyle w:val="ListParagraph"/>
        <w:numPr>
          <w:ilvl w:val="0"/>
          <w:numId w:val="2"/>
        </w:numPr>
      </w:pPr>
      <w:r w:rsidRPr="0060262C">
        <w:rPr>
          <w:lang w:val="en-US"/>
        </w:rPr>
        <w:t xml:space="preserve">Any account given by </w:t>
      </w:r>
      <w:r w:rsidR="00EB0FBC">
        <w:rPr>
          <w:lang w:val="en-US"/>
        </w:rPr>
        <w:t>you via</w:t>
      </w:r>
      <w:r w:rsidRPr="0060262C">
        <w:rPr>
          <w:lang w:val="en-US"/>
        </w:rPr>
        <w:t xml:space="preserve"> interview; </w:t>
      </w:r>
    </w:p>
    <w:p w14:paraId="5DD95975" w14:textId="77777777" w:rsidR="00CE2B5D" w:rsidRPr="0060262C" w:rsidRDefault="00CE2B5D" w:rsidP="00CE2B5D">
      <w:pPr>
        <w:pStyle w:val="ListParagraph"/>
        <w:numPr>
          <w:ilvl w:val="0"/>
          <w:numId w:val="2"/>
        </w:numPr>
      </w:pPr>
      <w:r w:rsidRPr="0060262C">
        <w:rPr>
          <w:lang w:val="en-US"/>
        </w:rPr>
        <w:t xml:space="preserve">Any written witness statement that P considers material to plea, or allocation or sentence; and </w:t>
      </w:r>
    </w:p>
    <w:p w14:paraId="7649CDD2" w14:textId="77777777" w:rsidR="00CE2B5D" w:rsidRPr="0060262C" w:rsidRDefault="00CE2B5D" w:rsidP="00CE2B5D">
      <w:pPr>
        <w:pStyle w:val="ListParagraph"/>
        <w:numPr>
          <w:ilvl w:val="0"/>
          <w:numId w:val="2"/>
        </w:numPr>
      </w:pPr>
      <w:r w:rsidRPr="0060262C">
        <w:rPr>
          <w:lang w:val="en-US"/>
        </w:rPr>
        <w:t xml:space="preserve">Any available statement of the effect of the offence on the victim or others. </w:t>
      </w:r>
    </w:p>
    <w:p w14:paraId="5A6DEFA4" w14:textId="77777777" w:rsidR="00CE11F7" w:rsidRPr="0060262C" w:rsidRDefault="00CE11F7" w:rsidP="00314196">
      <w:pPr>
        <w:ind w:left="360"/>
        <w:rPr>
          <w:b/>
          <w:bCs/>
        </w:rPr>
      </w:pPr>
    </w:p>
    <w:p w14:paraId="468F52C6" w14:textId="7C600B21" w:rsidR="00CE11F7" w:rsidRPr="0060262C" w:rsidRDefault="00CE2B5D" w:rsidP="00CE2B5D">
      <w:r w:rsidRPr="0060262C">
        <w:t xml:space="preserve">As you have been charged, the CPS will review all material gathered during an investigation – such as CCTV footage, statements from witnesses, mobile phone messages, social media </w:t>
      </w:r>
      <w:r w:rsidRPr="0060262C">
        <w:lastRenderedPageBreak/>
        <w:t>conversations and photographs. The investigator will decide which items collected as part of an investigation are capable of having a bearing on any issue in the case.  This is called applying the relevance test.</w:t>
      </w:r>
    </w:p>
    <w:p w14:paraId="0B97F0D2" w14:textId="5EFE5744" w:rsidR="008C552C" w:rsidRPr="0060262C" w:rsidRDefault="008C552C" w:rsidP="00CE2B5D"/>
    <w:p w14:paraId="5E66C7A2" w14:textId="3CE284DE" w:rsidR="008C552C" w:rsidRPr="00314196" w:rsidRDefault="008C552C" w:rsidP="00314196">
      <w:r w:rsidRPr="0060262C">
        <w:t xml:space="preserve">Once you have decided how you wish to plead, then prosecution disclosure to the </w:t>
      </w:r>
      <w:proofErr w:type="gramStart"/>
      <w:r w:rsidRPr="0060262C">
        <w:t>defence  takes</w:t>
      </w:r>
      <w:proofErr w:type="gramEnd"/>
      <w:r w:rsidRPr="0060262C">
        <w:t xml:space="preserve"> place in differing stages. Should you plead not guilty and opt for a Crown Court trial, then we must serve a defence statement (outlining your defence) and disclose to both the CPS and the Court details of witnesses we intend to call at trial. This serving of a defence statement is voluntary in the Magistrates’ Court.</w:t>
      </w:r>
    </w:p>
    <w:p w14:paraId="03675ADD" w14:textId="77777777" w:rsidR="00CE11F7" w:rsidRPr="00314196" w:rsidRDefault="00CE11F7" w:rsidP="00CE11F7">
      <w:pPr>
        <w:ind w:left="720" w:hanging="360"/>
        <w:rPr>
          <w:b/>
          <w:bCs/>
        </w:rPr>
      </w:pPr>
    </w:p>
    <w:p w14:paraId="2F157719" w14:textId="470FEF41" w:rsidR="00CE11F7" w:rsidRPr="00314196" w:rsidRDefault="00CE11F7" w:rsidP="00314196">
      <w:pPr>
        <w:rPr>
          <w:b/>
          <w:bCs/>
        </w:rPr>
      </w:pPr>
      <w:r w:rsidRPr="00314196">
        <w:rPr>
          <w:b/>
          <w:bCs/>
        </w:rPr>
        <w:t>Burden</w:t>
      </w:r>
      <w:r w:rsidR="00894721" w:rsidRPr="00314196">
        <w:rPr>
          <w:b/>
          <w:bCs/>
        </w:rPr>
        <w:t xml:space="preserve"> and standard</w:t>
      </w:r>
      <w:r w:rsidRPr="00314196">
        <w:rPr>
          <w:b/>
          <w:bCs/>
        </w:rPr>
        <w:t xml:space="preserve"> of proof</w:t>
      </w:r>
    </w:p>
    <w:p w14:paraId="6586D75E" w14:textId="77777777" w:rsidR="00CE11F7" w:rsidRPr="0060262C" w:rsidRDefault="00CE11F7" w:rsidP="00CE11F7">
      <w:pPr>
        <w:ind w:left="720" w:hanging="360"/>
        <w:rPr>
          <w:bCs/>
        </w:rPr>
      </w:pPr>
    </w:p>
    <w:p w14:paraId="7065F507" w14:textId="73F8A0A0" w:rsidR="00894721" w:rsidRPr="0060262C" w:rsidRDefault="00894721">
      <w:pPr>
        <w:rPr>
          <w:bCs/>
        </w:rPr>
      </w:pPr>
      <w:r w:rsidRPr="0060262C">
        <w:rPr>
          <w:bCs/>
        </w:rPr>
        <w:t xml:space="preserve">In a criminal case, as is the case here, </w:t>
      </w:r>
      <w:r w:rsidRPr="0060262C">
        <w:t>the burden to prove all elements of offence is on prosecution. All the elements of the offence you are charged with (ABH) must be proved by the prosecution to the standard of ‘sure.’</w:t>
      </w:r>
      <w:r w:rsidRPr="0060262C">
        <w:rPr>
          <w:rStyle w:val="FootnoteReference"/>
        </w:rPr>
        <w:footnoteReference w:id="3"/>
      </w:r>
    </w:p>
    <w:p w14:paraId="54CF3795" w14:textId="42710B70" w:rsidR="00894721" w:rsidRPr="0060262C" w:rsidRDefault="00894721" w:rsidP="00894721">
      <w:pPr>
        <w:rPr>
          <w:bCs/>
        </w:rPr>
      </w:pPr>
    </w:p>
    <w:p w14:paraId="05D09458" w14:textId="48CEBA77" w:rsidR="00894721" w:rsidRPr="0060262C" w:rsidRDefault="00894721" w:rsidP="00894721">
      <w:r w:rsidRPr="0060262C">
        <w:rPr>
          <w:bCs/>
        </w:rPr>
        <w:t xml:space="preserve">However, should you decide to plead self-defence, then an evidential burden is placed on the defence. This essentially means that we must </w:t>
      </w:r>
      <w:r w:rsidRPr="0060262C">
        <w:t>show and adduce sufficient evidence to raise the defence. If this evidential burden is passed (as decided by the judge), then the prosecution bear the legal burden of disproving the defence to the standard of sure.  If the evidential burden born by you in respect of a defence is not discharged, the judge will rule as a matter of law that the defence is not open to you.</w:t>
      </w:r>
    </w:p>
    <w:p w14:paraId="3DD436CE" w14:textId="114752EF" w:rsidR="00894721" w:rsidRPr="0060262C" w:rsidRDefault="00894721" w:rsidP="00894721"/>
    <w:p w14:paraId="784542FC" w14:textId="4849FB94" w:rsidR="00894721" w:rsidRPr="0060262C" w:rsidRDefault="00894721" w:rsidP="00894721">
      <w:pPr>
        <w:rPr>
          <w:bCs/>
        </w:rPr>
      </w:pPr>
      <w:r w:rsidRPr="0060262C">
        <w:t>In order to prove that the offence of ABH has been committed, the prosecution must prove the following:</w:t>
      </w:r>
    </w:p>
    <w:p w14:paraId="4CEB8D22" w14:textId="03923276" w:rsidR="00894721" w:rsidRPr="0060262C" w:rsidRDefault="00894721" w:rsidP="00894721">
      <w:pPr>
        <w:rPr>
          <w:bCs/>
        </w:rPr>
      </w:pPr>
    </w:p>
    <w:p w14:paraId="5FA8F743" w14:textId="6D70A0BF" w:rsidR="00745E78" w:rsidRPr="0060262C" w:rsidRDefault="00CE11F7" w:rsidP="00894721">
      <w:r w:rsidRPr="0060262C">
        <w:t xml:space="preserve">The </w:t>
      </w:r>
      <w:r w:rsidR="00745E78" w:rsidRPr="0060262C">
        <w:t>a</w:t>
      </w:r>
      <w:r w:rsidRPr="0060262C">
        <w:t xml:space="preserve">ctus </w:t>
      </w:r>
      <w:proofErr w:type="spellStart"/>
      <w:r w:rsidRPr="0060262C">
        <w:t>reus</w:t>
      </w:r>
      <w:proofErr w:type="spellEnd"/>
      <w:r w:rsidR="00745E78" w:rsidRPr="0060262C">
        <w:t xml:space="preserve"> (meaning the ‘guilty act’ which the prosecution will argue that you have committed) of ABH</w:t>
      </w:r>
      <w:r w:rsidR="00894721" w:rsidRPr="0060262C">
        <w:t xml:space="preserve"> </w:t>
      </w:r>
      <w:r w:rsidR="00745E78" w:rsidRPr="0060262C">
        <w:t xml:space="preserve">is an assault or battery which causes actual bodily harm. This is a battery. The actus </w:t>
      </w:r>
      <w:proofErr w:type="spellStart"/>
      <w:r w:rsidR="00745E78" w:rsidRPr="0060262C">
        <w:t>reus</w:t>
      </w:r>
      <w:proofErr w:type="spellEnd"/>
      <w:r w:rsidR="00745E78" w:rsidRPr="0060262C">
        <w:t xml:space="preserve"> of battery is application of unlawful force. Here, the prosecution will argue that your punched PC Thomas. The punch may be regarded as application of unlawful force, i.e. a battery.</w:t>
      </w:r>
    </w:p>
    <w:p w14:paraId="7F9147B8" w14:textId="77777777" w:rsidR="00745E78" w:rsidRPr="0060262C" w:rsidRDefault="00745E78" w:rsidP="00894721"/>
    <w:p w14:paraId="64FA1A02" w14:textId="67887C2A" w:rsidR="00745E78" w:rsidRPr="0060262C" w:rsidRDefault="00CE11F7" w:rsidP="00745E78">
      <w:pPr>
        <w:rPr>
          <w:bCs/>
        </w:rPr>
      </w:pPr>
      <w:r w:rsidRPr="0060262C">
        <w:rPr>
          <w:bCs/>
        </w:rPr>
        <w:t xml:space="preserve">Actual bodily harm </w:t>
      </w:r>
      <w:r w:rsidR="00745E78" w:rsidRPr="0060262C">
        <w:rPr>
          <w:bCs/>
        </w:rPr>
        <w:t>is defined by the Courts</w:t>
      </w:r>
      <w:r w:rsidRPr="0060262C">
        <w:rPr>
          <w:bCs/>
        </w:rPr>
        <w:t xml:space="preserve"> as </w:t>
      </w:r>
      <w:r w:rsidR="00745E78" w:rsidRPr="0060262C">
        <w:rPr>
          <w:bCs/>
        </w:rPr>
        <w:t>‘</w:t>
      </w:r>
      <w:r w:rsidRPr="0060262C">
        <w:rPr>
          <w:bCs/>
        </w:rPr>
        <w:t>any hurt or injury calculated to interfere with the health or comfort of the victim</w:t>
      </w:r>
      <w:r w:rsidR="00745E78" w:rsidRPr="0060262C">
        <w:rPr>
          <w:bCs/>
        </w:rPr>
        <w:t>’</w:t>
      </w:r>
      <w:r w:rsidR="00745E78" w:rsidRPr="0060262C">
        <w:rPr>
          <w:rStyle w:val="FootnoteReference"/>
          <w:bCs/>
        </w:rPr>
        <w:footnoteReference w:id="4"/>
      </w:r>
      <w:r w:rsidRPr="0060262C">
        <w:rPr>
          <w:bCs/>
        </w:rPr>
        <w:t xml:space="preserve">, this was evident by the punch to the forehead of PC Thomas which has clearly caused an interference with his health and comfort. </w:t>
      </w:r>
    </w:p>
    <w:p w14:paraId="00522C61" w14:textId="42BA5CC4" w:rsidR="00745E78" w:rsidRPr="0060262C" w:rsidRDefault="00745E78" w:rsidP="00745E78">
      <w:pPr>
        <w:rPr>
          <w:bCs/>
        </w:rPr>
      </w:pPr>
    </w:p>
    <w:p w14:paraId="0285B48E" w14:textId="4B122D70" w:rsidR="00745E78" w:rsidRPr="0060262C" w:rsidRDefault="00745E78" w:rsidP="00745E78">
      <w:pPr>
        <w:rPr>
          <w:bCs/>
        </w:rPr>
      </w:pPr>
      <w:r w:rsidRPr="0060262C">
        <w:rPr>
          <w:bCs/>
        </w:rPr>
        <w:t xml:space="preserve">The next element that the prosecution must prove to a standard of sure is that you had the relevant </w:t>
      </w:r>
      <w:proofErr w:type="spellStart"/>
      <w:r w:rsidRPr="0060262C">
        <w:rPr>
          <w:bCs/>
        </w:rPr>
        <w:t>mens</w:t>
      </w:r>
      <w:proofErr w:type="spellEnd"/>
      <w:r w:rsidRPr="0060262C">
        <w:rPr>
          <w:bCs/>
        </w:rPr>
        <w:t xml:space="preserve"> rea of the act. Here, </w:t>
      </w:r>
      <w:proofErr w:type="spellStart"/>
      <w:r w:rsidRPr="0060262C">
        <w:rPr>
          <w:bCs/>
        </w:rPr>
        <w:t>mens</w:t>
      </w:r>
      <w:proofErr w:type="spellEnd"/>
      <w:r w:rsidRPr="0060262C">
        <w:rPr>
          <w:bCs/>
        </w:rPr>
        <w:t xml:space="preserve"> rea means an intention to commit the ABH. The </w:t>
      </w:r>
      <w:proofErr w:type="spellStart"/>
      <w:r w:rsidRPr="0060262C">
        <w:rPr>
          <w:bCs/>
        </w:rPr>
        <w:t>mens</w:t>
      </w:r>
      <w:proofErr w:type="spellEnd"/>
      <w:r w:rsidRPr="0060262C">
        <w:rPr>
          <w:bCs/>
        </w:rPr>
        <w:t xml:space="preserve"> rea of ABH is intention or recklessness to the assault or battery. Recklessness means that you knew and foresaw the risks associated with the assault or battery, but chose to ignore this. Here, the prosecution could argue that you possessed both the intention to cause the assault/battery and if you did not have the intention, that you were at least reckless to the assault/battery occurring. </w:t>
      </w:r>
      <w:r w:rsidRPr="0060262C">
        <w:t xml:space="preserve">There is no requirement that the defendant </w:t>
      </w:r>
      <w:r w:rsidRPr="0060262C">
        <w:lastRenderedPageBreak/>
        <w:t>intended or was reckless as to the actual injury inflicted (i.e. the wound to PC Thomas’ forehead). Here, the prosecution is likely to argue that you intended to strike PC Thomas.</w:t>
      </w:r>
    </w:p>
    <w:p w14:paraId="37823450" w14:textId="77777777" w:rsidR="00745E78" w:rsidRPr="0060262C" w:rsidRDefault="00745E78" w:rsidP="00745E78">
      <w:pPr>
        <w:rPr>
          <w:bCs/>
        </w:rPr>
      </w:pPr>
    </w:p>
    <w:p w14:paraId="08C0CF6D" w14:textId="5B57D0D2" w:rsidR="00CE11F7" w:rsidRPr="0060262C" w:rsidRDefault="00745E78" w:rsidP="00745E78">
      <w:pPr>
        <w:rPr>
          <w:bCs/>
        </w:rPr>
      </w:pPr>
      <w:r w:rsidRPr="0060262C">
        <w:rPr>
          <w:bCs/>
        </w:rPr>
        <w:t>Finally, the prosecution must prove that the assault/ battery caused the harm caused to PC Thomas. This is done via the</w:t>
      </w:r>
      <w:r w:rsidRPr="0060262C">
        <w:t xml:space="preserve"> ‘</w:t>
      </w:r>
      <w:r w:rsidRPr="0060262C">
        <w:rPr>
          <w:bCs/>
        </w:rPr>
        <w:t>But for Test’ (but for your assault, would have PC Thomas been injured?), the ‘De minimis Test’ (</w:t>
      </w:r>
      <w:proofErr w:type="spellStart"/>
      <w:r w:rsidRPr="0060262C">
        <w:rPr>
          <w:bCs/>
        </w:rPr>
        <w:t>were</w:t>
      </w:r>
      <w:proofErr w:type="spellEnd"/>
      <w:r w:rsidRPr="0060262C">
        <w:rPr>
          <w:bCs/>
        </w:rPr>
        <w:t xml:space="preserve"> you more than a minimal cause of PC Thomas’ injury? and there must be a lack of an intervening act.</w:t>
      </w:r>
      <w:r w:rsidRPr="0060262C">
        <w:rPr>
          <w:rStyle w:val="FootnoteReference"/>
          <w:bCs/>
        </w:rPr>
        <w:footnoteReference w:id="5"/>
      </w:r>
      <w:r w:rsidR="00854D65" w:rsidRPr="0060262C">
        <w:rPr>
          <w:bCs/>
        </w:rPr>
        <w:t xml:space="preserve"> Here, the prosecution will argue that all three tests have been fulfilled.</w:t>
      </w:r>
    </w:p>
    <w:p w14:paraId="48FDD50F" w14:textId="77777777" w:rsidR="00CE11F7" w:rsidRPr="0060262C" w:rsidRDefault="00CE11F7" w:rsidP="00CE11F7">
      <w:pPr>
        <w:rPr>
          <w:bCs/>
        </w:rPr>
      </w:pPr>
    </w:p>
    <w:p w14:paraId="11B68590" w14:textId="632EBE07" w:rsidR="00CE11F7" w:rsidRPr="0060262C" w:rsidRDefault="0060262C" w:rsidP="00854D65">
      <w:pPr>
        <w:rPr>
          <w:b/>
          <w:bCs/>
        </w:rPr>
      </w:pPr>
      <w:r>
        <w:rPr>
          <w:b/>
          <w:bCs/>
        </w:rPr>
        <w:t>D</w:t>
      </w:r>
      <w:r w:rsidR="00CE11F7" w:rsidRPr="0060262C">
        <w:rPr>
          <w:b/>
          <w:bCs/>
        </w:rPr>
        <w:t>efence</w:t>
      </w:r>
    </w:p>
    <w:p w14:paraId="7C29979F" w14:textId="77777777" w:rsidR="00854D65" w:rsidRPr="0060262C" w:rsidRDefault="00854D65" w:rsidP="00854D65"/>
    <w:p w14:paraId="46352AE7" w14:textId="62D0015C" w:rsidR="00854D65" w:rsidRPr="0060262C" w:rsidRDefault="00854D65" w:rsidP="00854D65">
      <w:r w:rsidRPr="00314196">
        <w:t xml:space="preserve">However, even if the prosecution can prove all the above elements of the </w:t>
      </w:r>
      <w:proofErr w:type="gramStart"/>
      <w:r w:rsidRPr="00314196">
        <w:t>offence</w:t>
      </w:r>
      <w:r w:rsidRPr="0060262C">
        <w:t xml:space="preserve">, </w:t>
      </w:r>
      <w:r w:rsidRPr="00314196">
        <w:t xml:space="preserve"> </w:t>
      </w:r>
      <w:r w:rsidRPr="0060262C">
        <w:t>y</w:t>
      </w:r>
      <w:r w:rsidRPr="00314196">
        <w:t>ou</w:t>
      </w:r>
      <w:proofErr w:type="gramEnd"/>
      <w:r w:rsidRPr="00314196">
        <w:t xml:space="preserve"> may be able to argue the defence of </w:t>
      </w:r>
      <w:r w:rsidRPr="0060262C">
        <w:t>self-defence</w:t>
      </w:r>
      <w:r w:rsidRPr="00314196">
        <w:t>.</w:t>
      </w:r>
      <w:r w:rsidRPr="0060262C">
        <w:t xml:space="preserve"> If you argue self-defence successfully, this will justify the offence that you may have committed. Therefore, you would receive no punishment, because, you have acted in self-defence.</w:t>
      </w:r>
      <w:r w:rsidR="0060262C" w:rsidRPr="0060262C">
        <w:t xml:space="preserve"> If you choose to use self-defence, then you must plead not guilty.</w:t>
      </w:r>
    </w:p>
    <w:p w14:paraId="0512BC1E" w14:textId="77777777" w:rsidR="00854D65" w:rsidRPr="00314196" w:rsidRDefault="00854D65" w:rsidP="00314196"/>
    <w:p w14:paraId="104B3171" w14:textId="24FA299E" w:rsidR="00854D65" w:rsidRPr="0060262C" w:rsidRDefault="00854D65" w:rsidP="00854D65">
      <w:pPr>
        <w:rPr>
          <w:bCs/>
        </w:rPr>
      </w:pPr>
      <w:r w:rsidRPr="0060262C">
        <w:rPr>
          <w:bCs/>
        </w:rPr>
        <w:t>Self-defence</w:t>
      </w:r>
      <w:r w:rsidR="00CE11F7" w:rsidRPr="0060262C">
        <w:rPr>
          <w:bCs/>
        </w:rPr>
        <w:t xml:space="preserve"> is governed by the common law</w:t>
      </w:r>
      <w:r w:rsidRPr="0060262C">
        <w:rPr>
          <w:bCs/>
        </w:rPr>
        <w:t>. In order to use the defence, you must be able to prove two points</w:t>
      </w:r>
      <w:r w:rsidRPr="0060262C">
        <w:rPr>
          <w:rStyle w:val="FootnoteReference"/>
          <w:bCs/>
        </w:rPr>
        <w:footnoteReference w:id="6"/>
      </w:r>
      <w:r w:rsidRPr="0060262C">
        <w:rPr>
          <w:bCs/>
        </w:rPr>
        <w:t>:</w:t>
      </w:r>
    </w:p>
    <w:p w14:paraId="46CC15BA" w14:textId="7256F006" w:rsidR="00854D65" w:rsidRPr="0060262C" w:rsidRDefault="00854D65" w:rsidP="00854D65">
      <w:pPr>
        <w:pStyle w:val="ListParagraph"/>
        <w:numPr>
          <w:ilvl w:val="0"/>
          <w:numId w:val="13"/>
        </w:numPr>
        <w:rPr>
          <w:bCs/>
        </w:rPr>
      </w:pPr>
      <w:r w:rsidRPr="0060262C">
        <w:rPr>
          <w:bCs/>
        </w:rPr>
        <w:t>Did you have an honest belief that you would suffer harm?</w:t>
      </w:r>
    </w:p>
    <w:p w14:paraId="0C43059A" w14:textId="0BFC06DD" w:rsidR="00854D65" w:rsidRPr="0014157E" w:rsidRDefault="00854D65" w:rsidP="00314196">
      <w:pPr>
        <w:pStyle w:val="ListParagraph"/>
        <w:numPr>
          <w:ilvl w:val="0"/>
          <w:numId w:val="13"/>
        </w:numPr>
        <w:rPr>
          <w:bCs/>
        </w:rPr>
      </w:pPr>
      <w:r w:rsidRPr="0060262C">
        <w:rPr>
          <w:bCs/>
        </w:rPr>
        <w:t>Was the force that you used reasonable?</w:t>
      </w:r>
    </w:p>
    <w:p w14:paraId="382A3F96" w14:textId="77777777" w:rsidR="00854D65" w:rsidRPr="0060262C" w:rsidRDefault="00854D65" w:rsidP="00314196">
      <w:pPr>
        <w:rPr>
          <w:bCs/>
        </w:rPr>
      </w:pPr>
    </w:p>
    <w:p w14:paraId="514CB5BC" w14:textId="720B6F32" w:rsidR="00D87009" w:rsidRPr="0060262C" w:rsidRDefault="00D87009" w:rsidP="00D87009">
      <w:pPr>
        <w:rPr>
          <w:bCs/>
        </w:rPr>
      </w:pPr>
      <w:r w:rsidRPr="0060262C">
        <w:rPr>
          <w:bCs/>
        </w:rPr>
        <w:t>I</w:t>
      </w:r>
      <w:r w:rsidR="00CE11F7" w:rsidRPr="0060262C">
        <w:rPr>
          <w:bCs/>
        </w:rPr>
        <w:t>n this case</w:t>
      </w:r>
      <w:r w:rsidRPr="0060262C">
        <w:rPr>
          <w:bCs/>
        </w:rPr>
        <w:t xml:space="preserve">, </w:t>
      </w:r>
      <w:r w:rsidR="00CE11F7" w:rsidRPr="0060262C">
        <w:rPr>
          <w:bCs/>
        </w:rPr>
        <w:t xml:space="preserve">there are reasons to believe that </w:t>
      </w:r>
      <w:r w:rsidRPr="0060262C">
        <w:rPr>
          <w:bCs/>
        </w:rPr>
        <w:t xml:space="preserve">you </w:t>
      </w:r>
      <w:r w:rsidR="00CE11F7" w:rsidRPr="0060262C">
        <w:rPr>
          <w:bCs/>
        </w:rPr>
        <w:t xml:space="preserve">used a reasonable force to defend </w:t>
      </w:r>
      <w:r w:rsidRPr="0060262C">
        <w:rPr>
          <w:bCs/>
        </w:rPr>
        <w:t xml:space="preserve">yourself </w:t>
      </w:r>
      <w:r w:rsidR="00CE11F7" w:rsidRPr="0060262C">
        <w:rPr>
          <w:bCs/>
        </w:rPr>
        <w:t>after being kicked</w:t>
      </w:r>
      <w:r w:rsidRPr="0060262C">
        <w:rPr>
          <w:bCs/>
        </w:rPr>
        <w:t xml:space="preserve"> (therefore possessing an honest belief). You have stated in case papers that: ‘</w:t>
      </w:r>
      <w:r w:rsidRPr="0060262C">
        <w:t>They kicked me so I struck out to protect myself and caught the male officer on the forehead’ and that ‘</w:t>
      </w:r>
      <w:r w:rsidRPr="0060262C">
        <w:rPr>
          <w:bCs/>
        </w:rPr>
        <w:t>I was just trying to stop the officers abusing me by pushing them away.’</w:t>
      </w:r>
    </w:p>
    <w:p w14:paraId="11DAD9D7" w14:textId="77777777" w:rsidR="00D87009" w:rsidRPr="0060262C" w:rsidRDefault="00D87009" w:rsidP="00D87009">
      <w:pPr>
        <w:rPr>
          <w:bCs/>
        </w:rPr>
      </w:pPr>
    </w:p>
    <w:p w14:paraId="48A373A8" w14:textId="1223F8D8" w:rsidR="00D87009" w:rsidRPr="0060262C" w:rsidRDefault="00CE11F7" w:rsidP="00D87009">
      <w:pPr>
        <w:rPr>
          <w:bCs/>
        </w:rPr>
      </w:pPr>
      <w:r w:rsidRPr="0060262C">
        <w:rPr>
          <w:bCs/>
        </w:rPr>
        <w:t>According to Constable 176 JEWELL’s witness statement</w:t>
      </w:r>
      <w:r w:rsidR="00D87009" w:rsidRPr="0060262C">
        <w:rPr>
          <w:bCs/>
        </w:rPr>
        <w:t>, you were ‘</w:t>
      </w:r>
      <w:r w:rsidRPr="0060262C">
        <w:rPr>
          <w:bCs/>
        </w:rPr>
        <w:t>lashing out his arms and legs</w:t>
      </w:r>
      <w:r w:rsidR="00D87009" w:rsidRPr="0060262C">
        <w:rPr>
          <w:bCs/>
        </w:rPr>
        <w:t>’</w:t>
      </w:r>
      <w:r w:rsidRPr="0060262C">
        <w:rPr>
          <w:bCs/>
        </w:rPr>
        <w:t xml:space="preserve"> in what seems to be a natural </w:t>
      </w:r>
      <w:r w:rsidR="00D87009" w:rsidRPr="0060262C">
        <w:rPr>
          <w:bCs/>
        </w:rPr>
        <w:t xml:space="preserve">and reasonable </w:t>
      </w:r>
      <w:r w:rsidRPr="0060262C">
        <w:rPr>
          <w:bCs/>
        </w:rPr>
        <w:t xml:space="preserve">reaction to the inappropriate treatment experienced and the pain the defendant suffered. </w:t>
      </w:r>
    </w:p>
    <w:p w14:paraId="1D05025C" w14:textId="64384AAD" w:rsidR="00D87009" w:rsidRPr="0060262C" w:rsidRDefault="00D87009" w:rsidP="00D87009">
      <w:pPr>
        <w:rPr>
          <w:bCs/>
        </w:rPr>
      </w:pPr>
    </w:p>
    <w:p w14:paraId="5E95C515" w14:textId="4BAB939F" w:rsidR="00D87009" w:rsidRPr="00314196" w:rsidRDefault="00D87009" w:rsidP="00D87009">
      <w:pPr>
        <w:rPr>
          <w:b/>
        </w:rPr>
      </w:pPr>
      <w:r w:rsidRPr="00314196">
        <w:rPr>
          <w:b/>
        </w:rPr>
        <w:t>Police Caution</w:t>
      </w:r>
    </w:p>
    <w:p w14:paraId="0B3BEBDC" w14:textId="09DA4E97" w:rsidR="008C552C" w:rsidRPr="0060262C" w:rsidRDefault="008C552C" w:rsidP="008C552C">
      <w:pPr>
        <w:rPr>
          <w:bCs/>
        </w:rPr>
      </w:pPr>
    </w:p>
    <w:p w14:paraId="55030384" w14:textId="728D2A41" w:rsidR="00D87009" w:rsidRPr="0060262C" w:rsidRDefault="00D87009" w:rsidP="008C552C">
      <w:pPr>
        <w:rPr>
          <w:bCs/>
        </w:rPr>
      </w:pPr>
      <w:r w:rsidRPr="0060262C">
        <w:rPr>
          <w:bCs/>
        </w:rPr>
        <w:t xml:space="preserve">Police cautions are very important because they explain the rights that you have before being questioned or charged for an offence. </w:t>
      </w:r>
      <w:r w:rsidR="0060262C" w:rsidRPr="0060262C">
        <w:rPr>
          <w:bCs/>
        </w:rPr>
        <w:t>A caution must be given to a person whom there are grounds to suspect of an offence before any questions about an offence if either the suspect’s answers or silence may be given in evidence to a court in a prosecution. Grounds for suspicion here and defined as reasonable and objective grounds to suspect the person of a criminal offence. Here, I have no reason to believe that the caution was administered incorrectly.</w:t>
      </w:r>
    </w:p>
    <w:p w14:paraId="2C9B0044" w14:textId="516605E5" w:rsidR="0060262C" w:rsidRPr="0060262C" w:rsidRDefault="0060262C" w:rsidP="008C552C">
      <w:pPr>
        <w:rPr>
          <w:bCs/>
        </w:rPr>
      </w:pPr>
    </w:p>
    <w:p w14:paraId="51FD102F" w14:textId="67C2BB02" w:rsidR="0060262C" w:rsidRPr="0060262C" w:rsidRDefault="0060262C" w:rsidP="008C552C">
      <w:pPr>
        <w:rPr>
          <w:bCs/>
        </w:rPr>
      </w:pPr>
      <w:r w:rsidRPr="0060262C">
        <w:rPr>
          <w:bCs/>
        </w:rPr>
        <w:lastRenderedPageBreak/>
        <w:t xml:space="preserve">Constable 993 </w:t>
      </w:r>
      <w:proofErr w:type="spellStart"/>
      <w:r w:rsidRPr="0060262C">
        <w:rPr>
          <w:bCs/>
        </w:rPr>
        <w:t>Bouhali’s</w:t>
      </w:r>
      <w:proofErr w:type="spellEnd"/>
      <w:r w:rsidRPr="0060262C">
        <w:rPr>
          <w:bCs/>
        </w:rPr>
        <w:t xml:space="preserve"> wrote </w:t>
      </w:r>
      <w:r w:rsidR="00EB0FBC">
        <w:rPr>
          <w:bCs/>
        </w:rPr>
        <w:t>that</w:t>
      </w:r>
      <w:r w:rsidRPr="0060262C">
        <w:rPr>
          <w:bCs/>
        </w:rPr>
        <w:t xml:space="preserve"> “I am further arresting you on suspicion of assault occasioning actual bodily harm on PC Thomas, this morning,” it seems that here, you were not reminded of your right to remain silent. This may be a breach of PACE C11.4.</w:t>
      </w:r>
      <w:r w:rsidRPr="0060262C">
        <w:rPr>
          <w:rStyle w:val="FootnoteReference"/>
          <w:bCs/>
        </w:rPr>
        <w:footnoteReference w:id="7"/>
      </w:r>
    </w:p>
    <w:p w14:paraId="1C624612" w14:textId="77777777" w:rsidR="0060262C" w:rsidRPr="0060262C" w:rsidRDefault="0060262C" w:rsidP="0060262C">
      <w:pPr>
        <w:rPr>
          <w:bCs/>
        </w:rPr>
      </w:pPr>
    </w:p>
    <w:p w14:paraId="4C45EF53" w14:textId="1705BE91" w:rsidR="00CE11F7" w:rsidRPr="00314196" w:rsidRDefault="00CE11F7" w:rsidP="00314196">
      <w:pPr>
        <w:rPr>
          <w:b/>
          <w:bCs/>
        </w:rPr>
      </w:pPr>
      <w:r w:rsidRPr="00314196">
        <w:rPr>
          <w:b/>
          <w:bCs/>
        </w:rPr>
        <w:t>Police interview</w:t>
      </w:r>
    </w:p>
    <w:p w14:paraId="31FB2981" w14:textId="77777777" w:rsidR="00CE11F7" w:rsidRPr="0060262C" w:rsidRDefault="00CE11F7" w:rsidP="00CE11F7">
      <w:pPr>
        <w:ind w:left="720" w:hanging="360"/>
        <w:rPr>
          <w:b/>
          <w:bCs/>
          <w:u w:val="single"/>
        </w:rPr>
      </w:pPr>
    </w:p>
    <w:p w14:paraId="1B9A2EFD" w14:textId="70850692" w:rsidR="0060262C" w:rsidRPr="0060262C" w:rsidRDefault="0060262C" w:rsidP="0060262C">
      <w:pPr>
        <w:rPr>
          <w:bCs/>
        </w:rPr>
      </w:pPr>
      <w:r w:rsidRPr="0060262C">
        <w:rPr>
          <w:bCs/>
        </w:rPr>
        <w:t xml:space="preserve">It is unclear from the case papers what exactly was said by you during the interview. But, anything said during the interview by you can be used as evidence against him at trial. But, if you replied no comment to everything, then the court can in some cases infer guilt. </w:t>
      </w:r>
    </w:p>
    <w:p w14:paraId="51FECC91" w14:textId="77777777" w:rsidR="0060262C" w:rsidRPr="0060262C" w:rsidRDefault="0060262C" w:rsidP="0060262C">
      <w:pPr>
        <w:rPr>
          <w:bCs/>
        </w:rPr>
      </w:pPr>
    </w:p>
    <w:p w14:paraId="43202EBA" w14:textId="10E9D7E9" w:rsidR="0060262C" w:rsidRPr="0060262C" w:rsidRDefault="0060262C" w:rsidP="0060262C">
      <w:pPr>
        <w:rPr>
          <w:bCs/>
        </w:rPr>
      </w:pPr>
      <w:r w:rsidRPr="0060262C">
        <w:rPr>
          <w:bCs/>
        </w:rPr>
        <w:t xml:space="preserve">However. If you fail to disclose a fact in questioning that you later </w:t>
      </w:r>
      <w:proofErr w:type="gramStart"/>
      <w:r w:rsidRPr="0060262C">
        <w:rPr>
          <w:bCs/>
        </w:rPr>
        <w:t>relies</w:t>
      </w:r>
      <w:proofErr w:type="gramEnd"/>
      <w:r w:rsidRPr="0060262C">
        <w:rPr>
          <w:bCs/>
        </w:rPr>
        <w:t xml:space="preserve"> on in his defence</w:t>
      </w:r>
      <w:r w:rsidRPr="0060262C">
        <w:rPr>
          <w:rStyle w:val="FootnoteReference"/>
          <w:bCs/>
        </w:rPr>
        <w:footnoteReference w:id="8"/>
      </w:r>
      <w:r w:rsidRPr="0060262C">
        <w:rPr>
          <w:bCs/>
        </w:rPr>
        <w:t>, then an adverse inference may be drawn by the court in determining if there is a case to answer or the court or jury in determining guilt. An adverse inference is something the tribunal takes into consideration against D when deciding guilt. The failure to mention a fact must be unreasonable. It seems that you have continuously maintained that you were acting in self-defence. However, further inspection of your police interview should be taken in order to confirm this.</w:t>
      </w:r>
    </w:p>
    <w:p w14:paraId="481B1C5B" w14:textId="531BBBC7" w:rsidR="0060262C" w:rsidRPr="0060262C" w:rsidRDefault="0060262C" w:rsidP="0060262C">
      <w:pPr>
        <w:rPr>
          <w:bCs/>
        </w:rPr>
      </w:pPr>
    </w:p>
    <w:p w14:paraId="69FFB0A2" w14:textId="14FE165C" w:rsidR="0060262C" w:rsidRPr="00314196" w:rsidRDefault="0060262C" w:rsidP="00314196">
      <w:pPr>
        <w:rPr>
          <w:b/>
        </w:rPr>
      </w:pPr>
      <w:r w:rsidRPr="00314196">
        <w:rPr>
          <w:b/>
        </w:rPr>
        <w:t>Bail</w:t>
      </w:r>
    </w:p>
    <w:p w14:paraId="4F218397" w14:textId="77777777" w:rsidR="0060262C" w:rsidRPr="0060262C" w:rsidRDefault="0060262C" w:rsidP="00CE11F7">
      <w:pPr>
        <w:ind w:left="720" w:hanging="360"/>
        <w:rPr>
          <w:bCs/>
        </w:rPr>
      </w:pPr>
    </w:p>
    <w:p w14:paraId="4BC3387E" w14:textId="52482181" w:rsidR="0060262C" w:rsidRDefault="0060262C" w:rsidP="0060262C">
      <w:r>
        <w:rPr>
          <w:bCs/>
        </w:rPr>
        <w:t xml:space="preserve">Since you are already on bail, </w:t>
      </w:r>
      <w:r w:rsidRPr="00FD7493">
        <w:t>an adjournment is called a ‘remand’ (bail is an issue</w:t>
      </w:r>
      <w:r>
        <w:t xml:space="preserve">). </w:t>
      </w:r>
      <w:r w:rsidRPr="0060262C">
        <w:t>There is a rebuttable presumption in favour of bail; however, this general right to bail subject to exceptions.</w:t>
      </w:r>
      <w:r w:rsidR="00CD34FF">
        <w:t xml:space="preserve"> </w:t>
      </w:r>
      <w:r w:rsidR="00CD34FF" w:rsidRPr="00CD34FF">
        <w:t>Prosecutors must keep the issue of bail under review throughout the life of the case.</w:t>
      </w:r>
      <w:r w:rsidR="00CD34FF">
        <w:t xml:space="preserve"> O</w:t>
      </w:r>
      <w:r w:rsidR="00CD34FF" w:rsidRPr="00CD34FF">
        <w:t xml:space="preserve">n </w:t>
      </w:r>
      <w:r w:rsidR="00CD34FF">
        <w:t xml:space="preserve">every </w:t>
      </w:r>
      <w:r w:rsidR="00CD34FF" w:rsidRPr="00CD34FF">
        <w:t xml:space="preserve">occasion that a </w:t>
      </w:r>
      <w:r w:rsidR="00CD34FF">
        <w:t>defendant</w:t>
      </w:r>
      <w:r w:rsidR="00CD34FF" w:rsidRPr="00CD34FF">
        <w:t xml:space="preserve"> is brought before a court accused of an offence, or remanded after conviction for enquiries or a report, he must be granted bail without condition, if none of the exceptions to bail apply.</w:t>
      </w:r>
      <w:r w:rsidR="00CD34FF">
        <w:rPr>
          <w:rStyle w:val="FootnoteReference"/>
        </w:rPr>
        <w:footnoteReference w:id="9"/>
      </w:r>
    </w:p>
    <w:p w14:paraId="7C7B3F73" w14:textId="1F3E2773" w:rsidR="00CD34FF" w:rsidRDefault="00CD34FF" w:rsidP="0060262C"/>
    <w:p w14:paraId="2E7C263E" w14:textId="60320464" w:rsidR="00CD34FF" w:rsidRDefault="00CD34FF" w:rsidP="0060262C">
      <w:r>
        <w:t xml:space="preserve">Here, it is likely that you will be granted further bail unless </w:t>
      </w:r>
      <w:r w:rsidRPr="00CD34FF">
        <w:t xml:space="preserve">there are substantial grounds for believing that </w:t>
      </w:r>
      <w:r>
        <w:t>you</w:t>
      </w:r>
      <w:r w:rsidRPr="00CD34FF">
        <w:t xml:space="preserve"> would</w:t>
      </w:r>
      <w:r w:rsidR="00EB0FBC">
        <w:t xml:space="preserve"> (but not limited to the below)</w:t>
      </w:r>
      <w:r w:rsidRPr="00CD34FF">
        <w:t>:</w:t>
      </w:r>
    </w:p>
    <w:p w14:paraId="2CAE3ADB" w14:textId="77777777" w:rsidR="00CD34FF" w:rsidRPr="00235D72" w:rsidRDefault="00CD34FF" w:rsidP="00CD34FF">
      <w:pPr>
        <w:pStyle w:val="ListParagraph"/>
        <w:numPr>
          <w:ilvl w:val="0"/>
          <w:numId w:val="14"/>
        </w:numPr>
      </w:pPr>
      <w:r w:rsidRPr="00CE5B5E">
        <w:rPr>
          <w:lang w:val="en-US"/>
        </w:rPr>
        <w:t>Fail to surrender to custody, or</w:t>
      </w:r>
    </w:p>
    <w:p w14:paraId="3314A665" w14:textId="77777777" w:rsidR="00CD34FF" w:rsidRPr="00235D72" w:rsidRDefault="00CD34FF" w:rsidP="00CD34FF">
      <w:pPr>
        <w:pStyle w:val="ListParagraph"/>
        <w:numPr>
          <w:ilvl w:val="0"/>
          <w:numId w:val="14"/>
        </w:numPr>
      </w:pPr>
      <w:r w:rsidRPr="00CE5B5E">
        <w:rPr>
          <w:lang w:val="en-US"/>
        </w:rPr>
        <w:t>Commit an offence while on bail, or</w:t>
      </w:r>
    </w:p>
    <w:p w14:paraId="3A404B6E" w14:textId="77777777" w:rsidR="00CD34FF" w:rsidRPr="00235D72" w:rsidRDefault="00CD34FF" w:rsidP="00CD34FF">
      <w:pPr>
        <w:pStyle w:val="ListParagraph"/>
        <w:numPr>
          <w:ilvl w:val="0"/>
          <w:numId w:val="14"/>
        </w:numPr>
      </w:pPr>
      <w:r w:rsidRPr="00CE5B5E">
        <w:rPr>
          <w:lang w:val="en-US"/>
        </w:rPr>
        <w:t>Interfere with witnesses/otherwise obstruct the course of justice.</w:t>
      </w:r>
    </w:p>
    <w:p w14:paraId="6E95B037" w14:textId="462C61D6" w:rsidR="00CD34FF" w:rsidRDefault="00CD34FF" w:rsidP="00314196">
      <w:pPr>
        <w:pStyle w:val="ListParagraph"/>
        <w:numPr>
          <w:ilvl w:val="0"/>
          <w:numId w:val="14"/>
        </w:numPr>
      </w:pPr>
      <w:r>
        <w:rPr>
          <w:lang w:val="en-US"/>
        </w:rPr>
        <w:t>You were</w:t>
      </w:r>
      <w:r w:rsidRPr="00CE5B5E">
        <w:rPr>
          <w:lang w:val="en-US"/>
        </w:rPr>
        <w:t xml:space="preserve"> already on bail for another offence when the present offence was allegedly committed.  </w:t>
      </w:r>
    </w:p>
    <w:p w14:paraId="4AEBC5F9" w14:textId="77777777" w:rsidR="00CD34FF" w:rsidRPr="0060262C" w:rsidRDefault="00CD34FF" w:rsidP="0060262C">
      <w:pPr>
        <w:rPr>
          <w:bCs/>
        </w:rPr>
      </w:pPr>
    </w:p>
    <w:p w14:paraId="114E313A" w14:textId="2E93BBD8" w:rsidR="0060262C" w:rsidRPr="0060262C" w:rsidRDefault="00CD34FF" w:rsidP="0060262C">
      <w:pPr>
        <w:rPr>
          <w:bCs/>
        </w:rPr>
      </w:pPr>
      <w:r>
        <w:rPr>
          <w:bCs/>
        </w:rPr>
        <w:t>It is very un</w:t>
      </w:r>
      <w:r w:rsidR="00EB0FBC">
        <w:rPr>
          <w:bCs/>
        </w:rPr>
        <w:t>likely</w:t>
      </w:r>
      <w:r>
        <w:rPr>
          <w:bCs/>
        </w:rPr>
        <w:t xml:space="preserve"> that any of the above exceptions to bail would apply to you.</w:t>
      </w:r>
    </w:p>
    <w:p w14:paraId="7E115C5F" w14:textId="282CD0E6" w:rsidR="0060262C" w:rsidRDefault="0060262C" w:rsidP="0060262C">
      <w:pPr>
        <w:rPr>
          <w:bCs/>
        </w:rPr>
      </w:pPr>
    </w:p>
    <w:p w14:paraId="5A56C931" w14:textId="2251A45C" w:rsidR="00CD34FF" w:rsidRDefault="00CD34FF" w:rsidP="0060262C">
      <w:pPr>
        <w:rPr>
          <w:bCs/>
        </w:rPr>
      </w:pPr>
      <w:r>
        <w:rPr>
          <w:bCs/>
        </w:rPr>
        <w:t>In deciding if the Court should grant bail, the Court will consider</w:t>
      </w:r>
      <w:r>
        <w:rPr>
          <w:rStyle w:val="FootnoteReference"/>
          <w:bCs/>
        </w:rPr>
        <w:footnoteReference w:id="10"/>
      </w:r>
      <w:r>
        <w:rPr>
          <w:bCs/>
        </w:rPr>
        <w:t>:</w:t>
      </w:r>
    </w:p>
    <w:p w14:paraId="7BB1520F" w14:textId="77777777" w:rsidR="00CD34FF" w:rsidRPr="0060262C" w:rsidRDefault="00CD34FF" w:rsidP="0060262C">
      <w:pPr>
        <w:rPr>
          <w:bCs/>
        </w:rPr>
      </w:pPr>
    </w:p>
    <w:p w14:paraId="0E19205C" w14:textId="26507AE8" w:rsidR="00CD34FF" w:rsidRPr="00314196" w:rsidRDefault="00CD34FF" w:rsidP="00314196">
      <w:pPr>
        <w:pStyle w:val="ListParagraph"/>
        <w:numPr>
          <w:ilvl w:val="1"/>
          <w:numId w:val="15"/>
        </w:numPr>
        <w:rPr>
          <w:bCs/>
        </w:rPr>
      </w:pPr>
      <w:r w:rsidRPr="0014157E">
        <w:rPr>
          <w:bCs/>
        </w:rPr>
        <w:t xml:space="preserve">The nature and seriousness of the offence and the probable method of dealing with D for it; </w:t>
      </w:r>
    </w:p>
    <w:p w14:paraId="74FB2D14" w14:textId="5818F292" w:rsidR="00CD34FF" w:rsidRPr="0014157E" w:rsidRDefault="00CD34FF" w:rsidP="00314196">
      <w:pPr>
        <w:pStyle w:val="ListParagraph"/>
        <w:numPr>
          <w:ilvl w:val="1"/>
          <w:numId w:val="15"/>
        </w:numPr>
        <w:rPr>
          <w:bCs/>
        </w:rPr>
      </w:pPr>
      <w:r>
        <w:rPr>
          <w:bCs/>
        </w:rPr>
        <w:t>Your</w:t>
      </w:r>
      <w:r w:rsidRPr="0014157E">
        <w:rPr>
          <w:bCs/>
        </w:rPr>
        <w:t xml:space="preserve"> character</w:t>
      </w:r>
      <w:r>
        <w:rPr>
          <w:bCs/>
        </w:rPr>
        <w:t xml:space="preserve"> if you have a previous criminal history</w:t>
      </w:r>
    </w:p>
    <w:p w14:paraId="481B06FD" w14:textId="0EF7FA04" w:rsidR="0060262C" w:rsidRPr="00D352F2" w:rsidRDefault="00CD34FF" w:rsidP="00314196">
      <w:pPr>
        <w:pStyle w:val="ListParagraph"/>
        <w:numPr>
          <w:ilvl w:val="1"/>
          <w:numId w:val="15"/>
        </w:numPr>
        <w:rPr>
          <w:bCs/>
        </w:rPr>
      </w:pPr>
      <w:r>
        <w:rPr>
          <w:bCs/>
        </w:rPr>
        <w:t>T</w:t>
      </w:r>
      <w:r w:rsidRPr="0014157E">
        <w:rPr>
          <w:bCs/>
        </w:rPr>
        <w:t xml:space="preserve">he strength of the evidence against </w:t>
      </w:r>
      <w:r>
        <w:rPr>
          <w:bCs/>
        </w:rPr>
        <w:t>you.</w:t>
      </w:r>
    </w:p>
    <w:p w14:paraId="5705F3DB" w14:textId="77777777" w:rsidR="00D87009" w:rsidRPr="0060262C" w:rsidRDefault="00D87009" w:rsidP="00314196">
      <w:pPr>
        <w:rPr>
          <w:b/>
          <w:bCs/>
          <w:u w:val="single"/>
        </w:rPr>
      </w:pPr>
    </w:p>
    <w:p w14:paraId="10B72395" w14:textId="65AA24BE" w:rsidR="00CE11F7" w:rsidRPr="0060262C" w:rsidRDefault="00CD34FF">
      <w:pPr>
        <w:ind w:left="720" w:hanging="360"/>
        <w:rPr>
          <w:rFonts w:cstheme="minorHAnsi"/>
          <w:bCs/>
        </w:rPr>
      </w:pPr>
      <w:r>
        <w:rPr>
          <w:b/>
          <w:bCs/>
          <w:u w:val="single"/>
        </w:rPr>
        <w:t xml:space="preserve"> </w:t>
      </w:r>
      <w:r w:rsidR="00CE11F7" w:rsidRPr="0060262C">
        <w:rPr>
          <w:bCs/>
        </w:rPr>
        <w:t xml:space="preserve"> </w:t>
      </w:r>
    </w:p>
    <w:p w14:paraId="05B5D67C" w14:textId="39C1B88A" w:rsidR="00CE11F7" w:rsidRDefault="00D352F2" w:rsidP="00D352F2">
      <w:pPr>
        <w:rPr>
          <w:b/>
          <w:bCs/>
        </w:rPr>
      </w:pPr>
      <w:r>
        <w:rPr>
          <w:b/>
          <w:bCs/>
        </w:rPr>
        <w:t>Your treatment in the Police Station</w:t>
      </w:r>
    </w:p>
    <w:p w14:paraId="7464D403" w14:textId="77777777" w:rsidR="00D352F2" w:rsidRDefault="00D352F2" w:rsidP="00D352F2">
      <w:pPr>
        <w:rPr>
          <w:b/>
          <w:bCs/>
          <w:u w:val="single"/>
        </w:rPr>
      </w:pPr>
    </w:p>
    <w:p w14:paraId="6F4D478F" w14:textId="41BB9407" w:rsidR="00D352F2" w:rsidRDefault="00D352F2" w:rsidP="00D352F2">
      <w:r w:rsidRPr="00FD7493">
        <w:t xml:space="preserve">Cells in </w:t>
      </w:r>
      <w:r>
        <w:t>police stations</w:t>
      </w:r>
      <w:r w:rsidRPr="00FD7493">
        <w:t xml:space="preserve"> must be adequately heated, cleaned and ventilated</w:t>
      </w:r>
      <w:r>
        <w:t>.</w:t>
      </w:r>
      <w:r>
        <w:rPr>
          <w:rStyle w:val="FootnoteReference"/>
        </w:rPr>
        <w:footnoteReference w:id="11"/>
      </w:r>
      <w:r>
        <w:t xml:space="preserve"> I note that from case papers, you argue that the cell was covered in sick and it was dirty. You also stated that ‘</w:t>
      </w:r>
      <w:r w:rsidRPr="00841EF3">
        <w:t>They got my arm up behind my back and it really hurt. They kicked me so I struck out to protect myself and caught the male officer on the forehead.</w:t>
      </w:r>
      <w:r>
        <w:t>’ Here, we could argue that this force was clearly unreasonable.</w:t>
      </w:r>
      <w:r>
        <w:rPr>
          <w:rStyle w:val="FootnoteReference"/>
        </w:rPr>
        <w:footnoteReference w:id="12"/>
      </w:r>
    </w:p>
    <w:p w14:paraId="79FB21C6" w14:textId="77777777" w:rsidR="00D352F2" w:rsidRDefault="00D352F2" w:rsidP="00D352F2"/>
    <w:p w14:paraId="1AF6E3FB" w14:textId="7362D16D" w:rsidR="00D352F2" w:rsidRDefault="00D352F2" w:rsidP="00D352F2">
      <w:r>
        <w:t>Here, we can should a complain about this as soon as possible to an officer of inspector rank or above not connected with the investigation. Given there was also a possible assault/ unreasonable use of force against you, an appropriate healthcare professional should have been called upon.</w:t>
      </w:r>
    </w:p>
    <w:p w14:paraId="4FB6AF8B" w14:textId="0C94CF15" w:rsidR="00D352F2" w:rsidRPr="00314196" w:rsidRDefault="00D352F2" w:rsidP="00314196">
      <w:pPr>
        <w:rPr>
          <w:u w:val="single"/>
        </w:rPr>
      </w:pPr>
    </w:p>
    <w:p w14:paraId="326F24C0" w14:textId="7F4FBD6F" w:rsidR="00D352F2" w:rsidRDefault="00D352F2" w:rsidP="00D352F2">
      <w:r>
        <w:t xml:space="preserve">If PACE found to be breached (by the judge), the relevant evidence may be excluded. Here, the behaviour and treatment of the police could be argued as ‘degrading.’ </w:t>
      </w:r>
      <w:r w:rsidRPr="006554D0">
        <w:t xml:space="preserve">The courts </w:t>
      </w:r>
      <w:proofErr w:type="gramStart"/>
      <w:r w:rsidRPr="006554D0">
        <w:t>will  look</w:t>
      </w:r>
      <w:proofErr w:type="gramEnd"/>
      <w:r w:rsidRPr="006554D0">
        <w:t xml:space="preserve"> at the seriousness of the breach and the effect on fairness.</w:t>
      </w:r>
    </w:p>
    <w:p w14:paraId="02C16C4C" w14:textId="6AF6D60B" w:rsidR="00D352F2" w:rsidRDefault="00D352F2" w:rsidP="00314196">
      <w:pPr>
        <w:rPr>
          <w:bCs/>
        </w:rPr>
      </w:pPr>
    </w:p>
    <w:p w14:paraId="0F503621" w14:textId="6629856A" w:rsidR="00D352F2" w:rsidRPr="00314196" w:rsidRDefault="00D352F2" w:rsidP="00314196">
      <w:pPr>
        <w:rPr>
          <w:b/>
        </w:rPr>
      </w:pPr>
      <w:r w:rsidRPr="00314196">
        <w:rPr>
          <w:b/>
        </w:rPr>
        <w:t>What will happen next?</w:t>
      </w:r>
    </w:p>
    <w:p w14:paraId="39CBEE41" w14:textId="776A91AF" w:rsidR="00D352F2" w:rsidRDefault="00D352F2" w:rsidP="00D352F2">
      <w:pPr>
        <w:rPr>
          <w:bCs/>
        </w:rPr>
      </w:pPr>
    </w:p>
    <w:p w14:paraId="4E63DF6F" w14:textId="715D0807" w:rsidR="00D352F2" w:rsidRDefault="00D352F2" w:rsidP="00D352F2">
      <w:r>
        <w:rPr>
          <w:bCs/>
        </w:rPr>
        <w:t xml:space="preserve">Your next court hearing will be your plea before venue. Here, the charge is read to you and you must indicate a plea of guilty or not guilty. Should you argue self-defence, then you would plead not guilty. Then, you may opt for a Crown Court trial or the Magistrates’ may accept jurisdiction </w:t>
      </w:r>
      <w:r>
        <w:t xml:space="preserve">(because ABH is triable either way) or they will send case to </w:t>
      </w:r>
      <w:r w:rsidR="00EB0FBC">
        <w:t>Crown Court</w:t>
      </w:r>
      <w:r>
        <w:t xml:space="preserve"> for trial.</w:t>
      </w:r>
    </w:p>
    <w:p w14:paraId="22C31A19" w14:textId="3D363A8B" w:rsidR="00EB0FBC" w:rsidRDefault="00EB0FBC" w:rsidP="00D352F2"/>
    <w:p w14:paraId="101B208D" w14:textId="77777777" w:rsidR="00EB0FBC" w:rsidRDefault="00EB0FBC" w:rsidP="00EB0FBC">
      <w:r>
        <w:t xml:space="preserve">However, should you plead guilty, you will be sentenced shortly after. ABH can result in 5 years’ imprisonment. But bearing in Sentencing Council Guidelines: </w:t>
      </w:r>
    </w:p>
    <w:p w14:paraId="6470C115" w14:textId="12DF8B2C" w:rsidR="00EB0FBC" w:rsidRDefault="00EB0FBC" w:rsidP="00D352F2">
      <w:pPr>
        <w:rPr>
          <w:bCs/>
        </w:rPr>
      </w:pPr>
    </w:p>
    <w:p w14:paraId="4A425A61" w14:textId="666C3847" w:rsidR="00EB0FBC" w:rsidRDefault="00EB0FBC" w:rsidP="00EB0FBC">
      <w:pPr>
        <w:pStyle w:val="ListParagraph"/>
        <w:numPr>
          <w:ilvl w:val="0"/>
          <w:numId w:val="8"/>
        </w:numPr>
      </w:pPr>
      <w:r>
        <w:t>You are likely to fall into Category 2: Lesser harm and higher culpability (the wound to the forehead arguably is not too serious, but culpability (blameworthiness) is high.</w:t>
      </w:r>
    </w:p>
    <w:p w14:paraId="6E921D3E" w14:textId="0722A1E9" w:rsidR="00EB0FBC" w:rsidRDefault="00EB0FBC" w:rsidP="00EB0FBC">
      <w:pPr>
        <w:pStyle w:val="ListParagraph"/>
        <w:numPr>
          <w:ilvl w:val="0"/>
          <w:numId w:val="8"/>
        </w:numPr>
      </w:pPr>
      <w:r w:rsidRPr="00B31139">
        <w:t>Category 2</w:t>
      </w:r>
      <w:r>
        <w:t xml:space="preserve"> ranges from </w:t>
      </w:r>
      <w:r w:rsidRPr="00B31139">
        <w:t>26 weeks’ custody</w:t>
      </w:r>
      <w:r>
        <w:t xml:space="preserve"> to </w:t>
      </w:r>
      <w:r w:rsidRPr="00B31139">
        <w:t>Low level community order – 51 weeks’ custody</w:t>
      </w:r>
      <w:r>
        <w:t xml:space="preserve"> for ABH. </w:t>
      </w:r>
    </w:p>
    <w:p w14:paraId="7678C3D7" w14:textId="0836147C" w:rsidR="00EB0FBC" w:rsidRDefault="00EB0FBC" w:rsidP="00EB0FBC">
      <w:pPr>
        <w:pStyle w:val="ListParagraph"/>
        <w:numPr>
          <w:ilvl w:val="0"/>
          <w:numId w:val="8"/>
        </w:numPr>
      </w:pPr>
      <w:r>
        <w:t xml:space="preserve">There are a lack of factors increasing the seriousness in your case: you have no previous/relevant convictions (therefore you are of good character) and the offence was not committed on bail or on an emergency worker. </w:t>
      </w:r>
    </w:p>
    <w:p w14:paraId="68876B2A" w14:textId="410F1B0B" w:rsidR="00314196" w:rsidRDefault="00EB0FBC" w:rsidP="003A4630">
      <w:pPr>
        <w:pStyle w:val="ListParagraph"/>
        <w:numPr>
          <w:ilvl w:val="0"/>
          <w:numId w:val="8"/>
        </w:numPr>
      </w:pPr>
      <w:r w:rsidRPr="00B31139">
        <w:t>Factors reducing seriousness or reflecting personal mitigation</w:t>
      </w:r>
      <w:r>
        <w:t xml:space="preserve">: This was a single blow, you are of good character and/or exemplary conduct, and you are only a </w:t>
      </w:r>
      <w:proofErr w:type="gramStart"/>
      <w:r>
        <w:t>24 year old</w:t>
      </w:r>
      <w:proofErr w:type="gramEnd"/>
      <w:r>
        <w:t xml:space="preserve"> law student.</w:t>
      </w:r>
    </w:p>
    <w:p w14:paraId="79578D01" w14:textId="7B8D4218" w:rsidR="00EB0FBC" w:rsidRDefault="00EB0FBC" w:rsidP="00EB0FBC">
      <w:r>
        <w:t>Should you plead guilty, there will also be a reduction for a guilty plea</w:t>
      </w:r>
      <w:r>
        <w:rPr>
          <w:rStyle w:val="FootnoteReference"/>
        </w:rPr>
        <w:footnoteReference w:id="13"/>
      </w:r>
      <w:r>
        <w:t xml:space="preserve"> (on a sliding scale):</w:t>
      </w:r>
      <w:r>
        <w:rPr>
          <w:rStyle w:val="FootnoteReference"/>
        </w:rPr>
        <w:footnoteReference w:id="14"/>
      </w:r>
    </w:p>
    <w:p w14:paraId="752D8F66" w14:textId="77777777" w:rsidR="00B96628" w:rsidRDefault="00B96628" w:rsidP="00EB0FBC"/>
    <w:p w14:paraId="3ECC528C" w14:textId="7BF3228C" w:rsidR="008C552C" w:rsidRPr="0060262C" w:rsidRDefault="008C552C" w:rsidP="00314196">
      <w:pPr>
        <w:rPr>
          <w:bCs/>
          <w:color w:val="FF0000"/>
        </w:rPr>
      </w:pPr>
    </w:p>
    <w:sectPr w:rsidR="008C552C" w:rsidRPr="0060262C">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D1034" w16cex:dateUtc="2021-03-05T20:1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B41FC" w14:textId="77777777" w:rsidR="00256B2F" w:rsidRDefault="00256B2F" w:rsidP="00CE2B5D">
      <w:r>
        <w:separator/>
      </w:r>
    </w:p>
  </w:endnote>
  <w:endnote w:type="continuationSeparator" w:id="0">
    <w:p w14:paraId="5F3248A3" w14:textId="77777777" w:rsidR="00256B2F" w:rsidRDefault="00256B2F" w:rsidP="00CE2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C9C6A" w14:textId="77777777" w:rsidR="00256B2F" w:rsidRDefault="00256B2F" w:rsidP="00CE2B5D">
      <w:r>
        <w:separator/>
      </w:r>
    </w:p>
  </w:footnote>
  <w:footnote w:type="continuationSeparator" w:id="0">
    <w:p w14:paraId="06B3F740" w14:textId="77777777" w:rsidR="00256B2F" w:rsidRDefault="00256B2F" w:rsidP="00CE2B5D">
      <w:r>
        <w:continuationSeparator/>
      </w:r>
    </w:p>
  </w:footnote>
  <w:footnote w:id="1">
    <w:p w14:paraId="396211F8" w14:textId="44ABD73A" w:rsidR="00CE2B5D" w:rsidRDefault="00CE2B5D">
      <w:pPr>
        <w:pStyle w:val="FootnoteText"/>
      </w:pPr>
      <w:r>
        <w:rPr>
          <w:rStyle w:val="FootnoteReference"/>
        </w:rPr>
        <w:footnoteRef/>
      </w:r>
      <w:r>
        <w:t xml:space="preserve"> Crim PR, Part 8- as D is on bail.</w:t>
      </w:r>
    </w:p>
  </w:footnote>
  <w:footnote w:id="2">
    <w:p w14:paraId="6A709218" w14:textId="0D72C649" w:rsidR="00894721" w:rsidRDefault="00894721">
      <w:pPr>
        <w:pStyle w:val="FootnoteText"/>
      </w:pPr>
      <w:r>
        <w:rPr>
          <w:rStyle w:val="FootnoteReference"/>
        </w:rPr>
        <w:footnoteRef/>
      </w:r>
      <w:r>
        <w:t xml:space="preserve"> </w:t>
      </w:r>
      <w:r w:rsidRPr="00894721">
        <w:t>Disclosure stages - Pre-Trial - Enforcement Guide (England &amp; Wales) (hse.gov.uk)</w:t>
      </w:r>
      <w:r>
        <w:t xml:space="preserve"> </w:t>
      </w:r>
    </w:p>
  </w:footnote>
  <w:footnote w:id="3">
    <w:p w14:paraId="3F2C3091" w14:textId="31ECD0FB" w:rsidR="00894721" w:rsidRPr="00314196" w:rsidRDefault="00894721">
      <w:pPr>
        <w:pStyle w:val="FootnoteText"/>
        <w:rPr>
          <w:b/>
          <w:bCs/>
        </w:rPr>
      </w:pPr>
      <w:r w:rsidRPr="00314196">
        <w:rPr>
          <w:rStyle w:val="FootnoteReference"/>
          <w:b/>
          <w:bCs/>
        </w:rPr>
        <w:footnoteRef/>
      </w:r>
      <w:r w:rsidRPr="00314196">
        <w:rPr>
          <w:b/>
          <w:bCs/>
        </w:rPr>
        <w:t xml:space="preserve"> </w:t>
      </w:r>
      <w:proofErr w:type="spellStart"/>
      <w:r w:rsidRPr="00314196">
        <w:rPr>
          <w:i/>
          <w:iCs/>
        </w:rPr>
        <w:t>Woolmington</w:t>
      </w:r>
      <w:proofErr w:type="spellEnd"/>
      <w:r w:rsidRPr="00314196">
        <w:rPr>
          <w:i/>
          <w:iCs/>
        </w:rPr>
        <w:t xml:space="preserve"> v DPP </w:t>
      </w:r>
      <w:r w:rsidRPr="00314196">
        <w:t>[1935] AC 462</w:t>
      </w:r>
    </w:p>
  </w:footnote>
  <w:footnote w:id="4">
    <w:p w14:paraId="7C377371" w14:textId="15F5F985" w:rsidR="00745E78" w:rsidRDefault="00745E78">
      <w:pPr>
        <w:pStyle w:val="FootnoteText"/>
      </w:pPr>
      <w:r>
        <w:rPr>
          <w:rStyle w:val="FootnoteReference"/>
        </w:rPr>
        <w:footnoteRef/>
      </w:r>
      <w:r>
        <w:t xml:space="preserve"> </w:t>
      </w:r>
      <w:r>
        <w:rPr>
          <w:bCs/>
        </w:rPr>
        <w:t>Miller (1954)</w:t>
      </w:r>
    </w:p>
  </w:footnote>
  <w:footnote w:id="5">
    <w:p w14:paraId="0E044A31" w14:textId="3681961C" w:rsidR="00745E78" w:rsidRDefault="00745E78">
      <w:pPr>
        <w:pStyle w:val="FootnoteText"/>
      </w:pPr>
      <w:r>
        <w:rPr>
          <w:rStyle w:val="FootnoteReference"/>
        </w:rPr>
        <w:footnoteRef/>
      </w:r>
      <w:r>
        <w:t xml:space="preserve"> R </w:t>
      </w:r>
    </w:p>
  </w:footnote>
  <w:footnote w:id="6">
    <w:p w14:paraId="3CA4DC2F" w14:textId="4CB3AE89" w:rsidR="00854D65" w:rsidRDefault="00854D65">
      <w:pPr>
        <w:pStyle w:val="FootnoteText"/>
      </w:pPr>
    </w:p>
  </w:footnote>
  <w:footnote w:id="7">
    <w:p w14:paraId="7DA728B7" w14:textId="3E58DAD1" w:rsidR="0060262C" w:rsidRDefault="0060262C">
      <w:pPr>
        <w:pStyle w:val="FootnoteText"/>
      </w:pPr>
    </w:p>
  </w:footnote>
  <w:footnote w:id="8">
    <w:p w14:paraId="2A89408C" w14:textId="16659864" w:rsidR="0060262C" w:rsidRDefault="0060262C">
      <w:pPr>
        <w:pStyle w:val="FootnoteText"/>
      </w:pPr>
    </w:p>
  </w:footnote>
  <w:footnote w:id="9">
    <w:p w14:paraId="343A220A" w14:textId="1D3F09BF" w:rsidR="00CD34FF" w:rsidRDefault="00CD34FF">
      <w:pPr>
        <w:pStyle w:val="FootnoteText"/>
      </w:pPr>
    </w:p>
  </w:footnote>
  <w:footnote w:id="10">
    <w:p w14:paraId="311B2056" w14:textId="082756F9" w:rsidR="00CD34FF" w:rsidRDefault="00CD34FF">
      <w:pPr>
        <w:pStyle w:val="FootnoteText"/>
      </w:pPr>
    </w:p>
  </w:footnote>
  <w:footnote w:id="11">
    <w:p w14:paraId="0D4CB674" w14:textId="05A17848" w:rsidR="00D352F2" w:rsidRDefault="00D352F2" w:rsidP="00D352F2">
      <w:pPr>
        <w:pStyle w:val="FootnoteText"/>
      </w:pPr>
    </w:p>
  </w:footnote>
  <w:footnote w:id="12">
    <w:p w14:paraId="542AB04D" w14:textId="694E0987" w:rsidR="00D352F2" w:rsidRDefault="00D352F2">
      <w:pPr>
        <w:pStyle w:val="FootnoteText"/>
      </w:pPr>
    </w:p>
  </w:footnote>
  <w:footnote w:id="13">
    <w:p w14:paraId="29C2CB29" w14:textId="25B4A4F7" w:rsidR="00EB0FBC" w:rsidRDefault="00EB0FBC">
      <w:pPr>
        <w:pStyle w:val="FootnoteText"/>
      </w:pPr>
    </w:p>
  </w:footnote>
  <w:footnote w:id="14">
    <w:p w14:paraId="46B18602" w14:textId="77777777" w:rsidR="00B96628" w:rsidRDefault="00B96628" w:rsidP="00EB0FBC">
      <w:pPr>
        <w:ind w:left="720"/>
      </w:pPr>
    </w:p>
    <w:p w14:paraId="6C0065D0" w14:textId="77777777" w:rsidR="00B96628" w:rsidRDefault="00B96628" w:rsidP="00EB0FBC">
      <w:pPr>
        <w:ind w:left="720"/>
      </w:pPr>
    </w:p>
    <w:p w14:paraId="796FA8D8" w14:textId="1AACA363" w:rsidR="00B96628" w:rsidRDefault="00B96628" w:rsidP="00EB0FBC">
      <w:pPr>
        <w:ind w:left="720"/>
      </w:pPr>
    </w:p>
    <w:p w14:paraId="42765BDA" w14:textId="77777777" w:rsidR="00B96628" w:rsidRPr="00B96628" w:rsidRDefault="00B96628" w:rsidP="00B96628">
      <w:pPr>
        <w:ind w:left="720"/>
      </w:pPr>
      <w:r w:rsidRPr="00B96628">
        <w:t xml:space="preserve">Should you require any further information, please do not hesitate to contact me </w:t>
      </w:r>
    </w:p>
    <w:p w14:paraId="51AE9109" w14:textId="77777777" w:rsidR="00B96628" w:rsidRPr="00B96628" w:rsidRDefault="00B96628" w:rsidP="00B96628">
      <w:pPr>
        <w:ind w:left="720"/>
      </w:pPr>
    </w:p>
    <w:p w14:paraId="30FEF41E" w14:textId="47D52914" w:rsidR="00B96628" w:rsidRDefault="00B96628" w:rsidP="00B96628">
      <w:pPr>
        <w:ind w:left="720"/>
      </w:pPr>
      <w:r w:rsidRPr="00B96628">
        <w:t>Yours sincerely</w:t>
      </w:r>
    </w:p>
    <w:p w14:paraId="5795C6F2" w14:textId="27FE1439" w:rsidR="00B96628" w:rsidRDefault="00B96628" w:rsidP="00B96628">
      <w:pPr>
        <w:ind w:left="720"/>
      </w:pPr>
    </w:p>
    <w:p w14:paraId="595A8E2C" w14:textId="020D020F" w:rsidR="00B96628" w:rsidRDefault="00B96628" w:rsidP="00B96628">
      <w:pPr>
        <w:ind w:left="720"/>
      </w:pPr>
    </w:p>
    <w:p w14:paraId="4814A548" w14:textId="5B159EF6" w:rsidR="00B96628" w:rsidRDefault="00B96628" w:rsidP="00B96628">
      <w:pPr>
        <w:ind w:left="720"/>
      </w:pPr>
    </w:p>
    <w:p w14:paraId="6780321C" w14:textId="3C0F47D8" w:rsidR="00B96628" w:rsidRDefault="00B96628" w:rsidP="00B96628">
      <w:pPr>
        <w:ind w:left="720"/>
      </w:pPr>
    </w:p>
    <w:p w14:paraId="314403FC" w14:textId="19599E36" w:rsidR="00B96628" w:rsidRDefault="00B96628" w:rsidP="00B96628">
      <w:pPr>
        <w:ind w:left="720"/>
      </w:pPr>
    </w:p>
    <w:p w14:paraId="1E1731EB" w14:textId="7AE2D5F7" w:rsidR="00B96628" w:rsidRDefault="00B96628" w:rsidP="00B96628">
      <w:pPr>
        <w:ind w:left="720"/>
      </w:pPr>
    </w:p>
    <w:p w14:paraId="6B375D83" w14:textId="2A18EC50" w:rsidR="00B96628" w:rsidRPr="00B96628" w:rsidRDefault="00B96628" w:rsidP="00B96628">
      <w:pPr>
        <w:ind w:left="720"/>
      </w:pPr>
      <w:r>
        <w:t>Tarig Sanousi</w:t>
      </w:r>
    </w:p>
    <w:p w14:paraId="569642D0" w14:textId="77777777" w:rsidR="00B96628" w:rsidRDefault="00B96628" w:rsidP="00EB0FBC">
      <w:pPr>
        <w:ind w:left="720"/>
      </w:pPr>
    </w:p>
    <w:p w14:paraId="2E23E638" w14:textId="77777777" w:rsidR="00B96628" w:rsidRDefault="00B96628" w:rsidP="00EB0FBC">
      <w:pPr>
        <w:ind w:left="720"/>
      </w:pPr>
    </w:p>
    <w:p w14:paraId="693D0F73" w14:textId="77777777" w:rsidR="00B96628" w:rsidRDefault="00B96628" w:rsidP="00EB0FBC">
      <w:pPr>
        <w:ind w:left="720"/>
      </w:pPr>
    </w:p>
    <w:p w14:paraId="54A96ABF" w14:textId="77777777" w:rsidR="00B96628" w:rsidRDefault="00B96628" w:rsidP="00EB0FBC">
      <w:pPr>
        <w:ind w:left="720"/>
      </w:pPr>
    </w:p>
    <w:p w14:paraId="460BF318" w14:textId="77777777" w:rsidR="00B96628" w:rsidRDefault="00B96628" w:rsidP="00EB0FBC">
      <w:pPr>
        <w:ind w:left="720"/>
      </w:pPr>
    </w:p>
    <w:p w14:paraId="7D1BCACA" w14:textId="77777777" w:rsidR="00B96628" w:rsidRDefault="00B96628" w:rsidP="00EB0FBC">
      <w:pPr>
        <w:ind w:left="720"/>
      </w:pPr>
    </w:p>
    <w:p w14:paraId="58FC0F09" w14:textId="77777777" w:rsidR="00B96628" w:rsidRDefault="00B96628" w:rsidP="00EB0FBC">
      <w:pPr>
        <w:ind w:left="720"/>
      </w:pPr>
    </w:p>
    <w:p w14:paraId="3067761D" w14:textId="77777777" w:rsidR="00B96628" w:rsidRDefault="00B96628" w:rsidP="00EB0FBC">
      <w:pPr>
        <w:ind w:left="720"/>
      </w:pPr>
    </w:p>
    <w:p w14:paraId="68710374" w14:textId="77777777" w:rsidR="00B96628" w:rsidRDefault="00B96628" w:rsidP="00EB0FBC">
      <w:pPr>
        <w:ind w:left="720"/>
      </w:pPr>
    </w:p>
    <w:p w14:paraId="22B0AD04" w14:textId="77777777" w:rsidR="00B96628" w:rsidRDefault="00B96628" w:rsidP="00EB0FBC">
      <w:pPr>
        <w:ind w:left="720"/>
      </w:pPr>
    </w:p>
    <w:p w14:paraId="2B08273E" w14:textId="77777777" w:rsidR="00B96628" w:rsidRDefault="00B96628" w:rsidP="00EB0FBC">
      <w:pPr>
        <w:ind w:left="720"/>
      </w:pPr>
    </w:p>
    <w:p w14:paraId="1FE69488" w14:textId="77777777" w:rsidR="00B96628" w:rsidRDefault="00B96628" w:rsidP="00EB0FBC">
      <w:pPr>
        <w:ind w:left="720"/>
      </w:pPr>
    </w:p>
    <w:p w14:paraId="161C7DE0" w14:textId="77777777" w:rsidR="00B96628" w:rsidRDefault="00B96628" w:rsidP="00EB0FBC">
      <w:pPr>
        <w:ind w:left="720"/>
      </w:pPr>
    </w:p>
    <w:p w14:paraId="01CF4975" w14:textId="77777777" w:rsidR="00B96628" w:rsidRDefault="00B96628" w:rsidP="00EB0FBC">
      <w:pPr>
        <w:ind w:left="720"/>
      </w:pPr>
    </w:p>
    <w:p w14:paraId="5BB80453" w14:textId="77777777" w:rsidR="00B96628" w:rsidRDefault="00B96628" w:rsidP="00EB0FBC">
      <w:pPr>
        <w:ind w:left="720"/>
      </w:pPr>
    </w:p>
    <w:p w14:paraId="11113322" w14:textId="77777777" w:rsidR="00B96628" w:rsidRDefault="00B96628" w:rsidP="00EB0FBC">
      <w:pPr>
        <w:ind w:left="720"/>
      </w:pPr>
    </w:p>
    <w:p w14:paraId="39FECB6C" w14:textId="77777777" w:rsidR="00B96628" w:rsidRDefault="00B96628" w:rsidP="00EB0FBC">
      <w:pPr>
        <w:ind w:left="720"/>
      </w:pPr>
    </w:p>
    <w:p w14:paraId="5D5178E9" w14:textId="77777777" w:rsidR="00B96628" w:rsidRDefault="00B96628" w:rsidP="00EB0FBC">
      <w:pPr>
        <w:ind w:left="720"/>
      </w:pPr>
    </w:p>
    <w:p w14:paraId="069681E9" w14:textId="77777777" w:rsidR="00B96628" w:rsidRDefault="00B96628" w:rsidP="00EB0FBC">
      <w:pPr>
        <w:ind w:left="720"/>
      </w:pPr>
    </w:p>
    <w:p w14:paraId="155CA462" w14:textId="77777777" w:rsidR="00B96628" w:rsidRDefault="00B96628" w:rsidP="00EB0FBC">
      <w:pPr>
        <w:ind w:left="720"/>
      </w:pPr>
    </w:p>
    <w:p w14:paraId="2997E5AB" w14:textId="7D821302" w:rsidR="00EB0FBC" w:rsidRDefault="00EB0FBC">
      <w:pPr>
        <w:pStyle w:val="FootnoteText"/>
      </w:pPr>
    </w:p>
    <w:p w14:paraId="0220277F" w14:textId="6FE31F7B" w:rsidR="0014157E" w:rsidRDefault="0014157E">
      <w:pPr>
        <w:pStyle w:val="FootnoteText"/>
      </w:pPr>
    </w:p>
    <w:p w14:paraId="773BB362" w14:textId="485DA0A0" w:rsidR="00B96628" w:rsidRDefault="00B96628">
      <w:pPr>
        <w:pStyle w:val="FootnoteText"/>
      </w:pPr>
    </w:p>
    <w:p w14:paraId="4AE7F4DD" w14:textId="3FA99ADA" w:rsidR="00B96628" w:rsidRDefault="00B96628">
      <w:pPr>
        <w:pStyle w:val="FootnoteText"/>
      </w:pPr>
    </w:p>
    <w:p w14:paraId="68A66B7E" w14:textId="5376B9DB" w:rsidR="00B96628" w:rsidRDefault="00B96628">
      <w:pPr>
        <w:pStyle w:val="FootnoteText"/>
      </w:pPr>
    </w:p>
    <w:p w14:paraId="0CC4F4C8" w14:textId="7AEF578C" w:rsidR="00B96628" w:rsidRDefault="00B96628">
      <w:pPr>
        <w:pStyle w:val="FootnoteText"/>
      </w:pPr>
    </w:p>
    <w:p w14:paraId="4AFE8D38" w14:textId="227C84D2" w:rsidR="00B96628" w:rsidRDefault="00B96628">
      <w:pPr>
        <w:pStyle w:val="FootnoteText"/>
      </w:pPr>
    </w:p>
    <w:p w14:paraId="1E004036" w14:textId="0AAC1BE1" w:rsidR="00B96628" w:rsidRDefault="00B96628">
      <w:pPr>
        <w:pStyle w:val="FootnoteText"/>
      </w:pPr>
    </w:p>
    <w:p w14:paraId="07B64C6D" w14:textId="779EA239" w:rsidR="00B96628" w:rsidRDefault="00B96628">
      <w:pPr>
        <w:pStyle w:val="FootnoteText"/>
      </w:pPr>
    </w:p>
    <w:p w14:paraId="1BC2607E" w14:textId="0AFC77F3" w:rsidR="00B96628" w:rsidRDefault="00B96628">
      <w:pPr>
        <w:pStyle w:val="FootnoteText"/>
      </w:pPr>
    </w:p>
    <w:p w14:paraId="12926545" w14:textId="1543C031" w:rsidR="00B96628" w:rsidRDefault="00B96628">
      <w:pPr>
        <w:pStyle w:val="FootnoteText"/>
      </w:pPr>
    </w:p>
    <w:p w14:paraId="6330CD26" w14:textId="623B113B" w:rsidR="00B96628" w:rsidRDefault="00B96628">
      <w:pPr>
        <w:pStyle w:val="FootnoteText"/>
      </w:pPr>
    </w:p>
    <w:p w14:paraId="0F10E9E4" w14:textId="16E9810F" w:rsidR="00B96628" w:rsidRDefault="00B96628">
      <w:pPr>
        <w:pStyle w:val="FootnoteText"/>
      </w:pPr>
    </w:p>
    <w:p w14:paraId="1708DCE4" w14:textId="4A0ED265" w:rsidR="00B96628" w:rsidRDefault="00B96628">
      <w:pPr>
        <w:pStyle w:val="FootnoteText"/>
      </w:pPr>
    </w:p>
    <w:p w14:paraId="35AA560B" w14:textId="62B3A64E" w:rsidR="00B96628" w:rsidRDefault="00B96628">
      <w:pPr>
        <w:pStyle w:val="FootnoteText"/>
      </w:pPr>
    </w:p>
    <w:p w14:paraId="20FFF506" w14:textId="1667B63B" w:rsidR="00B96628" w:rsidRDefault="00B96628">
      <w:pPr>
        <w:pStyle w:val="FootnoteText"/>
      </w:pPr>
    </w:p>
    <w:p w14:paraId="23C6C11D" w14:textId="1AEB3A8C" w:rsidR="00B96628" w:rsidRDefault="00B96628">
      <w:pPr>
        <w:pStyle w:val="FootnoteText"/>
      </w:pPr>
    </w:p>
    <w:p w14:paraId="4D31CB80" w14:textId="0A58C1A6" w:rsidR="00B96628" w:rsidRDefault="00B96628">
      <w:pPr>
        <w:pStyle w:val="FootnoteText"/>
      </w:pPr>
    </w:p>
    <w:p w14:paraId="0A09B01C" w14:textId="30B5DB7E" w:rsidR="00B96628" w:rsidRDefault="00B96628">
      <w:pPr>
        <w:pStyle w:val="FootnoteText"/>
      </w:pPr>
    </w:p>
    <w:p w14:paraId="1537F8D7" w14:textId="77D6B08E"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inherit" w:eastAsia="Times New Roman" w:hAnsi="inherit" w:cs="Segoe UI"/>
          <w:color w:val="201F1E"/>
          <w:sz w:val="32"/>
          <w:szCs w:val="32"/>
          <w:u w:val="single"/>
          <w:bdr w:val="none" w:sz="0" w:space="0" w:color="auto" w:frame="1"/>
          <w:lang w:eastAsia="en-GB"/>
        </w:rPr>
        <w:t>Reference</w:t>
      </w:r>
      <w:r>
        <w:rPr>
          <w:rFonts w:ascii="inherit" w:eastAsia="Times New Roman" w:hAnsi="inherit" w:cs="Segoe UI"/>
          <w:color w:val="201F1E"/>
          <w:sz w:val="32"/>
          <w:szCs w:val="32"/>
          <w:u w:val="single"/>
          <w:bdr w:val="none" w:sz="0" w:space="0" w:color="auto" w:frame="1"/>
          <w:lang w:eastAsia="en-GB"/>
        </w:rPr>
        <w:t>s</w:t>
      </w:r>
    </w:p>
    <w:p w14:paraId="1F51FEDD"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 xml:space="preserve">d e C o C CODE C Revised Code of Practice for the detention, treatment and questioning of persons by Police </w:t>
      </w:r>
      <w:proofErr w:type="spellStart"/>
      <w:r w:rsidRPr="0014157E">
        <w:rPr>
          <w:rFonts w:ascii="Calibri" w:eastAsia="Times New Roman" w:hAnsi="Calibri" w:cs="Calibri"/>
          <w:color w:val="000000"/>
          <w:sz w:val="27"/>
          <w:szCs w:val="27"/>
          <w:bdr w:val="none" w:sz="0" w:space="0" w:color="auto" w:frame="1"/>
          <w:lang w:eastAsia="en-GB"/>
        </w:rPr>
        <w:t>Offcers</w:t>
      </w:r>
      <w:proofErr w:type="spellEnd"/>
      <w:r w:rsidRPr="0014157E">
        <w:rPr>
          <w:rFonts w:ascii="Calibri" w:eastAsia="Times New Roman" w:hAnsi="Calibri" w:cs="Calibri"/>
          <w:color w:val="000000"/>
          <w:sz w:val="27"/>
          <w:szCs w:val="27"/>
          <w:bdr w:val="none" w:sz="0" w:space="0" w:color="auto" w:frame="1"/>
          <w:lang w:eastAsia="en-GB"/>
        </w:rPr>
        <w:t>. (n.d.). [online</w:t>
      </w:r>
      <w:proofErr w:type="gramStart"/>
      <w:r w:rsidRPr="0014157E">
        <w:rPr>
          <w:rFonts w:ascii="Calibri" w:eastAsia="Times New Roman" w:hAnsi="Calibri" w:cs="Calibri"/>
          <w:color w:val="000000"/>
          <w:sz w:val="27"/>
          <w:szCs w:val="27"/>
          <w:bdr w:val="none" w:sz="0" w:space="0" w:color="auto" w:frame="1"/>
          <w:lang w:eastAsia="en-GB"/>
        </w:rPr>
        <w:t>] .</w:t>
      </w:r>
      <w:proofErr w:type="gramEnd"/>
      <w:r w:rsidRPr="0014157E">
        <w:rPr>
          <w:rFonts w:ascii="Calibri" w:eastAsia="Times New Roman" w:hAnsi="Calibri" w:cs="Calibri"/>
          <w:color w:val="000000"/>
          <w:sz w:val="27"/>
          <w:szCs w:val="27"/>
          <w:bdr w:val="none" w:sz="0" w:space="0" w:color="auto" w:frame="1"/>
          <w:lang w:eastAsia="en-GB"/>
        </w:rPr>
        <w:t xml:space="preserve"> Available at: </w:t>
      </w:r>
      <w:hyperlink r:id="rId1" w:tgtFrame="_blank" w:history="1">
        <w:r w:rsidRPr="0014157E">
          <w:rPr>
            <w:rFonts w:ascii="Calibri" w:eastAsia="Times New Roman" w:hAnsi="Calibri" w:cs="Calibri"/>
            <w:color w:val="0000FF"/>
            <w:sz w:val="27"/>
            <w:szCs w:val="27"/>
            <w:u w:val="single"/>
            <w:bdr w:val="none" w:sz="0" w:space="0" w:color="auto" w:frame="1"/>
            <w:lang w:eastAsia="en-GB"/>
          </w:rPr>
          <w:t>https://assets.publishing.service.gov.uk/government/uploads/system/uploads/attachment_data/file/903473/pace-code-c-2019.pdf</w:t>
        </w:r>
      </w:hyperlink>
      <w:r w:rsidRPr="0014157E">
        <w:rPr>
          <w:rFonts w:ascii="Calibri" w:eastAsia="Times New Roman" w:hAnsi="Calibri" w:cs="Calibri"/>
          <w:color w:val="000000"/>
          <w:sz w:val="27"/>
          <w:szCs w:val="27"/>
          <w:bdr w:val="none" w:sz="0" w:space="0" w:color="auto" w:frame="1"/>
          <w:lang w:eastAsia="en-GB"/>
        </w:rPr>
        <w:t>.</w:t>
      </w:r>
    </w:p>
    <w:p w14:paraId="27AB24F3" w14:textId="77777777" w:rsidR="0014157E" w:rsidRPr="0014157E" w:rsidRDefault="0014157E" w:rsidP="0014157E">
      <w:pPr>
        <w:shd w:val="clear" w:color="auto" w:fill="FFFFFF"/>
        <w:textAlignment w:val="baseline"/>
        <w:rPr>
          <w:rFonts w:ascii="Calibri" w:eastAsia="Times New Roman" w:hAnsi="Calibri" w:cs="Calibri"/>
          <w:color w:val="201F1E"/>
          <w:sz w:val="22"/>
          <w:szCs w:val="22"/>
          <w:lang w:eastAsia="en-GB"/>
        </w:rPr>
      </w:pPr>
      <w:r w:rsidRPr="0014157E">
        <w:rPr>
          <w:rFonts w:ascii="inherit" w:eastAsia="Times New Roman" w:hAnsi="inherit" w:cs="Calibri"/>
          <w:color w:val="201F1E"/>
          <w:sz w:val="32"/>
          <w:szCs w:val="32"/>
          <w:bdr w:val="none" w:sz="0" w:space="0" w:color="auto" w:frame="1"/>
          <w:lang w:eastAsia="en-GB"/>
        </w:rPr>
        <w:t> </w:t>
      </w:r>
    </w:p>
    <w:p w14:paraId="6BB54EBF" w14:textId="77777777" w:rsidR="0014157E" w:rsidRPr="0014157E" w:rsidRDefault="0014157E" w:rsidP="0014157E">
      <w:pPr>
        <w:shd w:val="clear" w:color="auto" w:fill="FFFFFF"/>
        <w:spacing w:beforeAutospacing="1" w:afterAutospacing="1"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E-lawresources.co.uk. (2019). </w:t>
      </w:r>
      <w:r w:rsidRPr="0014157E">
        <w:rPr>
          <w:rFonts w:ascii="Calibri" w:eastAsia="Times New Roman" w:hAnsi="Calibri" w:cs="Calibri"/>
          <w:i/>
          <w:iCs/>
          <w:color w:val="000000"/>
          <w:sz w:val="27"/>
          <w:szCs w:val="27"/>
          <w:bdr w:val="none" w:sz="0" w:space="0" w:color="auto" w:frame="1"/>
          <w:lang w:eastAsia="en-GB"/>
        </w:rPr>
        <w:t>R v Miller [1954]</w:t>
      </w:r>
      <w:r w:rsidRPr="0014157E">
        <w:rPr>
          <w:rFonts w:ascii="Calibri" w:eastAsia="Times New Roman" w:hAnsi="Calibri" w:cs="Calibri"/>
          <w:color w:val="000000"/>
          <w:sz w:val="27"/>
          <w:szCs w:val="27"/>
          <w:bdr w:val="none" w:sz="0" w:space="0" w:color="auto" w:frame="1"/>
          <w:lang w:eastAsia="en-GB"/>
        </w:rPr>
        <w:t>. [online] Available at: http://www.e-lawresources.co.uk/R-v                                                 E-lawresources.co.uk. (2019). </w:t>
      </w:r>
      <w:r w:rsidRPr="0014157E">
        <w:rPr>
          <w:rFonts w:ascii="Calibri" w:eastAsia="Times New Roman" w:hAnsi="Calibri" w:cs="Calibri"/>
          <w:i/>
          <w:iCs/>
          <w:color w:val="000000"/>
          <w:sz w:val="27"/>
          <w:szCs w:val="27"/>
          <w:bdr w:val="none" w:sz="0" w:space="0" w:color="auto" w:frame="1"/>
          <w:lang w:eastAsia="en-GB"/>
        </w:rPr>
        <w:t>Palmer (1971)</w:t>
      </w:r>
      <w:r w:rsidRPr="0014157E">
        <w:rPr>
          <w:rFonts w:ascii="Calibri" w:eastAsia="Times New Roman" w:hAnsi="Calibri" w:cs="Calibri"/>
          <w:color w:val="000000"/>
          <w:sz w:val="27"/>
          <w:szCs w:val="27"/>
          <w:bdr w:val="none" w:sz="0" w:space="0" w:color="auto" w:frame="1"/>
          <w:lang w:eastAsia="en-GB"/>
        </w:rPr>
        <w:t>. [online] Available at: </w:t>
      </w:r>
      <w:hyperlink r:id="rId2" w:tgtFrame="_blank" w:history="1">
        <w:r w:rsidRPr="0014157E">
          <w:rPr>
            <w:rFonts w:ascii="Calibri" w:eastAsia="Times New Roman" w:hAnsi="Calibri" w:cs="Calibri"/>
            <w:color w:val="0000FF"/>
            <w:sz w:val="27"/>
            <w:szCs w:val="27"/>
            <w:u w:val="single"/>
            <w:bdr w:val="none" w:sz="0" w:space="0" w:color="auto" w:frame="1"/>
            <w:lang w:eastAsia="en-GB"/>
          </w:rPr>
          <w:t>http://www.e-lawresources.co.uk/Palmer-(1971).php-Miller-%5B1954%5D.php</w:t>
        </w:r>
      </w:hyperlink>
    </w:p>
    <w:p w14:paraId="259AF8BD" w14:textId="77777777" w:rsidR="0014157E" w:rsidRPr="0014157E" w:rsidRDefault="0014157E" w:rsidP="0014157E">
      <w:pPr>
        <w:shd w:val="clear" w:color="auto" w:fill="FFFFFF"/>
        <w:spacing w:beforeAutospacing="1" w:afterAutospacing="1"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Legislation.gov.uk. (2011). </w:t>
      </w:r>
      <w:r w:rsidRPr="0014157E">
        <w:rPr>
          <w:rFonts w:ascii="Calibri" w:eastAsia="Times New Roman" w:hAnsi="Calibri" w:cs="Calibri"/>
          <w:i/>
          <w:iCs/>
          <w:color w:val="000000"/>
          <w:sz w:val="27"/>
          <w:szCs w:val="27"/>
          <w:bdr w:val="none" w:sz="0" w:space="0" w:color="auto" w:frame="1"/>
          <w:lang w:eastAsia="en-GB"/>
        </w:rPr>
        <w:t>Bail Act 1976</w:t>
      </w:r>
      <w:r w:rsidRPr="0014157E">
        <w:rPr>
          <w:rFonts w:ascii="Calibri" w:eastAsia="Times New Roman" w:hAnsi="Calibri" w:cs="Calibri"/>
          <w:color w:val="000000"/>
          <w:sz w:val="27"/>
          <w:szCs w:val="27"/>
          <w:bdr w:val="none" w:sz="0" w:space="0" w:color="auto" w:frame="1"/>
          <w:lang w:eastAsia="en-GB"/>
        </w:rPr>
        <w:t>. [online] Available at: https://www.legislation.gov.uk/ukpga/1976/63/schedule/1/enacted [Accessed 5 Mar. 2021]</w:t>
      </w:r>
    </w:p>
    <w:p w14:paraId="45452E2C" w14:textId="77777777" w:rsidR="0014157E" w:rsidRPr="0014157E" w:rsidRDefault="0014157E" w:rsidP="0014157E">
      <w:pPr>
        <w:shd w:val="clear" w:color="auto" w:fill="FFFFFF"/>
        <w:rPr>
          <w:rFonts w:ascii="Calibri" w:eastAsia="Times New Roman" w:hAnsi="Calibri" w:cs="Calibri"/>
          <w:color w:val="201F1E"/>
          <w:sz w:val="22"/>
          <w:szCs w:val="22"/>
          <w:lang w:eastAsia="en-GB"/>
        </w:rPr>
      </w:pPr>
      <w:r w:rsidRPr="0014157E">
        <w:rPr>
          <w:rFonts w:ascii="inherit" w:eastAsia="Times New Roman" w:hAnsi="inherit" w:cs="Calibri"/>
          <w:color w:val="201F1E"/>
          <w:sz w:val="32"/>
          <w:szCs w:val="32"/>
          <w:bdr w:val="none" w:sz="0" w:space="0" w:color="auto" w:frame="1"/>
          <w:lang w:eastAsia="en-GB"/>
        </w:rPr>
        <w:t> </w:t>
      </w:r>
    </w:p>
    <w:p w14:paraId="0A091AB7"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Legislation.gov.uk. (2009). </w:t>
      </w:r>
      <w:r w:rsidRPr="0014157E">
        <w:rPr>
          <w:rFonts w:ascii="Calibri" w:eastAsia="Times New Roman" w:hAnsi="Calibri" w:cs="Calibri"/>
          <w:i/>
          <w:iCs/>
          <w:color w:val="000000"/>
          <w:sz w:val="27"/>
          <w:szCs w:val="27"/>
          <w:bdr w:val="none" w:sz="0" w:space="0" w:color="auto" w:frame="1"/>
          <w:lang w:eastAsia="en-GB"/>
        </w:rPr>
        <w:t>Criminal Justice and Public Order Act 1994</w:t>
      </w:r>
      <w:r w:rsidRPr="0014157E">
        <w:rPr>
          <w:rFonts w:ascii="Calibri" w:eastAsia="Times New Roman" w:hAnsi="Calibri" w:cs="Calibri"/>
          <w:color w:val="000000"/>
          <w:sz w:val="27"/>
          <w:szCs w:val="27"/>
          <w:bdr w:val="none" w:sz="0" w:space="0" w:color="auto" w:frame="1"/>
          <w:lang w:eastAsia="en-GB"/>
        </w:rPr>
        <w:t>. [online] Available at: </w:t>
      </w:r>
      <w:hyperlink r:id="rId3" w:tgtFrame="_blank" w:history="1">
        <w:r w:rsidRPr="0014157E">
          <w:rPr>
            <w:rFonts w:ascii="Calibri" w:eastAsia="Times New Roman" w:hAnsi="Calibri" w:cs="Calibri"/>
            <w:color w:val="0000FF"/>
            <w:sz w:val="27"/>
            <w:szCs w:val="27"/>
            <w:u w:val="single"/>
            <w:bdr w:val="none" w:sz="0" w:space="0" w:color="auto" w:frame="1"/>
            <w:lang w:eastAsia="en-GB"/>
          </w:rPr>
          <w:t>https://www.legislation.gov.uk/ukpga/1994/33/section/34</w:t>
        </w:r>
      </w:hyperlink>
      <w:r w:rsidRPr="0014157E">
        <w:rPr>
          <w:rFonts w:ascii="Calibri" w:eastAsia="Times New Roman" w:hAnsi="Calibri" w:cs="Calibri"/>
          <w:color w:val="000000"/>
          <w:sz w:val="27"/>
          <w:szCs w:val="27"/>
          <w:bdr w:val="none" w:sz="0" w:space="0" w:color="auto" w:frame="1"/>
          <w:lang w:eastAsia="en-GB"/>
        </w:rPr>
        <w:t>.</w:t>
      </w:r>
    </w:p>
    <w:p w14:paraId="1A5291F5" w14:textId="77777777" w:rsidR="0014157E" w:rsidRPr="0014157E" w:rsidRDefault="0014157E" w:rsidP="0014157E">
      <w:pPr>
        <w:shd w:val="clear" w:color="auto" w:fill="FFFFFF"/>
        <w:rPr>
          <w:rFonts w:ascii="Calibri" w:eastAsia="Times New Roman" w:hAnsi="Calibri" w:cs="Calibri"/>
          <w:color w:val="201F1E"/>
          <w:sz w:val="22"/>
          <w:szCs w:val="22"/>
          <w:lang w:eastAsia="en-GB"/>
        </w:rPr>
      </w:pPr>
      <w:r w:rsidRPr="0014157E">
        <w:rPr>
          <w:rFonts w:ascii="inherit" w:eastAsia="Times New Roman" w:hAnsi="inherit" w:cs="Calibri"/>
          <w:color w:val="201F1E"/>
          <w:sz w:val="28"/>
          <w:szCs w:val="28"/>
          <w:bdr w:val="none" w:sz="0" w:space="0" w:color="auto" w:frame="1"/>
          <w:lang w:eastAsia="en-GB"/>
        </w:rPr>
        <w:t> </w:t>
      </w:r>
      <w:bookmarkStart w:id="0" w:name="_GoBack"/>
      <w:bookmarkEnd w:id="0"/>
    </w:p>
    <w:p w14:paraId="6CB635AC"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Legislation.gov.uk. (2020). </w:t>
      </w:r>
      <w:r w:rsidRPr="0014157E">
        <w:rPr>
          <w:rFonts w:ascii="Calibri" w:eastAsia="Times New Roman" w:hAnsi="Calibri" w:cs="Calibri"/>
          <w:i/>
          <w:iCs/>
          <w:color w:val="000000"/>
          <w:sz w:val="27"/>
          <w:szCs w:val="27"/>
          <w:bdr w:val="none" w:sz="0" w:space="0" w:color="auto" w:frame="1"/>
          <w:lang w:eastAsia="en-GB"/>
        </w:rPr>
        <w:t>The Criminal Procedure Rules 2020</w:t>
      </w:r>
      <w:r w:rsidRPr="0014157E">
        <w:rPr>
          <w:rFonts w:ascii="Calibri" w:eastAsia="Times New Roman" w:hAnsi="Calibri" w:cs="Calibri"/>
          <w:color w:val="000000"/>
          <w:sz w:val="27"/>
          <w:szCs w:val="27"/>
          <w:bdr w:val="none" w:sz="0" w:space="0" w:color="auto" w:frame="1"/>
          <w:lang w:eastAsia="en-GB"/>
        </w:rPr>
        <w:t>. [online] Available at: </w:t>
      </w:r>
      <w:hyperlink r:id="rId4" w:tgtFrame="_blank" w:history="1">
        <w:r w:rsidRPr="0014157E">
          <w:rPr>
            <w:rFonts w:ascii="Calibri" w:eastAsia="Times New Roman" w:hAnsi="Calibri" w:cs="Calibri"/>
            <w:color w:val="0000FF"/>
            <w:sz w:val="27"/>
            <w:szCs w:val="27"/>
            <w:u w:val="single"/>
            <w:bdr w:val="none" w:sz="0" w:space="0" w:color="auto" w:frame="1"/>
            <w:lang w:eastAsia="en-GB"/>
          </w:rPr>
          <w:t>https://www.legislation.gov.uk/uksi/2020/759/contents/made</w:t>
        </w:r>
      </w:hyperlink>
      <w:r w:rsidRPr="0014157E">
        <w:rPr>
          <w:rFonts w:ascii="Calibri" w:eastAsia="Times New Roman" w:hAnsi="Calibri" w:cs="Calibri"/>
          <w:color w:val="000000"/>
          <w:sz w:val="27"/>
          <w:szCs w:val="27"/>
          <w:bdr w:val="none" w:sz="0" w:space="0" w:color="auto" w:frame="1"/>
          <w:lang w:eastAsia="en-GB"/>
        </w:rPr>
        <w:t>.</w:t>
      </w:r>
    </w:p>
    <w:p w14:paraId="2536073D"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Legislation.gov.uk. (2017). </w:t>
      </w:r>
      <w:r w:rsidRPr="0014157E">
        <w:rPr>
          <w:rFonts w:ascii="Calibri" w:eastAsia="Times New Roman" w:hAnsi="Calibri" w:cs="Calibri"/>
          <w:i/>
          <w:iCs/>
          <w:color w:val="000000"/>
          <w:sz w:val="27"/>
          <w:szCs w:val="27"/>
          <w:bdr w:val="none" w:sz="0" w:space="0" w:color="auto" w:frame="1"/>
          <w:lang w:eastAsia="en-GB"/>
        </w:rPr>
        <w:t>Police and Criminal Evidence Act 1984</w:t>
      </w:r>
      <w:r w:rsidRPr="0014157E">
        <w:rPr>
          <w:rFonts w:ascii="Calibri" w:eastAsia="Times New Roman" w:hAnsi="Calibri" w:cs="Calibri"/>
          <w:color w:val="000000"/>
          <w:sz w:val="27"/>
          <w:szCs w:val="27"/>
          <w:bdr w:val="none" w:sz="0" w:space="0" w:color="auto" w:frame="1"/>
          <w:lang w:eastAsia="en-GB"/>
        </w:rPr>
        <w:t>. [online] Available at: https://www.legislation.gov.uk/ukpga/1984/60/section/117.</w:t>
      </w:r>
    </w:p>
    <w:p w14:paraId="24C07D76"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 </w:t>
      </w:r>
    </w:p>
    <w:p w14:paraId="0799EA97"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‌www.bailii.org. (n.d.). </w:t>
      </w:r>
      <w:proofErr w:type="spellStart"/>
      <w:r w:rsidRPr="0014157E">
        <w:rPr>
          <w:rFonts w:ascii="Calibri" w:eastAsia="Times New Roman" w:hAnsi="Calibri" w:cs="Calibri"/>
          <w:i/>
          <w:iCs/>
          <w:color w:val="000000"/>
          <w:sz w:val="27"/>
          <w:szCs w:val="27"/>
          <w:bdr w:val="none" w:sz="0" w:space="0" w:color="auto" w:frame="1"/>
          <w:lang w:eastAsia="en-GB"/>
        </w:rPr>
        <w:t>Woolmington</w:t>
      </w:r>
      <w:proofErr w:type="spellEnd"/>
      <w:r w:rsidRPr="0014157E">
        <w:rPr>
          <w:rFonts w:ascii="Calibri" w:eastAsia="Times New Roman" w:hAnsi="Calibri" w:cs="Calibri"/>
          <w:i/>
          <w:iCs/>
          <w:color w:val="000000"/>
          <w:sz w:val="27"/>
          <w:szCs w:val="27"/>
          <w:bdr w:val="none" w:sz="0" w:space="0" w:color="auto" w:frame="1"/>
          <w:lang w:eastAsia="en-GB"/>
        </w:rPr>
        <w:t xml:space="preserve"> v DPP [1935] UKHL 1 (23 May 1935)</w:t>
      </w:r>
      <w:r w:rsidRPr="0014157E">
        <w:rPr>
          <w:rFonts w:ascii="Calibri" w:eastAsia="Times New Roman" w:hAnsi="Calibri" w:cs="Calibri"/>
          <w:color w:val="000000"/>
          <w:sz w:val="27"/>
          <w:szCs w:val="27"/>
          <w:bdr w:val="none" w:sz="0" w:space="0" w:color="auto" w:frame="1"/>
          <w:lang w:eastAsia="en-GB"/>
        </w:rPr>
        <w:t>. [online] Available at: </w:t>
      </w:r>
      <w:hyperlink r:id="rId5" w:tgtFrame="_blank" w:history="1">
        <w:r w:rsidRPr="0014157E">
          <w:rPr>
            <w:rFonts w:ascii="Calibri" w:eastAsia="Times New Roman" w:hAnsi="Calibri" w:cs="Calibri"/>
            <w:color w:val="0000FF"/>
            <w:sz w:val="27"/>
            <w:szCs w:val="27"/>
            <w:u w:val="single"/>
            <w:bdr w:val="none" w:sz="0" w:space="0" w:color="auto" w:frame="1"/>
            <w:lang w:eastAsia="en-GB"/>
          </w:rPr>
          <w:t>https://www.bailii.org/uk/cases/UKHL/1935/1.html</w:t>
        </w:r>
      </w:hyperlink>
    </w:p>
    <w:p w14:paraId="36C96AB6"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 </w:t>
      </w:r>
    </w:p>
    <w:p w14:paraId="680FA95F"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www.cps.gov.uk. (n.d.). </w:t>
      </w:r>
      <w:r w:rsidRPr="0014157E">
        <w:rPr>
          <w:rFonts w:ascii="Calibri" w:eastAsia="Times New Roman" w:hAnsi="Calibri" w:cs="Calibri"/>
          <w:i/>
          <w:iCs/>
          <w:color w:val="000000"/>
          <w:sz w:val="27"/>
          <w:szCs w:val="27"/>
          <w:bdr w:val="none" w:sz="0" w:space="0" w:color="auto" w:frame="1"/>
          <w:lang w:eastAsia="en-GB"/>
        </w:rPr>
        <w:t>Bail | The Crown Prosecution Service</w:t>
      </w:r>
      <w:r w:rsidRPr="0014157E">
        <w:rPr>
          <w:rFonts w:ascii="Calibri" w:eastAsia="Times New Roman" w:hAnsi="Calibri" w:cs="Calibri"/>
          <w:color w:val="000000"/>
          <w:sz w:val="27"/>
          <w:szCs w:val="27"/>
          <w:bdr w:val="none" w:sz="0" w:space="0" w:color="auto" w:frame="1"/>
          <w:lang w:eastAsia="en-GB"/>
        </w:rPr>
        <w:t>. [online] Available at:</w:t>
      </w:r>
    </w:p>
    <w:p w14:paraId="3BE198E0"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https://www.cps.gov.uk/legal-guidance/bail#:~:text=dealt%20with%20effectively.- [Accessed 5 Mar. 2021].</w:t>
      </w:r>
    </w:p>
    <w:p w14:paraId="58B28A69" w14:textId="77777777" w:rsidR="0014157E" w:rsidRPr="0014157E" w:rsidRDefault="0014157E" w:rsidP="0014157E">
      <w:pPr>
        <w:shd w:val="clear" w:color="auto" w:fill="FFFFFF"/>
        <w:spacing w:line="360" w:lineRule="atLeast"/>
        <w:rPr>
          <w:rFonts w:ascii="Segoe UI" w:eastAsia="Times New Roman" w:hAnsi="Segoe UI" w:cs="Segoe UI"/>
          <w:color w:val="201F1E"/>
          <w:sz w:val="23"/>
          <w:szCs w:val="23"/>
          <w:lang w:eastAsia="en-GB"/>
        </w:rPr>
      </w:pPr>
      <w:r w:rsidRPr="0014157E">
        <w:rPr>
          <w:rFonts w:ascii="Calibri" w:eastAsia="Times New Roman" w:hAnsi="Calibri" w:cs="Calibri"/>
          <w:color w:val="000000"/>
          <w:sz w:val="27"/>
          <w:szCs w:val="27"/>
          <w:bdr w:val="none" w:sz="0" w:space="0" w:color="auto" w:frame="1"/>
          <w:lang w:eastAsia="en-GB"/>
        </w:rPr>
        <w:t> </w:t>
      </w:r>
    </w:p>
    <w:p w14:paraId="5474D175" w14:textId="77777777" w:rsidR="0014157E" w:rsidRPr="0014157E" w:rsidRDefault="0014157E" w:rsidP="0014157E">
      <w:pPr>
        <w:shd w:val="clear" w:color="auto" w:fill="FFFFFF"/>
        <w:spacing w:line="360" w:lineRule="atLeast"/>
        <w:textAlignment w:val="baseline"/>
        <w:rPr>
          <w:rFonts w:ascii="Segoe UI" w:eastAsia="Times New Roman" w:hAnsi="Segoe UI" w:cs="Segoe UI"/>
          <w:color w:val="201F1E"/>
          <w:sz w:val="23"/>
          <w:szCs w:val="23"/>
          <w:lang w:eastAsia="en-GB"/>
        </w:rPr>
      </w:pPr>
      <w:r w:rsidRPr="0014157E">
        <w:rPr>
          <w:rFonts w:ascii="inherit" w:eastAsia="Times New Roman" w:hAnsi="inherit" w:cs="Segoe UI"/>
          <w:color w:val="000000"/>
          <w:sz w:val="27"/>
          <w:szCs w:val="27"/>
          <w:bdr w:val="none" w:sz="0" w:space="0" w:color="auto" w:frame="1"/>
          <w:lang w:eastAsia="en-GB"/>
        </w:rPr>
        <w:t>www.hse.gov.uk. (n.d.). </w:t>
      </w:r>
      <w:r w:rsidRPr="0014157E">
        <w:rPr>
          <w:rFonts w:ascii="inherit" w:eastAsia="Times New Roman" w:hAnsi="inherit" w:cs="Segoe UI"/>
          <w:i/>
          <w:iCs/>
          <w:color w:val="000000"/>
          <w:sz w:val="27"/>
          <w:szCs w:val="27"/>
          <w:bdr w:val="none" w:sz="0" w:space="0" w:color="auto" w:frame="1"/>
          <w:lang w:eastAsia="en-GB"/>
        </w:rPr>
        <w:t>Disclosure stages - Pre-Trial - Enforcement Guide (England &amp; Wales)</w:t>
      </w:r>
      <w:r w:rsidRPr="0014157E">
        <w:rPr>
          <w:rFonts w:ascii="inherit" w:eastAsia="Times New Roman" w:hAnsi="inherit" w:cs="Segoe UI"/>
          <w:color w:val="000000"/>
          <w:sz w:val="27"/>
          <w:szCs w:val="27"/>
          <w:bdr w:val="none" w:sz="0" w:space="0" w:color="auto" w:frame="1"/>
          <w:lang w:eastAsia="en-GB"/>
        </w:rPr>
        <w:t>. [online] Available at: https://www.hse.gov.uk/enforce/enforcementguide/pretrial/after-disclosure.htm.</w:t>
      </w:r>
    </w:p>
    <w:p w14:paraId="20946440" w14:textId="77777777" w:rsidR="0014157E" w:rsidRPr="0014157E" w:rsidRDefault="0014157E" w:rsidP="0014157E">
      <w:pPr>
        <w:shd w:val="clear" w:color="auto" w:fill="FFFFFF"/>
        <w:spacing w:beforeAutospacing="1" w:afterAutospacing="1"/>
        <w:textAlignment w:val="baseline"/>
        <w:rPr>
          <w:rFonts w:ascii="Segoe UI" w:eastAsia="Times New Roman" w:hAnsi="Segoe UI" w:cs="Segoe UI"/>
          <w:color w:val="201F1E"/>
          <w:sz w:val="23"/>
          <w:szCs w:val="23"/>
          <w:lang w:eastAsia="en-GB"/>
        </w:rPr>
      </w:pPr>
      <w:r w:rsidRPr="0014157E">
        <w:rPr>
          <w:rFonts w:ascii="inherit" w:eastAsia="Times New Roman" w:hAnsi="inherit" w:cs="Segoe UI"/>
          <w:color w:val="000000"/>
          <w:sz w:val="27"/>
          <w:szCs w:val="27"/>
          <w:bdr w:val="none" w:sz="0" w:space="0" w:color="auto" w:frame="1"/>
          <w:lang w:eastAsia="en-GB"/>
        </w:rPr>
        <w:t>‌</w:t>
      </w:r>
      <w:r w:rsidRPr="0014157E">
        <w:rPr>
          <w:rFonts w:ascii="Calibri" w:eastAsia="Times New Roman" w:hAnsi="Calibri" w:cs="Calibri"/>
          <w:color w:val="000000"/>
          <w:sz w:val="27"/>
          <w:szCs w:val="27"/>
          <w:bdr w:val="none" w:sz="0" w:space="0" w:color="auto" w:frame="1"/>
          <w:lang w:eastAsia="en-GB"/>
        </w:rPr>
        <w:t> www.tutorhunt.com. (n.d.). </w:t>
      </w:r>
      <w:r w:rsidRPr="0014157E">
        <w:rPr>
          <w:rFonts w:ascii="Calibri" w:eastAsia="Times New Roman" w:hAnsi="Calibri" w:cs="Calibri"/>
          <w:i/>
          <w:iCs/>
          <w:color w:val="000000"/>
          <w:sz w:val="27"/>
          <w:szCs w:val="27"/>
          <w:bdr w:val="none" w:sz="0" w:space="0" w:color="auto" w:frame="1"/>
          <w:lang w:eastAsia="en-GB"/>
        </w:rPr>
        <w:t>Legal Case Study - Law Resource</w:t>
      </w:r>
      <w:r w:rsidRPr="0014157E">
        <w:rPr>
          <w:rFonts w:ascii="Calibri" w:eastAsia="Times New Roman" w:hAnsi="Calibri" w:cs="Calibri"/>
          <w:color w:val="000000"/>
          <w:sz w:val="27"/>
          <w:szCs w:val="27"/>
          <w:bdr w:val="none" w:sz="0" w:space="0" w:color="auto" w:frame="1"/>
          <w:lang w:eastAsia="en-GB"/>
        </w:rPr>
        <w:t>. [online] Available at: https://www.tutorhunt.com/resource/12036/ [Accessed 5 Mar. 2021].</w:t>
      </w:r>
    </w:p>
    <w:p w14:paraId="50B69740" w14:textId="07D541AE" w:rsidR="0014157E" w:rsidRDefault="0014157E">
      <w:pPr>
        <w:pStyle w:val="FootnoteText"/>
      </w:pPr>
    </w:p>
    <w:p w14:paraId="1B455202" w14:textId="4D67C721" w:rsidR="0014157E" w:rsidRDefault="0014157E">
      <w:pPr>
        <w:pStyle w:val="FootnoteText"/>
      </w:pPr>
    </w:p>
    <w:p w14:paraId="214F23DE" w14:textId="741FBE2F" w:rsidR="0014157E" w:rsidRDefault="0014157E">
      <w:pPr>
        <w:pStyle w:val="FootnoteText"/>
      </w:pPr>
    </w:p>
    <w:p w14:paraId="00CFF64E" w14:textId="4528D119" w:rsidR="0014157E" w:rsidRDefault="0014157E">
      <w:pPr>
        <w:pStyle w:val="FootnoteText"/>
      </w:pPr>
    </w:p>
    <w:p w14:paraId="49EA7FDA" w14:textId="77777777" w:rsidR="0014157E" w:rsidRDefault="0014157E">
      <w:pPr>
        <w:pStyle w:val="FootnoteText"/>
      </w:pPr>
    </w:p>
    <w:p w14:paraId="2FE13706" w14:textId="6E08B9D1" w:rsidR="0014157E" w:rsidRDefault="0014157E">
      <w:pPr>
        <w:pStyle w:val="FootnoteText"/>
      </w:pPr>
    </w:p>
    <w:p w14:paraId="5FCD828E" w14:textId="6A1676B2" w:rsidR="0014157E" w:rsidRDefault="0014157E">
      <w:pPr>
        <w:pStyle w:val="FootnoteText"/>
      </w:pPr>
    </w:p>
    <w:p w14:paraId="7AD48731" w14:textId="46535EA8" w:rsidR="0014157E" w:rsidRDefault="0014157E">
      <w:pPr>
        <w:pStyle w:val="FootnoteText"/>
      </w:pPr>
    </w:p>
    <w:p w14:paraId="0763369D" w14:textId="0432E7E0" w:rsidR="0014157E" w:rsidRDefault="0014157E">
      <w:pPr>
        <w:pStyle w:val="FootnoteText"/>
      </w:pPr>
    </w:p>
    <w:p w14:paraId="2FF630C0" w14:textId="12B90E51" w:rsidR="0014157E" w:rsidRDefault="0014157E">
      <w:pPr>
        <w:pStyle w:val="FootnoteText"/>
      </w:pPr>
    </w:p>
    <w:p w14:paraId="606707B9" w14:textId="6BA03D4A" w:rsidR="0014157E" w:rsidRDefault="0014157E">
      <w:pPr>
        <w:pStyle w:val="FootnoteText"/>
      </w:pPr>
    </w:p>
    <w:p w14:paraId="7D5C2E19" w14:textId="54617CC7" w:rsidR="0014157E" w:rsidRDefault="0014157E">
      <w:pPr>
        <w:pStyle w:val="FootnoteText"/>
      </w:pPr>
    </w:p>
    <w:p w14:paraId="3AFCB656" w14:textId="0BEBC521" w:rsidR="0014157E" w:rsidRDefault="0014157E">
      <w:pPr>
        <w:pStyle w:val="FootnoteText"/>
      </w:pPr>
    </w:p>
    <w:p w14:paraId="6EF64C31" w14:textId="79D5DF65" w:rsidR="0014157E" w:rsidRDefault="0014157E">
      <w:pPr>
        <w:pStyle w:val="FootnoteText"/>
      </w:pPr>
    </w:p>
    <w:p w14:paraId="1CE81F9A" w14:textId="10111ECE" w:rsidR="0014157E" w:rsidRDefault="0014157E">
      <w:pPr>
        <w:pStyle w:val="FootnoteText"/>
      </w:pPr>
    </w:p>
    <w:p w14:paraId="7BD77FBA" w14:textId="154BF9EF" w:rsidR="0014157E" w:rsidRDefault="0014157E">
      <w:pPr>
        <w:pStyle w:val="FootnoteText"/>
      </w:pPr>
    </w:p>
    <w:p w14:paraId="1EC006F0" w14:textId="47D6F91B" w:rsidR="0014157E" w:rsidRDefault="0014157E">
      <w:pPr>
        <w:pStyle w:val="FootnoteText"/>
      </w:pPr>
    </w:p>
    <w:p w14:paraId="1D1F6B6F" w14:textId="59694702" w:rsidR="0014157E" w:rsidRDefault="0014157E">
      <w:pPr>
        <w:pStyle w:val="FootnoteText"/>
      </w:pPr>
    </w:p>
    <w:p w14:paraId="36D5EEB8" w14:textId="4833DE43" w:rsidR="0014157E" w:rsidRDefault="0014157E">
      <w:pPr>
        <w:pStyle w:val="FootnoteText"/>
      </w:pPr>
    </w:p>
    <w:p w14:paraId="08E28CE1" w14:textId="764353B9" w:rsidR="0014157E" w:rsidRDefault="0014157E">
      <w:pPr>
        <w:pStyle w:val="FootnoteText"/>
      </w:pPr>
    </w:p>
    <w:p w14:paraId="0FEFE50F" w14:textId="013325E1" w:rsidR="0014157E" w:rsidRDefault="0014157E">
      <w:pPr>
        <w:pStyle w:val="FootnoteText"/>
      </w:pPr>
    </w:p>
    <w:p w14:paraId="2240C969" w14:textId="2A7B7C1E" w:rsidR="0014157E" w:rsidRDefault="0014157E">
      <w:pPr>
        <w:pStyle w:val="FootnoteText"/>
      </w:pPr>
    </w:p>
    <w:p w14:paraId="5E554800" w14:textId="08B819EF" w:rsidR="0014157E" w:rsidRDefault="0014157E">
      <w:pPr>
        <w:pStyle w:val="FootnoteText"/>
      </w:pPr>
    </w:p>
    <w:p w14:paraId="19C78D3D" w14:textId="17822578" w:rsidR="0014157E" w:rsidRDefault="0014157E">
      <w:pPr>
        <w:pStyle w:val="FootnoteText"/>
      </w:pPr>
    </w:p>
    <w:p w14:paraId="76E42AEE" w14:textId="2A4FF176" w:rsidR="0014157E" w:rsidRDefault="0014157E">
      <w:pPr>
        <w:pStyle w:val="FootnoteText"/>
      </w:pPr>
    </w:p>
    <w:p w14:paraId="57EEFF3A" w14:textId="06C2393A" w:rsidR="0014157E" w:rsidRDefault="0014157E">
      <w:pPr>
        <w:pStyle w:val="FootnoteText"/>
      </w:pPr>
    </w:p>
    <w:p w14:paraId="641A21C9" w14:textId="598F134E" w:rsidR="0014157E" w:rsidRDefault="0014157E">
      <w:pPr>
        <w:pStyle w:val="FootnoteText"/>
      </w:pPr>
    </w:p>
    <w:p w14:paraId="60E477C4" w14:textId="37D391A4" w:rsidR="0014157E" w:rsidRDefault="0014157E">
      <w:pPr>
        <w:pStyle w:val="FootnoteText"/>
      </w:pPr>
    </w:p>
    <w:p w14:paraId="4A870895" w14:textId="39612B53" w:rsidR="0014157E" w:rsidRDefault="0014157E">
      <w:pPr>
        <w:pStyle w:val="FootnoteText"/>
      </w:pPr>
    </w:p>
    <w:p w14:paraId="5FC7D7E8" w14:textId="10B2C76F" w:rsidR="0014157E" w:rsidRDefault="0014157E">
      <w:pPr>
        <w:pStyle w:val="FootnoteText"/>
      </w:pPr>
    </w:p>
    <w:p w14:paraId="3599B33C" w14:textId="647DCA54" w:rsidR="0014157E" w:rsidRDefault="0014157E">
      <w:pPr>
        <w:pStyle w:val="FootnoteText"/>
      </w:pPr>
    </w:p>
    <w:p w14:paraId="48C7E7EF" w14:textId="3819997C" w:rsidR="0014157E" w:rsidRDefault="0014157E">
      <w:pPr>
        <w:pStyle w:val="FootnoteText"/>
      </w:pPr>
    </w:p>
    <w:p w14:paraId="492205D5" w14:textId="3946A9C6" w:rsidR="0014157E" w:rsidRDefault="0014157E">
      <w:pPr>
        <w:pStyle w:val="FootnoteText"/>
      </w:pPr>
    </w:p>
    <w:p w14:paraId="66EBF242" w14:textId="04B9CC4F" w:rsidR="0014157E" w:rsidRDefault="0014157E">
      <w:pPr>
        <w:pStyle w:val="FootnoteText"/>
      </w:pPr>
    </w:p>
    <w:p w14:paraId="66DFAF9D" w14:textId="2E610DBA" w:rsidR="0014157E" w:rsidRDefault="0014157E">
      <w:pPr>
        <w:pStyle w:val="FootnoteText"/>
      </w:pPr>
    </w:p>
    <w:p w14:paraId="5C585D6E" w14:textId="45051C07" w:rsidR="0014157E" w:rsidRDefault="0014157E">
      <w:pPr>
        <w:pStyle w:val="FootnoteText"/>
      </w:pPr>
    </w:p>
    <w:p w14:paraId="701114ED" w14:textId="5A5CC6E0" w:rsidR="0014157E" w:rsidRDefault="0014157E">
      <w:pPr>
        <w:pStyle w:val="FootnoteText"/>
      </w:pPr>
    </w:p>
    <w:p w14:paraId="3446661A" w14:textId="0BC7CE69" w:rsidR="0014157E" w:rsidRDefault="0014157E">
      <w:pPr>
        <w:pStyle w:val="FootnoteText"/>
      </w:pPr>
    </w:p>
    <w:p w14:paraId="0B465941" w14:textId="24DAD48D" w:rsidR="0014157E" w:rsidRDefault="0014157E">
      <w:pPr>
        <w:pStyle w:val="FootnoteText"/>
      </w:pPr>
    </w:p>
    <w:p w14:paraId="7A18F910" w14:textId="2B17E4D5" w:rsidR="0014157E" w:rsidRDefault="0014157E">
      <w:pPr>
        <w:pStyle w:val="FootnoteText"/>
      </w:pPr>
    </w:p>
    <w:p w14:paraId="4EB28955" w14:textId="324B666F" w:rsidR="0014157E" w:rsidRDefault="0014157E">
      <w:pPr>
        <w:pStyle w:val="FootnoteText"/>
      </w:pPr>
    </w:p>
    <w:p w14:paraId="11A58106" w14:textId="15538EB6" w:rsidR="0014157E" w:rsidRDefault="0014157E">
      <w:pPr>
        <w:pStyle w:val="FootnoteText"/>
      </w:pPr>
    </w:p>
    <w:p w14:paraId="41969331" w14:textId="489985AF" w:rsidR="0014157E" w:rsidRDefault="0014157E">
      <w:pPr>
        <w:pStyle w:val="FootnoteText"/>
      </w:pPr>
    </w:p>
    <w:p w14:paraId="44AA5DF8" w14:textId="56E3D34D" w:rsidR="0014157E" w:rsidRDefault="0014157E">
      <w:pPr>
        <w:pStyle w:val="FootnoteText"/>
      </w:pPr>
    </w:p>
    <w:p w14:paraId="7D2E1380" w14:textId="6BAF103B" w:rsidR="0014157E" w:rsidRDefault="0014157E">
      <w:pPr>
        <w:pStyle w:val="FootnoteText"/>
      </w:pPr>
    </w:p>
    <w:p w14:paraId="360E95A7" w14:textId="689008FF" w:rsidR="0014157E" w:rsidRDefault="0014157E">
      <w:pPr>
        <w:pStyle w:val="FootnoteText"/>
      </w:pPr>
    </w:p>
    <w:p w14:paraId="78B61CF6" w14:textId="77777777" w:rsidR="0014157E" w:rsidRDefault="0014157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4475"/>
    <w:multiLevelType w:val="hybridMultilevel"/>
    <w:tmpl w:val="08C263D0"/>
    <w:lvl w:ilvl="0" w:tplc="D80AA3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481117"/>
    <w:multiLevelType w:val="hybridMultilevel"/>
    <w:tmpl w:val="6EF63150"/>
    <w:lvl w:ilvl="0" w:tplc="552CD4F6">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B000D7"/>
    <w:multiLevelType w:val="hybridMultilevel"/>
    <w:tmpl w:val="15B4E4C6"/>
    <w:lvl w:ilvl="0" w:tplc="72A8F5A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C51791"/>
    <w:multiLevelType w:val="hybridMultilevel"/>
    <w:tmpl w:val="8774F262"/>
    <w:lvl w:ilvl="0" w:tplc="9CCE17E6">
      <w:start w:val="3"/>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FA33DF9"/>
    <w:multiLevelType w:val="hybridMultilevel"/>
    <w:tmpl w:val="7486A428"/>
    <w:lvl w:ilvl="0" w:tplc="04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0B6B82"/>
    <w:multiLevelType w:val="hybridMultilevel"/>
    <w:tmpl w:val="5568DEDA"/>
    <w:lvl w:ilvl="0" w:tplc="D80AA3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456C69"/>
    <w:multiLevelType w:val="hybridMultilevel"/>
    <w:tmpl w:val="B2921F72"/>
    <w:lvl w:ilvl="0" w:tplc="04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B55DB2"/>
    <w:multiLevelType w:val="hybridMultilevel"/>
    <w:tmpl w:val="6046BAE0"/>
    <w:lvl w:ilvl="0" w:tplc="D80AA3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D16D7C"/>
    <w:multiLevelType w:val="hybridMultilevel"/>
    <w:tmpl w:val="E214CFA8"/>
    <w:lvl w:ilvl="0" w:tplc="D80AA320">
      <w:start w:val="1"/>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12939A8"/>
    <w:multiLevelType w:val="hybridMultilevel"/>
    <w:tmpl w:val="95B4BBB2"/>
    <w:lvl w:ilvl="0" w:tplc="08090011">
      <w:start w:val="1"/>
      <w:numFmt w:val="decimal"/>
      <w:lvlText w:val="%1)"/>
      <w:lvlJc w:val="left"/>
      <w:pPr>
        <w:ind w:left="720" w:hanging="360"/>
      </w:pPr>
      <w:rPr>
        <w:rFonts w:hint="default"/>
      </w:rPr>
    </w:lvl>
    <w:lvl w:ilvl="1" w:tplc="155A6F64">
      <w:start w:val="20"/>
      <w:numFmt w:val="bullet"/>
      <w:lvlText w:val="•"/>
      <w:lvlJc w:val="left"/>
      <w:pPr>
        <w:ind w:left="1800" w:hanging="720"/>
      </w:pPr>
      <w:rPr>
        <w:rFonts w:ascii="Calibri" w:eastAsiaTheme="minorHAnsi" w:hAnsi="Calibri"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191EFB"/>
    <w:multiLevelType w:val="hybridMultilevel"/>
    <w:tmpl w:val="6B9EFC6A"/>
    <w:lvl w:ilvl="0" w:tplc="D80AA3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957F3B"/>
    <w:multiLevelType w:val="hybridMultilevel"/>
    <w:tmpl w:val="88607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E04777"/>
    <w:multiLevelType w:val="hybridMultilevel"/>
    <w:tmpl w:val="9CD8B5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4B755C1"/>
    <w:multiLevelType w:val="hybridMultilevel"/>
    <w:tmpl w:val="37C61292"/>
    <w:lvl w:ilvl="0" w:tplc="6E5C29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9022D8"/>
    <w:multiLevelType w:val="hybridMultilevel"/>
    <w:tmpl w:val="DB447902"/>
    <w:lvl w:ilvl="0" w:tplc="D80AA320">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8"/>
  </w:num>
  <w:num w:numId="4">
    <w:abstractNumId w:val="3"/>
  </w:num>
  <w:num w:numId="5">
    <w:abstractNumId w:val="14"/>
  </w:num>
  <w:num w:numId="6">
    <w:abstractNumId w:val="5"/>
  </w:num>
  <w:num w:numId="7">
    <w:abstractNumId w:val="1"/>
  </w:num>
  <w:num w:numId="8">
    <w:abstractNumId w:val="0"/>
  </w:num>
  <w:num w:numId="9">
    <w:abstractNumId w:val="7"/>
  </w:num>
  <w:num w:numId="10">
    <w:abstractNumId w:val="9"/>
  </w:num>
  <w:num w:numId="11">
    <w:abstractNumId w:val="13"/>
  </w:num>
  <w:num w:numId="12">
    <w:abstractNumId w:val="2"/>
  </w:num>
  <w:num w:numId="13">
    <w:abstractNumId w:val="1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1F7"/>
    <w:rsid w:val="0014157E"/>
    <w:rsid w:val="0021670E"/>
    <w:rsid w:val="00256B2F"/>
    <w:rsid w:val="00314196"/>
    <w:rsid w:val="00317F13"/>
    <w:rsid w:val="0060262C"/>
    <w:rsid w:val="00745E78"/>
    <w:rsid w:val="00781E84"/>
    <w:rsid w:val="00854D65"/>
    <w:rsid w:val="00894721"/>
    <w:rsid w:val="008B3347"/>
    <w:rsid w:val="008C552C"/>
    <w:rsid w:val="00900966"/>
    <w:rsid w:val="00B233CA"/>
    <w:rsid w:val="00B96628"/>
    <w:rsid w:val="00CD34FF"/>
    <w:rsid w:val="00CE11F7"/>
    <w:rsid w:val="00CE2B5D"/>
    <w:rsid w:val="00D352F2"/>
    <w:rsid w:val="00D87009"/>
    <w:rsid w:val="00EB0FBC"/>
    <w:rsid w:val="00F55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EB5F"/>
  <w15:chartTrackingRefBased/>
  <w15:docId w15:val="{C4331879-E0C4-406E-90DC-413063CE3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11F7"/>
    <w:pPr>
      <w:spacing w:after="0" w:line="240" w:lineRule="auto"/>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1F7"/>
    <w:pPr>
      <w:ind w:left="720"/>
      <w:contextualSpacing/>
    </w:pPr>
  </w:style>
  <w:style w:type="character" w:styleId="Hyperlink">
    <w:name w:val="Hyperlink"/>
    <w:basedOn w:val="DefaultParagraphFont"/>
    <w:uiPriority w:val="99"/>
    <w:unhideWhenUsed/>
    <w:rsid w:val="00CE11F7"/>
    <w:rPr>
      <w:color w:val="0000FF"/>
      <w:u w:val="single"/>
    </w:rPr>
  </w:style>
  <w:style w:type="paragraph" w:styleId="FootnoteText">
    <w:name w:val="footnote text"/>
    <w:basedOn w:val="Normal"/>
    <w:link w:val="FootnoteTextChar"/>
    <w:uiPriority w:val="99"/>
    <w:semiHidden/>
    <w:unhideWhenUsed/>
    <w:rsid w:val="00CE2B5D"/>
    <w:rPr>
      <w:sz w:val="20"/>
      <w:szCs w:val="20"/>
    </w:rPr>
  </w:style>
  <w:style w:type="character" w:customStyle="1" w:styleId="FootnoteTextChar">
    <w:name w:val="Footnote Text Char"/>
    <w:basedOn w:val="DefaultParagraphFont"/>
    <w:link w:val="FootnoteText"/>
    <w:uiPriority w:val="99"/>
    <w:semiHidden/>
    <w:rsid w:val="00CE2B5D"/>
    <w:rPr>
      <w:sz w:val="20"/>
      <w:szCs w:val="20"/>
    </w:rPr>
  </w:style>
  <w:style w:type="character" w:styleId="FootnoteReference">
    <w:name w:val="footnote reference"/>
    <w:basedOn w:val="DefaultParagraphFont"/>
    <w:uiPriority w:val="99"/>
    <w:semiHidden/>
    <w:unhideWhenUsed/>
    <w:rsid w:val="00CE2B5D"/>
    <w:rPr>
      <w:vertAlign w:val="superscript"/>
    </w:rPr>
  </w:style>
  <w:style w:type="character" w:styleId="CommentReference">
    <w:name w:val="annotation reference"/>
    <w:basedOn w:val="DefaultParagraphFont"/>
    <w:uiPriority w:val="99"/>
    <w:semiHidden/>
    <w:unhideWhenUsed/>
    <w:rsid w:val="00745E78"/>
    <w:rPr>
      <w:sz w:val="16"/>
      <w:szCs w:val="16"/>
    </w:rPr>
  </w:style>
  <w:style w:type="paragraph" w:styleId="CommentText">
    <w:name w:val="annotation text"/>
    <w:basedOn w:val="Normal"/>
    <w:link w:val="CommentTextChar"/>
    <w:uiPriority w:val="99"/>
    <w:semiHidden/>
    <w:unhideWhenUsed/>
    <w:rsid w:val="00745E78"/>
    <w:rPr>
      <w:sz w:val="20"/>
      <w:szCs w:val="20"/>
    </w:rPr>
  </w:style>
  <w:style w:type="character" w:customStyle="1" w:styleId="CommentTextChar">
    <w:name w:val="Comment Text Char"/>
    <w:basedOn w:val="DefaultParagraphFont"/>
    <w:link w:val="CommentText"/>
    <w:uiPriority w:val="99"/>
    <w:semiHidden/>
    <w:rsid w:val="00745E78"/>
    <w:rPr>
      <w:sz w:val="20"/>
      <w:szCs w:val="20"/>
    </w:rPr>
  </w:style>
  <w:style w:type="paragraph" w:styleId="CommentSubject">
    <w:name w:val="annotation subject"/>
    <w:basedOn w:val="CommentText"/>
    <w:next w:val="CommentText"/>
    <w:link w:val="CommentSubjectChar"/>
    <w:uiPriority w:val="99"/>
    <w:semiHidden/>
    <w:unhideWhenUsed/>
    <w:rsid w:val="00745E78"/>
    <w:rPr>
      <w:b/>
      <w:bCs/>
    </w:rPr>
  </w:style>
  <w:style w:type="character" w:customStyle="1" w:styleId="CommentSubjectChar">
    <w:name w:val="Comment Subject Char"/>
    <w:basedOn w:val="CommentTextChar"/>
    <w:link w:val="CommentSubject"/>
    <w:uiPriority w:val="99"/>
    <w:semiHidden/>
    <w:rsid w:val="00745E78"/>
    <w:rPr>
      <w:b/>
      <w:bCs/>
      <w:sz w:val="20"/>
      <w:szCs w:val="20"/>
    </w:rPr>
  </w:style>
  <w:style w:type="paragraph" w:styleId="BalloonText">
    <w:name w:val="Balloon Text"/>
    <w:basedOn w:val="Normal"/>
    <w:link w:val="BalloonTextChar"/>
    <w:uiPriority w:val="99"/>
    <w:semiHidden/>
    <w:unhideWhenUsed/>
    <w:rsid w:val="00745E7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5E7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29057">
      <w:bodyDiv w:val="1"/>
      <w:marLeft w:val="0"/>
      <w:marRight w:val="0"/>
      <w:marTop w:val="0"/>
      <w:marBottom w:val="0"/>
      <w:divBdr>
        <w:top w:val="none" w:sz="0" w:space="0" w:color="auto"/>
        <w:left w:val="none" w:sz="0" w:space="0" w:color="auto"/>
        <w:bottom w:val="none" w:sz="0" w:space="0" w:color="auto"/>
        <w:right w:val="none" w:sz="0" w:space="0" w:color="auto"/>
      </w:divBdr>
      <w:divsChild>
        <w:div w:id="40634218">
          <w:marLeft w:val="0"/>
          <w:marRight w:val="0"/>
          <w:marTop w:val="0"/>
          <w:marBottom w:val="0"/>
          <w:divBdr>
            <w:top w:val="none" w:sz="0" w:space="0" w:color="auto"/>
            <w:left w:val="none" w:sz="0" w:space="0" w:color="auto"/>
            <w:bottom w:val="none" w:sz="0" w:space="0" w:color="auto"/>
            <w:right w:val="none" w:sz="0" w:space="0" w:color="auto"/>
          </w:divBdr>
        </w:div>
        <w:div w:id="2036298710">
          <w:marLeft w:val="0"/>
          <w:marRight w:val="0"/>
          <w:marTop w:val="0"/>
          <w:marBottom w:val="0"/>
          <w:divBdr>
            <w:top w:val="none" w:sz="0" w:space="0" w:color="auto"/>
            <w:left w:val="none" w:sz="0" w:space="0" w:color="auto"/>
            <w:bottom w:val="none" w:sz="0" w:space="0" w:color="auto"/>
            <w:right w:val="none" w:sz="0" w:space="0" w:color="auto"/>
          </w:divBdr>
        </w:div>
      </w:divsChild>
    </w:div>
    <w:div w:id="1567450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ukpga/1994/33/section/34" TargetMode="External"/><Relationship Id="rId2" Type="http://schemas.openxmlformats.org/officeDocument/2006/relationships/hyperlink" Target="http://www.e-lawresources.co.uk/Palmer-(1971).php-Miller-%5B1954%5D.php" TargetMode="External"/><Relationship Id="rId1" Type="http://schemas.openxmlformats.org/officeDocument/2006/relationships/hyperlink" Target="https://assets.publishing.service.gov.uk/government/uploads/system/uploads/attachment_data/file/903473/pace-code-c-2019.pdf" TargetMode="External"/><Relationship Id="rId5" Type="http://schemas.openxmlformats.org/officeDocument/2006/relationships/hyperlink" Target="https://www.bailii.org/uk/cases/UKHL/1935/1.html" TargetMode="External"/><Relationship Id="rId4" Type="http://schemas.openxmlformats.org/officeDocument/2006/relationships/hyperlink" Target="https://www.legislation.gov.uk/uksi/2020/759/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C97F5-2060-4E4B-B03F-6EB5D5E78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1775</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5</cp:revision>
  <dcterms:created xsi:type="dcterms:W3CDTF">2021-03-05T21:33:00Z</dcterms:created>
  <dcterms:modified xsi:type="dcterms:W3CDTF">2021-03-05T22:53:00Z</dcterms:modified>
</cp:coreProperties>
</file>