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156082" w:themeColor="accent1"/>
          <w:sz w:val="24"/>
          <w:szCs w:val="21"/>
          <w:lang w:eastAsia="en-US"/>
          <w14:ligatures w14:val="none"/>
        </w:rPr>
        <w:id w:val="346599324"/>
        <w:docPartObj>
          <w:docPartGallery w:val="Cover Pages"/>
          <w:docPartUnique/>
        </w:docPartObj>
      </w:sdtPr>
      <w:sdtEndPr>
        <w:rPr>
          <w:color w:val="auto"/>
        </w:rPr>
      </w:sdtEndPr>
      <w:sdtContent>
        <w:p w14:paraId="5811F7BB" w14:textId="7510387D" w:rsidR="00AE12C5" w:rsidRDefault="00AE12C5">
          <w:pPr>
            <w:pStyle w:val="NoSpacing"/>
            <w:spacing w:before="1540" w:after="240"/>
            <w:jc w:val="center"/>
            <w:rPr>
              <w:color w:val="156082" w:themeColor="accent1"/>
            </w:rPr>
          </w:pPr>
          <w:r>
            <w:rPr>
              <w:noProof/>
              <w:color w:val="156082" w:themeColor="accent1"/>
            </w:rPr>
            <w:drawing>
              <wp:inline distT="0" distB="0" distL="0" distR="0" wp14:anchorId="4A55DC7E" wp14:editId="5AF89AE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bCs/>
              <w:kern w:val="36"/>
              <w:sz w:val="48"/>
              <w:szCs w:val="48"/>
            </w:rPr>
            <w:alias w:val="Title"/>
            <w:tag w:val=""/>
            <w:id w:val="1735040861"/>
            <w:placeholder>
              <w:docPart w:val="F3F469164D744425AD6A8941D558AB1B"/>
            </w:placeholder>
            <w:dataBinding w:prefixMappings="xmlns:ns0='http://purl.org/dc/elements/1.1/' xmlns:ns1='http://schemas.openxmlformats.org/package/2006/metadata/core-properties' " w:xpath="/ns1:coreProperties[1]/ns0:title[1]" w:storeItemID="{6C3C8BC8-F283-45AE-878A-BAB7291924A1}"/>
            <w:text/>
          </w:sdtPr>
          <w:sdtEndPr/>
          <w:sdtContent>
            <w:p w14:paraId="4459B67F" w14:textId="1760E99E" w:rsidR="00AE12C5" w:rsidRDefault="00CE4C8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E4C82">
                <w:rPr>
                  <w:rFonts w:ascii="Times New Roman" w:eastAsia="Times New Roman" w:hAnsi="Times New Roman" w:cs="Times New Roman"/>
                  <w:b/>
                  <w:bCs/>
                  <w:kern w:val="36"/>
                  <w:sz w:val="48"/>
                  <w:szCs w:val="48"/>
                </w:rPr>
                <w:t>Evaluation of Whole-Genome Sequencing (WGS) Implementation within UK Health and Social Care</w:t>
              </w:r>
            </w:p>
          </w:sdtContent>
        </w:sdt>
        <w:sdt>
          <w:sdtPr>
            <w:rPr>
              <w:color w:val="156082" w:themeColor="accent1"/>
              <w:sz w:val="28"/>
              <w:szCs w:val="28"/>
            </w:rPr>
            <w:alias w:val="Subtitle"/>
            <w:tag w:val=""/>
            <w:id w:val="328029620"/>
            <w:placeholder>
              <w:docPart w:val="FD2E0B42CAB44D3C88D52C459A8F033F"/>
            </w:placeholder>
            <w:dataBinding w:prefixMappings="xmlns:ns0='http://purl.org/dc/elements/1.1/' xmlns:ns1='http://schemas.openxmlformats.org/package/2006/metadata/core-properties' " w:xpath="/ns1:coreProperties[1]/ns0:subject[1]" w:storeItemID="{6C3C8BC8-F283-45AE-878A-BAB7291924A1}"/>
            <w:text/>
          </w:sdtPr>
          <w:sdtEndPr/>
          <w:sdtContent>
            <w:p w14:paraId="40BAFFC0" w14:textId="7A76D594" w:rsidR="00AE12C5" w:rsidRDefault="00AE12C5">
              <w:pPr>
                <w:pStyle w:val="NoSpacing"/>
                <w:jc w:val="center"/>
                <w:rPr>
                  <w:color w:val="156082" w:themeColor="accent1"/>
                  <w:sz w:val="28"/>
                  <w:szCs w:val="28"/>
                </w:rPr>
              </w:pPr>
              <w:r w:rsidRPr="00AE12C5">
                <w:rPr>
                  <w:color w:val="156082" w:themeColor="accent1"/>
                  <w:sz w:val="28"/>
                  <w:szCs w:val="28"/>
                </w:rPr>
                <w:t>Digital Transformation in the Health and Care Professions (BMHP6026_LON)</w:t>
              </w:r>
            </w:p>
          </w:sdtContent>
        </w:sdt>
        <w:p w14:paraId="60F24BE1" w14:textId="0C9F26D2" w:rsidR="00AE12C5" w:rsidRDefault="00FA5FF2">
          <w:pPr>
            <w:pStyle w:val="NoSpacing"/>
            <w:spacing w:before="480"/>
            <w:jc w:val="center"/>
            <w:rPr>
              <w:color w:val="156082" w:themeColor="accent1"/>
            </w:rPr>
          </w:pPr>
          <w:r>
            <w:rPr>
              <w:noProof/>
            </w:rPr>
            <mc:AlternateContent>
              <mc:Choice Requires="wps">
                <w:drawing>
                  <wp:anchor distT="0" distB="0" distL="114300" distR="114300" simplePos="0" relativeHeight="251658240" behindDoc="0" locked="0" layoutInCell="1" allowOverlap="1" wp14:anchorId="692AC0C4" wp14:editId="0D0B7B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242570"/>
                    <wp:effectExtent l="0" t="0" r="0" b="0"/>
                    <wp:wrapNone/>
                    <wp:docPr id="1357198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242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17T00:00:00Z">
                                    <w:dateFormat w:val="dd MMMM yyyy"/>
                                    <w:lid w:val="en-GB"/>
                                    <w:storeMappedDataAs w:val="dateTime"/>
                                    <w:calendar w:val="gregorian"/>
                                  </w:date>
                                </w:sdtPr>
                                <w:sdtEndPr/>
                                <w:sdtContent>
                                  <w:p w14:paraId="48F080FD" w14:textId="3B0326AE" w:rsidR="00AE12C5" w:rsidRPr="00AE12C5" w:rsidRDefault="00AE12C5" w:rsidP="00AE12C5">
                                    <w:pPr>
                                      <w:pStyle w:val="NoSpacing"/>
                                      <w:spacing w:after="40"/>
                                      <w:jc w:val="center"/>
                                      <w:rPr>
                                        <w:caps/>
                                        <w:color w:val="156082" w:themeColor="accent1"/>
                                        <w:sz w:val="28"/>
                                        <w:szCs w:val="28"/>
                                      </w:rPr>
                                    </w:pPr>
                                    <w:r w:rsidRPr="00AE12C5">
                                      <w:rPr>
                                        <w:caps/>
                                        <w:color w:val="156082" w:themeColor="accent1"/>
                                        <w:sz w:val="28"/>
                                        <w:szCs w:val="28"/>
                                      </w:rPr>
                                      <w:t>17 November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2AC0C4" id="_x0000_t202" coordsize="21600,21600" o:spt="202" path="m,l,21600r21600,l21600,xe">
                    <v:stroke joinstyle="miter"/>
                    <v:path gradientshapeok="t" o:connecttype="rect"/>
                  </v:shapetype>
                  <v:shape id="Text Box 1" o:spid="_x0000_s1026" type="#_x0000_t202" style="position:absolute;left:0;text-align:left;margin-left:0;margin-top:0;width:451.3pt;height:19.1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17T00:00:00Z">
                              <w:dateFormat w:val="dd MMMM yyyy"/>
                              <w:lid w:val="en-GB"/>
                              <w:storeMappedDataAs w:val="dateTime"/>
                              <w:calendar w:val="gregorian"/>
                            </w:date>
                          </w:sdtPr>
                          <w:sdtEndPr/>
                          <w:sdtContent>
                            <w:p w14:paraId="48F080FD" w14:textId="3B0326AE" w:rsidR="00AE12C5" w:rsidRPr="00AE12C5" w:rsidRDefault="00AE12C5" w:rsidP="00AE12C5">
                              <w:pPr>
                                <w:pStyle w:val="NoSpacing"/>
                                <w:spacing w:after="40"/>
                                <w:jc w:val="center"/>
                                <w:rPr>
                                  <w:caps/>
                                  <w:color w:val="156082" w:themeColor="accent1"/>
                                  <w:sz w:val="28"/>
                                  <w:szCs w:val="28"/>
                                </w:rPr>
                              </w:pPr>
                              <w:r w:rsidRPr="00AE12C5">
                                <w:rPr>
                                  <w:caps/>
                                  <w:color w:val="156082" w:themeColor="accent1"/>
                                  <w:sz w:val="28"/>
                                  <w:szCs w:val="28"/>
                                </w:rPr>
                                <w:t>17 November 2025</w:t>
                              </w:r>
                            </w:p>
                          </w:sdtContent>
                        </w:sdt>
                      </w:txbxContent>
                    </v:textbox>
                    <w10:wrap anchorx="margin" anchory="page"/>
                  </v:shape>
                </w:pict>
              </mc:Fallback>
            </mc:AlternateContent>
          </w:r>
          <w:r w:rsidR="00AE12C5">
            <w:rPr>
              <w:noProof/>
              <w:color w:val="156082" w:themeColor="accent1"/>
            </w:rPr>
            <w:drawing>
              <wp:inline distT="0" distB="0" distL="0" distR="0" wp14:anchorId="31B4E733" wp14:editId="04164C2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493D60" w14:textId="77777777" w:rsidR="00E13714" w:rsidRDefault="00E13714">
          <w:pPr>
            <w:spacing w:before="0" w:after="160" w:line="259" w:lineRule="auto"/>
          </w:pPr>
        </w:p>
        <w:p w14:paraId="2FD47D4F" w14:textId="77777777" w:rsidR="00E13714" w:rsidRDefault="00E13714">
          <w:pPr>
            <w:spacing w:before="0" w:after="160" w:line="259" w:lineRule="auto"/>
          </w:pPr>
        </w:p>
        <w:p w14:paraId="4CA68855" w14:textId="77777777" w:rsidR="00E13714" w:rsidRPr="00A27530" w:rsidRDefault="00E13714">
          <w:pPr>
            <w:spacing w:before="0" w:after="160" w:line="259" w:lineRule="auto"/>
            <w:rPr>
              <w:color w:val="00B0F0"/>
            </w:rPr>
          </w:pPr>
        </w:p>
        <w:p w14:paraId="1A90D962" w14:textId="77777777" w:rsidR="00A27530" w:rsidRDefault="00A27530">
          <w:pPr>
            <w:spacing w:before="0" w:after="160" w:line="259" w:lineRule="auto"/>
            <w:rPr>
              <w:color w:val="00B0F0"/>
            </w:rPr>
          </w:pPr>
        </w:p>
        <w:p w14:paraId="3A58E9C5" w14:textId="77777777" w:rsidR="00A27530" w:rsidRDefault="00A27530">
          <w:pPr>
            <w:spacing w:before="0" w:after="160" w:line="259" w:lineRule="auto"/>
            <w:rPr>
              <w:color w:val="00B0F0"/>
            </w:rPr>
          </w:pPr>
        </w:p>
        <w:p w14:paraId="0F0174DC" w14:textId="77777777" w:rsidR="00A27530" w:rsidRDefault="00A27530">
          <w:pPr>
            <w:spacing w:before="0" w:after="160" w:line="259" w:lineRule="auto"/>
            <w:rPr>
              <w:color w:val="00B0F0"/>
            </w:rPr>
          </w:pPr>
        </w:p>
        <w:p w14:paraId="28B70169" w14:textId="79BB7DFB" w:rsidR="00A27530" w:rsidRPr="00A27530" w:rsidRDefault="00A27530">
          <w:pPr>
            <w:spacing w:before="0" w:after="160" w:line="259" w:lineRule="auto"/>
            <w:rPr>
              <w:color w:val="0B769F" w:themeColor="accent4" w:themeShade="BF"/>
            </w:rPr>
          </w:pPr>
          <w:r w:rsidRPr="00A27530">
            <w:rPr>
              <w:color w:val="0B769F" w:themeColor="accent4" w:themeShade="BF"/>
            </w:rPr>
            <w:t>Lecturer name: Laila Sura</w:t>
          </w:r>
          <w:r w:rsidR="00672960">
            <w:rPr>
              <w:color w:val="0B769F" w:themeColor="accent4" w:themeShade="BF"/>
            </w:rPr>
            <w:t>n</w:t>
          </w:r>
          <w:r w:rsidRPr="00A27530">
            <w:rPr>
              <w:color w:val="0B769F" w:themeColor="accent4" w:themeShade="BF"/>
            </w:rPr>
            <w:t>i</w:t>
          </w:r>
        </w:p>
        <w:p w14:paraId="4EEDD4AD" w14:textId="77777777" w:rsidR="00A27530" w:rsidRPr="00A27530" w:rsidRDefault="00A27530">
          <w:pPr>
            <w:spacing w:before="0" w:after="160" w:line="259" w:lineRule="auto"/>
            <w:rPr>
              <w:color w:val="0B769F" w:themeColor="accent4" w:themeShade="BF"/>
            </w:rPr>
          </w:pPr>
          <w:r w:rsidRPr="00A27530">
            <w:rPr>
              <w:color w:val="0B769F" w:themeColor="accent4" w:themeShade="BF"/>
            </w:rPr>
            <w:t>Student name: Monica Ana Oprea</w:t>
          </w:r>
        </w:p>
        <w:p w14:paraId="4F5DA913" w14:textId="4C1C0DFA" w:rsidR="00AE12C5" w:rsidRDefault="00A27530" w:rsidP="00A27530">
          <w:pPr>
            <w:spacing w:before="0" w:after="160" w:line="360" w:lineRule="auto"/>
            <w:jc w:val="both"/>
          </w:pPr>
          <w:r w:rsidRPr="00A27530">
            <w:rPr>
              <w:color w:val="0B769F" w:themeColor="accent4" w:themeShade="BF"/>
            </w:rPr>
            <w:t>Student ID.: 2315596</w:t>
          </w:r>
          <w:r w:rsidR="00AE12C5">
            <w:br w:type="page"/>
          </w:r>
        </w:p>
      </w:sdtContent>
    </w:sdt>
    <w:p w14:paraId="2FECF177" w14:textId="120466CF" w:rsidR="00CE4C82" w:rsidRPr="00FC5678" w:rsidRDefault="00FC5678" w:rsidP="00CE4C82">
      <w:pPr>
        <w:spacing w:before="100" w:beforeAutospacing="1" w:after="100" w:afterAutospacing="1" w:line="360" w:lineRule="auto"/>
        <w:jc w:val="both"/>
        <w:outlineLvl w:val="0"/>
        <w:rPr>
          <w:rFonts w:eastAsia="Times New Roman" w:cs="Arial"/>
          <w:b/>
          <w:bCs/>
          <w:color w:val="0070C0"/>
          <w:kern w:val="36"/>
          <w:sz w:val="28"/>
          <w:szCs w:val="28"/>
          <w:lang w:eastAsia="en-GB"/>
        </w:rPr>
      </w:pPr>
      <w:r w:rsidRPr="00A27530">
        <w:rPr>
          <w:rFonts w:eastAsia="Times New Roman" w:cs="Arial"/>
          <w:b/>
          <w:bCs/>
          <w:color w:val="0070C0"/>
          <w:kern w:val="36"/>
          <w:sz w:val="28"/>
          <w:szCs w:val="28"/>
          <w:u w:val="single"/>
          <w:lang w:eastAsia="en-GB"/>
        </w:rPr>
        <w:lastRenderedPageBreak/>
        <w:t>Table of Contents</w:t>
      </w:r>
      <w:r>
        <w:rPr>
          <w:rFonts w:eastAsia="Times New Roman" w:cs="Arial"/>
          <w:b/>
          <w:bCs/>
          <w:color w:val="0070C0"/>
          <w:kern w:val="36"/>
          <w:sz w:val="28"/>
          <w:szCs w:val="28"/>
          <w:lang w:eastAsia="en-GB"/>
        </w:rPr>
        <w:t>:</w:t>
      </w:r>
    </w:p>
    <w:p w14:paraId="5B515D00" w14:textId="77777777" w:rsidR="004151DE" w:rsidRDefault="004151DE" w:rsidP="00CE4C82">
      <w:pPr>
        <w:spacing w:before="100" w:beforeAutospacing="1" w:after="100" w:afterAutospacing="1" w:line="360" w:lineRule="auto"/>
        <w:jc w:val="both"/>
        <w:outlineLvl w:val="0"/>
        <w:rPr>
          <w:rFonts w:eastAsia="Times New Roman" w:cs="Arial"/>
          <w:b/>
          <w:bCs/>
          <w:color w:val="0070C0"/>
          <w:kern w:val="36"/>
          <w:sz w:val="22"/>
          <w:szCs w:val="22"/>
          <w:lang w:eastAsia="en-GB"/>
        </w:rPr>
      </w:pPr>
    </w:p>
    <w:tbl>
      <w:tblPr>
        <w:tblStyle w:val="GridTable5Dark-Accent1"/>
        <w:tblpPr w:leftFromText="180" w:rightFromText="180" w:horzAnchor="margin" w:tblpY="1008"/>
        <w:tblW w:w="9229" w:type="dxa"/>
        <w:tblLook w:val="04A0" w:firstRow="1" w:lastRow="0" w:firstColumn="1" w:lastColumn="0" w:noHBand="0" w:noVBand="1"/>
      </w:tblPr>
      <w:tblGrid>
        <w:gridCol w:w="6374"/>
        <w:gridCol w:w="2855"/>
      </w:tblGrid>
      <w:tr w:rsidR="00870659" w14:paraId="76427BB5" w14:textId="77777777" w:rsidTr="00CA6C07">
        <w:trPr>
          <w:cnfStyle w:val="100000000000" w:firstRow="1" w:lastRow="0" w:firstColumn="0" w:lastColumn="0" w:oddVBand="0" w:evenVBand="0" w:oddHBand="0"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6374" w:type="dxa"/>
          </w:tcPr>
          <w:p w14:paraId="5FB11514" w14:textId="77777777" w:rsidR="004D6C55" w:rsidRDefault="004D6C55" w:rsidP="0078249D">
            <w:pPr>
              <w:spacing w:before="100" w:beforeAutospacing="1" w:after="100" w:afterAutospacing="1" w:line="360" w:lineRule="auto"/>
              <w:jc w:val="both"/>
              <w:outlineLvl w:val="0"/>
              <w:rPr>
                <w:rFonts w:eastAsia="Times New Roman" w:cs="Arial"/>
                <w:b w:val="0"/>
                <w:bCs w:val="0"/>
                <w:color w:val="000000" w:themeColor="text1"/>
                <w:kern w:val="36"/>
                <w:sz w:val="22"/>
                <w:szCs w:val="22"/>
                <w:lang w:eastAsia="en-GB"/>
              </w:rPr>
            </w:pPr>
          </w:p>
          <w:p w14:paraId="4F423D6E" w14:textId="092E8516" w:rsidR="00D977F9" w:rsidRPr="004D6C55" w:rsidRDefault="004D6C55" w:rsidP="0078249D">
            <w:pPr>
              <w:spacing w:before="100" w:beforeAutospacing="1" w:after="100" w:afterAutospacing="1" w:line="360" w:lineRule="auto"/>
              <w:jc w:val="both"/>
              <w:outlineLvl w:val="0"/>
              <w:rPr>
                <w:rFonts w:eastAsia="Times New Roman" w:cs="Arial"/>
                <w:color w:val="000000" w:themeColor="text1"/>
                <w:kern w:val="36"/>
                <w:sz w:val="28"/>
                <w:szCs w:val="28"/>
                <w:lang w:eastAsia="en-GB"/>
              </w:rPr>
            </w:pPr>
            <w:r>
              <w:rPr>
                <w:rFonts w:eastAsia="Times New Roman" w:cs="Arial"/>
                <w:color w:val="000000" w:themeColor="text1"/>
                <w:kern w:val="36"/>
                <w:sz w:val="22"/>
                <w:szCs w:val="22"/>
                <w:lang w:eastAsia="en-GB"/>
              </w:rPr>
              <w:t xml:space="preserve">                                      </w:t>
            </w:r>
            <w:r w:rsidRPr="004D6C55">
              <w:rPr>
                <w:rFonts w:eastAsia="Times New Roman" w:cs="Arial"/>
                <w:color w:val="000000" w:themeColor="text1"/>
                <w:kern w:val="36"/>
                <w:sz w:val="28"/>
                <w:szCs w:val="28"/>
                <w:lang w:eastAsia="en-GB"/>
              </w:rPr>
              <w:t xml:space="preserve">  TOPICS</w:t>
            </w:r>
            <w:r>
              <w:rPr>
                <w:rFonts w:eastAsia="Times New Roman" w:cs="Arial"/>
                <w:color w:val="000000" w:themeColor="text1"/>
                <w:kern w:val="36"/>
                <w:sz w:val="28"/>
                <w:szCs w:val="28"/>
                <w:lang w:eastAsia="en-GB"/>
              </w:rPr>
              <w:t xml:space="preserve">                                                    </w:t>
            </w:r>
          </w:p>
        </w:tc>
        <w:tc>
          <w:tcPr>
            <w:tcW w:w="2855" w:type="dxa"/>
          </w:tcPr>
          <w:p w14:paraId="654C9574" w14:textId="77777777" w:rsidR="008B6146" w:rsidRDefault="008B6146" w:rsidP="0078249D">
            <w:pPr>
              <w:spacing w:before="100" w:beforeAutospacing="1" w:after="100" w:afterAutospacing="1" w:line="360" w:lineRule="auto"/>
              <w:jc w:val="both"/>
              <w:outlineLvl w:val="0"/>
              <w:cnfStyle w:val="100000000000" w:firstRow="1" w:lastRow="0" w:firstColumn="0" w:lastColumn="0" w:oddVBand="0" w:evenVBand="0" w:oddHBand="0" w:evenHBand="0" w:firstRowFirstColumn="0" w:firstRowLastColumn="0" w:lastRowFirstColumn="0" w:lastRowLastColumn="0"/>
              <w:rPr>
                <w:rFonts w:eastAsia="Times New Roman" w:cs="Arial"/>
                <w:b w:val="0"/>
                <w:bCs w:val="0"/>
                <w:color w:val="000000" w:themeColor="text1"/>
                <w:kern w:val="36"/>
                <w:sz w:val="28"/>
                <w:szCs w:val="28"/>
                <w:lang w:eastAsia="en-GB"/>
              </w:rPr>
            </w:pPr>
          </w:p>
          <w:p w14:paraId="3B3B8AA4" w14:textId="4178CAD9" w:rsidR="00870659" w:rsidRPr="009D4ACD" w:rsidRDefault="008B6146" w:rsidP="0078249D">
            <w:pPr>
              <w:spacing w:before="100" w:beforeAutospacing="1" w:after="100" w:afterAutospacing="1" w:line="360" w:lineRule="auto"/>
              <w:jc w:val="both"/>
              <w:outlineLvl w:val="0"/>
              <w:cnfStyle w:val="100000000000" w:firstRow="1" w:lastRow="0" w:firstColumn="0" w:lastColumn="0" w:oddVBand="0" w:evenVBand="0" w:oddHBand="0" w:evenHBand="0" w:firstRowFirstColumn="0" w:firstRowLastColumn="0" w:lastRowFirstColumn="0" w:lastRowLastColumn="0"/>
              <w:rPr>
                <w:rFonts w:eastAsia="Times New Roman" w:cs="Arial"/>
                <w:color w:val="000000" w:themeColor="text1"/>
                <w:kern w:val="36"/>
                <w:sz w:val="28"/>
                <w:szCs w:val="28"/>
                <w:lang w:eastAsia="en-GB"/>
              </w:rPr>
            </w:pPr>
            <w:r>
              <w:rPr>
                <w:rFonts w:eastAsia="Times New Roman" w:cs="Arial"/>
                <w:color w:val="000000" w:themeColor="text1"/>
                <w:kern w:val="36"/>
                <w:sz w:val="28"/>
                <w:szCs w:val="28"/>
                <w:lang w:eastAsia="en-GB"/>
              </w:rPr>
              <w:t xml:space="preserve">               </w:t>
            </w:r>
            <w:r w:rsidR="009D4ACD">
              <w:rPr>
                <w:rFonts w:eastAsia="Times New Roman" w:cs="Arial"/>
                <w:color w:val="000000" w:themeColor="text1"/>
                <w:kern w:val="36"/>
                <w:sz w:val="28"/>
                <w:szCs w:val="28"/>
                <w:lang w:eastAsia="en-GB"/>
              </w:rPr>
              <w:t>PAGE</w:t>
            </w:r>
          </w:p>
        </w:tc>
      </w:tr>
      <w:tr w:rsidR="00870659" w14:paraId="7B531B4E" w14:textId="77777777" w:rsidTr="00CA6C07">
        <w:trPr>
          <w:cnfStyle w:val="000000100000" w:firstRow="0" w:lastRow="0" w:firstColumn="0" w:lastColumn="0" w:oddVBand="0" w:evenVBand="0" w:oddHBand="1" w:evenHBand="0" w:firstRowFirstColumn="0" w:firstRowLastColumn="0" w:lastRowFirstColumn="0" w:lastRowLastColumn="0"/>
          <w:trHeight w:val="863"/>
        </w:trPr>
        <w:tc>
          <w:tcPr>
            <w:cnfStyle w:val="001000000000" w:firstRow="0" w:lastRow="0" w:firstColumn="1" w:lastColumn="0" w:oddVBand="0" w:evenVBand="0" w:oddHBand="0" w:evenHBand="0" w:firstRowFirstColumn="0" w:firstRowLastColumn="0" w:lastRowFirstColumn="0" w:lastRowLastColumn="0"/>
            <w:tcW w:w="6374" w:type="dxa"/>
          </w:tcPr>
          <w:p w14:paraId="6F90CF8E" w14:textId="11962F12" w:rsidR="00870659" w:rsidRPr="00C93040" w:rsidRDefault="008B6146" w:rsidP="00C93040">
            <w:pPr>
              <w:spacing w:before="100" w:beforeAutospacing="1" w:after="100" w:afterAutospacing="1" w:line="360" w:lineRule="auto"/>
              <w:jc w:val="center"/>
              <w:outlineLvl w:val="0"/>
              <w:rPr>
                <w:rFonts w:eastAsia="Times New Roman" w:cs="Arial"/>
                <w:b w:val="0"/>
                <w:bCs w:val="0"/>
                <w:color w:val="0070C0"/>
                <w:kern w:val="36"/>
                <w:sz w:val="22"/>
                <w:szCs w:val="22"/>
                <w:lang w:eastAsia="en-GB"/>
              </w:rPr>
            </w:pPr>
            <w:r w:rsidRPr="00C93040">
              <w:rPr>
                <w:rFonts w:eastAsia="Times New Roman" w:cs="Arial"/>
                <w:color w:val="000000" w:themeColor="text1"/>
                <w:sz w:val="22"/>
                <w:szCs w:val="22"/>
                <w:lang w:eastAsia="en-GB"/>
              </w:rPr>
              <w:t>Introduction</w:t>
            </w:r>
          </w:p>
        </w:tc>
        <w:tc>
          <w:tcPr>
            <w:tcW w:w="2855" w:type="dxa"/>
          </w:tcPr>
          <w:p w14:paraId="21775DB8" w14:textId="433B32D9" w:rsidR="00870659" w:rsidRPr="00A27530" w:rsidRDefault="00A27530" w:rsidP="0078249D">
            <w:pPr>
              <w:spacing w:before="100" w:beforeAutospacing="1" w:after="100" w:afterAutospacing="1" w:line="360" w:lineRule="auto"/>
              <w:jc w:val="both"/>
              <w:outlineLvl w:val="0"/>
              <w:cnfStyle w:val="000000100000" w:firstRow="0" w:lastRow="0" w:firstColumn="0" w:lastColumn="0" w:oddVBand="0" w:evenVBand="0" w:oddHBand="1" w:evenHBand="0" w:firstRowFirstColumn="0" w:firstRowLastColumn="0" w:lastRowFirstColumn="0" w:lastRowLastColumn="0"/>
              <w:rPr>
                <w:rFonts w:eastAsia="Times New Roman" w:cs="Arial"/>
                <w:b/>
                <w:bCs/>
                <w:color w:val="000000" w:themeColor="text1"/>
                <w:kern w:val="36"/>
                <w:sz w:val="22"/>
                <w:szCs w:val="22"/>
                <w:lang w:eastAsia="en-GB"/>
              </w:rPr>
            </w:pPr>
            <w:r>
              <w:rPr>
                <w:rFonts w:eastAsia="Times New Roman" w:cs="Arial"/>
                <w:b/>
                <w:bCs/>
                <w:color w:val="0070C0"/>
                <w:kern w:val="36"/>
                <w:sz w:val="22"/>
                <w:szCs w:val="22"/>
                <w:lang w:eastAsia="en-GB"/>
              </w:rPr>
              <w:t xml:space="preserve">                    3</w:t>
            </w:r>
          </w:p>
        </w:tc>
      </w:tr>
      <w:tr w:rsidR="00870659" w14:paraId="2B127863" w14:textId="77777777" w:rsidTr="00CA6C07">
        <w:trPr>
          <w:trHeight w:val="836"/>
        </w:trPr>
        <w:tc>
          <w:tcPr>
            <w:cnfStyle w:val="001000000000" w:firstRow="0" w:lastRow="0" w:firstColumn="1" w:lastColumn="0" w:oddVBand="0" w:evenVBand="0" w:oddHBand="0" w:evenHBand="0" w:firstRowFirstColumn="0" w:firstRowLastColumn="0" w:lastRowFirstColumn="0" w:lastRowLastColumn="0"/>
            <w:tcW w:w="6374" w:type="dxa"/>
          </w:tcPr>
          <w:p w14:paraId="3E4B79C5" w14:textId="22B9F459" w:rsidR="009C3097" w:rsidRPr="00C93040" w:rsidRDefault="009C3097" w:rsidP="00C93040">
            <w:pPr>
              <w:spacing w:before="100" w:beforeAutospacing="1" w:after="100" w:afterAutospacing="1" w:line="360" w:lineRule="auto"/>
              <w:jc w:val="center"/>
              <w:outlineLvl w:val="0"/>
              <w:rPr>
                <w:rFonts w:eastAsia="Times New Roman" w:cs="Arial"/>
                <w:b w:val="0"/>
                <w:bCs w:val="0"/>
                <w:color w:val="0070C0"/>
                <w:kern w:val="36"/>
                <w:sz w:val="22"/>
                <w:szCs w:val="22"/>
                <w:lang w:eastAsia="en-GB"/>
              </w:rPr>
            </w:pPr>
            <w:r w:rsidRPr="00C93040">
              <w:rPr>
                <w:rFonts w:eastAsia="Times New Roman" w:cs="Arial"/>
                <w:color w:val="000000" w:themeColor="text1"/>
                <w:kern w:val="36"/>
                <w:sz w:val="22"/>
                <w:szCs w:val="22"/>
                <w:lang w:eastAsia="en-GB"/>
              </w:rPr>
              <w:t>Background</w:t>
            </w:r>
          </w:p>
        </w:tc>
        <w:tc>
          <w:tcPr>
            <w:tcW w:w="2855" w:type="dxa"/>
          </w:tcPr>
          <w:p w14:paraId="708B4CE9" w14:textId="0BB37BBD" w:rsidR="00870659" w:rsidRDefault="00A27530" w:rsidP="0078249D">
            <w:pPr>
              <w:spacing w:before="100" w:beforeAutospacing="1" w:after="100" w:afterAutospacing="1" w:line="360" w:lineRule="auto"/>
              <w:jc w:val="both"/>
              <w:outlineLvl w:val="0"/>
              <w:cnfStyle w:val="000000000000" w:firstRow="0" w:lastRow="0" w:firstColumn="0" w:lastColumn="0" w:oddVBand="0" w:evenVBand="0" w:oddHBand="0"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 xml:space="preserve">                   2</w:t>
            </w:r>
          </w:p>
        </w:tc>
      </w:tr>
      <w:tr w:rsidR="00870659" w14:paraId="57C2C2A2" w14:textId="77777777" w:rsidTr="00CA6C07">
        <w:trPr>
          <w:cnfStyle w:val="000000100000" w:firstRow="0" w:lastRow="0" w:firstColumn="0" w:lastColumn="0" w:oddVBand="0" w:evenVBand="0" w:oddHBand="1" w:evenHBand="0" w:firstRowFirstColumn="0" w:firstRowLastColumn="0" w:lastRowFirstColumn="0" w:lastRowLastColumn="0"/>
          <w:trHeight w:val="863"/>
        </w:trPr>
        <w:tc>
          <w:tcPr>
            <w:cnfStyle w:val="001000000000" w:firstRow="0" w:lastRow="0" w:firstColumn="1" w:lastColumn="0" w:oddVBand="0" w:evenVBand="0" w:oddHBand="0" w:evenHBand="0" w:firstRowFirstColumn="0" w:firstRowLastColumn="0" w:lastRowFirstColumn="0" w:lastRowLastColumn="0"/>
            <w:tcW w:w="6374" w:type="dxa"/>
          </w:tcPr>
          <w:p w14:paraId="7EA13D9C" w14:textId="1FBBB8D0" w:rsidR="00870659" w:rsidRPr="00C93040" w:rsidRDefault="0078249D" w:rsidP="00C93040">
            <w:pPr>
              <w:spacing w:before="100" w:beforeAutospacing="1" w:after="100" w:afterAutospacing="1" w:line="360" w:lineRule="auto"/>
              <w:jc w:val="center"/>
              <w:outlineLvl w:val="0"/>
              <w:rPr>
                <w:rFonts w:eastAsia="Times New Roman" w:cs="Arial"/>
                <w:b w:val="0"/>
                <w:bCs w:val="0"/>
                <w:color w:val="000000" w:themeColor="text1"/>
                <w:kern w:val="36"/>
                <w:sz w:val="22"/>
                <w:szCs w:val="22"/>
                <w:lang w:eastAsia="en-GB"/>
              </w:rPr>
            </w:pPr>
            <w:r w:rsidRPr="00C93040">
              <w:rPr>
                <w:rFonts w:eastAsia="Times New Roman" w:cs="Arial"/>
                <w:color w:val="000000" w:themeColor="text1"/>
                <w:kern w:val="36"/>
                <w:sz w:val="22"/>
                <w:szCs w:val="22"/>
                <w:lang w:eastAsia="en-GB"/>
              </w:rPr>
              <w:t>Workforce:</w:t>
            </w:r>
            <w:r w:rsidR="00C93040" w:rsidRPr="00C93040">
              <w:rPr>
                <w:rFonts w:eastAsia="Times New Roman" w:cs="Arial"/>
                <w:color w:val="000000" w:themeColor="text1"/>
                <w:kern w:val="36"/>
                <w:sz w:val="22"/>
                <w:szCs w:val="22"/>
                <w:lang w:eastAsia="en-GB"/>
              </w:rPr>
              <w:t xml:space="preserve"> </w:t>
            </w:r>
            <w:r w:rsidRPr="00C93040">
              <w:rPr>
                <w:rFonts w:eastAsia="Times New Roman" w:cs="Arial"/>
                <w:color w:val="000000" w:themeColor="text1"/>
                <w:kern w:val="36"/>
                <w:sz w:val="22"/>
                <w:szCs w:val="22"/>
                <w:lang w:eastAsia="en-GB"/>
              </w:rPr>
              <w:t>Roles, Competencies, and Challenges</w:t>
            </w:r>
          </w:p>
        </w:tc>
        <w:tc>
          <w:tcPr>
            <w:tcW w:w="2855" w:type="dxa"/>
          </w:tcPr>
          <w:p w14:paraId="0AC58D1A" w14:textId="4253A48D" w:rsidR="00870659" w:rsidRDefault="00A27530" w:rsidP="0078249D">
            <w:pPr>
              <w:spacing w:before="100" w:beforeAutospacing="1" w:after="100" w:afterAutospacing="1" w:line="360" w:lineRule="auto"/>
              <w:jc w:val="both"/>
              <w:outlineLvl w:val="0"/>
              <w:cnfStyle w:val="000000100000" w:firstRow="0" w:lastRow="0" w:firstColumn="0" w:lastColumn="0" w:oddVBand="0" w:evenVBand="0" w:oddHBand="1"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 xml:space="preserve">                   3</w:t>
            </w:r>
          </w:p>
        </w:tc>
      </w:tr>
      <w:tr w:rsidR="00870659" w14:paraId="35AFCBD9" w14:textId="77777777" w:rsidTr="00CA6C07">
        <w:trPr>
          <w:trHeight w:val="836"/>
        </w:trPr>
        <w:tc>
          <w:tcPr>
            <w:cnfStyle w:val="001000000000" w:firstRow="0" w:lastRow="0" w:firstColumn="1" w:lastColumn="0" w:oddVBand="0" w:evenVBand="0" w:oddHBand="0" w:evenHBand="0" w:firstRowFirstColumn="0" w:firstRowLastColumn="0" w:lastRowFirstColumn="0" w:lastRowLastColumn="0"/>
            <w:tcW w:w="6374" w:type="dxa"/>
          </w:tcPr>
          <w:p w14:paraId="65B1B6C9" w14:textId="5804D564" w:rsidR="00870659" w:rsidRPr="00C93040" w:rsidRDefault="00C93040" w:rsidP="00C93040">
            <w:pPr>
              <w:spacing w:before="100" w:beforeAutospacing="1" w:after="100" w:afterAutospacing="1" w:line="360" w:lineRule="auto"/>
              <w:jc w:val="center"/>
              <w:outlineLvl w:val="0"/>
              <w:rPr>
                <w:rFonts w:eastAsia="Times New Roman" w:cs="Arial"/>
                <w:color w:val="0070C0"/>
                <w:kern w:val="36"/>
                <w:sz w:val="22"/>
                <w:szCs w:val="22"/>
                <w:lang w:eastAsia="en-GB"/>
              </w:rPr>
            </w:pPr>
            <w:r w:rsidRPr="00C93040">
              <w:rPr>
                <w:rFonts w:eastAsia="Times New Roman" w:cs="Arial"/>
                <w:color w:val="000000" w:themeColor="text1"/>
                <w:kern w:val="36"/>
                <w:sz w:val="22"/>
                <w:szCs w:val="22"/>
                <w:lang w:eastAsia="en-GB"/>
              </w:rPr>
              <w:t>Service Delivery: Pathway Integration and Operational Change</w:t>
            </w:r>
          </w:p>
        </w:tc>
        <w:tc>
          <w:tcPr>
            <w:tcW w:w="2855" w:type="dxa"/>
          </w:tcPr>
          <w:p w14:paraId="6DBE3979" w14:textId="3A86A6D6" w:rsidR="00870659" w:rsidRPr="00C93040" w:rsidRDefault="00A27530" w:rsidP="00C93040">
            <w:pPr>
              <w:spacing w:before="100" w:beforeAutospacing="1" w:after="100" w:afterAutospacing="1" w:line="360" w:lineRule="auto"/>
              <w:jc w:val="center"/>
              <w:outlineLvl w:val="0"/>
              <w:cnfStyle w:val="000000000000" w:firstRow="0" w:lastRow="0" w:firstColumn="0" w:lastColumn="0" w:oddVBand="0" w:evenVBand="0" w:oddHBand="0"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4</w:t>
            </w:r>
          </w:p>
        </w:tc>
      </w:tr>
      <w:tr w:rsidR="00870659" w14:paraId="0968608C" w14:textId="77777777" w:rsidTr="00CA6C07">
        <w:trPr>
          <w:cnfStyle w:val="000000100000" w:firstRow="0" w:lastRow="0" w:firstColumn="0" w:lastColumn="0" w:oddVBand="0" w:evenVBand="0" w:oddHBand="1" w:evenHBand="0" w:firstRowFirstColumn="0" w:firstRowLastColumn="0" w:lastRowFirstColumn="0" w:lastRowLastColumn="0"/>
          <w:trHeight w:val="863"/>
        </w:trPr>
        <w:tc>
          <w:tcPr>
            <w:cnfStyle w:val="001000000000" w:firstRow="0" w:lastRow="0" w:firstColumn="1" w:lastColumn="0" w:oddVBand="0" w:evenVBand="0" w:oddHBand="0" w:evenHBand="0" w:firstRowFirstColumn="0" w:firstRowLastColumn="0" w:lastRowFirstColumn="0" w:lastRowLastColumn="0"/>
            <w:tcW w:w="6374" w:type="dxa"/>
          </w:tcPr>
          <w:p w14:paraId="5E33C301" w14:textId="6E327EE4" w:rsidR="00870659" w:rsidRPr="00C93040" w:rsidRDefault="00C93040" w:rsidP="00C93040">
            <w:pPr>
              <w:spacing w:before="100" w:beforeAutospacing="1" w:after="100" w:afterAutospacing="1" w:line="360" w:lineRule="auto"/>
              <w:jc w:val="center"/>
              <w:outlineLvl w:val="0"/>
              <w:rPr>
                <w:rFonts w:eastAsia="Times New Roman" w:cs="Arial"/>
                <w:color w:val="0070C0"/>
                <w:kern w:val="36"/>
                <w:sz w:val="22"/>
                <w:szCs w:val="22"/>
                <w:lang w:eastAsia="en-GB"/>
              </w:rPr>
            </w:pPr>
            <w:r w:rsidRPr="00C93040">
              <w:rPr>
                <w:rFonts w:eastAsia="Times New Roman" w:cs="Arial"/>
                <w:color w:val="000000" w:themeColor="text1"/>
                <w:kern w:val="36"/>
                <w:sz w:val="22"/>
                <w:szCs w:val="22"/>
                <w:lang w:eastAsia="en-GB"/>
              </w:rPr>
              <w:t>Patient and Service User: Experience, Perceptions, and Ethics</w:t>
            </w:r>
          </w:p>
        </w:tc>
        <w:tc>
          <w:tcPr>
            <w:tcW w:w="2855" w:type="dxa"/>
          </w:tcPr>
          <w:p w14:paraId="02CCE48B" w14:textId="5ABB2234" w:rsidR="00870659" w:rsidRPr="00C93040" w:rsidRDefault="00A27530" w:rsidP="00C93040">
            <w:pPr>
              <w:spacing w:before="100" w:beforeAutospacing="1" w:after="100" w:afterAutospacing="1" w:line="360" w:lineRule="auto"/>
              <w:jc w:val="center"/>
              <w:outlineLvl w:val="0"/>
              <w:cnfStyle w:val="000000100000" w:firstRow="0" w:lastRow="0" w:firstColumn="0" w:lastColumn="0" w:oddVBand="0" w:evenVBand="0" w:oddHBand="1"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6</w:t>
            </w:r>
          </w:p>
        </w:tc>
      </w:tr>
      <w:tr w:rsidR="00870659" w14:paraId="5C7F4D29" w14:textId="77777777" w:rsidTr="00CA6C07">
        <w:trPr>
          <w:trHeight w:val="836"/>
        </w:trPr>
        <w:tc>
          <w:tcPr>
            <w:cnfStyle w:val="001000000000" w:firstRow="0" w:lastRow="0" w:firstColumn="1" w:lastColumn="0" w:oddVBand="0" w:evenVBand="0" w:oddHBand="0" w:evenHBand="0" w:firstRowFirstColumn="0" w:firstRowLastColumn="0" w:lastRowFirstColumn="0" w:lastRowLastColumn="0"/>
            <w:tcW w:w="6374" w:type="dxa"/>
          </w:tcPr>
          <w:p w14:paraId="34613826" w14:textId="37BA9DB2" w:rsidR="00870659" w:rsidRPr="00C93040" w:rsidRDefault="00C93040" w:rsidP="00C93040">
            <w:pPr>
              <w:spacing w:before="100" w:beforeAutospacing="1" w:after="100" w:afterAutospacing="1" w:line="360" w:lineRule="auto"/>
              <w:jc w:val="center"/>
              <w:outlineLvl w:val="0"/>
              <w:rPr>
                <w:rFonts w:eastAsia="Times New Roman" w:cs="Arial"/>
                <w:color w:val="0070C0"/>
                <w:kern w:val="36"/>
                <w:sz w:val="22"/>
                <w:szCs w:val="22"/>
                <w:lang w:eastAsia="en-GB"/>
              </w:rPr>
            </w:pPr>
            <w:r w:rsidRPr="00C93040">
              <w:rPr>
                <w:rFonts w:eastAsia="Times New Roman" w:cs="Arial"/>
                <w:color w:val="000000" w:themeColor="text1"/>
                <w:kern w:val="36"/>
                <w:sz w:val="22"/>
                <w:szCs w:val="22"/>
                <w:lang w:eastAsia="en-GB"/>
              </w:rPr>
              <w:t>Community: Public Health, Families, and Co-production</w:t>
            </w:r>
          </w:p>
        </w:tc>
        <w:tc>
          <w:tcPr>
            <w:tcW w:w="2855" w:type="dxa"/>
          </w:tcPr>
          <w:p w14:paraId="10B3CAFF" w14:textId="1E3A2E72" w:rsidR="00870659" w:rsidRPr="00C93040" w:rsidRDefault="00A27530" w:rsidP="00C93040">
            <w:pPr>
              <w:spacing w:before="100" w:beforeAutospacing="1" w:after="100" w:afterAutospacing="1" w:line="360" w:lineRule="auto"/>
              <w:jc w:val="center"/>
              <w:outlineLvl w:val="0"/>
              <w:cnfStyle w:val="000000000000" w:firstRow="0" w:lastRow="0" w:firstColumn="0" w:lastColumn="0" w:oddVBand="0" w:evenVBand="0" w:oddHBand="0"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7</w:t>
            </w:r>
          </w:p>
        </w:tc>
      </w:tr>
      <w:tr w:rsidR="00870659" w14:paraId="137C28C9" w14:textId="77777777" w:rsidTr="00CA6C07">
        <w:trPr>
          <w:cnfStyle w:val="000000100000" w:firstRow="0" w:lastRow="0" w:firstColumn="0" w:lastColumn="0" w:oddVBand="0" w:evenVBand="0" w:oddHBand="1"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6374" w:type="dxa"/>
          </w:tcPr>
          <w:p w14:paraId="342C0518" w14:textId="0F533780" w:rsidR="00870659" w:rsidRPr="00C93040" w:rsidRDefault="00C93040" w:rsidP="00C93040">
            <w:pPr>
              <w:spacing w:before="100" w:beforeAutospacing="1" w:after="100" w:afterAutospacing="1" w:line="360" w:lineRule="auto"/>
              <w:jc w:val="center"/>
              <w:outlineLvl w:val="0"/>
              <w:rPr>
                <w:rFonts w:eastAsia="Times New Roman" w:cs="Arial"/>
                <w:color w:val="0070C0"/>
                <w:kern w:val="36"/>
                <w:sz w:val="22"/>
                <w:szCs w:val="22"/>
                <w:lang w:eastAsia="en-GB"/>
              </w:rPr>
            </w:pPr>
            <w:r w:rsidRPr="00C93040">
              <w:rPr>
                <w:rFonts w:eastAsia="Times New Roman" w:cs="Arial"/>
                <w:color w:val="000000" w:themeColor="text1"/>
                <w:kern w:val="36"/>
                <w:sz w:val="22"/>
                <w:szCs w:val="22"/>
                <w:lang w:eastAsia="en-GB"/>
              </w:rPr>
              <w:t>Cost and Value: Economic Considerations</w:t>
            </w:r>
          </w:p>
        </w:tc>
        <w:tc>
          <w:tcPr>
            <w:tcW w:w="2855" w:type="dxa"/>
          </w:tcPr>
          <w:p w14:paraId="17CC4B94" w14:textId="083C9B9B" w:rsidR="00870659" w:rsidRPr="00C93040" w:rsidRDefault="00A27530" w:rsidP="00C93040">
            <w:pPr>
              <w:spacing w:before="100" w:beforeAutospacing="1" w:after="100" w:afterAutospacing="1" w:line="360" w:lineRule="auto"/>
              <w:jc w:val="center"/>
              <w:outlineLvl w:val="0"/>
              <w:cnfStyle w:val="000000100000" w:firstRow="0" w:lastRow="0" w:firstColumn="0" w:lastColumn="0" w:oddVBand="0" w:evenVBand="0" w:oddHBand="1"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8</w:t>
            </w:r>
          </w:p>
        </w:tc>
      </w:tr>
      <w:tr w:rsidR="00A27530" w14:paraId="6729F9EC" w14:textId="77777777" w:rsidTr="00CA6C07">
        <w:trPr>
          <w:trHeight w:val="836"/>
        </w:trPr>
        <w:tc>
          <w:tcPr>
            <w:cnfStyle w:val="001000000000" w:firstRow="0" w:lastRow="0" w:firstColumn="1" w:lastColumn="0" w:oddVBand="0" w:evenVBand="0" w:oddHBand="0" w:evenHBand="0" w:firstRowFirstColumn="0" w:firstRowLastColumn="0" w:lastRowFirstColumn="0" w:lastRowLastColumn="0"/>
            <w:tcW w:w="6374" w:type="dxa"/>
          </w:tcPr>
          <w:p w14:paraId="60AD47A7" w14:textId="695CB9AB" w:rsidR="00A27530" w:rsidRPr="00C93040" w:rsidRDefault="00A27530" w:rsidP="00C93040">
            <w:pPr>
              <w:spacing w:before="100" w:beforeAutospacing="1" w:after="100" w:afterAutospacing="1" w:line="360" w:lineRule="auto"/>
              <w:jc w:val="center"/>
              <w:outlineLvl w:val="0"/>
              <w:rPr>
                <w:rFonts w:eastAsia="Times New Roman" w:cs="Arial"/>
                <w:color w:val="000000" w:themeColor="text1"/>
                <w:kern w:val="36"/>
                <w:sz w:val="22"/>
                <w:szCs w:val="22"/>
                <w:lang w:eastAsia="en-GB"/>
              </w:rPr>
            </w:pPr>
            <w:r>
              <w:rPr>
                <w:rFonts w:eastAsia="Times New Roman" w:cs="Arial"/>
                <w:color w:val="000000" w:themeColor="text1"/>
                <w:kern w:val="36"/>
                <w:sz w:val="22"/>
                <w:szCs w:val="22"/>
                <w:lang w:eastAsia="en-GB"/>
              </w:rPr>
              <w:t>Data Protection and GDPR</w:t>
            </w:r>
          </w:p>
        </w:tc>
        <w:tc>
          <w:tcPr>
            <w:tcW w:w="2855" w:type="dxa"/>
          </w:tcPr>
          <w:p w14:paraId="72A2B5EB" w14:textId="5065AED2" w:rsidR="00A27530" w:rsidRDefault="00A27530" w:rsidP="00C93040">
            <w:pPr>
              <w:spacing w:before="100" w:beforeAutospacing="1" w:after="100" w:afterAutospacing="1" w:line="360" w:lineRule="auto"/>
              <w:jc w:val="center"/>
              <w:outlineLvl w:val="0"/>
              <w:cnfStyle w:val="000000000000" w:firstRow="0" w:lastRow="0" w:firstColumn="0" w:lastColumn="0" w:oddVBand="0" w:evenVBand="0" w:oddHBand="0"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9</w:t>
            </w:r>
          </w:p>
        </w:tc>
      </w:tr>
      <w:tr w:rsidR="00A27530" w14:paraId="4ED2144E" w14:textId="77777777" w:rsidTr="00CA6C07">
        <w:trPr>
          <w:cnfStyle w:val="000000100000" w:firstRow="0" w:lastRow="0" w:firstColumn="0" w:lastColumn="0" w:oddVBand="0" w:evenVBand="0" w:oddHBand="1"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6374" w:type="dxa"/>
          </w:tcPr>
          <w:p w14:paraId="4DA04B20" w14:textId="7836AB10" w:rsidR="00A27530" w:rsidRDefault="00A27530" w:rsidP="00C93040">
            <w:pPr>
              <w:spacing w:before="100" w:beforeAutospacing="1" w:after="100" w:afterAutospacing="1" w:line="360" w:lineRule="auto"/>
              <w:jc w:val="center"/>
              <w:outlineLvl w:val="0"/>
              <w:rPr>
                <w:rFonts w:eastAsia="Times New Roman" w:cs="Arial"/>
                <w:color w:val="000000" w:themeColor="text1"/>
                <w:kern w:val="36"/>
                <w:sz w:val="22"/>
                <w:szCs w:val="22"/>
                <w:lang w:eastAsia="en-GB"/>
              </w:rPr>
            </w:pPr>
            <w:r w:rsidRPr="00A27530">
              <w:rPr>
                <w:rFonts w:eastAsia="Times New Roman" w:cs="Arial"/>
                <w:color w:val="000000" w:themeColor="text1"/>
                <w:kern w:val="36"/>
                <w:sz w:val="22"/>
                <w:szCs w:val="22"/>
                <w:lang w:eastAsia="en-GB"/>
              </w:rPr>
              <w:t>Application of Change Management Learning</w:t>
            </w:r>
          </w:p>
        </w:tc>
        <w:tc>
          <w:tcPr>
            <w:tcW w:w="2855" w:type="dxa"/>
          </w:tcPr>
          <w:p w14:paraId="196EE84A" w14:textId="021DA445" w:rsidR="00A27530" w:rsidRDefault="00A27530" w:rsidP="00C93040">
            <w:pPr>
              <w:spacing w:before="100" w:beforeAutospacing="1" w:after="100" w:afterAutospacing="1" w:line="360" w:lineRule="auto"/>
              <w:jc w:val="center"/>
              <w:outlineLvl w:val="0"/>
              <w:cnfStyle w:val="000000100000" w:firstRow="0" w:lastRow="0" w:firstColumn="0" w:lastColumn="0" w:oddVBand="0" w:evenVBand="0" w:oddHBand="1"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11</w:t>
            </w:r>
          </w:p>
        </w:tc>
      </w:tr>
      <w:tr w:rsidR="00C93040" w14:paraId="4D5B4876" w14:textId="77777777" w:rsidTr="00CA6C07">
        <w:trPr>
          <w:trHeight w:val="836"/>
        </w:trPr>
        <w:tc>
          <w:tcPr>
            <w:cnfStyle w:val="001000000000" w:firstRow="0" w:lastRow="0" w:firstColumn="1" w:lastColumn="0" w:oddVBand="0" w:evenVBand="0" w:oddHBand="0" w:evenHBand="0" w:firstRowFirstColumn="0" w:firstRowLastColumn="0" w:lastRowFirstColumn="0" w:lastRowLastColumn="0"/>
            <w:tcW w:w="6374" w:type="dxa"/>
          </w:tcPr>
          <w:p w14:paraId="1457F4B3" w14:textId="4D3F7AEE" w:rsidR="00C93040" w:rsidRPr="00C93040" w:rsidRDefault="00C93040" w:rsidP="00C93040">
            <w:pPr>
              <w:spacing w:before="100" w:beforeAutospacing="1" w:after="100" w:afterAutospacing="1" w:line="360" w:lineRule="auto"/>
              <w:jc w:val="center"/>
              <w:outlineLvl w:val="0"/>
              <w:rPr>
                <w:rFonts w:eastAsia="Times New Roman" w:cs="Arial"/>
                <w:color w:val="000000" w:themeColor="text1"/>
                <w:kern w:val="36"/>
                <w:sz w:val="22"/>
                <w:szCs w:val="22"/>
                <w:lang w:eastAsia="en-GB"/>
              </w:rPr>
            </w:pPr>
            <w:r w:rsidRPr="00C93040">
              <w:rPr>
                <w:rFonts w:eastAsia="Times New Roman" w:cs="Arial"/>
                <w:color w:val="000000" w:themeColor="text1"/>
                <w:kern w:val="36"/>
                <w:sz w:val="22"/>
                <w:szCs w:val="22"/>
                <w:lang w:eastAsia="en-GB"/>
              </w:rPr>
              <w:t>Conclusion</w:t>
            </w:r>
          </w:p>
        </w:tc>
        <w:tc>
          <w:tcPr>
            <w:tcW w:w="2855" w:type="dxa"/>
          </w:tcPr>
          <w:p w14:paraId="0D533D17" w14:textId="794D97E7" w:rsidR="00C93040" w:rsidRPr="00C93040" w:rsidRDefault="00A27530" w:rsidP="00C93040">
            <w:pPr>
              <w:spacing w:before="100" w:beforeAutospacing="1" w:after="100" w:afterAutospacing="1" w:line="360" w:lineRule="auto"/>
              <w:jc w:val="center"/>
              <w:outlineLvl w:val="0"/>
              <w:cnfStyle w:val="000000000000" w:firstRow="0" w:lastRow="0" w:firstColumn="0" w:lastColumn="0" w:oddVBand="0" w:evenVBand="0" w:oddHBand="0"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12</w:t>
            </w:r>
          </w:p>
        </w:tc>
      </w:tr>
      <w:tr w:rsidR="00C93040" w14:paraId="289A2526" w14:textId="77777777" w:rsidTr="00CA6C07">
        <w:trPr>
          <w:cnfStyle w:val="000000100000" w:firstRow="0" w:lastRow="0" w:firstColumn="0" w:lastColumn="0" w:oddVBand="0" w:evenVBand="0" w:oddHBand="1" w:evenHBand="0" w:firstRowFirstColumn="0" w:firstRowLastColumn="0" w:lastRowFirstColumn="0" w:lastRowLastColumn="0"/>
          <w:trHeight w:val="836"/>
        </w:trPr>
        <w:tc>
          <w:tcPr>
            <w:cnfStyle w:val="001000000000" w:firstRow="0" w:lastRow="0" w:firstColumn="1" w:lastColumn="0" w:oddVBand="0" w:evenVBand="0" w:oddHBand="0" w:evenHBand="0" w:firstRowFirstColumn="0" w:firstRowLastColumn="0" w:lastRowFirstColumn="0" w:lastRowLastColumn="0"/>
            <w:tcW w:w="6374" w:type="dxa"/>
          </w:tcPr>
          <w:p w14:paraId="0BC48C87" w14:textId="18F50158" w:rsidR="00C93040" w:rsidRPr="00C93040" w:rsidRDefault="00CA6C07" w:rsidP="00C93040">
            <w:pPr>
              <w:spacing w:before="100" w:beforeAutospacing="1" w:after="100" w:afterAutospacing="1" w:line="360" w:lineRule="auto"/>
              <w:jc w:val="center"/>
              <w:outlineLvl w:val="0"/>
              <w:rPr>
                <w:rFonts w:eastAsia="Times New Roman" w:cs="Arial"/>
                <w:color w:val="000000" w:themeColor="text1"/>
                <w:kern w:val="36"/>
                <w:sz w:val="22"/>
                <w:szCs w:val="22"/>
                <w:lang w:eastAsia="en-GB"/>
              </w:rPr>
            </w:pPr>
            <w:r>
              <w:rPr>
                <w:rFonts w:eastAsia="Times New Roman" w:cs="Arial"/>
                <w:color w:val="000000" w:themeColor="text1"/>
                <w:kern w:val="36"/>
                <w:sz w:val="22"/>
                <w:szCs w:val="22"/>
                <w:lang w:eastAsia="en-GB"/>
              </w:rPr>
              <w:t>References</w:t>
            </w:r>
          </w:p>
        </w:tc>
        <w:tc>
          <w:tcPr>
            <w:tcW w:w="2855" w:type="dxa"/>
          </w:tcPr>
          <w:p w14:paraId="0E4FDB3B" w14:textId="481218C8" w:rsidR="00C93040" w:rsidRPr="00C93040" w:rsidRDefault="00A27530" w:rsidP="00C93040">
            <w:pPr>
              <w:spacing w:before="100" w:beforeAutospacing="1" w:after="100" w:afterAutospacing="1" w:line="360" w:lineRule="auto"/>
              <w:jc w:val="center"/>
              <w:outlineLvl w:val="0"/>
              <w:cnfStyle w:val="000000100000" w:firstRow="0" w:lastRow="0" w:firstColumn="0" w:lastColumn="0" w:oddVBand="0" w:evenVBand="0" w:oddHBand="1" w:evenHBand="0" w:firstRowFirstColumn="0" w:firstRowLastColumn="0" w:lastRowFirstColumn="0" w:lastRowLastColumn="0"/>
              <w:rPr>
                <w:rFonts w:eastAsia="Times New Roman" w:cs="Arial"/>
                <w:b/>
                <w:bCs/>
                <w:color w:val="0070C0"/>
                <w:kern w:val="36"/>
                <w:sz w:val="22"/>
                <w:szCs w:val="22"/>
                <w:lang w:eastAsia="en-GB"/>
              </w:rPr>
            </w:pPr>
            <w:r>
              <w:rPr>
                <w:rFonts w:eastAsia="Times New Roman" w:cs="Arial"/>
                <w:b/>
                <w:bCs/>
                <w:color w:val="0070C0"/>
                <w:kern w:val="36"/>
                <w:sz w:val="22"/>
                <w:szCs w:val="22"/>
                <w:lang w:eastAsia="en-GB"/>
              </w:rPr>
              <w:t>13</w:t>
            </w:r>
          </w:p>
        </w:tc>
      </w:tr>
    </w:tbl>
    <w:p w14:paraId="0100081B" w14:textId="77777777" w:rsidR="004151DE" w:rsidRPr="004151DE" w:rsidRDefault="004151DE" w:rsidP="00CE4C82">
      <w:pPr>
        <w:spacing w:before="100" w:beforeAutospacing="1" w:after="100" w:afterAutospacing="1" w:line="360" w:lineRule="auto"/>
        <w:jc w:val="both"/>
        <w:outlineLvl w:val="0"/>
        <w:rPr>
          <w:rFonts w:eastAsia="Times New Roman" w:cs="Arial"/>
          <w:b/>
          <w:bCs/>
          <w:color w:val="0070C0"/>
          <w:kern w:val="36"/>
          <w:sz w:val="22"/>
          <w:szCs w:val="22"/>
          <w:lang w:eastAsia="en-GB"/>
        </w:rPr>
      </w:pPr>
    </w:p>
    <w:p w14:paraId="7B9F357D" w14:textId="77777777" w:rsidR="000B702A" w:rsidRDefault="000B702A" w:rsidP="00CE4C82">
      <w:pPr>
        <w:spacing w:before="100" w:beforeAutospacing="1" w:after="100" w:afterAutospacing="1" w:line="360" w:lineRule="auto"/>
        <w:jc w:val="both"/>
        <w:outlineLvl w:val="1"/>
        <w:rPr>
          <w:rFonts w:eastAsia="Times New Roman" w:cs="Arial"/>
          <w:b/>
          <w:bCs/>
          <w:color w:val="0070C0"/>
          <w:sz w:val="22"/>
          <w:szCs w:val="22"/>
          <w:lang w:eastAsia="en-GB"/>
        </w:rPr>
      </w:pPr>
    </w:p>
    <w:p w14:paraId="4CE8AEE3" w14:textId="77777777" w:rsidR="000B702A" w:rsidRDefault="000B702A" w:rsidP="00CE4C82">
      <w:pPr>
        <w:spacing w:before="100" w:beforeAutospacing="1" w:after="100" w:afterAutospacing="1" w:line="360" w:lineRule="auto"/>
        <w:jc w:val="both"/>
        <w:outlineLvl w:val="1"/>
        <w:rPr>
          <w:rFonts w:eastAsia="Times New Roman" w:cs="Arial"/>
          <w:b/>
          <w:bCs/>
          <w:color w:val="0070C0"/>
          <w:sz w:val="22"/>
          <w:szCs w:val="22"/>
          <w:lang w:eastAsia="en-GB"/>
        </w:rPr>
      </w:pPr>
    </w:p>
    <w:p w14:paraId="29DBC0CD" w14:textId="54FDF1E0" w:rsidR="000B702A" w:rsidRDefault="000B702A" w:rsidP="00CE4C82">
      <w:pPr>
        <w:spacing w:before="100" w:beforeAutospacing="1" w:after="100" w:afterAutospacing="1" w:line="360" w:lineRule="auto"/>
        <w:jc w:val="both"/>
        <w:outlineLvl w:val="1"/>
        <w:rPr>
          <w:rFonts w:eastAsia="Times New Roman" w:cs="Arial"/>
          <w:b/>
          <w:bCs/>
          <w:color w:val="0070C0"/>
          <w:sz w:val="22"/>
          <w:szCs w:val="22"/>
          <w:lang w:eastAsia="en-GB"/>
        </w:rPr>
      </w:pPr>
    </w:p>
    <w:p w14:paraId="2FF83C38" w14:textId="63EA2D61" w:rsidR="00CE4C82" w:rsidRPr="004151DE" w:rsidRDefault="00CE4C82" w:rsidP="00CE4C82">
      <w:pPr>
        <w:spacing w:before="100" w:beforeAutospacing="1" w:after="100" w:afterAutospacing="1" w:line="360" w:lineRule="auto"/>
        <w:jc w:val="both"/>
        <w:outlineLvl w:val="1"/>
        <w:rPr>
          <w:rFonts w:eastAsia="Times New Roman" w:cs="Arial"/>
          <w:b/>
          <w:bCs/>
          <w:color w:val="0070C0"/>
          <w:sz w:val="22"/>
          <w:szCs w:val="22"/>
          <w:lang w:eastAsia="en-GB"/>
        </w:rPr>
      </w:pPr>
      <w:r w:rsidRPr="004151DE">
        <w:rPr>
          <w:rFonts w:eastAsia="Times New Roman" w:cs="Arial"/>
          <w:b/>
          <w:bCs/>
          <w:color w:val="0070C0"/>
          <w:sz w:val="22"/>
          <w:szCs w:val="22"/>
          <w:lang w:eastAsia="en-GB"/>
        </w:rPr>
        <w:t xml:space="preserve">1. </w:t>
      </w:r>
      <w:r w:rsidRPr="004151DE">
        <w:rPr>
          <w:rFonts w:eastAsia="Times New Roman" w:cs="Arial"/>
          <w:b/>
          <w:bCs/>
          <w:color w:val="0070C0"/>
          <w:sz w:val="28"/>
          <w:szCs w:val="28"/>
          <w:lang w:eastAsia="en-GB"/>
        </w:rPr>
        <w:t>Introduction</w:t>
      </w:r>
    </w:p>
    <w:p w14:paraId="612B0FF3" w14:textId="32E42642"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The integration of genomic technologies into the National Health Service (NHS) represents one of the most transformative digital innovations in contemporary healthcare. The United Kingdom (UK) has positioned itself as a global leader in this field through the </w:t>
      </w:r>
      <w:r w:rsidRPr="0022393C">
        <w:rPr>
          <w:rFonts w:eastAsia="Times New Roman" w:cs="Arial"/>
          <w:sz w:val="22"/>
          <w:szCs w:val="22"/>
          <w:lang w:eastAsia="en-GB"/>
        </w:rPr>
        <w:t>100,000 Genomes Project (2013–2018)</w:t>
      </w:r>
      <w:r w:rsidRPr="00CE4C82">
        <w:rPr>
          <w:rFonts w:eastAsia="Times New Roman" w:cs="Arial"/>
          <w:sz w:val="22"/>
          <w:szCs w:val="22"/>
          <w:lang w:eastAsia="en-GB"/>
        </w:rPr>
        <w:t xml:space="preserve"> and the subsequent establishment of the </w:t>
      </w:r>
      <w:r w:rsidRPr="0022393C">
        <w:rPr>
          <w:rFonts w:eastAsia="Times New Roman" w:cs="Arial"/>
          <w:sz w:val="22"/>
          <w:szCs w:val="22"/>
          <w:lang w:eastAsia="en-GB"/>
        </w:rPr>
        <w:t xml:space="preserve">NHS Genomic Medicine Service (GMS) </w:t>
      </w:r>
      <w:r w:rsidRPr="00CE4C82">
        <w:rPr>
          <w:rFonts w:eastAsia="Times New Roman" w:cs="Arial"/>
          <w:sz w:val="22"/>
          <w:szCs w:val="22"/>
          <w:lang w:eastAsia="en-GB"/>
        </w:rPr>
        <w:t>in 2018 (Genomics England, 2022). These initiatives aimed to integrate genomic data into routine NHS care, particularly for rare diseases, cancers, and hereditary conditions.</w:t>
      </w:r>
    </w:p>
    <w:p w14:paraId="0E0709F5" w14:textId="683098AA" w:rsidR="00CE4C82" w:rsidRPr="00CE4C82" w:rsidRDefault="00CE4C82" w:rsidP="005617F3">
      <w:pPr>
        <w:spacing w:before="100" w:beforeAutospacing="1" w:after="100" w:afterAutospacing="1" w:line="360" w:lineRule="auto"/>
        <w:jc w:val="both"/>
        <w:rPr>
          <w:rFonts w:eastAsia="Times New Roman" w:cs="Arial"/>
          <w:sz w:val="22"/>
          <w:szCs w:val="22"/>
          <w:lang w:eastAsia="en-GB"/>
        </w:rPr>
      </w:pPr>
      <w:r w:rsidRPr="003C0197">
        <w:rPr>
          <w:rFonts w:eastAsia="Times New Roman" w:cs="Arial"/>
          <w:sz w:val="22"/>
          <w:szCs w:val="22"/>
          <w:lang w:eastAsia="en-GB"/>
        </w:rPr>
        <w:t xml:space="preserve">This </w:t>
      </w:r>
      <w:r w:rsidR="00781435">
        <w:rPr>
          <w:rFonts w:eastAsia="Times New Roman" w:cs="Arial"/>
          <w:sz w:val="22"/>
          <w:szCs w:val="22"/>
          <w:lang w:eastAsia="en-GB"/>
        </w:rPr>
        <w:t xml:space="preserve">report </w:t>
      </w:r>
      <w:r w:rsidRPr="003C0197">
        <w:rPr>
          <w:rFonts w:eastAsia="Times New Roman" w:cs="Arial"/>
          <w:sz w:val="22"/>
          <w:szCs w:val="22"/>
          <w:lang w:eastAsia="en-GB"/>
        </w:rPr>
        <w:t>evaluates the digital transformation represented by the implementation of WGS within UK healthcare. It explores the impacts on the workforce, service delivery, patients/service users, and the wider community, considering both positive and negative outcomes.</w:t>
      </w:r>
    </w:p>
    <w:p w14:paraId="72AA4621" w14:textId="3E25ABB2" w:rsidR="00CE4C82" w:rsidRPr="004151DE" w:rsidRDefault="00CE4C82" w:rsidP="00CE4C82">
      <w:pPr>
        <w:spacing w:before="100" w:beforeAutospacing="1" w:after="100" w:afterAutospacing="1" w:line="360" w:lineRule="auto"/>
        <w:jc w:val="both"/>
        <w:outlineLvl w:val="1"/>
        <w:rPr>
          <w:rFonts w:eastAsia="Times New Roman" w:cs="Arial"/>
          <w:b/>
          <w:bCs/>
          <w:color w:val="0070C0"/>
          <w:sz w:val="22"/>
          <w:szCs w:val="22"/>
          <w:lang w:eastAsia="en-GB"/>
        </w:rPr>
      </w:pPr>
      <w:r w:rsidRPr="004151DE">
        <w:rPr>
          <w:rFonts w:eastAsia="Times New Roman" w:cs="Arial"/>
          <w:b/>
          <w:bCs/>
          <w:color w:val="0070C0"/>
          <w:sz w:val="22"/>
          <w:szCs w:val="22"/>
          <w:lang w:eastAsia="en-GB"/>
        </w:rPr>
        <w:t xml:space="preserve">2. </w:t>
      </w:r>
      <w:r w:rsidRPr="004151DE">
        <w:rPr>
          <w:rFonts w:eastAsia="Times New Roman" w:cs="Arial"/>
          <w:b/>
          <w:bCs/>
          <w:color w:val="0070C0"/>
          <w:sz w:val="28"/>
          <w:szCs w:val="28"/>
          <w:lang w:eastAsia="en-GB"/>
        </w:rPr>
        <w:t>Background</w:t>
      </w:r>
    </w:p>
    <w:p w14:paraId="09514F7C" w14:textId="18A46B0D" w:rsidR="00CE4C82" w:rsidRPr="005D2BF6" w:rsidRDefault="00FB127B"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The digital transformation through genomics was driven by the UK government’s ambition to establish the NHS as the first health system to integrate genomic medicine at scale. The 100,000 Genomes Project, launched in 2012 and completed in 2018, </w:t>
      </w:r>
      <w:r w:rsidR="004E06A4">
        <w:rPr>
          <w:rFonts w:eastAsia="Times New Roman" w:cs="Arial"/>
          <w:sz w:val="22"/>
          <w:szCs w:val="22"/>
          <w:lang w:eastAsia="en-GB"/>
        </w:rPr>
        <w:t>catalysed</w:t>
      </w:r>
      <w:r>
        <w:rPr>
          <w:rFonts w:eastAsia="Times New Roman" w:cs="Arial"/>
          <w:sz w:val="22"/>
          <w:szCs w:val="22"/>
          <w:lang w:eastAsia="en-GB"/>
        </w:rPr>
        <w:t xml:space="preserve"> large-scale sequencing in collaboration between Genomics England and the Department of Health and Social Care (Turnbull </w:t>
      </w:r>
      <w:r w:rsidRPr="00DE2221">
        <w:rPr>
          <w:rFonts w:eastAsia="Times New Roman" w:cs="Arial"/>
          <w:i/>
          <w:iCs/>
          <w:sz w:val="22"/>
          <w:szCs w:val="22"/>
          <w:lang w:eastAsia="en-GB"/>
        </w:rPr>
        <w:t>et al</w:t>
      </w:r>
      <w:r>
        <w:rPr>
          <w:rFonts w:eastAsia="Times New Roman" w:cs="Arial"/>
          <w:sz w:val="22"/>
          <w:szCs w:val="22"/>
          <w:lang w:eastAsia="en-GB"/>
        </w:rPr>
        <w:t>., 2018). The project successfully sequenced over 100,000 genomes from patients with rare diseases and cancers, laying a strong foundation for clinical genomics (Genomics England, 2022).</w:t>
      </w:r>
    </w:p>
    <w:p w14:paraId="5683677C" w14:textId="4B1B3CF0" w:rsidR="00CE4C82" w:rsidRDefault="00FB127B" w:rsidP="005617F3">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In 2018, the NHS Genomic Medicine Service (GMS) was established to integrate WGS into routine care across England. This system is operated through seven Genomic Laboratory Hubs (GLHs) that ensure equitable access to testing, supported by the National Genomic Test Directory, which standardises tests and eligibility criteria (NHS England, 2022). The service is overseen by Genomics England, which also manages the National Genomic Research Library, creating a feedback loop between research and clinical care (Genomics England, 2023).</w:t>
      </w:r>
      <w:r w:rsidR="009B191B">
        <w:rPr>
          <w:rFonts w:eastAsia="Times New Roman" w:cs="Arial"/>
          <w:sz w:val="22"/>
          <w:szCs w:val="22"/>
          <w:lang w:eastAsia="en-GB"/>
        </w:rPr>
        <w:t xml:space="preserve"> </w:t>
      </w:r>
      <w:r>
        <w:rPr>
          <w:rFonts w:eastAsia="Times New Roman" w:cs="Arial"/>
          <w:sz w:val="22"/>
          <w:szCs w:val="22"/>
          <w:lang w:eastAsia="en-GB"/>
        </w:rPr>
        <w:t>Although considerable, this investment aims to deliver long-term savings through earlier diagnosis, targeted therapies, and improved disease prevention</w:t>
      </w:r>
      <w:r w:rsidR="006339F9">
        <w:rPr>
          <w:rFonts w:eastAsia="Times New Roman" w:cs="Arial"/>
          <w:sz w:val="22"/>
          <w:szCs w:val="22"/>
          <w:lang w:eastAsia="en-GB"/>
        </w:rPr>
        <w:t xml:space="preserve"> (The Guardian, 2025). </w:t>
      </w:r>
    </w:p>
    <w:p w14:paraId="596BE206" w14:textId="77777777" w:rsidR="00FC4F24" w:rsidRPr="00CE4C82" w:rsidRDefault="00FC4F24" w:rsidP="005617F3">
      <w:pPr>
        <w:spacing w:before="100" w:beforeAutospacing="1" w:after="100" w:afterAutospacing="1" w:line="360" w:lineRule="auto"/>
        <w:jc w:val="both"/>
        <w:rPr>
          <w:rFonts w:eastAsia="Times New Roman" w:cs="Arial"/>
          <w:sz w:val="22"/>
          <w:szCs w:val="22"/>
          <w:lang w:eastAsia="en-GB"/>
        </w:rPr>
      </w:pPr>
    </w:p>
    <w:p w14:paraId="30CB1199" w14:textId="3C66458B" w:rsidR="00A27530" w:rsidRPr="00A27530" w:rsidRDefault="00CE4C82" w:rsidP="00CE4C82">
      <w:pPr>
        <w:spacing w:before="100" w:beforeAutospacing="1" w:after="100" w:afterAutospacing="1" w:line="360" w:lineRule="auto"/>
        <w:jc w:val="both"/>
        <w:outlineLvl w:val="1"/>
        <w:rPr>
          <w:rFonts w:eastAsia="Times New Roman" w:cs="Arial"/>
          <w:b/>
          <w:bCs/>
          <w:color w:val="0070C0"/>
          <w:sz w:val="28"/>
          <w:szCs w:val="28"/>
          <w:lang w:eastAsia="en-GB"/>
        </w:rPr>
      </w:pPr>
      <w:r w:rsidRPr="004151DE">
        <w:rPr>
          <w:rFonts w:eastAsia="Times New Roman" w:cs="Arial"/>
          <w:b/>
          <w:bCs/>
          <w:color w:val="0070C0"/>
          <w:sz w:val="22"/>
          <w:szCs w:val="22"/>
          <w:lang w:eastAsia="en-GB"/>
        </w:rPr>
        <w:lastRenderedPageBreak/>
        <w:t xml:space="preserve">3. </w:t>
      </w:r>
      <w:r w:rsidRPr="004151DE">
        <w:rPr>
          <w:rFonts w:eastAsia="Times New Roman" w:cs="Arial"/>
          <w:b/>
          <w:bCs/>
          <w:color w:val="0070C0"/>
          <w:sz w:val="28"/>
          <w:szCs w:val="28"/>
          <w:lang w:eastAsia="en-GB"/>
        </w:rPr>
        <w:t>Workforce: Roles, Competencies, and Challenges</w:t>
      </w:r>
    </w:p>
    <w:p w14:paraId="014EDA97"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3.1</w:t>
      </w:r>
      <w:r w:rsidRPr="005D2BF6">
        <w:rPr>
          <w:rFonts w:eastAsia="Times New Roman" w:cs="Arial"/>
          <w:i/>
          <w:iCs/>
          <w:sz w:val="22"/>
          <w:szCs w:val="22"/>
          <w:lang w:eastAsia="en-GB"/>
        </w:rPr>
        <w:t xml:space="preserve"> Positive Impacts: Upskilling and Role Evolution</w:t>
      </w:r>
    </w:p>
    <w:p w14:paraId="49248E93" w14:textId="474AC9CC" w:rsidR="00CE4C82" w:rsidRPr="00CE4C82" w:rsidRDefault="00FB127B"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The implementation of WGS has significantly transformed the healthcare workforce. Conventional clinical roles have evolved, with new positions such as clinical bioinformaticians, genomic counsellors, and data scientists emerging</w:t>
      </w:r>
      <w:r w:rsidR="00A07ACB">
        <w:rPr>
          <w:rFonts w:eastAsia="Times New Roman" w:cs="Arial"/>
          <w:sz w:val="22"/>
          <w:szCs w:val="22"/>
          <w:lang w:eastAsia="en-GB"/>
        </w:rPr>
        <w:t xml:space="preserve"> </w:t>
      </w:r>
      <w:r>
        <w:rPr>
          <w:rFonts w:eastAsia="Times New Roman" w:cs="Arial"/>
          <w:sz w:val="22"/>
          <w:szCs w:val="22"/>
          <w:lang w:eastAsia="en-GB"/>
        </w:rPr>
        <w:t>(Health Education England, 2023).</w:t>
      </w:r>
    </w:p>
    <w:p w14:paraId="4324E20B" w14:textId="7AD8EAED" w:rsidR="00674E2E" w:rsidRPr="00CE4C82" w:rsidRDefault="00FB127B"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Mainstream clinicians, such as oncologists, cardiologists, and paediatricians, are now trained to request and interpret genomic tests directly, reducing reliance on specialised genetics clinics and improving patient access (Friedrich </w:t>
      </w:r>
      <w:r w:rsidRPr="00FB127B">
        <w:rPr>
          <w:rFonts w:eastAsia="Times New Roman" w:cs="Arial"/>
          <w:i/>
          <w:iCs/>
          <w:sz w:val="22"/>
          <w:szCs w:val="22"/>
          <w:lang w:eastAsia="en-GB"/>
        </w:rPr>
        <w:t>et al</w:t>
      </w:r>
      <w:r>
        <w:rPr>
          <w:rFonts w:eastAsia="Times New Roman" w:cs="Arial"/>
          <w:sz w:val="22"/>
          <w:szCs w:val="22"/>
          <w:lang w:eastAsia="en-GB"/>
        </w:rPr>
        <w:t>., 2024). This decentralisation marks a significant shift towards multidisciplinary collaboration, aligning with the NHS’s digital transformation objectives.</w:t>
      </w:r>
    </w:p>
    <w:p w14:paraId="01146BC6"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3.2 </w:t>
      </w:r>
      <w:r w:rsidRPr="005D2BF6">
        <w:rPr>
          <w:rFonts w:eastAsia="Times New Roman" w:cs="Arial"/>
          <w:i/>
          <w:iCs/>
          <w:sz w:val="22"/>
          <w:szCs w:val="22"/>
          <w:lang w:eastAsia="en-GB"/>
        </w:rPr>
        <w:t>Negative Impacts: Skills Gaps and Workforce Pressure</w:t>
      </w:r>
    </w:p>
    <w:p w14:paraId="07772F6C" w14:textId="564E318A"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There remains a </w:t>
      </w:r>
      <w:r w:rsidRPr="00CE4C82">
        <w:rPr>
          <w:rFonts w:eastAsia="Times New Roman" w:cs="Arial"/>
          <w:b/>
          <w:bCs/>
          <w:sz w:val="22"/>
          <w:szCs w:val="22"/>
          <w:lang w:eastAsia="en-GB"/>
        </w:rPr>
        <w:t>shortage of qualified genomic scientists and counsellors</w:t>
      </w:r>
      <w:r w:rsidRPr="00CE4C82">
        <w:rPr>
          <w:rFonts w:eastAsia="Times New Roman" w:cs="Arial"/>
          <w:sz w:val="22"/>
          <w:szCs w:val="22"/>
          <w:lang w:eastAsia="en-GB"/>
        </w:rPr>
        <w:t xml:space="preserve">, creating bottlenecks in data interpretation and patient communication. A 2023 qualitative study found that many NHS clinicians lack confidence in explaining complex genomic results to patients, reflecting persistent competency gaps (Peter </w:t>
      </w:r>
      <w:r w:rsidRPr="00674E2E">
        <w:rPr>
          <w:rFonts w:eastAsia="Times New Roman" w:cs="Arial"/>
          <w:i/>
          <w:iCs/>
          <w:sz w:val="22"/>
          <w:szCs w:val="22"/>
          <w:lang w:eastAsia="en-GB"/>
        </w:rPr>
        <w:t>et al</w:t>
      </w:r>
      <w:r w:rsidRPr="00CE4C82">
        <w:rPr>
          <w:rFonts w:eastAsia="Times New Roman" w:cs="Arial"/>
          <w:sz w:val="22"/>
          <w:szCs w:val="22"/>
          <w:lang w:eastAsia="en-GB"/>
        </w:rPr>
        <w:t>., 2022). Moreover, bioinformatics</w:t>
      </w:r>
      <w:r w:rsidR="00674E2E">
        <w:rPr>
          <w:rFonts w:eastAsia="Times New Roman" w:cs="Arial"/>
          <w:sz w:val="22"/>
          <w:szCs w:val="22"/>
          <w:lang w:eastAsia="en-GB"/>
        </w:rPr>
        <w:t xml:space="preserve">, </w:t>
      </w:r>
      <w:r w:rsidRPr="00CE4C82">
        <w:rPr>
          <w:rFonts w:eastAsia="Times New Roman" w:cs="Arial"/>
          <w:sz w:val="22"/>
          <w:szCs w:val="22"/>
          <w:lang w:eastAsia="en-GB"/>
        </w:rPr>
        <w:t>a core component of WGS</w:t>
      </w:r>
      <w:r w:rsidR="00674E2E">
        <w:rPr>
          <w:rFonts w:eastAsia="Times New Roman" w:cs="Arial"/>
          <w:sz w:val="22"/>
          <w:szCs w:val="22"/>
          <w:lang w:eastAsia="en-GB"/>
        </w:rPr>
        <w:t>,</w:t>
      </w:r>
      <w:r w:rsidRPr="00CE4C82">
        <w:rPr>
          <w:rFonts w:eastAsia="Times New Roman" w:cs="Arial"/>
          <w:sz w:val="22"/>
          <w:szCs w:val="22"/>
          <w:lang w:eastAsia="en-GB"/>
        </w:rPr>
        <w:t xml:space="preserve"> is a highly technical area with limited specialist capacity, leading to unequal service quality across regions (NHS England, 2022).</w:t>
      </w:r>
    </w:p>
    <w:p w14:paraId="02630753" w14:textId="2BA34792" w:rsidR="00CE4C82" w:rsidRPr="00CE4C82" w:rsidRDefault="00FB127B"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Clinicians must manage “variants of uncertain significance,” which require cautious interpretation and can cause moral strain when decisions might influence patients’ futures (Friedrich </w:t>
      </w:r>
      <w:r w:rsidRPr="00D23CEE">
        <w:rPr>
          <w:rFonts w:eastAsia="Times New Roman" w:cs="Arial"/>
          <w:i/>
          <w:iCs/>
          <w:sz w:val="22"/>
          <w:szCs w:val="22"/>
          <w:lang w:eastAsia="en-GB"/>
        </w:rPr>
        <w:t>et al</w:t>
      </w:r>
      <w:r>
        <w:rPr>
          <w:rFonts w:eastAsia="Times New Roman" w:cs="Arial"/>
          <w:sz w:val="22"/>
          <w:szCs w:val="22"/>
          <w:lang w:eastAsia="en-GB"/>
        </w:rPr>
        <w:t xml:space="preserve">., 2024). </w:t>
      </w:r>
    </w:p>
    <w:p w14:paraId="2C1CA5E7" w14:textId="6AAB02B5" w:rsidR="00CE4C82" w:rsidRPr="005D2BF6" w:rsidRDefault="00CE4C82" w:rsidP="00CE4C82">
      <w:pPr>
        <w:spacing w:before="100" w:beforeAutospacing="1" w:after="100" w:afterAutospacing="1" w:line="360" w:lineRule="auto"/>
        <w:jc w:val="both"/>
        <w:outlineLvl w:val="2"/>
        <w:rPr>
          <w:rFonts w:eastAsia="Times New Roman" w:cs="Arial"/>
          <w:i/>
          <w:iCs/>
          <w:sz w:val="22"/>
          <w:szCs w:val="22"/>
          <w:lang w:eastAsia="en-GB"/>
        </w:rPr>
      </w:pPr>
      <w:r w:rsidRPr="00CE4C82">
        <w:rPr>
          <w:rFonts w:eastAsia="Times New Roman" w:cs="Arial"/>
          <w:b/>
          <w:bCs/>
          <w:sz w:val="22"/>
          <w:szCs w:val="22"/>
          <w:lang w:eastAsia="en-GB"/>
        </w:rPr>
        <w:t xml:space="preserve">3.3 </w:t>
      </w:r>
      <w:r w:rsidRPr="005D2BF6">
        <w:rPr>
          <w:rFonts w:eastAsia="Times New Roman" w:cs="Arial"/>
          <w:i/>
          <w:iCs/>
          <w:sz w:val="22"/>
          <w:szCs w:val="22"/>
          <w:lang w:eastAsia="en-GB"/>
        </w:rPr>
        <w:t>Evaluation</w:t>
      </w:r>
    </w:p>
    <w:p w14:paraId="436F49E1" w14:textId="10C95F7B" w:rsidR="00CE4C82" w:rsidRDefault="00FB127B" w:rsidP="002E13ED">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It has upskilled thousands of clinicians and integrated genomics into mainstream practice, but gaps remain in specialist roles and equitable regional expertise. Future success relies on structured career pathways, retention incentives, and </w:t>
      </w:r>
      <w:r w:rsidR="00637E31">
        <w:rPr>
          <w:rFonts w:eastAsia="Times New Roman" w:cs="Arial"/>
          <w:sz w:val="22"/>
          <w:szCs w:val="22"/>
          <w:lang w:eastAsia="en-GB"/>
        </w:rPr>
        <w:t>the incorporation of</w:t>
      </w:r>
      <w:r>
        <w:rPr>
          <w:rFonts w:eastAsia="Times New Roman" w:cs="Arial"/>
          <w:sz w:val="22"/>
          <w:szCs w:val="22"/>
          <w:lang w:eastAsia="en-GB"/>
        </w:rPr>
        <w:t xml:space="preserve"> genomics into undergraduate medical and nursing curricula (Health Education England, 2023).</w:t>
      </w:r>
    </w:p>
    <w:p w14:paraId="74C43058" w14:textId="77777777" w:rsidR="00FC4F24" w:rsidRDefault="00FC4F24" w:rsidP="002E13ED">
      <w:pPr>
        <w:spacing w:before="100" w:beforeAutospacing="1" w:after="100" w:afterAutospacing="1" w:line="360" w:lineRule="auto"/>
        <w:jc w:val="both"/>
        <w:rPr>
          <w:rFonts w:eastAsia="Times New Roman" w:cs="Arial"/>
          <w:sz w:val="22"/>
          <w:szCs w:val="22"/>
          <w:lang w:eastAsia="en-GB"/>
        </w:rPr>
      </w:pPr>
    </w:p>
    <w:p w14:paraId="2CB4C3C9" w14:textId="77777777" w:rsidR="00FC4F24" w:rsidRDefault="00FC4F24" w:rsidP="002E13ED">
      <w:pPr>
        <w:spacing w:before="100" w:beforeAutospacing="1" w:after="100" w:afterAutospacing="1" w:line="360" w:lineRule="auto"/>
        <w:jc w:val="both"/>
        <w:rPr>
          <w:rFonts w:eastAsia="Times New Roman" w:cs="Arial"/>
          <w:sz w:val="22"/>
          <w:szCs w:val="22"/>
          <w:lang w:eastAsia="en-GB"/>
        </w:rPr>
      </w:pPr>
    </w:p>
    <w:p w14:paraId="610E8FAD" w14:textId="77777777" w:rsidR="00FC4F24" w:rsidRPr="00CE4C82" w:rsidRDefault="00FC4F24" w:rsidP="002E13ED">
      <w:pPr>
        <w:spacing w:before="100" w:beforeAutospacing="1" w:after="100" w:afterAutospacing="1" w:line="360" w:lineRule="auto"/>
        <w:jc w:val="both"/>
        <w:rPr>
          <w:rFonts w:eastAsia="Times New Roman" w:cs="Arial"/>
          <w:sz w:val="22"/>
          <w:szCs w:val="22"/>
          <w:lang w:eastAsia="en-GB"/>
        </w:rPr>
      </w:pPr>
    </w:p>
    <w:p w14:paraId="59156561" w14:textId="77777777" w:rsidR="00CE4C82" w:rsidRPr="004151DE" w:rsidRDefault="00CE4C82" w:rsidP="00CE4C82">
      <w:pPr>
        <w:spacing w:before="100" w:beforeAutospacing="1" w:after="100" w:afterAutospacing="1" w:line="360" w:lineRule="auto"/>
        <w:jc w:val="both"/>
        <w:outlineLvl w:val="1"/>
        <w:rPr>
          <w:rFonts w:eastAsia="Times New Roman" w:cs="Arial"/>
          <w:b/>
          <w:bCs/>
          <w:color w:val="0070C0"/>
          <w:sz w:val="22"/>
          <w:szCs w:val="22"/>
          <w:lang w:eastAsia="en-GB"/>
        </w:rPr>
      </w:pPr>
      <w:r w:rsidRPr="004151DE">
        <w:rPr>
          <w:rFonts w:eastAsia="Times New Roman" w:cs="Arial"/>
          <w:b/>
          <w:bCs/>
          <w:color w:val="0070C0"/>
          <w:sz w:val="22"/>
          <w:szCs w:val="22"/>
          <w:lang w:eastAsia="en-GB"/>
        </w:rPr>
        <w:lastRenderedPageBreak/>
        <w:t xml:space="preserve">4. </w:t>
      </w:r>
      <w:r w:rsidRPr="004151DE">
        <w:rPr>
          <w:rFonts w:eastAsia="Times New Roman" w:cs="Arial"/>
          <w:b/>
          <w:bCs/>
          <w:color w:val="0070C0"/>
          <w:sz w:val="28"/>
          <w:szCs w:val="28"/>
          <w:lang w:eastAsia="en-GB"/>
        </w:rPr>
        <w:t>Service Delivery: Pathway Integration and Operational Change</w:t>
      </w:r>
    </w:p>
    <w:p w14:paraId="24DF3127"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4.1 </w:t>
      </w:r>
      <w:r w:rsidRPr="005D2BF6">
        <w:rPr>
          <w:rFonts w:eastAsia="Times New Roman" w:cs="Arial"/>
          <w:i/>
          <w:iCs/>
          <w:sz w:val="22"/>
          <w:szCs w:val="22"/>
          <w:lang w:eastAsia="en-GB"/>
        </w:rPr>
        <w:t>Positive Outcomes: Diagnostic Efficiency and Personalised Medicine</w:t>
      </w:r>
    </w:p>
    <w:p w14:paraId="216D62C3" w14:textId="56033717" w:rsidR="00CE4C82" w:rsidRPr="00CE4C82" w:rsidRDefault="00FB127B"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Diagnostic pathways have been restructured to incorporate genomic sequencing as a standard step, especially for patients with rare diseases and cancers. A pivotal New England Journal of Medicine (2021) study showed that the 100,000 Genomes Project </w:t>
      </w:r>
      <w:r w:rsidR="00637E31">
        <w:rPr>
          <w:rFonts w:eastAsia="Times New Roman" w:cs="Arial"/>
          <w:sz w:val="22"/>
          <w:szCs w:val="22"/>
          <w:lang w:eastAsia="en-GB"/>
        </w:rPr>
        <w:t>significantly</w:t>
      </w:r>
      <w:r>
        <w:rPr>
          <w:rFonts w:eastAsia="Times New Roman" w:cs="Arial"/>
          <w:sz w:val="22"/>
          <w:szCs w:val="22"/>
          <w:lang w:eastAsia="en-GB"/>
        </w:rPr>
        <w:t xml:space="preserve"> improved diagnostic success across rare disease groups, enabling more accurate and quicker treatment decisions (Turnbull </w:t>
      </w:r>
      <w:r w:rsidRPr="00735FB0">
        <w:rPr>
          <w:rFonts w:eastAsia="Times New Roman" w:cs="Arial"/>
          <w:i/>
          <w:iCs/>
          <w:sz w:val="22"/>
          <w:szCs w:val="22"/>
          <w:lang w:eastAsia="en-GB"/>
        </w:rPr>
        <w:t>et al</w:t>
      </w:r>
      <w:r>
        <w:rPr>
          <w:rFonts w:eastAsia="Times New Roman" w:cs="Arial"/>
          <w:sz w:val="22"/>
          <w:szCs w:val="22"/>
          <w:lang w:eastAsia="en-GB"/>
        </w:rPr>
        <w:t>., 2018).</w:t>
      </w:r>
    </w:p>
    <w:p w14:paraId="7C729227" w14:textId="6868A600"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In oncology, genomic profiling enables </w:t>
      </w:r>
      <w:r w:rsidRPr="000E6119">
        <w:rPr>
          <w:rFonts w:eastAsia="Times New Roman" w:cs="Arial"/>
          <w:sz w:val="22"/>
          <w:szCs w:val="22"/>
          <w:lang w:eastAsia="en-GB"/>
        </w:rPr>
        <w:t>precision therapy</w:t>
      </w:r>
      <w:r w:rsidR="00CC75E8">
        <w:rPr>
          <w:rFonts w:eastAsia="Times New Roman" w:cs="Arial"/>
          <w:sz w:val="22"/>
          <w:szCs w:val="22"/>
          <w:lang w:eastAsia="en-GB"/>
        </w:rPr>
        <w:t xml:space="preserve"> with clear </w:t>
      </w:r>
      <w:r w:rsidR="006D1F9B">
        <w:rPr>
          <w:rFonts w:eastAsia="Times New Roman" w:cs="Arial"/>
          <w:sz w:val="22"/>
          <w:szCs w:val="22"/>
          <w:lang w:eastAsia="en-GB"/>
        </w:rPr>
        <w:t>performance metrics</w:t>
      </w:r>
      <w:r w:rsidRPr="00CE4C82">
        <w:rPr>
          <w:rFonts w:eastAsia="Times New Roman" w:cs="Arial"/>
          <w:sz w:val="22"/>
          <w:szCs w:val="22"/>
          <w:lang w:eastAsia="en-GB"/>
        </w:rPr>
        <w:t xml:space="preserve">, </w:t>
      </w:r>
      <w:r w:rsidR="006D1F9B">
        <w:rPr>
          <w:rFonts w:eastAsia="Times New Roman" w:cs="Arial"/>
          <w:sz w:val="22"/>
          <w:szCs w:val="22"/>
          <w:lang w:eastAsia="en-GB"/>
        </w:rPr>
        <w:t xml:space="preserve">tailoring treatment </w:t>
      </w:r>
      <w:r w:rsidRPr="00CE4C82">
        <w:rPr>
          <w:rFonts w:eastAsia="Times New Roman" w:cs="Arial"/>
          <w:sz w:val="22"/>
          <w:szCs w:val="22"/>
          <w:lang w:eastAsia="en-GB"/>
        </w:rPr>
        <w:t>to a tumour’s genetic characteristics rather than its anatomical origin</w:t>
      </w:r>
      <w:r w:rsidR="006D1F9B">
        <w:rPr>
          <w:rFonts w:eastAsia="Times New Roman" w:cs="Arial"/>
          <w:sz w:val="22"/>
          <w:szCs w:val="22"/>
          <w:lang w:eastAsia="en-GB"/>
        </w:rPr>
        <w:t xml:space="preserve"> (</w:t>
      </w:r>
      <w:r w:rsidR="00C86A71">
        <w:rPr>
          <w:rFonts w:eastAsia="Times New Roman" w:cs="Arial"/>
          <w:sz w:val="22"/>
          <w:szCs w:val="22"/>
          <w:lang w:eastAsia="en-GB"/>
        </w:rPr>
        <w:t xml:space="preserve"> </w:t>
      </w:r>
      <w:proofErr w:type="spellStart"/>
      <w:r w:rsidR="000B480C">
        <w:rPr>
          <w:rFonts w:eastAsia="Times New Roman" w:cs="Arial"/>
          <w:sz w:val="22"/>
          <w:szCs w:val="22"/>
          <w:lang w:eastAsia="en-GB"/>
        </w:rPr>
        <w:t>Goktas</w:t>
      </w:r>
      <w:proofErr w:type="spellEnd"/>
      <w:r w:rsidR="000B480C">
        <w:rPr>
          <w:rFonts w:eastAsia="Times New Roman" w:cs="Arial"/>
          <w:sz w:val="22"/>
          <w:szCs w:val="22"/>
          <w:lang w:eastAsia="en-GB"/>
        </w:rPr>
        <w:t xml:space="preserve"> and Grzybowski, 2025)</w:t>
      </w:r>
      <w:r w:rsidRPr="00CE4C82">
        <w:rPr>
          <w:rFonts w:eastAsia="Times New Roman" w:cs="Arial"/>
          <w:sz w:val="22"/>
          <w:szCs w:val="22"/>
          <w:lang w:eastAsia="en-GB"/>
        </w:rPr>
        <w:t>. This approach improves survival rates and reduces unnecessary chemotherapy exposure (NHS England, 2022). Furthermore, integrated data systems allow genomic results to be linked with electronic health records, supporting predictive analytics and population health planning (Genomics England, 2023).</w:t>
      </w:r>
    </w:p>
    <w:p w14:paraId="525DCEAA"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4.2 </w:t>
      </w:r>
      <w:r w:rsidRPr="009918F6">
        <w:rPr>
          <w:rFonts w:eastAsia="Times New Roman" w:cs="Arial"/>
          <w:i/>
          <w:iCs/>
          <w:sz w:val="22"/>
          <w:szCs w:val="22"/>
          <w:lang w:eastAsia="en-GB"/>
        </w:rPr>
        <w:t>Challenges: Infrastructure, Turnaround Time, and Governance</w:t>
      </w:r>
    </w:p>
    <w:p w14:paraId="73CE2A32" w14:textId="3D0BE340"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Genomic testing requires complex workflows — from sample collection to bioinformatic analysis and multidisciplinary review (Genomics England, 2022).</w:t>
      </w:r>
      <w:r w:rsidR="00FB127B">
        <w:rPr>
          <w:rFonts w:eastAsia="Times New Roman" w:cs="Arial"/>
          <w:sz w:val="22"/>
          <w:szCs w:val="22"/>
          <w:lang w:eastAsia="en-GB"/>
        </w:rPr>
        <w:t xml:space="preserve"> </w:t>
      </w:r>
      <w:r w:rsidRPr="00CE4C82">
        <w:rPr>
          <w:rFonts w:eastAsia="Times New Roman" w:cs="Arial"/>
          <w:sz w:val="22"/>
          <w:szCs w:val="22"/>
          <w:lang w:eastAsia="en-GB"/>
        </w:rPr>
        <w:t xml:space="preserve"> </w:t>
      </w:r>
      <w:r w:rsidR="00FB127B">
        <w:rPr>
          <w:rFonts w:eastAsia="Times New Roman" w:cs="Arial"/>
          <w:sz w:val="22"/>
          <w:szCs w:val="22"/>
          <w:lang w:eastAsia="en-GB"/>
        </w:rPr>
        <w:t xml:space="preserve">In this discussion, </w:t>
      </w:r>
      <w:r w:rsidR="00637E31">
        <w:rPr>
          <w:rFonts w:eastAsia="Times New Roman" w:cs="Arial"/>
          <w:sz w:val="22"/>
          <w:szCs w:val="22"/>
          <w:lang w:eastAsia="en-GB"/>
        </w:rPr>
        <w:t xml:space="preserve">regional disparities in laboratory capacity and informatics infrastructure confirm the cause of </w:t>
      </w:r>
      <w:r w:rsidRPr="00CE4C82">
        <w:rPr>
          <w:rFonts w:eastAsia="Times New Roman" w:cs="Arial"/>
          <w:sz w:val="22"/>
          <w:szCs w:val="22"/>
          <w:lang w:eastAsia="en-GB"/>
        </w:rPr>
        <w:t>inconsistent turnaround times</w:t>
      </w:r>
      <w:r w:rsidR="00637E31">
        <w:rPr>
          <w:rFonts w:eastAsia="Times New Roman" w:cs="Arial"/>
          <w:sz w:val="22"/>
          <w:szCs w:val="22"/>
          <w:lang w:eastAsia="en-GB"/>
        </w:rPr>
        <w:t xml:space="preserve"> (NHS England, 2024).</w:t>
      </w:r>
    </w:p>
    <w:p w14:paraId="4735A338" w14:textId="06BA47AF"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Data storage and security are also critical concerns. Genomic data are vast and sensitive, requiring secure cloud systems and stringent governance to prevent misuse (Genome UK, 2021). Moreover, returning </w:t>
      </w:r>
      <w:r w:rsidRPr="009249A5">
        <w:rPr>
          <w:rFonts w:eastAsia="Times New Roman" w:cs="Arial"/>
          <w:sz w:val="22"/>
          <w:szCs w:val="22"/>
          <w:lang w:eastAsia="en-GB"/>
        </w:rPr>
        <w:t>secondary findings</w:t>
      </w:r>
      <w:r w:rsidR="00A65AA5">
        <w:rPr>
          <w:rFonts w:eastAsia="Times New Roman" w:cs="Arial"/>
          <w:sz w:val="22"/>
          <w:szCs w:val="22"/>
          <w:lang w:eastAsia="en-GB"/>
        </w:rPr>
        <w:t xml:space="preserve"> —results unrelated to the initial clinical question — </w:t>
      </w:r>
      <w:r w:rsidRPr="00CE4C82">
        <w:rPr>
          <w:rFonts w:eastAsia="Times New Roman" w:cs="Arial"/>
          <w:sz w:val="22"/>
          <w:szCs w:val="22"/>
          <w:lang w:eastAsia="en-GB"/>
        </w:rPr>
        <w:t xml:space="preserve">introduces ethical complexity and additional workload. Recent studies </w:t>
      </w:r>
      <w:r w:rsidR="00637E31">
        <w:rPr>
          <w:rFonts w:eastAsia="Times New Roman" w:cs="Arial"/>
          <w:sz w:val="22"/>
          <w:szCs w:val="22"/>
          <w:lang w:eastAsia="en-GB"/>
        </w:rPr>
        <w:t>indicate</w:t>
      </w:r>
      <w:r w:rsidRPr="00CE4C82">
        <w:rPr>
          <w:rFonts w:eastAsia="Times New Roman" w:cs="Arial"/>
          <w:sz w:val="22"/>
          <w:szCs w:val="22"/>
          <w:lang w:eastAsia="en-GB"/>
        </w:rPr>
        <w:t xml:space="preserve"> that returning such findings adds significant cost per participant (Smith </w:t>
      </w:r>
      <w:r w:rsidRPr="000E6119">
        <w:rPr>
          <w:rFonts w:eastAsia="Times New Roman" w:cs="Arial"/>
          <w:i/>
          <w:iCs/>
          <w:sz w:val="22"/>
          <w:szCs w:val="22"/>
          <w:lang w:eastAsia="en-GB"/>
        </w:rPr>
        <w:t>et al</w:t>
      </w:r>
      <w:r w:rsidRPr="00CE4C82">
        <w:rPr>
          <w:rFonts w:eastAsia="Times New Roman" w:cs="Arial"/>
          <w:sz w:val="22"/>
          <w:szCs w:val="22"/>
          <w:lang w:eastAsia="en-GB"/>
        </w:rPr>
        <w:t>., 2025).</w:t>
      </w:r>
    </w:p>
    <w:p w14:paraId="6FC37A46" w14:textId="3594B12B" w:rsidR="00CE4C82" w:rsidRPr="009918F6" w:rsidRDefault="00CE4C82" w:rsidP="00CE4C82">
      <w:pPr>
        <w:spacing w:before="100" w:beforeAutospacing="1" w:after="100" w:afterAutospacing="1" w:line="360" w:lineRule="auto"/>
        <w:jc w:val="both"/>
        <w:outlineLvl w:val="2"/>
        <w:rPr>
          <w:rFonts w:eastAsia="Times New Roman" w:cs="Arial"/>
          <w:i/>
          <w:iCs/>
          <w:sz w:val="22"/>
          <w:szCs w:val="22"/>
          <w:lang w:eastAsia="en-GB"/>
        </w:rPr>
      </w:pPr>
      <w:r w:rsidRPr="00CE4C82">
        <w:rPr>
          <w:rFonts w:eastAsia="Times New Roman" w:cs="Arial"/>
          <w:b/>
          <w:bCs/>
          <w:sz w:val="22"/>
          <w:szCs w:val="22"/>
          <w:lang w:eastAsia="en-GB"/>
        </w:rPr>
        <w:t>4.3</w:t>
      </w:r>
      <w:r w:rsidRPr="009918F6">
        <w:rPr>
          <w:rFonts w:eastAsia="Times New Roman" w:cs="Arial"/>
          <w:i/>
          <w:iCs/>
          <w:sz w:val="22"/>
          <w:szCs w:val="22"/>
          <w:lang w:eastAsia="en-GB"/>
        </w:rPr>
        <w:t xml:space="preserve"> Evaluation</w:t>
      </w:r>
    </w:p>
    <w:p w14:paraId="4E944A0C" w14:textId="2B5AF5C0" w:rsidR="00CE4C82" w:rsidRPr="00CE4C82" w:rsidRDefault="00637E31" w:rsidP="00735FB0">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From a service-delivery standpoint, WGS has improved diagnostic processes to be more accurate and personalised, but logistical constraints and ethical governance issues limit these benefits. The challenge is in balancing technological innovation with operational practicality, ensuring consistent service quality across all NHS regions. Ongoing investment in digital infrastructure, secure data systems, and bioinformatics expertise is therefore essential to gaining an advantage in healthcare (Kaushik </w:t>
      </w:r>
      <w:r w:rsidRPr="00637E31">
        <w:rPr>
          <w:rFonts w:eastAsia="Times New Roman" w:cs="Arial"/>
          <w:i/>
          <w:iCs/>
          <w:sz w:val="22"/>
          <w:szCs w:val="22"/>
          <w:lang w:eastAsia="en-GB"/>
        </w:rPr>
        <w:t>et al</w:t>
      </w:r>
      <w:r>
        <w:rPr>
          <w:rFonts w:eastAsia="Times New Roman" w:cs="Arial"/>
          <w:sz w:val="22"/>
          <w:szCs w:val="22"/>
          <w:lang w:eastAsia="en-GB"/>
        </w:rPr>
        <w:t>., 2023).</w:t>
      </w:r>
    </w:p>
    <w:p w14:paraId="62934B0C" w14:textId="77777777" w:rsidR="00CE4C82" w:rsidRPr="004151DE" w:rsidRDefault="00CE4C82" w:rsidP="00CE4C82">
      <w:pPr>
        <w:spacing w:before="100" w:beforeAutospacing="1" w:after="100" w:afterAutospacing="1" w:line="360" w:lineRule="auto"/>
        <w:jc w:val="both"/>
        <w:outlineLvl w:val="1"/>
        <w:rPr>
          <w:rFonts w:eastAsia="Times New Roman" w:cs="Arial"/>
          <w:b/>
          <w:bCs/>
          <w:color w:val="0070C0"/>
          <w:sz w:val="22"/>
          <w:szCs w:val="22"/>
          <w:lang w:eastAsia="en-GB"/>
        </w:rPr>
      </w:pPr>
      <w:r w:rsidRPr="004151DE">
        <w:rPr>
          <w:rFonts w:eastAsia="Times New Roman" w:cs="Arial"/>
          <w:b/>
          <w:bCs/>
          <w:color w:val="0070C0"/>
          <w:sz w:val="22"/>
          <w:szCs w:val="22"/>
          <w:lang w:eastAsia="en-GB"/>
        </w:rPr>
        <w:lastRenderedPageBreak/>
        <w:t>5.</w:t>
      </w:r>
      <w:r w:rsidRPr="004151DE">
        <w:rPr>
          <w:rFonts w:eastAsia="Times New Roman" w:cs="Arial"/>
          <w:b/>
          <w:bCs/>
          <w:color w:val="0070C0"/>
          <w:sz w:val="28"/>
          <w:szCs w:val="28"/>
          <w:lang w:eastAsia="en-GB"/>
        </w:rPr>
        <w:t xml:space="preserve"> Patient and Service User: Experience, Perceptions, and Ethics</w:t>
      </w:r>
    </w:p>
    <w:p w14:paraId="47B2EBF1"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5.1 </w:t>
      </w:r>
      <w:r w:rsidRPr="009918F6">
        <w:rPr>
          <w:rFonts w:eastAsia="Times New Roman" w:cs="Arial"/>
          <w:i/>
          <w:iCs/>
          <w:sz w:val="22"/>
          <w:szCs w:val="22"/>
          <w:lang w:eastAsia="en-GB"/>
        </w:rPr>
        <w:t>Positive Impacts: Empowerment and Clinical Benefit</w:t>
      </w:r>
    </w:p>
    <w:p w14:paraId="36125B90" w14:textId="541B25B7" w:rsidR="00CE4C82" w:rsidRPr="00CE4C82" w:rsidRDefault="00A000C3"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For patients, WGS provides unparalleled opportunities for empowerment and understanding. Individuals with rare diseases often face a “diagnostic odyssey,” which can last years without clear answers. Genomic sequencing can deliver definitive diagnoses, guide treatments, and inform reproductive choices (Peter </w:t>
      </w:r>
      <w:r w:rsidRPr="00A000C3">
        <w:rPr>
          <w:rFonts w:eastAsia="Times New Roman" w:cs="Arial"/>
          <w:i/>
          <w:iCs/>
          <w:sz w:val="22"/>
          <w:szCs w:val="22"/>
          <w:lang w:eastAsia="en-GB"/>
        </w:rPr>
        <w:t>et al</w:t>
      </w:r>
      <w:r>
        <w:rPr>
          <w:rFonts w:eastAsia="Times New Roman" w:cs="Arial"/>
          <w:sz w:val="22"/>
          <w:szCs w:val="22"/>
          <w:lang w:eastAsia="en-GB"/>
        </w:rPr>
        <w:t xml:space="preserve">., 2022). Patients have reported relief from uncertainty and gratitude for their contributions to broader scientific research (Lyle </w:t>
      </w:r>
      <w:r w:rsidRPr="00A000C3">
        <w:rPr>
          <w:rFonts w:eastAsia="Times New Roman" w:cs="Arial"/>
          <w:i/>
          <w:iCs/>
          <w:sz w:val="22"/>
          <w:szCs w:val="22"/>
          <w:lang w:eastAsia="en-GB"/>
        </w:rPr>
        <w:t>et al</w:t>
      </w:r>
      <w:r>
        <w:rPr>
          <w:rFonts w:eastAsia="Times New Roman" w:cs="Arial"/>
          <w:sz w:val="22"/>
          <w:szCs w:val="22"/>
          <w:lang w:eastAsia="en-GB"/>
        </w:rPr>
        <w:t>., 2023).</w:t>
      </w:r>
    </w:p>
    <w:p w14:paraId="794F6313" w14:textId="77777777"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In oncology, WGS enables more effective and less toxic treatments by matching therapies to genetic profiles. This patient-centred approach aligns with the NHS’s “Long Term Plan,” which emphasises personalised and preventative care (NHS England, 2022).</w:t>
      </w:r>
    </w:p>
    <w:p w14:paraId="7598BFD8"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5.2 </w:t>
      </w:r>
      <w:r w:rsidRPr="009918F6">
        <w:rPr>
          <w:rFonts w:eastAsia="Times New Roman" w:cs="Arial"/>
          <w:i/>
          <w:iCs/>
          <w:sz w:val="22"/>
          <w:szCs w:val="22"/>
          <w:lang w:eastAsia="en-GB"/>
        </w:rPr>
        <w:t>Negative Impacts: Psychological and Ethical Complexities</w:t>
      </w:r>
    </w:p>
    <w:p w14:paraId="0004A9B3" w14:textId="584D09EA"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Some patients struggle with the emotional implications of knowing their genetic risks or uncertain findings</w:t>
      </w:r>
      <w:r w:rsidR="00A000C3">
        <w:rPr>
          <w:rFonts w:eastAsia="Times New Roman" w:cs="Arial"/>
          <w:sz w:val="22"/>
          <w:szCs w:val="22"/>
          <w:lang w:eastAsia="en-GB"/>
        </w:rPr>
        <w:t xml:space="preserve">, </w:t>
      </w:r>
      <w:r w:rsidRPr="00CE4C82">
        <w:rPr>
          <w:rFonts w:eastAsia="Times New Roman" w:cs="Arial"/>
          <w:sz w:val="22"/>
          <w:szCs w:val="22"/>
          <w:lang w:eastAsia="en-GB"/>
        </w:rPr>
        <w:t>leading to confusion and anxiet</w:t>
      </w:r>
      <w:r w:rsidR="00A000C3">
        <w:rPr>
          <w:rFonts w:eastAsia="Times New Roman" w:cs="Arial"/>
          <w:sz w:val="22"/>
          <w:szCs w:val="22"/>
          <w:lang w:eastAsia="en-GB"/>
        </w:rPr>
        <w:t>y</w:t>
      </w:r>
      <w:r w:rsidRPr="00CE4C82">
        <w:rPr>
          <w:rFonts w:eastAsia="Times New Roman" w:cs="Arial"/>
          <w:sz w:val="22"/>
          <w:szCs w:val="22"/>
          <w:lang w:eastAsia="en-GB"/>
        </w:rPr>
        <w:t xml:space="preserve">. Furthermore, </w:t>
      </w:r>
      <w:r w:rsidR="009F181B">
        <w:rPr>
          <w:rFonts w:eastAsia="Times New Roman" w:cs="Arial"/>
          <w:sz w:val="22"/>
          <w:szCs w:val="22"/>
          <w:lang w:eastAsia="en-GB"/>
        </w:rPr>
        <w:t>identifying</w:t>
      </w:r>
      <w:r w:rsidRPr="00CE4C82">
        <w:rPr>
          <w:rFonts w:eastAsia="Times New Roman" w:cs="Arial"/>
          <w:sz w:val="22"/>
          <w:szCs w:val="22"/>
          <w:lang w:eastAsia="en-GB"/>
        </w:rPr>
        <w:t xml:space="preserve"> hereditary variants </w:t>
      </w:r>
      <w:r w:rsidR="00012E4A">
        <w:rPr>
          <w:rFonts w:eastAsia="Times New Roman" w:cs="Arial"/>
          <w:sz w:val="22"/>
          <w:szCs w:val="22"/>
          <w:lang w:eastAsia="en-GB"/>
        </w:rPr>
        <w:t>poses communication challenges within families</w:t>
      </w:r>
      <w:r w:rsidRPr="00CE4C82">
        <w:rPr>
          <w:rFonts w:eastAsia="Times New Roman" w:cs="Arial"/>
          <w:sz w:val="22"/>
          <w:szCs w:val="22"/>
          <w:lang w:eastAsia="en-GB"/>
        </w:rPr>
        <w:t xml:space="preserve">, as relatives may face difficult decisions about testing and disclosure (Peter </w:t>
      </w:r>
      <w:r w:rsidRPr="00C55DF3">
        <w:rPr>
          <w:rFonts w:eastAsia="Times New Roman" w:cs="Arial"/>
          <w:i/>
          <w:iCs/>
          <w:sz w:val="22"/>
          <w:szCs w:val="22"/>
          <w:lang w:eastAsia="en-GB"/>
        </w:rPr>
        <w:t>et al</w:t>
      </w:r>
      <w:r w:rsidRPr="00CE4C82">
        <w:rPr>
          <w:rFonts w:eastAsia="Times New Roman" w:cs="Arial"/>
          <w:sz w:val="22"/>
          <w:szCs w:val="22"/>
          <w:lang w:eastAsia="en-GB"/>
        </w:rPr>
        <w:t>., 2022).</w:t>
      </w:r>
    </w:p>
    <w:p w14:paraId="769A5DCE" w14:textId="1D494DD4" w:rsidR="00815983"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Privacy concerns are also prominent. Despite strict governance by Genomics England, some participants worry about long-term data storage and potential discrimination, particularly regarding insurance or employment (Friedrich </w:t>
      </w:r>
      <w:r w:rsidRPr="00A27530">
        <w:rPr>
          <w:rFonts w:eastAsia="Times New Roman" w:cs="Arial"/>
          <w:i/>
          <w:iCs/>
          <w:sz w:val="22"/>
          <w:szCs w:val="22"/>
          <w:lang w:eastAsia="en-GB"/>
        </w:rPr>
        <w:t>et al</w:t>
      </w:r>
      <w:r w:rsidRPr="00CE4C82">
        <w:rPr>
          <w:rFonts w:eastAsia="Times New Roman" w:cs="Arial"/>
          <w:sz w:val="22"/>
          <w:szCs w:val="22"/>
          <w:lang w:eastAsia="en-GB"/>
        </w:rPr>
        <w:t xml:space="preserve">., 2024). </w:t>
      </w:r>
    </w:p>
    <w:p w14:paraId="5FDF1BC7" w14:textId="02C03E11"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5.3</w:t>
      </w:r>
      <w:r w:rsidRPr="009918F6">
        <w:rPr>
          <w:rFonts w:eastAsia="Times New Roman" w:cs="Arial"/>
          <w:i/>
          <w:iCs/>
          <w:sz w:val="22"/>
          <w:szCs w:val="22"/>
          <w:lang w:eastAsia="en-GB"/>
        </w:rPr>
        <w:t xml:space="preserve"> Evaluation</w:t>
      </w:r>
    </w:p>
    <w:p w14:paraId="1EB8D7F8" w14:textId="3316CA5A" w:rsidR="00FC4F24" w:rsidRPr="00CE4C82" w:rsidRDefault="00CE4C82" w:rsidP="00A000C3">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The quality of communication and counselling determines whether genomic information is beneficial or distressing. Therefore, embedding genetic counselling and culturally sensitive communication into all genomic services is essential for equitable patient outcomes.</w:t>
      </w:r>
    </w:p>
    <w:p w14:paraId="66954C51" w14:textId="77777777" w:rsidR="00CE4C82" w:rsidRPr="004151DE" w:rsidRDefault="00CE4C82" w:rsidP="00CE4C82">
      <w:pPr>
        <w:spacing w:before="100" w:beforeAutospacing="1" w:after="100" w:afterAutospacing="1" w:line="360" w:lineRule="auto"/>
        <w:jc w:val="both"/>
        <w:outlineLvl w:val="1"/>
        <w:rPr>
          <w:rFonts w:eastAsia="Times New Roman" w:cs="Arial"/>
          <w:b/>
          <w:bCs/>
          <w:color w:val="0070C0"/>
          <w:sz w:val="22"/>
          <w:szCs w:val="22"/>
          <w:lang w:eastAsia="en-GB"/>
        </w:rPr>
      </w:pPr>
      <w:r w:rsidRPr="004151DE">
        <w:rPr>
          <w:rFonts w:eastAsia="Times New Roman" w:cs="Arial"/>
          <w:b/>
          <w:bCs/>
          <w:color w:val="0070C0"/>
          <w:sz w:val="22"/>
          <w:szCs w:val="22"/>
          <w:lang w:eastAsia="en-GB"/>
        </w:rPr>
        <w:t xml:space="preserve">6. </w:t>
      </w:r>
      <w:r w:rsidRPr="004151DE">
        <w:rPr>
          <w:rFonts w:eastAsia="Times New Roman" w:cs="Arial"/>
          <w:b/>
          <w:bCs/>
          <w:color w:val="0070C0"/>
          <w:sz w:val="28"/>
          <w:szCs w:val="28"/>
          <w:lang w:eastAsia="en-GB"/>
        </w:rPr>
        <w:t>Community: Public Health, Families, and Co-production</w:t>
      </w:r>
    </w:p>
    <w:p w14:paraId="089DB90A" w14:textId="77777777"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6.1 </w:t>
      </w:r>
      <w:r w:rsidRPr="009918F6">
        <w:rPr>
          <w:rFonts w:eastAsia="Times New Roman" w:cs="Arial"/>
          <w:i/>
          <w:iCs/>
          <w:sz w:val="22"/>
          <w:szCs w:val="22"/>
          <w:lang w:eastAsia="en-GB"/>
        </w:rPr>
        <w:t>Community-Level Benefits</w:t>
      </w:r>
    </w:p>
    <w:p w14:paraId="25D0608B" w14:textId="509B94BB" w:rsidR="00CE4C82" w:rsidRPr="00CE4C82" w:rsidRDefault="00815983" w:rsidP="00CE4C82">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T</w:t>
      </w:r>
      <w:r w:rsidR="00CE4C82" w:rsidRPr="00C55DF3">
        <w:rPr>
          <w:rFonts w:eastAsia="Times New Roman" w:cs="Arial"/>
          <w:sz w:val="22"/>
          <w:szCs w:val="22"/>
          <w:lang w:eastAsia="en-GB"/>
        </w:rPr>
        <w:t>he Generation Study (2024)</w:t>
      </w:r>
      <w:r w:rsidR="00CE4C82" w:rsidRPr="00CE4C82">
        <w:rPr>
          <w:rFonts w:eastAsia="Times New Roman" w:cs="Arial"/>
          <w:sz w:val="22"/>
          <w:szCs w:val="22"/>
          <w:lang w:eastAsia="en-GB"/>
        </w:rPr>
        <w:t xml:space="preserve"> aims to sequence </w:t>
      </w:r>
      <w:r w:rsidR="00CE4C82" w:rsidRPr="00C55DF3">
        <w:rPr>
          <w:rFonts w:eastAsia="Times New Roman" w:cs="Arial"/>
          <w:sz w:val="22"/>
          <w:szCs w:val="22"/>
          <w:lang w:eastAsia="en-GB"/>
        </w:rPr>
        <w:t>100,000 newborns</w:t>
      </w:r>
      <w:r w:rsidR="00CE4C82" w:rsidRPr="00CE4C82">
        <w:rPr>
          <w:rFonts w:eastAsia="Times New Roman" w:cs="Arial"/>
          <w:sz w:val="22"/>
          <w:szCs w:val="22"/>
          <w:lang w:eastAsia="en-GB"/>
        </w:rPr>
        <w:t xml:space="preserve"> to detect over 200 genetic conditions treatable in early childhood (The Guardian, 2024)</w:t>
      </w:r>
      <w:r>
        <w:rPr>
          <w:rFonts w:eastAsia="Times New Roman" w:cs="Arial"/>
          <w:sz w:val="22"/>
          <w:szCs w:val="22"/>
          <w:lang w:eastAsia="en-GB"/>
        </w:rPr>
        <w:t xml:space="preserve">, which </w:t>
      </w:r>
      <w:r w:rsidR="00CE4C82" w:rsidRPr="00CE4C82">
        <w:rPr>
          <w:rFonts w:eastAsia="Times New Roman" w:cs="Arial"/>
          <w:sz w:val="22"/>
          <w:szCs w:val="22"/>
          <w:lang w:eastAsia="en-GB"/>
        </w:rPr>
        <w:t>represents a move from individual to population-based genomic medicine.</w:t>
      </w:r>
    </w:p>
    <w:p w14:paraId="461478E8" w14:textId="77777777"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lastRenderedPageBreak/>
        <w:t>Family-based “cascade testing” also extends benefits beyond the individual, allowing relatives to access testing and early interventions (Genomics England, 2023). Moreover, local communities benefit from genomic hubs that create research partnerships and local employment opportunities, fostering regional innovation.</w:t>
      </w:r>
    </w:p>
    <w:p w14:paraId="1A6F2FE7" w14:textId="77777777" w:rsidR="00CE4C82" w:rsidRPr="009918F6" w:rsidRDefault="00CE4C82" w:rsidP="00CE4C82">
      <w:pPr>
        <w:spacing w:before="100" w:beforeAutospacing="1" w:after="100" w:afterAutospacing="1" w:line="360" w:lineRule="auto"/>
        <w:jc w:val="both"/>
        <w:outlineLvl w:val="2"/>
        <w:rPr>
          <w:rFonts w:eastAsia="Times New Roman" w:cs="Arial"/>
          <w:i/>
          <w:iCs/>
          <w:sz w:val="22"/>
          <w:szCs w:val="22"/>
          <w:lang w:eastAsia="en-GB"/>
        </w:rPr>
      </w:pPr>
      <w:r w:rsidRPr="00CE4C82">
        <w:rPr>
          <w:rFonts w:eastAsia="Times New Roman" w:cs="Arial"/>
          <w:b/>
          <w:bCs/>
          <w:sz w:val="22"/>
          <w:szCs w:val="22"/>
          <w:lang w:eastAsia="en-GB"/>
        </w:rPr>
        <w:t xml:space="preserve">6.2 </w:t>
      </w:r>
      <w:r w:rsidRPr="009918F6">
        <w:rPr>
          <w:rFonts w:eastAsia="Times New Roman" w:cs="Arial"/>
          <w:i/>
          <w:iCs/>
          <w:sz w:val="22"/>
          <w:szCs w:val="22"/>
          <w:lang w:eastAsia="en-GB"/>
        </w:rPr>
        <w:t>Risks: Inequality and Public Trust</w:t>
      </w:r>
    </w:p>
    <w:p w14:paraId="368D7FAB" w14:textId="77777777"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Nevertheless, community-level challenges persist. Genomic uptake and literacy vary by socioeconomic status, ethnicity, and geography (Genome UK, 2021). Rural and deprived communities may face barriers to accessing genomic services due to distance, awareness, or digital exclusion (Friedrich </w:t>
      </w:r>
      <w:r w:rsidRPr="007B1ECC">
        <w:rPr>
          <w:rFonts w:eastAsia="Times New Roman" w:cs="Arial"/>
          <w:i/>
          <w:iCs/>
          <w:sz w:val="22"/>
          <w:szCs w:val="22"/>
          <w:lang w:eastAsia="en-GB"/>
        </w:rPr>
        <w:t>et al</w:t>
      </w:r>
      <w:r w:rsidRPr="00CE4C82">
        <w:rPr>
          <w:rFonts w:eastAsia="Times New Roman" w:cs="Arial"/>
          <w:sz w:val="22"/>
          <w:szCs w:val="22"/>
          <w:lang w:eastAsia="en-GB"/>
        </w:rPr>
        <w:t>., 2024). Without deliberate equity strategies, genomics could exacerbate existing health inequalities.</w:t>
      </w:r>
    </w:p>
    <w:p w14:paraId="6965BCF8" w14:textId="641A77FD" w:rsidR="00A27530"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Trust and co-production are critical for success. Public engagement efforts</w:t>
      </w:r>
      <w:r w:rsidR="007B1ECC">
        <w:rPr>
          <w:rFonts w:eastAsia="Times New Roman" w:cs="Arial"/>
          <w:sz w:val="22"/>
          <w:szCs w:val="22"/>
          <w:lang w:eastAsia="en-GB"/>
        </w:rPr>
        <w:t>,</w:t>
      </w:r>
      <w:r w:rsidRPr="00CE4C82">
        <w:rPr>
          <w:rFonts w:eastAsia="Times New Roman" w:cs="Arial"/>
          <w:sz w:val="22"/>
          <w:szCs w:val="22"/>
          <w:lang w:eastAsia="en-GB"/>
        </w:rPr>
        <w:t xml:space="preserve"> including citizens’ juries and patient advisory boards</w:t>
      </w:r>
      <w:r w:rsidR="007B1ECC">
        <w:rPr>
          <w:rFonts w:eastAsia="Times New Roman" w:cs="Arial"/>
          <w:sz w:val="22"/>
          <w:szCs w:val="22"/>
          <w:lang w:eastAsia="en-GB"/>
        </w:rPr>
        <w:t xml:space="preserve">, </w:t>
      </w:r>
      <w:r w:rsidRPr="00CE4C82">
        <w:rPr>
          <w:rFonts w:eastAsia="Times New Roman" w:cs="Arial"/>
          <w:sz w:val="22"/>
          <w:szCs w:val="22"/>
          <w:lang w:eastAsia="en-GB"/>
        </w:rPr>
        <w:t xml:space="preserve">have been effective in increasing understanding, but concerns remain about data privacy and commercial access to genomic databases (Lyle </w:t>
      </w:r>
      <w:r w:rsidRPr="007B1ECC">
        <w:rPr>
          <w:rFonts w:eastAsia="Times New Roman" w:cs="Arial"/>
          <w:i/>
          <w:iCs/>
          <w:sz w:val="22"/>
          <w:szCs w:val="22"/>
          <w:lang w:eastAsia="en-GB"/>
        </w:rPr>
        <w:t>et al</w:t>
      </w:r>
      <w:r w:rsidRPr="00CE4C82">
        <w:rPr>
          <w:rFonts w:eastAsia="Times New Roman" w:cs="Arial"/>
          <w:sz w:val="22"/>
          <w:szCs w:val="22"/>
          <w:lang w:eastAsia="en-GB"/>
        </w:rPr>
        <w:t xml:space="preserve">., 2023). </w:t>
      </w:r>
    </w:p>
    <w:p w14:paraId="3A708160" w14:textId="01D1968F" w:rsidR="00CE4C82" w:rsidRPr="00CE4C82" w:rsidRDefault="00CE4C82" w:rsidP="00CE4C82">
      <w:pPr>
        <w:spacing w:before="100" w:beforeAutospacing="1" w:after="100" w:afterAutospacing="1" w:line="360" w:lineRule="auto"/>
        <w:jc w:val="both"/>
        <w:outlineLvl w:val="2"/>
        <w:rPr>
          <w:rFonts w:eastAsia="Times New Roman" w:cs="Arial"/>
          <w:b/>
          <w:bCs/>
          <w:sz w:val="22"/>
          <w:szCs w:val="22"/>
          <w:lang w:eastAsia="en-GB"/>
        </w:rPr>
      </w:pPr>
      <w:r w:rsidRPr="00CE4C82">
        <w:rPr>
          <w:rFonts w:eastAsia="Times New Roman" w:cs="Arial"/>
          <w:b/>
          <w:bCs/>
          <w:sz w:val="22"/>
          <w:szCs w:val="22"/>
          <w:lang w:eastAsia="en-GB"/>
        </w:rPr>
        <w:t xml:space="preserve">6.3 </w:t>
      </w:r>
      <w:r w:rsidRPr="009918F6">
        <w:rPr>
          <w:rFonts w:eastAsia="Times New Roman" w:cs="Arial"/>
          <w:i/>
          <w:iCs/>
          <w:sz w:val="22"/>
          <w:szCs w:val="22"/>
          <w:lang w:eastAsia="en-GB"/>
        </w:rPr>
        <w:t>Evaluation</w:t>
      </w:r>
    </w:p>
    <w:p w14:paraId="2439C382" w14:textId="452D7814" w:rsidR="00FC4F24" w:rsidRPr="00CE4C82" w:rsidRDefault="00CE4C82" w:rsidP="00A000C3">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Community engagement is both an ethical and practical necessity. WGS can support population health improvements and early intervention, but only if implementation ensures inclusivity, co-production, and fair access. A strong ethical framework and transparent governance will determine whether genomics contributes to collective benefit or reinforces inequalities.</w:t>
      </w:r>
    </w:p>
    <w:p w14:paraId="2A420972" w14:textId="1B0946FD" w:rsidR="00187A95" w:rsidRPr="00187A95" w:rsidRDefault="00CE4C82" w:rsidP="00CE4C82">
      <w:pPr>
        <w:spacing w:before="100" w:beforeAutospacing="1" w:after="100" w:afterAutospacing="1" w:line="360" w:lineRule="auto"/>
        <w:jc w:val="both"/>
        <w:outlineLvl w:val="1"/>
        <w:rPr>
          <w:rFonts w:eastAsia="Times New Roman" w:cs="Arial"/>
          <w:b/>
          <w:bCs/>
          <w:color w:val="0070C0"/>
          <w:sz w:val="28"/>
          <w:szCs w:val="28"/>
          <w:lang w:eastAsia="en-GB"/>
        </w:rPr>
      </w:pPr>
      <w:r w:rsidRPr="004151DE">
        <w:rPr>
          <w:rFonts w:eastAsia="Times New Roman" w:cs="Arial"/>
          <w:b/>
          <w:bCs/>
          <w:color w:val="0070C0"/>
          <w:sz w:val="22"/>
          <w:szCs w:val="22"/>
          <w:lang w:eastAsia="en-GB"/>
        </w:rPr>
        <w:t xml:space="preserve">7. </w:t>
      </w:r>
      <w:r w:rsidRPr="004151DE">
        <w:rPr>
          <w:rFonts w:eastAsia="Times New Roman" w:cs="Arial"/>
          <w:b/>
          <w:bCs/>
          <w:color w:val="0070C0"/>
          <w:sz w:val="28"/>
          <w:szCs w:val="28"/>
          <w:lang w:eastAsia="en-GB"/>
        </w:rPr>
        <w:t>Cost and Value: Economic Considerations</w:t>
      </w:r>
    </w:p>
    <w:p w14:paraId="0A7A6E8A" w14:textId="1D24714F"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Sequencing, data storage, and interpretation are resource-intensive processes. However, emerging evidence suggests that WGS can be </w:t>
      </w:r>
      <w:r w:rsidRPr="0094207D">
        <w:rPr>
          <w:rFonts w:eastAsia="Times New Roman" w:cs="Arial"/>
          <w:sz w:val="22"/>
          <w:szCs w:val="22"/>
          <w:lang w:eastAsia="en-GB"/>
        </w:rPr>
        <w:t>cost-effective</w:t>
      </w:r>
      <w:r w:rsidRPr="00CE4C82">
        <w:rPr>
          <w:rFonts w:eastAsia="Times New Roman" w:cs="Arial"/>
          <w:sz w:val="22"/>
          <w:szCs w:val="22"/>
          <w:lang w:eastAsia="en-GB"/>
        </w:rPr>
        <w:t xml:space="preserve"> in specific clinical contexts, particularly in paediatric rare diseases (</w:t>
      </w:r>
      <w:proofErr w:type="spellStart"/>
      <w:r w:rsidRPr="00CE4C82">
        <w:rPr>
          <w:rFonts w:eastAsia="Times New Roman" w:cs="Arial"/>
          <w:sz w:val="22"/>
          <w:szCs w:val="22"/>
          <w:lang w:eastAsia="en-GB"/>
        </w:rPr>
        <w:t>Nurchis</w:t>
      </w:r>
      <w:proofErr w:type="spellEnd"/>
      <w:r w:rsidRPr="00CE4C82">
        <w:rPr>
          <w:rFonts w:eastAsia="Times New Roman" w:cs="Arial"/>
          <w:sz w:val="22"/>
          <w:szCs w:val="22"/>
          <w:lang w:eastAsia="en-GB"/>
        </w:rPr>
        <w:t xml:space="preserve"> </w:t>
      </w:r>
      <w:r w:rsidRPr="0094207D">
        <w:rPr>
          <w:rFonts w:eastAsia="Times New Roman" w:cs="Arial"/>
          <w:i/>
          <w:iCs/>
          <w:sz w:val="22"/>
          <w:szCs w:val="22"/>
          <w:lang w:eastAsia="en-GB"/>
        </w:rPr>
        <w:t>et al</w:t>
      </w:r>
      <w:r w:rsidRPr="00CE4C82">
        <w:rPr>
          <w:rFonts w:eastAsia="Times New Roman" w:cs="Arial"/>
          <w:sz w:val="22"/>
          <w:szCs w:val="22"/>
          <w:lang w:eastAsia="en-GB"/>
        </w:rPr>
        <w:t xml:space="preserve">., 2023). WGS reduces the need for multiple sequential tests and hospital visits, delivering faster diagnoses and targeted treatments (Smith </w:t>
      </w:r>
      <w:r w:rsidRPr="0094207D">
        <w:rPr>
          <w:rFonts w:eastAsia="Times New Roman" w:cs="Arial"/>
          <w:i/>
          <w:iCs/>
          <w:sz w:val="22"/>
          <w:szCs w:val="22"/>
          <w:lang w:eastAsia="en-GB"/>
        </w:rPr>
        <w:t>et al</w:t>
      </w:r>
      <w:r w:rsidRPr="00CE4C82">
        <w:rPr>
          <w:rFonts w:eastAsia="Times New Roman" w:cs="Arial"/>
          <w:sz w:val="22"/>
          <w:szCs w:val="22"/>
          <w:lang w:eastAsia="en-GB"/>
        </w:rPr>
        <w:t>., 2025).</w:t>
      </w:r>
    </w:p>
    <w:p w14:paraId="678EBF7D" w14:textId="4B93BB08" w:rsidR="00C40370" w:rsidRDefault="00CE4C82" w:rsidP="00187A95">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 xml:space="preserve">Nevertheless, full economic benefits require long-term evaluation. Secondary finding management, counselling, and data infrastructure add costs that must be factored into health technology assessments. </w:t>
      </w:r>
      <w:r w:rsidRPr="0094207D">
        <w:rPr>
          <w:rFonts w:eastAsia="Times New Roman" w:cs="Arial"/>
          <w:sz w:val="22"/>
          <w:szCs w:val="22"/>
          <w:lang w:eastAsia="en-GB"/>
        </w:rPr>
        <w:t>The</w:t>
      </w:r>
      <w:r w:rsidR="00A000C3">
        <w:rPr>
          <w:rFonts w:eastAsia="Times New Roman" w:cs="Arial"/>
          <w:sz w:val="22"/>
          <w:szCs w:val="22"/>
          <w:lang w:eastAsia="en-GB"/>
        </w:rPr>
        <w:t xml:space="preserve"> </w:t>
      </w:r>
      <w:r w:rsidRPr="0094207D">
        <w:rPr>
          <w:rFonts w:eastAsia="Times New Roman" w:cs="Arial"/>
          <w:sz w:val="22"/>
          <w:szCs w:val="22"/>
          <w:lang w:eastAsia="en-GB"/>
        </w:rPr>
        <w:t xml:space="preserve">government investment </w:t>
      </w:r>
      <w:r w:rsidRPr="00CE4C82">
        <w:rPr>
          <w:rFonts w:eastAsia="Times New Roman" w:cs="Arial"/>
          <w:sz w:val="22"/>
          <w:szCs w:val="22"/>
          <w:lang w:eastAsia="en-GB"/>
        </w:rPr>
        <w:t>demonstrates continued confidence in genomics as a long-term public health asset</w:t>
      </w:r>
      <w:r w:rsidR="00873837">
        <w:rPr>
          <w:rFonts w:eastAsia="Times New Roman" w:cs="Arial"/>
          <w:sz w:val="22"/>
          <w:szCs w:val="22"/>
          <w:lang w:eastAsia="en-GB"/>
        </w:rPr>
        <w:t xml:space="preserve"> </w:t>
      </w:r>
      <w:r w:rsidRPr="00CE4C82">
        <w:rPr>
          <w:rFonts w:eastAsia="Times New Roman" w:cs="Arial"/>
          <w:sz w:val="22"/>
          <w:szCs w:val="22"/>
          <w:lang w:eastAsia="en-GB"/>
        </w:rPr>
        <w:t>(The Guardian, 2025).</w:t>
      </w:r>
      <w:r w:rsidR="00187A95">
        <w:rPr>
          <w:rFonts w:eastAsia="Times New Roman" w:cs="Arial"/>
          <w:sz w:val="22"/>
          <w:szCs w:val="22"/>
          <w:lang w:eastAsia="en-GB"/>
        </w:rPr>
        <w:t xml:space="preserve"> </w:t>
      </w:r>
    </w:p>
    <w:p w14:paraId="37CE335C" w14:textId="1A96D846" w:rsidR="00187A95" w:rsidRPr="00187A95" w:rsidRDefault="00FA36A0" w:rsidP="00187A95">
      <w:pPr>
        <w:spacing w:before="100" w:beforeAutospacing="1" w:after="100" w:afterAutospacing="1" w:line="240" w:lineRule="auto"/>
        <w:outlineLvl w:val="2"/>
        <w:rPr>
          <w:rFonts w:ascii="Times New Roman" w:eastAsia="Times New Roman" w:hAnsi="Times New Roman" w:cs="Times New Roman"/>
          <w:b/>
          <w:bCs/>
          <w:color w:val="0070C0"/>
          <w:sz w:val="28"/>
          <w:szCs w:val="28"/>
          <w:lang w:eastAsia="en-GB"/>
        </w:rPr>
      </w:pPr>
      <w:r w:rsidRPr="00FA36A0">
        <w:rPr>
          <w:rFonts w:ascii="Times New Roman" w:eastAsia="Times New Roman" w:hAnsi="Times New Roman" w:cs="Times New Roman"/>
          <w:b/>
          <w:bCs/>
          <w:color w:val="0070C0"/>
          <w:sz w:val="22"/>
          <w:szCs w:val="22"/>
          <w:lang w:eastAsia="en-GB"/>
        </w:rPr>
        <w:lastRenderedPageBreak/>
        <w:t xml:space="preserve">8. </w:t>
      </w:r>
      <w:r w:rsidR="00187A95" w:rsidRPr="00187A95">
        <w:rPr>
          <w:rFonts w:eastAsia="Times New Roman" w:cs="Arial"/>
          <w:b/>
          <w:bCs/>
          <w:color w:val="0070C0"/>
          <w:sz w:val="28"/>
          <w:szCs w:val="28"/>
          <w:lang w:eastAsia="en-GB"/>
        </w:rPr>
        <w:t>Data Protection and GDPR (UK)</w:t>
      </w:r>
    </w:p>
    <w:p w14:paraId="7C95240A" w14:textId="3FADAD51" w:rsidR="00187A95" w:rsidRPr="005B794C"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The deployment of genomics in UK healthcare operates under a strict legal and ethical regime of data protection, chiefly the UK General Data Protection Regulation (UK GDPR) and the Data Protection Act 2018. Genetic data and health data are classified as special category personal data, which demands enhanced safeguards beyond standard personal data protections (ICO, “What is special category data?”)</w:t>
      </w:r>
      <w:r w:rsidR="005B794C">
        <w:rPr>
          <w:rFonts w:eastAsia="Times New Roman" w:cs="Arial"/>
          <w:sz w:val="22"/>
          <w:szCs w:val="22"/>
          <w:lang w:eastAsia="en-GB"/>
        </w:rPr>
        <w:t xml:space="preserve"> (Staunton </w:t>
      </w:r>
      <w:r w:rsidR="005B794C">
        <w:rPr>
          <w:rFonts w:eastAsia="Times New Roman" w:cs="Arial"/>
          <w:i/>
          <w:iCs/>
          <w:sz w:val="22"/>
          <w:szCs w:val="22"/>
          <w:lang w:eastAsia="en-GB"/>
        </w:rPr>
        <w:t xml:space="preserve">et al., </w:t>
      </w:r>
      <w:r w:rsidR="005B794C">
        <w:rPr>
          <w:rFonts w:eastAsia="Times New Roman" w:cs="Arial"/>
          <w:sz w:val="22"/>
          <w:szCs w:val="22"/>
          <w:lang w:eastAsia="en-GB"/>
        </w:rPr>
        <w:t>2022).</w:t>
      </w:r>
    </w:p>
    <w:p w14:paraId="009488C0" w14:textId="31A2CEE3" w:rsidR="00187A95" w:rsidRPr="00187A95" w:rsidRDefault="00A3028C" w:rsidP="0001155D">
      <w:pPr>
        <w:spacing w:before="100" w:beforeAutospacing="1" w:after="100" w:afterAutospacing="1" w:line="360" w:lineRule="auto"/>
        <w:jc w:val="both"/>
        <w:outlineLvl w:val="3"/>
        <w:rPr>
          <w:rFonts w:eastAsia="Times New Roman" w:cs="Arial"/>
          <w:i/>
          <w:iCs/>
          <w:sz w:val="22"/>
          <w:szCs w:val="22"/>
          <w:lang w:eastAsia="en-GB"/>
        </w:rPr>
      </w:pPr>
      <w:r w:rsidRPr="00A3028C">
        <w:rPr>
          <w:rFonts w:eastAsia="Times New Roman" w:cs="Arial"/>
          <w:b/>
          <w:bCs/>
          <w:sz w:val="22"/>
          <w:szCs w:val="22"/>
          <w:lang w:eastAsia="en-GB"/>
        </w:rPr>
        <w:t>8.1</w:t>
      </w:r>
      <w:r w:rsidR="00991A38">
        <w:rPr>
          <w:rFonts w:eastAsia="Times New Roman" w:cs="Arial"/>
          <w:b/>
          <w:bCs/>
          <w:sz w:val="22"/>
          <w:szCs w:val="22"/>
          <w:lang w:eastAsia="en-GB"/>
        </w:rPr>
        <w:t xml:space="preserve"> </w:t>
      </w:r>
      <w:r w:rsidR="00187A95" w:rsidRPr="00187A95">
        <w:rPr>
          <w:rFonts w:eastAsia="Times New Roman" w:cs="Arial"/>
          <w:i/>
          <w:iCs/>
          <w:sz w:val="22"/>
          <w:szCs w:val="22"/>
          <w:lang w:eastAsia="en-GB"/>
        </w:rPr>
        <w:t>Legal Foundations &amp; Scope</w:t>
      </w:r>
    </w:p>
    <w:p w14:paraId="5D4EDDA1" w14:textId="5C3F98D4"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Under UK GDPR, “personal data” includes any information relating to an identified or identifiable individual, including genetic or biometric identifiers. Genetic and health data fall within the “special category” classification under Article 9, meaning that additional conditions must be met for lawful processing (beyond the usual Article 6 basis).</w:t>
      </w:r>
    </w:p>
    <w:p w14:paraId="359945F4" w14:textId="38D435FE"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In genomic healthcare, data often moves across institutional, regional, or even national boundaries. After Brexit, the UK is treated as a “third country” under EU data protection law when transferring genomic data abroad, so adequacy assessments or suitable safeguards become crucial.</w:t>
      </w:r>
    </w:p>
    <w:p w14:paraId="541D6620" w14:textId="37EE0E5C" w:rsidR="00187A95" w:rsidRPr="00187A95" w:rsidRDefault="00D4565A" w:rsidP="0001155D">
      <w:pPr>
        <w:spacing w:before="100" w:beforeAutospacing="1" w:after="100" w:afterAutospacing="1" w:line="360" w:lineRule="auto"/>
        <w:jc w:val="both"/>
        <w:outlineLvl w:val="3"/>
        <w:rPr>
          <w:rFonts w:eastAsia="Times New Roman" w:cs="Arial"/>
          <w:sz w:val="22"/>
          <w:szCs w:val="22"/>
          <w:lang w:eastAsia="en-GB"/>
        </w:rPr>
      </w:pPr>
      <w:r>
        <w:rPr>
          <w:rFonts w:eastAsia="Times New Roman" w:cs="Arial"/>
          <w:b/>
          <w:bCs/>
          <w:sz w:val="22"/>
          <w:szCs w:val="22"/>
          <w:lang w:eastAsia="en-GB"/>
        </w:rPr>
        <w:t xml:space="preserve">8.2 </w:t>
      </w:r>
      <w:r w:rsidR="00187A95" w:rsidRPr="00187A95">
        <w:rPr>
          <w:rFonts w:eastAsia="Times New Roman" w:cs="Arial"/>
          <w:i/>
          <w:iCs/>
          <w:sz w:val="22"/>
          <w:szCs w:val="22"/>
          <w:lang w:eastAsia="en-GB"/>
        </w:rPr>
        <w:t>Key Obligations &amp; Rights</w:t>
      </w:r>
    </w:p>
    <w:p w14:paraId="06E3B438" w14:textId="3E31A6D1"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Organisations processing genomic data must adhere to the core data protection principles: lawful and transparent processing, purpose limitation, data minimisation, accuracy, storage limitation, integrity and confidentiality, and accountability. Because genomic data is inherently identifying and persistent, data minimisation and purpose limitation are especially demanding.</w:t>
      </w:r>
    </w:p>
    <w:p w14:paraId="61A47336" w14:textId="2B01FF7F"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Because genomic data is so sensitive, controllers must undertake Data Protection Impact Assessments (DPIAs) when processing is likely to result in high risk to individuals’ rights and freedoms (e.g. large-scale genomic sequencing, cross-institutional data sharing).</w:t>
      </w:r>
    </w:p>
    <w:p w14:paraId="7CE4D6F3" w14:textId="6C696F95" w:rsidR="00187A95" w:rsidRPr="00187A95" w:rsidRDefault="007F25A3" w:rsidP="0001155D">
      <w:pPr>
        <w:spacing w:before="100" w:beforeAutospacing="1" w:after="100" w:afterAutospacing="1" w:line="360" w:lineRule="auto"/>
        <w:jc w:val="both"/>
        <w:outlineLvl w:val="3"/>
        <w:rPr>
          <w:rFonts w:eastAsia="Times New Roman" w:cs="Arial"/>
          <w:i/>
          <w:iCs/>
          <w:sz w:val="22"/>
          <w:szCs w:val="22"/>
          <w:lang w:eastAsia="en-GB"/>
        </w:rPr>
      </w:pPr>
      <w:r w:rsidRPr="007F25A3">
        <w:rPr>
          <w:rFonts w:eastAsia="Times New Roman" w:cs="Arial"/>
          <w:b/>
          <w:bCs/>
          <w:sz w:val="22"/>
          <w:szCs w:val="22"/>
          <w:lang w:eastAsia="en-GB"/>
        </w:rPr>
        <w:t>8.3</w:t>
      </w:r>
      <w:r>
        <w:rPr>
          <w:rFonts w:eastAsia="Times New Roman" w:cs="Arial"/>
          <w:i/>
          <w:iCs/>
          <w:sz w:val="22"/>
          <w:szCs w:val="22"/>
          <w:lang w:eastAsia="en-GB"/>
        </w:rPr>
        <w:t xml:space="preserve"> </w:t>
      </w:r>
      <w:r w:rsidR="00187A95" w:rsidRPr="00187A95">
        <w:rPr>
          <w:rFonts w:eastAsia="Times New Roman" w:cs="Arial"/>
          <w:i/>
          <w:iCs/>
          <w:sz w:val="22"/>
          <w:szCs w:val="22"/>
          <w:lang w:eastAsia="en-GB"/>
        </w:rPr>
        <w:t xml:space="preserve">Challenges </w:t>
      </w:r>
      <w:r w:rsidR="00D4565A">
        <w:rPr>
          <w:rFonts w:eastAsia="Times New Roman" w:cs="Arial"/>
          <w:i/>
          <w:iCs/>
          <w:sz w:val="22"/>
          <w:szCs w:val="22"/>
          <w:lang w:eastAsia="en-GB"/>
        </w:rPr>
        <w:t>and</w:t>
      </w:r>
      <w:r w:rsidR="00187A95" w:rsidRPr="00187A95">
        <w:rPr>
          <w:rFonts w:eastAsia="Times New Roman" w:cs="Arial"/>
          <w:i/>
          <w:iCs/>
          <w:sz w:val="22"/>
          <w:szCs w:val="22"/>
          <w:lang w:eastAsia="en-GB"/>
        </w:rPr>
        <w:t xml:space="preserve"> Mitigations</w:t>
      </w:r>
    </w:p>
    <w:p w14:paraId="72171D8A" w14:textId="7994B1AC"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One fundamental challenge is that pseudonymisation does not remove the data from GDPR’s scope: even pseudonymised genomic data remains personal data if re-identification is possible.</w:t>
      </w:r>
    </w:p>
    <w:p w14:paraId="7BD51B4F" w14:textId="1A61AE3F"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lastRenderedPageBreak/>
        <w:t xml:space="preserve">Although </w:t>
      </w:r>
      <w:r w:rsidR="00A65AA5">
        <w:rPr>
          <w:rFonts w:eastAsia="Times New Roman" w:cs="Arial"/>
          <w:sz w:val="22"/>
          <w:szCs w:val="22"/>
          <w:lang w:eastAsia="en-GB"/>
        </w:rPr>
        <w:t>complete</w:t>
      </w:r>
      <w:r w:rsidRPr="00187A95">
        <w:rPr>
          <w:rFonts w:eastAsia="Times New Roman" w:cs="Arial"/>
          <w:sz w:val="22"/>
          <w:szCs w:val="22"/>
          <w:lang w:eastAsia="en-GB"/>
        </w:rPr>
        <w:t xml:space="preserve"> anonymisation theoretically </w:t>
      </w:r>
      <w:r w:rsidR="00012E4A">
        <w:rPr>
          <w:rFonts w:eastAsia="Times New Roman" w:cs="Arial"/>
          <w:sz w:val="22"/>
          <w:szCs w:val="22"/>
          <w:lang w:eastAsia="en-GB"/>
        </w:rPr>
        <w:t xml:space="preserve">exempts data from GDPR obligations, it is generally impractical in genomics because the data must remain linkable for longitudinal follow-up, and re-identification risk cannot be reliably </w:t>
      </w:r>
      <w:r w:rsidRPr="00187A95">
        <w:rPr>
          <w:rFonts w:eastAsia="Times New Roman" w:cs="Arial"/>
          <w:sz w:val="22"/>
          <w:szCs w:val="22"/>
          <w:lang w:eastAsia="en-GB"/>
        </w:rPr>
        <w:t>excluded.</w:t>
      </w:r>
    </w:p>
    <w:p w14:paraId="5665AA3C" w14:textId="7357B0DB"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To mitigate risks, organisations should adopt privacy-enhancing technologies (</w:t>
      </w:r>
      <w:r w:rsidR="00C40370">
        <w:rPr>
          <w:rFonts w:eastAsia="Times New Roman" w:cs="Arial"/>
          <w:sz w:val="22"/>
          <w:szCs w:val="22"/>
          <w:lang w:eastAsia="en-GB"/>
        </w:rPr>
        <w:t xml:space="preserve">such as secure multiparty computation, homomorphic encryption, and </w:t>
      </w:r>
      <w:r w:rsidR="009F181B">
        <w:rPr>
          <w:rFonts w:eastAsia="Times New Roman" w:cs="Arial"/>
          <w:sz w:val="22"/>
          <w:szCs w:val="22"/>
          <w:lang w:eastAsia="en-GB"/>
        </w:rPr>
        <w:t>synthetic data) alongside</w:t>
      </w:r>
      <w:r w:rsidRPr="00187A95">
        <w:rPr>
          <w:rFonts w:eastAsia="Times New Roman" w:cs="Arial"/>
          <w:sz w:val="22"/>
          <w:szCs w:val="22"/>
          <w:lang w:eastAsia="en-GB"/>
        </w:rPr>
        <w:t xml:space="preserve"> robust governance frameworks and continual oversight (</w:t>
      </w:r>
      <w:proofErr w:type="spellStart"/>
      <w:r w:rsidRPr="00187A95">
        <w:rPr>
          <w:rFonts w:eastAsia="Times New Roman" w:cs="Arial"/>
          <w:sz w:val="22"/>
          <w:szCs w:val="22"/>
          <w:lang w:eastAsia="en-GB"/>
        </w:rPr>
        <w:t>Brauneck</w:t>
      </w:r>
      <w:proofErr w:type="spellEnd"/>
      <w:r w:rsidRPr="00187A95">
        <w:rPr>
          <w:rFonts w:eastAsia="Times New Roman" w:cs="Arial"/>
          <w:sz w:val="22"/>
          <w:szCs w:val="22"/>
          <w:lang w:eastAsia="en-GB"/>
        </w:rPr>
        <w:t xml:space="preserve"> </w:t>
      </w:r>
      <w:r w:rsidRPr="00187A95">
        <w:rPr>
          <w:rFonts w:eastAsia="Times New Roman" w:cs="Arial"/>
          <w:i/>
          <w:iCs/>
          <w:sz w:val="22"/>
          <w:szCs w:val="22"/>
          <w:lang w:eastAsia="en-GB"/>
        </w:rPr>
        <w:t>et al</w:t>
      </w:r>
      <w:r w:rsidRPr="00187A95">
        <w:rPr>
          <w:rFonts w:eastAsia="Times New Roman" w:cs="Arial"/>
          <w:sz w:val="22"/>
          <w:szCs w:val="22"/>
          <w:lang w:eastAsia="en-GB"/>
        </w:rPr>
        <w:t xml:space="preserve">., 2024). They should also develop codes of conduct or sector-specific standards to standardise practices across institutions, enabling safer data sharing while preserving privacy (Molnár-Gábor </w:t>
      </w:r>
      <w:r w:rsidRPr="00FB127B">
        <w:rPr>
          <w:rFonts w:eastAsia="Times New Roman" w:cs="Arial"/>
          <w:i/>
          <w:iCs/>
          <w:sz w:val="22"/>
          <w:szCs w:val="22"/>
          <w:lang w:eastAsia="en-GB"/>
        </w:rPr>
        <w:t>et al.,</w:t>
      </w:r>
      <w:r w:rsidRPr="00187A95">
        <w:rPr>
          <w:rFonts w:eastAsia="Times New Roman" w:cs="Arial"/>
          <w:sz w:val="22"/>
          <w:szCs w:val="22"/>
          <w:lang w:eastAsia="en-GB"/>
        </w:rPr>
        <w:t xml:space="preserve"> 2020).</w:t>
      </w:r>
    </w:p>
    <w:p w14:paraId="15409E36" w14:textId="526DFBD8"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Organisations must rely on adequacy decisions, standard contractual clauses, binding corporate rules, or explicit consent (where valid)</w:t>
      </w:r>
      <w:r w:rsidR="00563D5E">
        <w:rPr>
          <w:rFonts w:eastAsia="Times New Roman" w:cs="Arial"/>
          <w:sz w:val="22"/>
          <w:szCs w:val="22"/>
          <w:lang w:eastAsia="en-GB"/>
        </w:rPr>
        <w:t xml:space="preserve">, </w:t>
      </w:r>
      <w:r w:rsidRPr="00187A95">
        <w:rPr>
          <w:rFonts w:eastAsia="Times New Roman" w:cs="Arial"/>
          <w:sz w:val="22"/>
          <w:szCs w:val="22"/>
          <w:lang w:eastAsia="en-GB"/>
        </w:rPr>
        <w:t xml:space="preserve">with careful attention to onward transfer risks (Taylor </w:t>
      </w:r>
      <w:r w:rsidRPr="00187A95">
        <w:rPr>
          <w:rFonts w:eastAsia="Times New Roman" w:cs="Arial"/>
          <w:i/>
          <w:iCs/>
          <w:sz w:val="22"/>
          <w:szCs w:val="22"/>
          <w:lang w:eastAsia="en-GB"/>
        </w:rPr>
        <w:t>et al</w:t>
      </w:r>
      <w:r w:rsidRPr="00187A95">
        <w:rPr>
          <w:rFonts w:eastAsia="Times New Roman" w:cs="Arial"/>
          <w:sz w:val="22"/>
          <w:szCs w:val="22"/>
          <w:lang w:eastAsia="en-GB"/>
        </w:rPr>
        <w:t>., 2018).</w:t>
      </w:r>
    </w:p>
    <w:p w14:paraId="6B022BFF" w14:textId="03B0F698" w:rsidR="00187A95" w:rsidRPr="00187A95" w:rsidRDefault="007F25A3" w:rsidP="0001155D">
      <w:pPr>
        <w:spacing w:before="100" w:beforeAutospacing="1" w:after="100" w:afterAutospacing="1" w:line="360" w:lineRule="auto"/>
        <w:jc w:val="both"/>
        <w:outlineLvl w:val="3"/>
        <w:rPr>
          <w:rFonts w:eastAsia="Times New Roman" w:cs="Arial"/>
          <w:i/>
          <w:iCs/>
          <w:sz w:val="22"/>
          <w:szCs w:val="22"/>
          <w:lang w:eastAsia="en-GB"/>
        </w:rPr>
      </w:pPr>
      <w:r w:rsidRPr="007F25A3">
        <w:rPr>
          <w:rFonts w:eastAsia="Times New Roman" w:cs="Arial"/>
          <w:b/>
          <w:bCs/>
          <w:sz w:val="22"/>
          <w:szCs w:val="22"/>
          <w:lang w:eastAsia="en-GB"/>
        </w:rPr>
        <w:t>8.4</w:t>
      </w:r>
      <w:r>
        <w:rPr>
          <w:rFonts w:eastAsia="Times New Roman" w:cs="Arial"/>
          <w:i/>
          <w:iCs/>
          <w:sz w:val="22"/>
          <w:szCs w:val="22"/>
          <w:lang w:eastAsia="en-GB"/>
        </w:rPr>
        <w:t xml:space="preserve"> </w:t>
      </w:r>
      <w:r w:rsidR="00187A95" w:rsidRPr="00187A95">
        <w:rPr>
          <w:rFonts w:eastAsia="Times New Roman" w:cs="Arial"/>
          <w:i/>
          <w:iCs/>
          <w:sz w:val="22"/>
          <w:szCs w:val="22"/>
          <w:lang w:eastAsia="en-GB"/>
        </w:rPr>
        <w:t xml:space="preserve">Ethical </w:t>
      </w:r>
      <w:r>
        <w:rPr>
          <w:rFonts w:eastAsia="Times New Roman" w:cs="Arial"/>
          <w:i/>
          <w:iCs/>
          <w:sz w:val="22"/>
          <w:szCs w:val="22"/>
          <w:lang w:eastAsia="en-GB"/>
        </w:rPr>
        <w:t>and</w:t>
      </w:r>
      <w:r w:rsidR="00187A95" w:rsidRPr="00187A95">
        <w:rPr>
          <w:rFonts w:eastAsia="Times New Roman" w:cs="Arial"/>
          <w:i/>
          <w:iCs/>
          <w:sz w:val="22"/>
          <w:szCs w:val="22"/>
          <w:lang w:eastAsia="en-GB"/>
        </w:rPr>
        <w:t xml:space="preserve"> Trust Dimensions</w:t>
      </w:r>
    </w:p>
    <w:p w14:paraId="4D5EC02F" w14:textId="3B58BC5B" w:rsidR="00187A95" w:rsidRPr="00187A95" w:rsidRDefault="00187A95" w:rsidP="0001155D">
      <w:pPr>
        <w:spacing w:before="100" w:beforeAutospacing="1" w:after="100" w:afterAutospacing="1" w:line="360" w:lineRule="auto"/>
        <w:jc w:val="both"/>
        <w:rPr>
          <w:rFonts w:eastAsia="Times New Roman" w:cs="Arial"/>
          <w:sz w:val="22"/>
          <w:szCs w:val="22"/>
          <w:lang w:eastAsia="en-GB"/>
        </w:rPr>
      </w:pPr>
      <w:r w:rsidRPr="00187A95">
        <w:rPr>
          <w:rFonts w:eastAsia="Times New Roman" w:cs="Arial"/>
          <w:sz w:val="22"/>
          <w:szCs w:val="22"/>
          <w:lang w:eastAsia="en-GB"/>
        </w:rPr>
        <w:t xml:space="preserve">Beyond compliance, strong data protection is essential to public trust. Genomic data is </w:t>
      </w:r>
      <w:r w:rsidR="00887D70">
        <w:rPr>
          <w:rFonts w:eastAsia="Times New Roman" w:cs="Arial"/>
          <w:sz w:val="22"/>
          <w:szCs w:val="22"/>
          <w:lang w:eastAsia="en-GB"/>
        </w:rPr>
        <w:t>profoundly</w:t>
      </w:r>
      <w:r w:rsidRPr="00187A95">
        <w:rPr>
          <w:rFonts w:eastAsia="Times New Roman" w:cs="Arial"/>
          <w:sz w:val="22"/>
          <w:szCs w:val="22"/>
          <w:lang w:eastAsia="en-GB"/>
        </w:rPr>
        <w:t xml:space="preserve"> personal and carries </w:t>
      </w:r>
      <w:r w:rsidR="00F8701D">
        <w:rPr>
          <w:rFonts w:eastAsia="Times New Roman" w:cs="Arial"/>
          <w:sz w:val="22"/>
          <w:szCs w:val="22"/>
          <w:lang w:eastAsia="en-GB"/>
        </w:rPr>
        <w:t>implications for family, insurance, and discrimination</w:t>
      </w:r>
      <w:r w:rsidRPr="00187A95">
        <w:rPr>
          <w:rFonts w:eastAsia="Times New Roman" w:cs="Arial"/>
          <w:sz w:val="22"/>
          <w:szCs w:val="22"/>
          <w:lang w:eastAsia="en-GB"/>
        </w:rPr>
        <w:t>. The PHG Foundation emphasises that regulation should not only constrain risk but also support responsible innovation in genomic medicine (PHG, 2023).</w:t>
      </w:r>
    </w:p>
    <w:p w14:paraId="73B98D0C" w14:textId="650B187D" w:rsidR="00785857" w:rsidRDefault="008736EC" w:rsidP="00CD4201">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Therefore, barriers such as transparent governance, community engagement, dynamic consent models, and clear accountability must accompany technical safeguards to maintain the social licence for genomic programmes (Laskowski </w:t>
      </w:r>
      <w:r w:rsidRPr="008736EC">
        <w:rPr>
          <w:rFonts w:eastAsia="Times New Roman" w:cs="Arial"/>
          <w:i/>
          <w:iCs/>
          <w:sz w:val="22"/>
          <w:szCs w:val="22"/>
          <w:lang w:eastAsia="en-GB"/>
        </w:rPr>
        <w:t>et al</w:t>
      </w:r>
      <w:r>
        <w:rPr>
          <w:rFonts w:eastAsia="Times New Roman" w:cs="Arial"/>
          <w:sz w:val="22"/>
          <w:szCs w:val="22"/>
          <w:lang w:eastAsia="en-GB"/>
        </w:rPr>
        <w:t xml:space="preserve">., 2025). </w:t>
      </w:r>
    </w:p>
    <w:p w14:paraId="2C8AF714" w14:textId="7B6F310C" w:rsidR="00365614" w:rsidRPr="00785857" w:rsidRDefault="000A11E4" w:rsidP="00785857">
      <w:pPr>
        <w:pStyle w:val="Heading2"/>
        <w:rPr>
          <w:rFonts w:ascii="Arial" w:eastAsia="Times New Roman" w:hAnsi="Arial" w:cs="Arial"/>
          <w:b/>
          <w:bCs/>
          <w:color w:val="0070C0"/>
          <w:sz w:val="28"/>
          <w:szCs w:val="28"/>
        </w:rPr>
      </w:pPr>
      <w:r w:rsidRPr="00785857">
        <w:rPr>
          <w:rFonts w:ascii="Arial" w:eastAsia="Times New Roman" w:hAnsi="Arial" w:cs="Arial"/>
          <w:b/>
          <w:bCs/>
          <w:color w:val="0070C0"/>
          <w:sz w:val="22"/>
          <w:szCs w:val="22"/>
        </w:rPr>
        <w:t>9</w:t>
      </w:r>
      <w:r w:rsidR="003D602E" w:rsidRPr="00785857">
        <w:rPr>
          <w:rFonts w:ascii="Arial" w:eastAsia="Times New Roman" w:hAnsi="Arial" w:cs="Arial"/>
          <w:b/>
          <w:bCs/>
          <w:color w:val="0070C0"/>
          <w:sz w:val="22"/>
          <w:szCs w:val="22"/>
        </w:rPr>
        <w:t>.</w:t>
      </w:r>
      <w:r w:rsidR="003D602E" w:rsidRPr="00785857">
        <w:rPr>
          <w:rFonts w:ascii="Arial" w:eastAsia="Times New Roman" w:hAnsi="Arial" w:cs="Arial"/>
          <w:b/>
          <w:bCs/>
          <w:color w:val="0070C0"/>
          <w:sz w:val="28"/>
          <w:szCs w:val="28"/>
        </w:rPr>
        <w:t xml:space="preserve"> </w:t>
      </w:r>
      <w:r w:rsidR="00365614" w:rsidRPr="00785857">
        <w:rPr>
          <w:rFonts w:ascii="Arial" w:eastAsia="Times New Roman" w:hAnsi="Arial" w:cs="Arial"/>
          <w:b/>
          <w:bCs/>
          <w:color w:val="0070C0"/>
          <w:sz w:val="28"/>
          <w:szCs w:val="28"/>
        </w:rPr>
        <w:t>Application of Change Management Learning to Genomic Healthcare</w:t>
      </w:r>
    </w:p>
    <w:p w14:paraId="1E90FA74" w14:textId="77777777" w:rsidR="00815FCF" w:rsidRDefault="00365614" w:rsidP="00365614">
      <w:pPr>
        <w:spacing w:before="100" w:beforeAutospacing="1" w:after="100" w:afterAutospacing="1" w:line="360" w:lineRule="auto"/>
        <w:jc w:val="both"/>
        <w:rPr>
          <w:rFonts w:eastAsia="Times New Roman" w:cs="Arial"/>
          <w:sz w:val="22"/>
          <w:szCs w:val="22"/>
          <w:lang w:eastAsia="en-GB"/>
        </w:rPr>
      </w:pPr>
      <w:r w:rsidRPr="00365614">
        <w:rPr>
          <w:rFonts w:eastAsia="Times New Roman" w:cs="Arial"/>
          <w:sz w:val="22"/>
          <w:szCs w:val="22"/>
          <w:lang w:eastAsia="en-GB"/>
        </w:rPr>
        <w:t xml:space="preserve">Learning from the Institute of Health &amp; Social Care Management (IHSCM) workshop </w:t>
      </w:r>
      <w:r w:rsidRPr="00365614">
        <w:rPr>
          <w:rFonts w:eastAsia="Times New Roman" w:cs="Arial"/>
          <w:i/>
          <w:iCs/>
          <w:sz w:val="22"/>
          <w:szCs w:val="22"/>
          <w:lang w:eastAsia="en-GB"/>
        </w:rPr>
        <w:t>“How to Effectively Manage Change”</w:t>
      </w:r>
      <w:r w:rsidRPr="00365614">
        <w:rPr>
          <w:rFonts w:eastAsia="Times New Roman" w:cs="Arial"/>
          <w:sz w:val="22"/>
          <w:szCs w:val="22"/>
          <w:lang w:eastAsia="en-GB"/>
        </w:rPr>
        <w:t xml:space="preserve"> (IHSCM, 2025) provides valuable insight into the ongoing digital transformation within genomic healthcare in the United Kingdom. The integration of genomics into clinical practice requires a structured and strategic approach to change management, ensuring that workforce adaptation, ethical standards, and patient-centred care remain at the forefront of implementation</w:t>
      </w:r>
      <w:r w:rsidR="00252DAF">
        <w:rPr>
          <w:rFonts w:eastAsia="Times New Roman" w:cs="Arial"/>
          <w:sz w:val="22"/>
          <w:szCs w:val="22"/>
          <w:lang w:eastAsia="en-GB"/>
        </w:rPr>
        <w:t xml:space="preserve"> (</w:t>
      </w:r>
      <w:r w:rsidR="00252DAF" w:rsidRPr="00826A86">
        <w:rPr>
          <w:rFonts w:ascii="Times New Roman" w:eastAsia="Times New Roman" w:hAnsi="Times New Roman" w:cs="Times New Roman"/>
          <w:szCs w:val="24"/>
          <w:lang w:eastAsia="en-GB"/>
        </w:rPr>
        <w:t xml:space="preserve">Friedrich </w:t>
      </w:r>
      <w:r w:rsidR="00252DAF" w:rsidRPr="00826A86">
        <w:rPr>
          <w:rFonts w:ascii="Times New Roman" w:eastAsia="Times New Roman" w:hAnsi="Times New Roman" w:cs="Times New Roman"/>
          <w:i/>
          <w:iCs/>
          <w:szCs w:val="24"/>
          <w:lang w:eastAsia="en-GB"/>
        </w:rPr>
        <w:t>et al</w:t>
      </w:r>
      <w:r w:rsidR="00C234B3">
        <w:rPr>
          <w:rFonts w:ascii="Times New Roman" w:eastAsia="Times New Roman" w:hAnsi="Times New Roman" w:cs="Times New Roman"/>
          <w:i/>
          <w:iCs/>
          <w:szCs w:val="24"/>
          <w:lang w:eastAsia="en-GB"/>
        </w:rPr>
        <w:t xml:space="preserve">., </w:t>
      </w:r>
      <w:r w:rsidR="00252DAF" w:rsidRPr="00826A86">
        <w:rPr>
          <w:rFonts w:ascii="Times New Roman" w:eastAsia="Times New Roman" w:hAnsi="Times New Roman" w:cs="Times New Roman"/>
          <w:szCs w:val="24"/>
          <w:lang w:eastAsia="en-GB"/>
        </w:rPr>
        <w:t>2024)</w:t>
      </w:r>
      <w:r w:rsidR="00C234B3">
        <w:rPr>
          <w:rFonts w:ascii="Times New Roman" w:eastAsia="Times New Roman" w:hAnsi="Times New Roman" w:cs="Times New Roman"/>
          <w:szCs w:val="24"/>
          <w:lang w:eastAsia="en-GB"/>
        </w:rPr>
        <w:t>.</w:t>
      </w:r>
    </w:p>
    <w:p w14:paraId="226059ED" w14:textId="2A9E863F" w:rsidR="00365614" w:rsidRPr="00365614" w:rsidRDefault="00D90CF7" w:rsidP="00365614">
      <w:pPr>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 xml:space="preserve">As genomic technologies reshape diagnostic and therapeutic methods, healthcare leaders must foster a culture of learning, collaboration, and accountability (NHS England, 2023). Effective leadership not only supports staff through technological changes but also boosts </w:t>
      </w:r>
      <w:r>
        <w:rPr>
          <w:rFonts w:eastAsia="Times New Roman" w:cs="Arial"/>
          <w:sz w:val="22"/>
          <w:szCs w:val="22"/>
          <w:lang w:eastAsia="en-GB"/>
        </w:rPr>
        <w:lastRenderedPageBreak/>
        <w:t xml:space="preserve">professional confidence in handling complex ethical and data protection issues inherent in genomic medicine (Kotter, 2018; Cummings </w:t>
      </w:r>
      <w:r w:rsidRPr="00FB127B">
        <w:rPr>
          <w:rFonts w:eastAsia="Times New Roman" w:cs="Arial"/>
          <w:i/>
          <w:iCs/>
          <w:sz w:val="22"/>
          <w:szCs w:val="22"/>
          <w:lang w:eastAsia="en-GB"/>
        </w:rPr>
        <w:t>et al</w:t>
      </w:r>
      <w:r>
        <w:rPr>
          <w:rFonts w:eastAsia="Times New Roman" w:cs="Arial"/>
          <w:sz w:val="22"/>
          <w:szCs w:val="22"/>
          <w:lang w:eastAsia="en-GB"/>
        </w:rPr>
        <w:t>., 2020).</w:t>
      </w:r>
    </w:p>
    <w:p w14:paraId="656697BC" w14:textId="4E68BEE9" w:rsidR="00365614" w:rsidRPr="00365614" w:rsidRDefault="00365614" w:rsidP="00365614">
      <w:pPr>
        <w:spacing w:before="100" w:beforeAutospacing="1" w:after="100" w:afterAutospacing="1" w:line="360" w:lineRule="auto"/>
        <w:jc w:val="both"/>
        <w:rPr>
          <w:rFonts w:eastAsia="Times New Roman" w:cs="Arial"/>
          <w:sz w:val="22"/>
          <w:szCs w:val="22"/>
          <w:lang w:eastAsia="en-GB"/>
        </w:rPr>
      </w:pPr>
      <w:r w:rsidRPr="00365614">
        <w:rPr>
          <w:rFonts w:eastAsia="Times New Roman" w:cs="Arial"/>
          <w:sz w:val="22"/>
          <w:szCs w:val="22"/>
          <w:lang w:eastAsia="en-GB"/>
        </w:rPr>
        <w:t>Applying structured change models</w:t>
      </w:r>
      <w:r w:rsidR="000B5728">
        <w:rPr>
          <w:rFonts w:eastAsia="Times New Roman" w:cs="Arial"/>
          <w:sz w:val="22"/>
          <w:szCs w:val="22"/>
          <w:lang w:eastAsia="en-GB"/>
        </w:rPr>
        <w:t xml:space="preserve">, </w:t>
      </w:r>
      <w:r w:rsidRPr="00365614">
        <w:rPr>
          <w:rFonts w:eastAsia="Times New Roman" w:cs="Arial"/>
          <w:sz w:val="22"/>
          <w:szCs w:val="22"/>
          <w:lang w:eastAsia="en-GB"/>
        </w:rPr>
        <w:t>such as Lewin’s Unfreeze–Change–Refreeze or Kotter’s 8-Step Process</w:t>
      </w:r>
      <w:r w:rsidR="000B5728">
        <w:rPr>
          <w:rFonts w:eastAsia="Times New Roman" w:cs="Arial"/>
          <w:sz w:val="22"/>
          <w:szCs w:val="22"/>
          <w:lang w:eastAsia="en-GB"/>
        </w:rPr>
        <w:t xml:space="preserve">, </w:t>
      </w:r>
      <w:r w:rsidRPr="00365614">
        <w:rPr>
          <w:rFonts w:eastAsia="Times New Roman" w:cs="Arial"/>
          <w:sz w:val="22"/>
          <w:szCs w:val="22"/>
          <w:lang w:eastAsia="en-GB"/>
        </w:rPr>
        <w:t>enables healthcare organisations to navigate transformation while maintaining patient trust and service continuity (</w:t>
      </w:r>
      <w:r w:rsidR="004461D0">
        <w:rPr>
          <w:rFonts w:eastAsia="Times New Roman" w:cs="Arial"/>
          <w:sz w:val="22"/>
          <w:szCs w:val="22"/>
          <w:lang w:eastAsia="en-GB"/>
        </w:rPr>
        <w:t xml:space="preserve">Roman </w:t>
      </w:r>
      <w:r w:rsidR="004461D0">
        <w:rPr>
          <w:rFonts w:eastAsia="Times New Roman" w:cs="Arial"/>
          <w:i/>
          <w:iCs/>
          <w:sz w:val="22"/>
          <w:szCs w:val="22"/>
          <w:lang w:eastAsia="en-GB"/>
        </w:rPr>
        <w:t>et al.,</w:t>
      </w:r>
      <w:r w:rsidR="004461D0">
        <w:rPr>
          <w:rFonts w:eastAsia="Times New Roman" w:cs="Arial"/>
          <w:sz w:val="22"/>
          <w:szCs w:val="22"/>
          <w:lang w:eastAsia="en-GB"/>
        </w:rPr>
        <w:t xml:space="preserve"> 2024</w:t>
      </w:r>
      <w:r w:rsidRPr="00365614">
        <w:rPr>
          <w:rFonts w:eastAsia="Times New Roman" w:cs="Arial"/>
          <w:sz w:val="22"/>
          <w:szCs w:val="22"/>
          <w:lang w:eastAsia="en-GB"/>
        </w:rPr>
        <w:t>).</w:t>
      </w:r>
    </w:p>
    <w:p w14:paraId="7E623164" w14:textId="06E5D249" w:rsidR="00D510D1" w:rsidRPr="00CE4C82" w:rsidRDefault="00365614" w:rsidP="00C40370">
      <w:pPr>
        <w:spacing w:before="100" w:beforeAutospacing="1" w:after="100" w:afterAutospacing="1" w:line="360" w:lineRule="auto"/>
        <w:jc w:val="both"/>
        <w:rPr>
          <w:rFonts w:eastAsia="Times New Roman" w:cs="Arial"/>
          <w:sz w:val="22"/>
          <w:szCs w:val="22"/>
          <w:lang w:eastAsia="en-GB"/>
        </w:rPr>
      </w:pPr>
      <w:r w:rsidRPr="00365614">
        <w:rPr>
          <w:rFonts w:eastAsia="Times New Roman" w:cs="Arial"/>
          <w:sz w:val="22"/>
          <w:szCs w:val="22"/>
          <w:lang w:eastAsia="en-GB"/>
        </w:rPr>
        <w:t xml:space="preserve">Moreover, effective change leadership ensures that genomic innovation is introduced ethically, with due regard for the UK GDPR and Data Protection Act 2018. Embedding data governance and informed consent within organisational change frameworks safeguards privacy and reinforces public confidence (Shabani </w:t>
      </w:r>
      <w:r w:rsidRPr="00365614">
        <w:rPr>
          <w:rFonts w:eastAsia="Times New Roman" w:cs="Arial"/>
          <w:i/>
          <w:iCs/>
          <w:sz w:val="22"/>
          <w:szCs w:val="22"/>
          <w:lang w:eastAsia="en-GB"/>
        </w:rPr>
        <w:t>et al</w:t>
      </w:r>
      <w:r w:rsidRPr="00365614">
        <w:rPr>
          <w:rFonts w:eastAsia="Times New Roman" w:cs="Arial"/>
          <w:sz w:val="22"/>
          <w:szCs w:val="22"/>
          <w:lang w:eastAsia="en-GB"/>
        </w:rPr>
        <w:t xml:space="preserve">., 2019). </w:t>
      </w:r>
    </w:p>
    <w:p w14:paraId="3203A2FB" w14:textId="4089C03C" w:rsidR="00CE4C82" w:rsidRPr="004151DE" w:rsidRDefault="003D602E" w:rsidP="00CE4C82">
      <w:pPr>
        <w:spacing w:before="100" w:beforeAutospacing="1" w:after="100" w:afterAutospacing="1" w:line="360" w:lineRule="auto"/>
        <w:jc w:val="both"/>
        <w:outlineLvl w:val="1"/>
        <w:rPr>
          <w:rFonts w:eastAsia="Times New Roman" w:cs="Arial"/>
          <w:b/>
          <w:bCs/>
          <w:color w:val="0070C0"/>
          <w:sz w:val="22"/>
          <w:szCs w:val="22"/>
          <w:lang w:eastAsia="en-GB"/>
        </w:rPr>
      </w:pPr>
      <w:r>
        <w:rPr>
          <w:rFonts w:eastAsia="Times New Roman" w:cs="Arial"/>
          <w:b/>
          <w:bCs/>
          <w:color w:val="0070C0"/>
          <w:sz w:val="22"/>
          <w:szCs w:val="22"/>
          <w:lang w:eastAsia="en-GB"/>
        </w:rPr>
        <w:t>1</w:t>
      </w:r>
      <w:r w:rsidR="00C54570">
        <w:rPr>
          <w:rFonts w:eastAsia="Times New Roman" w:cs="Arial"/>
          <w:b/>
          <w:bCs/>
          <w:color w:val="0070C0"/>
          <w:sz w:val="22"/>
          <w:szCs w:val="22"/>
          <w:lang w:eastAsia="en-GB"/>
        </w:rPr>
        <w:t>1</w:t>
      </w:r>
      <w:r w:rsidR="00CE4C82" w:rsidRPr="004151DE">
        <w:rPr>
          <w:rFonts w:eastAsia="Times New Roman" w:cs="Arial"/>
          <w:b/>
          <w:bCs/>
          <w:color w:val="0070C0"/>
          <w:sz w:val="22"/>
          <w:szCs w:val="22"/>
          <w:lang w:eastAsia="en-GB"/>
        </w:rPr>
        <w:t xml:space="preserve">. </w:t>
      </w:r>
      <w:r w:rsidR="00CE4C82" w:rsidRPr="004151DE">
        <w:rPr>
          <w:rFonts w:eastAsia="Times New Roman" w:cs="Arial"/>
          <w:b/>
          <w:bCs/>
          <w:color w:val="0070C0"/>
          <w:sz w:val="28"/>
          <w:szCs w:val="28"/>
          <w:lang w:eastAsia="en-GB"/>
        </w:rPr>
        <w:t>Conclusion</w:t>
      </w:r>
    </w:p>
    <w:p w14:paraId="509032D3" w14:textId="77777777" w:rsidR="00CE4C82" w:rsidRPr="00CE4C82" w:rsidRDefault="00CE4C82" w:rsidP="00CE4C82">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Whole-genome sequencing through the NHS Genomic Medicine Service represents a landmark digital transformation in UK healthcare. It exemplifies how technology, data, and human expertise can converge to deliver personalised, predictive, and preventive medicine. The implementation has been largely successful in integrating genomics into routine care, improving diagnostic accuracy, and empowering patients.</w:t>
      </w:r>
    </w:p>
    <w:p w14:paraId="3B763C46" w14:textId="2EE2FE69" w:rsidR="00CE4C82" w:rsidRDefault="00CE4C82" w:rsidP="00C40370">
      <w:pPr>
        <w:spacing w:before="100" w:beforeAutospacing="1" w:after="100" w:afterAutospacing="1" w:line="360" w:lineRule="auto"/>
        <w:jc w:val="both"/>
        <w:rPr>
          <w:rFonts w:eastAsia="Times New Roman" w:cs="Arial"/>
          <w:sz w:val="22"/>
          <w:szCs w:val="22"/>
          <w:lang w:eastAsia="en-GB"/>
        </w:rPr>
      </w:pPr>
      <w:r w:rsidRPr="00CE4C82">
        <w:rPr>
          <w:rFonts w:eastAsia="Times New Roman" w:cs="Arial"/>
          <w:sz w:val="22"/>
          <w:szCs w:val="22"/>
          <w:lang w:eastAsia="en-GB"/>
        </w:rPr>
        <w:t>However, this transformation is not without challenges. Workforce shortages, variable genomic literacy, ethical complexities, and potential inequities threaten to undermine progress. Moreover, high operational costs and data governance concerns demand sustained oversight and public trust. If these priorities are met, genomics will not only transform healthcare but also redefine the social contract between citizens and the NHS, positioning the UK as a world leader in equitable genomic medicine.</w:t>
      </w:r>
    </w:p>
    <w:p w14:paraId="5E07FE7E" w14:textId="77777777" w:rsidR="00922535" w:rsidRDefault="00922535" w:rsidP="008B5F46">
      <w:pPr>
        <w:tabs>
          <w:tab w:val="left" w:pos="6240"/>
        </w:tabs>
        <w:spacing w:before="100" w:beforeAutospacing="1" w:after="100" w:afterAutospacing="1" w:line="360" w:lineRule="auto"/>
        <w:jc w:val="both"/>
        <w:rPr>
          <w:rFonts w:eastAsia="Times New Roman" w:cs="Arial"/>
          <w:sz w:val="22"/>
          <w:szCs w:val="22"/>
          <w:lang w:eastAsia="en-GB"/>
        </w:rPr>
      </w:pPr>
    </w:p>
    <w:p w14:paraId="699B45CC" w14:textId="77777777" w:rsidR="00922535" w:rsidRDefault="00922535" w:rsidP="008B5F46">
      <w:pPr>
        <w:tabs>
          <w:tab w:val="left" w:pos="6240"/>
        </w:tabs>
        <w:spacing w:before="100" w:beforeAutospacing="1" w:after="100" w:afterAutospacing="1" w:line="360" w:lineRule="auto"/>
        <w:jc w:val="both"/>
        <w:rPr>
          <w:rFonts w:eastAsia="Times New Roman" w:cs="Arial"/>
          <w:sz w:val="22"/>
          <w:szCs w:val="22"/>
          <w:lang w:eastAsia="en-GB"/>
        </w:rPr>
      </w:pPr>
    </w:p>
    <w:p w14:paraId="782B5479" w14:textId="77777777" w:rsidR="00922535" w:rsidRDefault="00922535" w:rsidP="008B5F46">
      <w:pPr>
        <w:tabs>
          <w:tab w:val="left" w:pos="6240"/>
        </w:tabs>
        <w:spacing w:before="100" w:beforeAutospacing="1" w:after="100" w:afterAutospacing="1" w:line="360" w:lineRule="auto"/>
        <w:jc w:val="both"/>
        <w:rPr>
          <w:rFonts w:eastAsia="Times New Roman" w:cs="Arial"/>
          <w:sz w:val="22"/>
          <w:szCs w:val="22"/>
          <w:lang w:eastAsia="en-GB"/>
        </w:rPr>
      </w:pPr>
    </w:p>
    <w:p w14:paraId="18D03520" w14:textId="77777777" w:rsidR="00922535" w:rsidRDefault="00922535" w:rsidP="008B5F46">
      <w:pPr>
        <w:tabs>
          <w:tab w:val="left" w:pos="6240"/>
        </w:tabs>
        <w:spacing w:before="100" w:beforeAutospacing="1" w:after="100" w:afterAutospacing="1" w:line="360" w:lineRule="auto"/>
        <w:jc w:val="both"/>
        <w:rPr>
          <w:rFonts w:eastAsia="Times New Roman" w:cs="Arial"/>
          <w:sz w:val="22"/>
          <w:szCs w:val="22"/>
          <w:lang w:eastAsia="en-GB"/>
        </w:rPr>
      </w:pPr>
    </w:p>
    <w:p w14:paraId="487B84A0" w14:textId="77777777" w:rsidR="00922535" w:rsidRDefault="00922535" w:rsidP="008B5F46">
      <w:pPr>
        <w:tabs>
          <w:tab w:val="left" w:pos="6240"/>
        </w:tabs>
        <w:spacing w:before="100" w:beforeAutospacing="1" w:after="100" w:afterAutospacing="1" w:line="360" w:lineRule="auto"/>
        <w:jc w:val="both"/>
        <w:rPr>
          <w:rFonts w:eastAsia="Times New Roman" w:cs="Arial"/>
          <w:sz w:val="22"/>
          <w:szCs w:val="22"/>
          <w:lang w:eastAsia="en-GB"/>
        </w:rPr>
      </w:pPr>
    </w:p>
    <w:p w14:paraId="18611FE6" w14:textId="0692CAD2" w:rsidR="00ED38A6" w:rsidRPr="00CE4C82" w:rsidRDefault="008B5F46" w:rsidP="008B5F46">
      <w:pPr>
        <w:tabs>
          <w:tab w:val="left" w:pos="6240"/>
        </w:tabs>
        <w:spacing w:before="100" w:beforeAutospacing="1" w:after="100" w:afterAutospacing="1" w:line="360" w:lineRule="auto"/>
        <w:jc w:val="both"/>
        <w:rPr>
          <w:rFonts w:eastAsia="Times New Roman" w:cs="Arial"/>
          <w:sz w:val="22"/>
          <w:szCs w:val="22"/>
          <w:lang w:eastAsia="en-GB"/>
        </w:rPr>
      </w:pPr>
      <w:r>
        <w:rPr>
          <w:rFonts w:eastAsia="Times New Roman" w:cs="Arial"/>
          <w:sz w:val="22"/>
          <w:szCs w:val="22"/>
          <w:lang w:eastAsia="en-GB"/>
        </w:rPr>
        <w:tab/>
      </w:r>
    </w:p>
    <w:p w14:paraId="53B1C1FD" w14:textId="35480905" w:rsidR="00210412" w:rsidRPr="00750242" w:rsidRDefault="00CE4C82" w:rsidP="00750242">
      <w:pPr>
        <w:spacing w:before="100" w:beforeAutospacing="1" w:after="100" w:afterAutospacing="1" w:line="360" w:lineRule="auto"/>
        <w:jc w:val="both"/>
        <w:outlineLvl w:val="1"/>
        <w:rPr>
          <w:rFonts w:eastAsia="Times New Roman" w:cs="Arial"/>
          <w:b/>
          <w:bCs/>
          <w:color w:val="0070C0"/>
          <w:sz w:val="28"/>
          <w:szCs w:val="28"/>
          <w:lang w:eastAsia="en-GB"/>
        </w:rPr>
      </w:pPr>
      <w:r w:rsidRPr="004151DE">
        <w:rPr>
          <w:rFonts w:eastAsia="Times New Roman" w:cs="Arial"/>
          <w:b/>
          <w:bCs/>
          <w:color w:val="0070C0"/>
          <w:sz w:val="28"/>
          <w:szCs w:val="28"/>
          <w:lang w:eastAsia="en-GB"/>
        </w:rPr>
        <w:lastRenderedPageBreak/>
        <w:t>References</w:t>
      </w:r>
    </w:p>
    <w:p w14:paraId="6C2E9F9E" w14:textId="067D2124" w:rsidR="00581CF0" w:rsidRPr="00205279" w:rsidRDefault="00581CF0" w:rsidP="00205279">
      <w:pPr>
        <w:pStyle w:val="NormalWeb"/>
        <w:numPr>
          <w:ilvl w:val="0"/>
          <w:numId w:val="5"/>
        </w:numPr>
        <w:spacing w:line="360" w:lineRule="auto"/>
        <w:jc w:val="both"/>
        <w:rPr>
          <w:rFonts w:ascii="Arial" w:hAnsi="Arial" w:cs="Arial"/>
          <w:sz w:val="22"/>
          <w:szCs w:val="22"/>
        </w:rPr>
      </w:pPr>
      <w:r w:rsidRPr="00205279">
        <w:rPr>
          <w:rFonts w:ascii="Arial" w:hAnsi="Arial" w:cs="Arial"/>
          <w:sz w:val="22"/>
          <w:szCs w:val="22"/>
        </w:rPr>
        <w:t xml:space="preserve">Auton, A. </w:t>
      </w:r>
      <w:r w:rsidRPr="007B7F55">
        <w:rPr>
          <w:rFonts w:ascii="Arial" w:hAnsi="Arial" w:cs="Arial"/>
          <w:i/>
          <w:iCs/>
          <w:sz w:val="22"/>
          <w:szCs w:val="22"/>
        </w:rPr>
        <w:t>et al</w:t>
      </w:r>
      <w:r w:rsidRPr="00205279">
        <w:rPr>
          <w:rFonts w:ascii="Arial" w:hAnsi="Arial" w:cs="Arial"/>
          <w:sz w:val="22"/>
          <w:szCs w:val="22"/>
        </w:rPr>
        <w:t xml:space="preserve">., </w:t>
      </w:r>
      <w:r w:rsidR="000832F0">
        <w:rPr>
          <w:rFonts w:ascii="Arial" w:hAnsi="Arial" w:cs="Arial"/>
          <w:sz w:val="22"/>
          <w:szCs w:val="22"/>
        </w:rPr>
        <w:t>(</w:t>
      </w:r>
      <w:r w:rsidRPr="00205279">
        <w:rPr>
          <w:rFonts w:ascii="Arial" w:hAnsi="Arial" w:cs="Arial"/>
          <w:sz w:val="22"/>
          <w:szCs w:val="22"/>
        </w:rPr>
        <w:t>2021</w:t>
      </w:r>
      <w:r w:rsidR="000832F0">
        <w:rPr>
          <w:rFonts w:ascii="Arial" w:hAnsi="Arial" w:cs="Arial"/>
          <w:sz w:val="22"/>
          <w:szCs w:val="22"/>
        </w:rPr>
        <w:t>)</w:t>
      </w:r>
      <w:r w:rsidRPr="00205279">
        <w:rPr>
          <w:rFonts w:ascii="Arial" w:hAnsi="Arial" w:cs="Arial"/>
          <w:sz w:val="22"/>
          <w:szCs w:val="22"/>
        </w:rPr>
        <w:t xml:space="preserve">. </w:t>
      </w:r>
      <w:r w:rsidRPr="00205279">
        <w:rPr>
          <w:rStyle w:val="Emphasis"/>
          <w:rFonts w:ascii="Arial" w:hAnsi="Arial" w:cs="Arial"/>
          <w:sz w:val="22"/>
          <w:szCs w:val="22"/>
        </w:rPr>
        <w:t>Whole-genome sequencing of patients with rare diseases in a national health system</w:t>
      </w:r>
      <w:r w:rsidRPr="00205279">
        <w:rPr>
          <w:rFonts w:ascii="Arial" w:hAnsi="Arial" w:cs="Arial"/>
          <w:sz w:val="22"/>
          <w:szCs w:val="22"/>
        </w:rPr>
        <w:t xml:space="preserve">. Nature, 590(7845), pp.277–284. Available at: </w:t>
      </w:r>
      <w:hyperlink r:id="rId13" w:history="1">
        <w:r w:rsidRPr="00205279">
          <w:rPr>
            <w:rStyle w:val="Hyperlink"/>
            <w:rFonts w:ascii="Arial" w:hAnsi="Arial" w:cs="Arial"/>
            <w:sz w:val="22"/>
            <w:szCs w:val="22"/>
          </w:rPr>
          <w:t>https://doi.org/10.1038/s41586-021-03569-1</w:t>
        </w:r>
      </w:hyperlink>
      <w:r w:rsidRPr="00205279">
        <w:rPr>
          <w:rFonts w:ascii="Arial" w:hAnsi="Arial" w:cs="Arial"/>
          <w:sz w:val="22"/>
          <w:szCs w:val="22"/>
        </w:rPr>
        <w:t xml:space="preserve"> </w:t>
      </w:r>
    </w:p>
    <w:p w14:paraId="53AE6489" w14:textId="77777777" w:rsidR="00581CF0" w:rsidRPr="00205279" w:rsidRDefault="00581CF0" w:rsidP="00205279">
      <w:pPr>
        <w:pStyle w:val="ListParagraph"/>
        <w:numPr>
          <w:ilvl w:val="0"/>
          <w:numId w:val="5"/>
        </w:numPr>
        <w:spacing w:before="0" w:after="0" w:line="360" w:lineRule="auto"/>
        <w:jc w:val="both"/>
        <w:rPr>
          <w:rFonts w:eastAsia="Times New Roman" w:cs="Arial"/>
          <w:color w:val="000000" w:themeColor="text1"/>
          <w:sz w:val="22"/>
          <w:szCs w:val="22"/>
          <w:lang w:eastAsia="en-GB"/>
        </w:rPr>
      </w:pPr>
      <w:proofErr w:type="spellStart"/>
      <w:r w:rsidRPr="00205279">
        <w:rPr>
          <w:rFonts w:eastAsia="Times New Roman" w:cs="Arial"/>
          <w:color w:val="000000" w:themeColor="text1"/>
          <w:sz w:val="22"/>
          <w:szCs w:val="22"/>
          <w:lang w:eastAsia="en-GB"/>
        </w:rPr>
        <w:t>Benestan</w:t>
      </w:r>
      <w:proofErr w:type="spellEnd"/>
      <w:r w:rsidRPr="00205279">
        <w:rPr>
          <w:rFonts w:eastAsia="Times New Roman" w:cs="Arial"/>
          <w:color w:val="000000" w:themeColor="text1"/>
          <w:sz w:val="22"/>
          <w:szCs w:val="22"/>
          <w:lang w:eastAsia="en-GB"/>
        </w:rPr>
        <w:t xml:space="preserve">, L. </w:t>
      </w:r>
      <w:r w:rsidRPr="00205279">
        <w:rPr>
          <w:rFonts w:eastAsia="Times New Roman" w:cs="Arial"/>
          <w:i/>
          <w:iCs/>
          <w:color w:val="000000" w:themeColor="text1"/>
          <w:sz w:val="22"/>
          <w:szCs w:val="22"/>
          <w:lang w:eastAsia="en-GB"/>
        </w:rPr>
        <w:t>et al.</w:t>
      </w:r>
      <w:r w:rsidRPr="00205279">
        <w:rPr>
          <w:rFonts w:eastAsia="Times New Roman" w:cs="Arial"/>
          <w:color w:val="000000" w:themeColor="text1"/>
          <w:sz w:val="22"/>
          <w:szCs w:val="22"/>
          <w:lang w:eastAsia="en-GB"/>
        </w:rPr>
        <w:t xml:space="preserve"> (2026) ‘Using a comprehensive donor and host dataset to decipher the heritability and genetic architecture of pearl traits in the black-lipped oyster (Pinctada </w:t>
      </w:r>
      <w:proofErr w:type="spellStart"/>
      <w:r w:rsidRPr="00205279">
        <w:rPr>
          <w:rFonts w:eastAsia="Times New Roman" w:cs="Arial"/>
          <w:color w:val="000000" w:themeColor="text1"/>
          <w:sz w:val="22"/>
          <w:szCs w:val="22"/>
          <w:lang w:eastAsia="en-GB"/>
        </w:rPr>
        <w:t>margaritifera</w:t>
      </w:r>
      <w:proofErr w:type="spellEnd"/>
      <w:r w:rsidRPr="00205279">
        <w:rPr>
          <w:rFonts w:eastAsia="Times New Roman" w:cs="Arial"/>
          <w:color w:val="000000" w:themeColor="text1"/>
          <w:sz w:val="22"/>
          <w:szCs w:val="22"/>
          <w:lang w:eastAsia="en-GB"/>
        </w:rPr>
        <w:t xml:space="preserve">)’, </w:t>
      </w:r>
      <w:r w:rsidRPr="00205279">
        <w:rPr>
          <w:rFonts w:eastAsia="Times New Roman" w:cs="Arial"/>
          <w:i/>
          <w:iCs/>
          <w:color w:val="000000" w:themeColor="text1"/>
          <w:sz w:val="22"/>
          <w:szCs w:val="22"/>
          <w:lang w:eastAsia="en-GB"/>
        </w:rPr>
        <w:t>Aquaculture</w:t>
      </w:r>
      <w:r w:rsidRPr="00205279">
        <w:rPr>
          <w:rFonts w:eastAsia="Times New Roman" w:cs="Arial"/>
          <w:color w:val="000000" w:themeColor="text1"/>
          <w:sz w:val="22"/>
          <w:szCs w:val="22"/>
          <w:lang w:eastAsia="en-GB"/>
        </w:rPr>
        <w:t xml:space="preserve">, 610. Available at: </w:t>
      </w:r>
      <w:hyperlink r:id="rId14" w:history="1">
        <w:r w:rsidRPr="00205279">
          <w:rPr>
            <w:rStyle w:val="Hyperlink"/>
            <w:rFonts w:eastAsia="Times New Roman" w:cs="Arial"/>
            <w:color w:val="000000" w:themeColor="text1"/>
            <w:sz w:val="22"/>
            <w:szCs w:val="22"/>
            <w:lang w:eastAsia="en-GB"/>
          </w:rPr>
          <w:t>https://doi.org/10.1016/j.aquaculture.2025.742837</w:t>
        </w:r>
      </w:hyperlink>
      <w:r w:rsidRPr="00205279">
        <w:rPr>
          <w:rFonts w:eastAsia="Times New Roman" w:cs="Arial"/>
          <w:color w:val="000000" w:themeColor="text1"/>
          <w:sz w:val="22"/>
          <w:szCs w:val="22"/>
          <w:lang w:eastAsia="en-GB"/>
        </w:rPr>
        <w:t xml:space="preserve">.    </w:t>
      </w:r>
    </w:p>
    <w:p w14:paraId="6453CA96" w14:textId="393CB61F" w:rsidR="00581CF0" w:rsidRPr="00205279" w:rsidRDefault="00581CF0" w:rsidP="00205279">
      <w:pPr>
        <w:pStyle w:val="NormalWeb"/>
        <w:numPr>
          <w:ilvl w:val="0"/>
          <w:numId w:val="5"/>
        </w:numPr>
        <w:spacing w:line="360" w:lineRule="auto"/>
        <w:jc w:val="both"/>
        <w:rPr>
          <w:rFonts w:ascii="Arial" w:hAnsi="Arial" w:cs="Arial"/>
          <w:sz w:val="22"/>
          <w:szCs w:val="22"/>
        </w:rPr>
      </w:pPr>
      <w:r w:rsidRPr="00205279">
        <w:rPr>
          <w:rFonts w:ascii="Arial" w:hAnsi="Arial" w:cs="Arial"/>
          <w:sz w:val="22"/>
          <w:szCs w:val="22"/>
        </w:rPr>
        <w:t xml:space="preserve">Brown, M. et al., </w:t>
      </w:r>
      <w:r w:rsidR="000832F0">
        <w:rPr>
          <w:rFonts w:ascii="Arial" w:hAnsi="Arial" w:cs="Arial"/>
          <w:sz w:val="22"/>
          <w:szCs w:val="22"/>
        </w:rPr>
        <w:t>(</w:t>
      </w:r>
      <w:r w:rsidRPr="00205279">
        <w:rPr>
          <w:rFonts w:ascii="Arial" w:hAnsi="Arial" w:cs="Arial"/>
          <w:sz w:val="22"/>
          <w:szCs w:val="22"/>
        </w:rPr>
        <w:t>2024</w:t>
      </w:r>
      <w:r w:rsidR="000832F0">
        <w:rPr>
          <w:rFonts w:ascii="Arial" w:hAnsi="Arial" w:cs="Arial"/>
          <w:sz w:val="22"/>
          <w:szCs w:val="22"/>
        </w:rPr>
        <w:t>)</w:t>
      </w:r>
      <w:r w:rsidRPr="00205279">
        <w:rPr>
          <w:rFonts w:ascii="Arial" w:hAnsi="Arial" w:cs="Arial"/>
          <w:sz w:val="22"/>
          <w:szCs w:val="22"/>
        </w:rPr>
        <w:t xml:space="preserve">. </w:t>
      </w:r>
      <w:r w:rsidRPr="00205279">
        <w:rPr>
          <w:rStyle w:val="Emphasis"/>
          <w:rFonts w:ascii="Arial" w:hAnsi="Arial" w:cs="Arial"/>
          <w:sz w:val="22"/>
          <w:szCs w:val="22"/>
        </w:rPr>
        <w:t>Identifying barriers and opportunities to facilitate the uptake of whole genome sequencing in paediatric haematology and oncology practice</w:t>
      </w:r>
      <w:r w:rsidRPr="00205279">
        <w:rPr>
          <w:rFonts w:ascii="Arial" w:hAnsi="Arial" w:cs="Arial"/>
          <w:sz w:val="22"/>
          <w:szCs w:val="22"/>
        </w:rPr>
        <w:t xml:space="preserve">. BMC Medical Education, 24, p.1273. Available at: </w:t>
      </w:r>
      <w:hyperlink r:id="rId15" w:history="1">
        <w:r w:rsidRPr="00205279">
          <w:rPr>
            <w:rStyle w:val="Hyperlink"/>
            <w:rFonts w:ascii="Arial" w:hAnsi="Arial" w:cs="Arial"/>
            <w:sz w:val="22"/>
            <w:szCs w:val="22"/>
          </w:rPr>
          <w:t>https://doi.org/10.1186/s12909-024-06219-y</w:t>
        </w:r>
      </w:hyperlink>
      <w:r w:rsidRPr="00205279">
        <w:rPr>
          <w:rFonts w:ascii="Arial" w:hAnsi="Arial" w:cs="Arial"/>
          <w:sz w:val="22"/>
          <w:szCs w:val="22"/>
        </w:rPr>
        <w:t xml:space="preserve"> </w:t>
      </w:r>
    </w:p>
    <w:p w14:paraId="7D8FCF21"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Cummings, T.G., Bridgman, T. and Brown, K.G. (2020) ‘Unfreezing change as three steps: Rethinking Kurt Lewin’s legacy for change management’, </w:t>
      </w:r>
      <w:r w:rsidRPr="00205279">
        <w:rPr>
          <w:rFonts w:eastAsia="Times New Roman" w:cs="Arial"/>
          <w:i/>
          <w:iCs/>
          <w:sz w:val="22"/>
          <w:szCs w:val="22"/>
          <w:lang w:eastAsia="en-GB"/>
        </w:rPr>
        <w:t>Human Relations</w:t>
      </w:r>
      <w:r w:rsidRPr="00205279">
        <w:rPr>
          <w:rFonts w:eastAsia="Times New Roman" w:cs="Arial"/>
          <w:sz w:val="22"/>
          <w:szCs w:val="22"/>
          <w:lang w:eastAsia="en-GB"/>
        </w:rPr>
        <w:t>, 73(1), pp. 35–55.</w:t>
      </w:r>
    </w:p>
    <w:p w14:paraId="110A21BF"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Ćwiklicki, M., Duplaga, M., and Klich, J. (Eds.). (2021). The Digital Transformation of Healthcare: Health 4.0 (1st ed.). Routledge. </w:t>
      </w:r>
      <w:hyperlink r:id="rId16" w:history="1">
        <w:r w:rsidRPr="00205279">
          <w:rPr>
            <w:rStyle w:val="Hyperlink"/>
            <w:rFonts w:eastAsia="Times New Roman" w:cs="Arial"/>
            <w:sz w:val="22"/>
            <w:szCs w:val="22"/>
            <w:lang w:eastAsia="en-GB"/>
          </w:rPr>
          <w:t>https://doi.org/10.4324/9781003144403</w:t>
        </w:r>
      </w:hyperlink>
      <w:r w:rsidRPr="00205279">
        <w:rPr>
          <w:rFonts w:eastAsia="Times New Roman" w:cs="Arial"/>
          <w:sz w:val="22"/>
          <w:szCs w:val="22"/>
          <w:lang w:eastAsia="en-GB"/>
        </w:rPr>
        <w:t xml:space="preserve"> (Accessed on: 04 November 2025).</w:t>
      </w:r>
    </w:p>
    <w:p w14:paraId="4CBD607F"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 Friedrich, B.; </w:t>
      </w:r>
      <w:proofErr w:type="spellStart"/>
      <w:r w:rsidRPr="00205279">
        <w:rPr>
          <w:rFonts w:eastAsia="Times New Roman" w:cs="Arial"/>
          <w:sz w:val="22"/>
          <w:szCs w:val="22"/>
          <w:lang w:eastAsia="en-GB"/>
        </w:rPr>
        <w:t>Vindrola-Padros</w:t>
      </w:r>
      <w:proofErr w:type="spellEnd"/>
      <w:r w:rsidRPr="00205279">
        <w:rPr>
          <w:rFonts w:eastAsia="Times New Roman" w:cs="Arial"/>
          <w:sz w:val="22"/>
          <w:szCs w:val="22"/>
          <w:lang w:eastAsia="en-GB"/>
        </w:rPr>
        <w:t xml:space="preserve">, C.; Lucassen, A. M.; Patch, C.; Clarke, A.; </w:t>
      </w:r>
      <w:proofErr w:type="spellStart"/>
      <w:r w:rsidRPr="00205279">
        <w:rPr>
          <w:rFonts w:eastAsia="Times New Roman" w:cs="Arial"/>
          <w:sz w:val="22"/>
          <w:szCs w:val="22"/>
          <w:lang w:eastAsia="en-GB"/>
        </w:rPr>
        <w:t>Lakhanpaul</w:t>
      </w:r>
      <w:proofErr w:type="spellEnd"/>
      <w:r w:rsidRPr="00205279">
        <w:rPr>
          <w:rFonts w:eastAsia="Times New Roman" w:cs="Arial"/>
          <w:sz w:val="22"/>
          <w:szCs w:val="22"/>
          <w:lang w:eastAsia="en-GB"/>
        </w:rPr>
        <w:t xml:space="preserve">, M. and Lewis, C. (2024) ‘“A very big challenge”: a qualitative study to explore the early barriers and enablers to implementing a national genomic medicine service in England’, </w:t>
      </w:r>
      <w:r w:rsidRPr="00205279">
        <w:rPr>
          <w:rFonts w:eastAsia="Times New Roman" w:cs="Arial"/>
          <w:i/>
          <w:iCs/>
          <w:sz w:val="22"/>
          <w:szCs w:val="22"/>
          <w:lang w:eastAsia="en-GB"/>
        </w:rPr>
        <w:t>Frontiers in genetics</w:t>
      </w:r>
      <w:r w:rsidRPr="00205279">
        <w:rPr>
          <w:rFonts w:eastAsia="Times New Roman" w:cs="Arial"/>
          <w:sz w:val="22"/>
          <w:szCs w:val="22"/>
          <w:lang w:eastAsia="en-GB"/>
        </w:rPr>
        <w:t xml:space="preserve">, 14. Available at: </w:t>
      </w:r>
      <w:hyperlink r:id="rId17" w:history="1">
        <w:r w:rsidRPr="00205279">
          <w:rPr>
            <w:rStyle w:val="Hyperlink"/>
            <w:rFonts w:eastAsia="Times New Roman" w:cs="Arial"/>
            <w:sz w:val="22"/>
            <w:szCs w:val="22"/>
            <w:lang w:eastAsia="en-GB"/>
          </w:rPr>
          <w:t>https://doi.org/10.3389/fgene.2023.1282034</w:t>
        </w:r>
      </w:hyperlink>
      <w:r w:rsidRPr="00205279">
        <w:rPr>
          <w:rFonts w:eastAsia="Times New Roman" w:cs="Arial"/>
          <w:sz w:val="22"/>
          <w:szCs w:val="22"/>
          <w:lang w:eastAsia="en-GB"/>
        </w:rPr>
        <w:t xml:space="preserve">. </w:t>
      </w:r>
    </w:p>
    <w:p w14:paraId="051BB7AA" w14:textId="25569DCF" w:rsidR="0006313F" w:rsidRPr="00843AD1" w:rsidRDefault="00581CF0" w:rsidP="00843AD1">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Genomics England (2023) </w:t>
      </w:r>
      <w:r w:rsidRPr="00205279">
        <w:rPr>
          <w:rFonts w:eastAsia="Times New Roman" w:cs="Arial"/>
          <w:i/>
          <w:iCs/>
          <w:sz w:val="22"/>
          <w:szCs w:val="22"/>
          <w:lang w:eastAsia="en-GB"/>
        </w:rPr>
        <w:t>National Genomic Research Library Overview</w:t>
      </w:r>
      <w:r w:rsidRPr="00205279">
        <w:rPr>
          <w:rFonts w:eastAsia="Times New Roman" w:cs="Arial"/>
          <w:sz w:val="22"/>
          <w:szCs w:val="22"/>
          <w:lang w:eastAsia="en-GB"/>
        </w:rPr>
        <w:t xml:space="preserve">. Available at: </w:t>
      </w:r>
      <w:hyperlink r:id="rId18" w:history="1">
        <w:r w:rsidRPr="00205279">
          <w:rPr>
            <w:rFonts w:eastAsia="Times New Roman" w:cs="Arial"/>
            <w:color w:val="0000FF"/>
            <w:sz w:val="22"/>
            <w:szCs w:val="22"/>
            <w:u w:val="single"/>
            <w:lang w:eastAsia="en-GB"/>
          </w:rPr>
          <w:t>https://www.genomicsengland.co.uk</w:t>
        </w:r>
      </w:hyperlink>
      <w:r w:rsidRPr="00205279">
        <w:rPr>
          <w:rFonts w:cs="Arial"/>
          <w:sz w:val="22"/>
          <w:szCs w:val="22"/>
        </w:rPr>
        <w:t xml:space="preserve"> </w:t>
      </w:r>
    </w:p>
    <w:p w14:paraId="28048392" w14:textId="39EE06C5" w:rsidR="0006313F" w:rsidRPr="00205279" w:rsidRDefault="0006313F" w:rsidP="0006313F">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06313F">
        <w:rPr>
          <w:rFonts w:eastAsia="Times New Roman" w:cs="Arial"/>
          <w:sz w:val="22"/>
          <w:szCs w:val="22"/>
          <w:lang w:eastAsia="en-GB"/>
        </w:rPr>
        <w:t xml:space="preserve">  </w:t>
      </w:r>
      <w:proofErr w:type="spellStart"/>
      <w:r w:rsidRPr="0006313F">
        <w:rPr>
          <w:rFonts w:eastAsia="Times New Roman" w:cs="Arial"/>
          <w:sz w:val="22"/>
          <w:szCs w:val="22"/>
          <w:lang w:eastAsia="en-GB"/>
        </w:rPr>
        <w:t>Goktas</w:t>
      </w:r>
      <w:proofErr w:type="spellEnd"/>
      <w:r w:rsidRPr="0006313F">
        <w:rPr>
          <w:rFonts w:eastAsia="Times New Roman" w:cs="Arial"/>
          <w:sz w:val="22"/>
          <w:szCs w:val="22"/>
          <w:lang w:eastAsia="en-GB"/>
        </w:rPr>
        <w:t xml:space="preserve">, P. and Grzybowski, A. (2025) ‘Shaping the Future of Healthcare: Ethical Clinical Challenges and Pathways to Trustworthy AI’, </w:t>
      </w:r>
      <w:r w:rsidRPr="00EC18C7">
        <w:rPr>
          <w:rFonts w:eastAsia="Times New Roman" w:cs="Arial"/>
          <w:i/>
          <w:iCs/>
          <w:sz w:val="22"/>
          <w:szCs w:val="22"/>
          <w:lang w:eastAsia="en-GB"/>
        </w:rPr>
        <w:t xml:space="preserve">Journal of </w:t>
      </w:r>
      <w:r w:rsidR="00EC18C7" w:rsidRPr="00EC18C7">
        <w:rPr>
          <w:rFonts w:eastAsia="Times New Roman" w:cs="Arial"/>
          <w:i/>
          <w:iCs/>
          <w:sz w:val="22"/>
          <w:szCs w:val="22"/>
          <w:lang w:eastAsia="en-GB"/>
        </w:rPr>
        <w:t>Clinical Medicine</w:t>
      </w:r>
      <w:r w:rsidRPr="0006313F">
        <w:rPr>
          <w:rFonts w:eastAsia="Times New Roman" w:cs="Arial"/>
          <w:sz w:val="22"/>
          <w:szCs w:val="22"/>
          <w:lang w:eastAsia="en-GB"/>
        </w:rPr>
        <w:t xml:space="preserve">, 14(5), p. 1605. Available at: </w:t>
      </w:r>
      <w:hyperlink r:id="rId19" w:history="1">
        <w:r w:rsidRPr="0030352F">
          <w:rPr>
            <w:rStyle w:val="Hyperlink"/>
            <w:rFonts w:eastAsia="Times New Roman" w:cs="Arial"/>
            <w:sz w:val="22"/>
            <w:szCs w:val="22"/>
            <w:lang w:eastAsia="en-GB"/>
          </w:rPr>
          <w:t>https://doi.org/10.3390/jcm14051605</w:t>
        </w:r>
      </w:hyperlink>
      <w:r w:rsidRPr="0006313F">
        <w:rPr>
          <w:rFonts w:eastAsia="Times New Roman" w:cs="Arial"/>
          <w:sz w:val="22"/>
          <w:szCs w:val="22"/>
          <w:lang w:eastAsia="en-GB"/>
        </w:rPr>
        <w:t>.</w:t>
      </w:r>
      <w:r>
        <w:rPr>
          <w:rFonts w:eastAsia="Times New Roman" w:cs="Arial"/>
          <w:sz w:val="22"/>
          <w:szCs w:val="22"/>
          <w:lang w:eastAsia="en-GB"/>
        </w:rPr>
        <w:t xml:space="preserve"> </w:t>
      </w:r>
    </w:p>
    <w:p w14:paraId="62613E1E"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Health Education England (2023) </w:t>
      </w:r>
      <w:r w:rsidRPr="00205279">
        <w:rPr>
          <w:rFonts w:eastAsia="Times New Roman" w:cs="Arial"/>
          <w:i/>
          <w:iCs/>
          <w:sz w:val="22"/>
          <w:szCs w:val="22"/>
          <w:lang w:eastAsia="en-GB"/>
        </w:rPr>
        <w:t>Genomics Education Programme: Annual Review 2023</w:t>
      </w:r>
      <w:r w:rsidRPr="00205279">
        <w:rPr>
          <w:rFonts w:eastAsia="Times New Roman" w:cs="Arial"/>
          <w:sz w:val="22"/>
          <w:szCs w:val="22"/>
          <w:lang w:eastAsia="en-GB"/>
        </w:rPr>
        <w:t xml:space="preserve">. Available at: </w:t>
      </w:r>
      <w:hyperlink r:id="rId20" w:history="1">
        <w:r w:rsidRPr="00205279">
          <w:rPr>
            <w:rFonts w:eastAsia="Times New Roman" w:cs="Arial"/>
            <w:color w:val="0000FF"/>
            <w:sz w:val="22"/>
            <w:szCs w:val="22"/>
            <w:u w:val="single"/>
            <w:lang w:eastAsia="en-GB"/>
          </w:rPr>
          <w:t>https://www.genomicseducation.hee.nhs.uk</w:t>
        </w:r>
      </w:hyperlink>
    </w:p>
    <w:p w14:paraId="4798FFEE"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IHSCM (2025) </w:t>
      </w:r>
      <w:r w:rsidRPr="00205279">
        <w:rPr>
          <w:rFonts w:eastAsia="Times New Roman" w:cs="Arial"/>
          <w:i/>
          <w:iCs/>
          <w:sz w:val="22"/>
          <w:szCs w:val="22"/>
          <w:lang w:eastAsia="en-GB"/>
        </w:rPr>
        <w:t>Certificate of Attendance: How to Effectively Manage Change</w:t>
      </w:r>
      <w:r w:rsidRPr="00205279">
        <w:rPr>
          <w:rFonts w:eastAsia="Times New Roman" w:cs="Arial"/>
          <w:sz w:val="22"/>
          <w:szCs w:val="22"/>
          <w:lang w:eastAsia="en-GB"/>
        </w:rPr>
        <w:t>. Institute of Health &amp; Social Care Management, 22 January 2025.</w:t>
      </w:r>
    </w:p>
    <w:p w14:paraId="539F310A" w14:textId="77777777" w:rsidR="00581CF0" w:rsidRPr="00205279" w:rsidRDefault="00581CF0" w:rsidP="00205279">
      <w:pPr>
        <w:pStyle w:val="ListParagraph"/>
        <w:numPr>
          <w:ilvl w:val="0"/>
          <w:numId w:val="5"/>
        </w:numPr>
        <w:spacing w:before="0" w:after="0" w:line="360" w:lineRule="auto"/>
        <w:jc w:val="both"/>
        <w:rPr>
          <w:rFonts w:eastAsia="Times New Roman" w:cs="Arial"/>
          <w:sz w:val="22"/>
          <w:szCs w:val="22"/>
          <w:lang w:eastAsia="en-GB"/>
        </w:rPr>
      </w:pPr>
      <w:r w:rsidRPr="00205279">
        <w:rPr>
          <w:rFonts w:eastAsia="Times New Roman" w:cs="Arial"/>
          <w:sz w:val="22"/>
          <w:szCs w:val="22"/>
          <w:lang w:eastAsia="en-GB"/>
        </w:rPr>
        <w:t xml:space="preserve">Kaushik, K. </w:t>
      </w:r>
      <w:r w:rsidRPr="00205279">
        <w:rPr>
          <w:rFonts w:eastAsia="Times New Roman" w:cs="Arial"/>
          <w:i/>
          <w:iCs/>
          <w:sz w:val="22"/>
          <w:szCs w:val="22"/>
          <w:lang w:eastAsia="en-GB"/>
        </w:rPr>
        <w:t>et al.</w:t>
      </w:r>
      <w:r w:rsidRPr="00205279">
        <w:rPr>
          <w:rFonts w:eastAsia="Times New Roman" w:cs="Arial"/>
          <w:sz w:val="22"/>
          <w:szCs w:val="22"/>
          <w:lang w:eastAsia="en-GB"/>
        </w:rPr>
        <w:t xml:space="preserve"> (2023) </w:t>
      </w:r>
      <w:r w:rsidRPr="00205279">
        <w:rPr>
          <w:rFonts w:eastAsia="Times New Roman" w:cs="Arial"/>
          <w:i/>
          <w:iCs/>
          <w:sz w:val="22"/>
          <w:szCs w:val="22"/>
          <w:lang w:eastAsia="en-GB"/>
        </w:rPr>
        <w:t>Revolutionising Healthcare Through Artificial Intelligence and Internet of Things Applications</w:t>
      </w:r>
      <w:r w:rsidRPr="00205279">
        <w:rPr>
          <w:rFonts w:eastAsia="Times New Roman" w:cs="Arial"/>
          <w:sz w:val="22"/>
          <w:szCs w:val="22"/>
          <w:lang w:eastAsia="en-GB"/>
        </w:rPr>
        <w:t xml:space="preserve">. 1st </w:t>
      </w:r>
      <w:proofErr w:type="spellStart"/>
      <w:r w:rsidRPr="00205279">
        <w:rPr>
          <w:rFonts w:eastAsia="Times New Roman" w:cs="Arial"/>
          <w:sz w:val="22"/>
          <w:szCs w:val="22"/>
          <w:lang w:eastAsia="en-GB"/>
        </w:rPr>
        <w:t>edn</w:t>
      </w:r>
      <w:proofErr w:type="spellEnd"/>
      <w:r w:rsidRPr="00205279">
        <w:rPr>
          <w:rFonts w:eastAsia="Times New Roman" w:cs="Arial"/>
          <w:sz w:val="22"/>
          <w:szCs w:val="22"/>
          <w:lang w:eastAsia="en-GB"/>
        </w:rPr>
        <w:t xml:space="preserve">. Hershey: IGI Global. Available at: </w:t>
      </w:r>
      <w:hyperlink r:id="rId21" w:history="1">
        <w:r w:rsidRPr="00205279">
          <w:rPr>
            <w:rStyle w:val="Hyperlink"/>
            <w:rFonts w:eastAsia="Times New Roman" w:cs="Arial"/>
            <w:sz w:val="22"/>
            <w:szCs w:val="22"/>
            <w:lang w:eastAsia="en-GB"/>
          </w:rPr>
          <w:t>https://doi.org/10.4018/978-1-6684-5422-0</w:t>
        </w:r>
      </w:hyperlink>
      <w:r w:rsidRPr="00205279">
        <w:rPr>
          <w:rFonts w:eastAsia="Times New Roman" w:cs="Arial"/>
          <w:sz w:val="22"/>
          <w:szCs w:val="22"/>
          <w:lang w:eastAsia="en-GB"/>
        </w:rPr>
        <w:t>. (Accessed on: 23 October 2025).</w:t>
      </w:r>
    </w:p>
    <w:p w14:paraId="1D2935D6"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lastRenderedPageBreak/>
        <w:t xml:space="preserve">Kotter, J.P. (2018). </w:t>
      </w:r>
      <w:r w:rsidRPr="00205279">
        <w:rPr>
          <w:rFonts w:eastAsia="Times New Roman" w:cs="Arial"/>
          <w:i/>
          <w:iCs/>
          <w:sz w:val="22"/>
          <w:szCs w:val="22"/>
          <w:lang w:eastAsia="en-GB"/>
        </w:rPr>
        <w:t>Accelerate: Building Strategic Agility for a Faster-Moving World</w:t>
      </w:r>
      <w:r w:rsidRPr="00205279">
        <w:rPr>
          <w:rFonts w:eastAsia="Times New Roman" w:cs="Arial"/>
          <w:sz w:val="22"/>
          <w:szCs w:val="22"/>
          <w:lang w:eastAsia="en-GB"/>
        </w:rPr>
        <w:t>. Boston: Harvard Business Review Press.</w:t>
      </w:r>
    </w:p>
    <w:p w14:paraId="5103071E"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Laskowski, N.M. </w:t>
      </w:r>
      <w:r w:rsidRPr="00205279">
        <w:rPr>
          <w:rFonts w:eastAsia="Times New Roman" w:cs="Arial"/>
          <w:i/>
          <w:iCs/>
          <w:sz w:val="22"/>
          <w:szCs w:val="22"/>
          <w:lang w:eastAsia="en-GB"/>
        </w:rPr>
        <w:t>et al.</w:t>
      </w:r>
      <w:r w:rsidRPr="00205279">
        <w:rPr>
          <w:rFonts w:eastAsia="Times New Roman" w:cs="Arial"/>
          <w:sz w:val="22"/>
          <w:szCs w:val="22"/>
          <w:lang w:eastAsia="en-GB"/>
        </w:rPr>
        <w:t xml:space="preserve"> (2025) ‘Variation Exists in Service Delivery: Similarities and Differences in the Provision of a Whole Genome Sequencing Service for Paediatric Rare Disease Patients in the National Health Service in England’, </w:t>
      </w:r>
      <w:r w:rsidRPr="00205279">
        <w:rPr>
          <w:rFonts w:eastAsia="Times New Roman" w:cs="Arial"/>
          <w:i/>
          <w:iCs/>
          <w:sz w:val="22"/>
          <w:szCs w:val="22"/>
          <w:lang w:eastAsia="en-GB"/>
        </w:rPr>
        <w:t>Public health genomics</w:t>
      </w:r>
      <w:r w:rsidRPr="00205279">
        <w:rPr>
          <w:rFonts w:eastAsia="Times New Roman" w:cs="Arial"/>
          <w:sz w:val="22"/>
          <w:szCs w:val="22"/>
          <w:lang w:eastAsia="en-GB"/>
        </w:rPr>
        <w:t xml:space="preserve">, 28(1), pp. 1–18. Available at: </w:t>
      </w:r>
      <w:hyperlink r:id="rId22" w:history="1">
        <w:r w:rsidRPr="00205279">
          <w:rPr>
            <w:rStyle w:val="Hyperlink"/>
            <w:rFonts w:eastAsia="Times New Roman" w:cs="Arial"/>
            <w:sz w:val="22"/>
            <w:szCs w:val="22"/>
            <w:lang w:eastAsia="en-GB"/>
          </w:rPr>
          <w:t>https://doi.org/10.1159/000542027</w:t>
        </w:r>
      </w:hyperlink>
      <w:r w:rsidRPr="00205279">
        <w:rPr>
          <w:rFonts w:eastAsia="Times New Roman" w:cs="Arial"/>
          <w:sz w:val="22"/>
          <w:szCs w:val="22"/>
          <w:lang w:eastAsia="en-GB"/>
        </w:rPr>
        <w:t xml:space="preserve">. </w:t>
      </w:r>
    </w:p>
    <w:p w14:paraId="7C34E276" w14:textId="55DEE1FA" w:rsidR="00581CF0" w:rsidRPr="00205279" w:rsidRDefault="00581CF0" w:rsidP="00205279">
      <w:pPr>
        <w:pStyle w:val="NormalWeb"/>
        <w:numPr>
          <w:ilvl w:val="0"/>
          <w:numId w:val="5"/>
        </w:numPr>
        <w:spacing w:line="360" w:lineRule="auto"/>
        <w:jc w:val="both"/>
        <w:rPr>
          <w:rFonts w:ascii="Arial" w:hAnsi="Arial" w:cs="Arial"/>
          <w:sz w:val="22"/>
          <w:szCs w:val="22"/>
        </w:rPr>
      </w:pPr>
      <w:r w:rsidRPr="00205279">
        <w:rPr>
          <w:rFonts w:ascii="Arial" w:hAnsi="Arial" w:cs="Arial"/>
          <w:sz w:val="22"/>
          <w:szCs w:val="22"/>
        </w:rPr>
        <w:t xml:space="preserve">Lewis, C., Buchanan, J., Clarke, A. </w:t>
      </w:r>
      <w:r w:rsidRPr="007B7F55">
        <w:rPr>
          <w:rFonts w:ascii="Arial" w:hAnsi="Arial" w:cs="Arial"/>
          <w:i/>
          <w:iCs/>
          <w:sz w:val="22"/>
          <w:szCs w:val="22"/>
        </w:rPr>
        <w:t>et al</w:t>
      </w:r>
      <w:r w:rsidRPr="00205279">
        <w:rPr>
          <w:rFonts w:ascii="Arial" w:hAnsi="Arial" w:cs="Arial"/>
          <w:sz w:val="22"/>
          <w:szCs w:val="22"/>
        </w:rPr>
        <w:t xml:space="preserve">., </w:t>
      </w:r>
      <w:r w:rsidR="006B062A">
        <w:rPr>
          <w:rFonts w:ascii="Arial" w:hAnsi="Arial" w:cs="Arial"/>
          <w:sz w:val="22"/>
          <w:szCs w:val="22"/>
        </w:rPr>
        <w:t>(</w:t>
      </w:r>
      <w:r w:rsidRPr="00205279">
        <w:rPr>
          <w:rFonts w:ascii="Arial" w:hAnsi="Arial" w:cs="Arial"/>
          <w:sz w:val="22"/>
          <w:szCs w:val="22"/>
        </w:rPr>
        <w:t>2022</w:t>
      </w:r>
      <w:r w:rsidR="006B062A">
        <w:rPr>
          <w:rFonts w:ascii="Arial" w:hAnsi="Arial" w:cs="Arial"/>
          <w:sz w:val="22"/>
          <w:szCs w:val="22"/>
        </w:rPr>
        <w:t>)</w:t>
      </w:r>
      <w:r w:rsidRPr="00205279">
        <w:rPr>
          <w:rFonts w:ascii="Arial" w:hAnsi="Arial" w:cs="Arial"/>
          <w:sz w:val="22"/>
          <w:szCs w:val="22"/>
        </w:rPr>
        <w:t xml:space="preserve">. </w:t>
      </w:r>
      <w:r w:rsidRPr="00205279">
        <w:rPr>
          <w:rStyle w:val="Emphasis"/>
          <w:rFonts w:ascii="Arial" w:hAnsi="Arial" w:cs="Arial"/>
          <w:sz w:val="22"/>
          <w:szCs w:val="22"/>
        </w:rPr>
        <w:t>Mixed-methods evaluation of the NHS Genomic Medicine Service for paediatric rare diseases: study protocol</w:t>
      </w:r>
      <w:r w:rsidRPr="00205279">
        <w:rPr>
          <w:rFonts w:ascii="Arial" w:hAnsi="Arial" w:cs="Arial"/>
          <w:sz w:val="22"/>
          <w:szCs w:val="22"/>
        </w:rPr>
        <w:t xml:space="preserve">. NIHR Open Research, 1:23. Available at: </w:t>
      </w:r>
      <w:hyperlink r:id="rId23" w:history="1">
        <w:r w:rsidRPr="00205279">
          <w:rPr>
            <w:rStyle w:val="Hyperlink"/>
            <w:rFonts w:ascii="Arial" w:hAnsi="Arial" w:cs="Arial"/>
            <w:sz w:val="22"/>
            <w:szCs w:val="22"/>
          </w:rPr>
          <w:t>https://doi.org/10.3310/nihropenres.13236.2</w:t>
        </w:r>
      </w:hyperlink>
      <w:r w:rsidRPr="00205279">
        <w:rPr>
          <w:rFonts w:ascii="Arial" w:hAnsi="Arial" w:cs="Arial"/>
          <w:sz w:val="22"/>
          <w:szCs w:val="22"/>
        </w:rPr>
        <w:t xml:space="preserve"> </w:t>
      </w:r>
    </w:p>
    <w:p w14:paraId="13E0BD89"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cs="Arial"/>
          <w:sz w:val="22"/>
          <w:szCs w:val="22"/>
        </w:rPr>
        <w:t xml:space="preserve">Lyle, K., Lucassen, A. &amp; </w:t>
      </w:r>
      <w:proofErr w:type="spellStart"/>
      <w:r w:rsidRPr="00205279">
        <w:rPr>
          <w:rFonts w:cs="Arial"/>
          <w:sz w:val="22"/>
          <w:szCs w:val="22"/>
        </w:rPr>
        <w:t>Dheensa</w:t>
      </w:r>
      <w:proofErr w:type="spellEnd"/>
      <w:r w:rsidRPr="00205279">
        <w:rPr>
          <w:rFonts w:cs="Arial"/>
          <w:sz w:val="22"/>
          <w:szCs w:val="22"/>
        </w:rPr>
        <w:t xml:space="preserve">, S. (2023) ‘“Immortal data”: Public understandings of long-term genomic data storage and use’, </w:t>
      </w:r>
      <w:r w:rsidRPr="00205279">
        <w:rPr>
          <w:rStyle w:val="Emphasis"/>
          <w:rFonts w:cs="Arial"/>
          <w:sz w:val="22"/>
          <w:szCs w:val="22"/>
        </w:rPr>
        <w:t>European Journal of Human Genetics</w:t>
      </w:r>
      <w:r w:rsidRPr="00205279">
        <w:rPr>
          <w:rFonts w:cs="Arial"/>
          <w:sz w:val="22"/>
          <w:szCs w:val="22"/>
        </w:rPr>
        <w:t xml:space="preserve">, 31(8), pp. 903–912. Available at: </w:t>
      </w:r>
      <w:hyperlink r:id="rId24" w:history="1">
        <w:r w:rsidRPr="00205279">
          <w:rPr>
            <w:rStyle w:val="Hyperlink"/>
            <w:rFonts w:cs="Arial"/>
            <w:sz w:val="22"/>
            <w:szCs w:val="22"/>
          </w:rPr>
          <w:t>https://www.ncbi.nlm.nih.gov/pmc/articles/PMC10250296/</w:t>
        </w:r>
      </w:hyperlink>
      <w:r w:rsidRPr="00205279">
        <w:rPr>
          <w:rFonts w:cs="Arial"/>
          <w:sz w:val="22"/>
          <w:szCs w:val="22"/>
        </w:rPr>
        <w:t xml:space="preserve"> (</w:t>
      </w:r>
      <w:hyperlink r:id="rId25" w:tooltip="Immortal data: a qualitative exploration of patients' ..." w:history="1">
        <w:r w:rsidRPr="00205279">
          <w:rPr>
            <w:rStyle w:val="Hyperlink"/>
            <w:rFonts w:cs="Arial"/>
            <w:sz w:val="22"/>
            <w:szCs w:val="22"/>
          </w:rPr>
          <w:t>PMC</w:t>
        </w:r>
      </w:hyperlink>
      <w:r w:rsidRPr="00205279">
        <w:rPr>
          <w:rFonts w:cs="Arial"/>
          <w:sz w:val="22"/>
          <w:szCs w:val="22"/>
        </w:rPr>
        <w:t>)</w:t>
      </w:r>
    </w:p>
    <w:p w14:paraId="2FD3DD34" w14:textId="77777777" w:rsidR="00581CF0" w:rsidRPr="00205279" w:rsidRDefault="00581CF0" w:rsidP="00205279">
      <w:pPr>
        <w:pStyle w:val="ListParagraph"/>
        <w:numPr>
          <w:ilvl w:val="0"/>
          <w:numId w:val="5"/>
        </w:numPr>
        <w:spacing w:before="0" w:after="0" w:line="360" w:lineRule="auto"/>
        <w:jc w:val="both"/>
        <w:rPr>
          <w:rFonts w:eastAsia="Times New Roman" w:cs="Arial"/>
          <w:sz w:val="22"/>
          <w:szCs w:val="22"/>
          <w:lang w:eastAsia="en-GB"/>
        </w:rPr>
      </w:pPr>
      <w:r w:rsidRPr="00205279">
        <w:rPr>
          <w:rFonts w:eastAsia="Times New Roman" w:cs="Arial"/>
          <w:sz w:val="22"/>
          <w:szCs w:val="22"/>
          <w:lang w:eastAsia="en-GB"/>
        </w:rPr>
        <w:t xml:space="preserve">Molnár-Gábor, F. </w:t>
      </w:r>
      <w:r w:rsidRPr="00205279">
        <w:rPr>
          <w:rFonts w:eastAsia="Times New Roman" w:cs="Arial"/>
          <w:i/>
          <w:iCs/>
          <w:sz w:val="22"/>
          <w:szCs w:val="22"/>
          <w:lang w:eastAsia="en-GB"/>
        </w:rPr>
        <w:t>et al.</w:t>
      </w:r>
      <w:r w:rsidRPr="00205279">
        <w:rPr>
          <w:rFonts w:eastAsia="Times New Roman" w:cs="Arial"/>
          <w:sz w:val="22"/>
          <w:szCs w:val="22"/>
          <w:lang w:eastAsia="en-GB"/>
        </w:rPr>
        <w:t xml:space="preserve"> (2022) ‘Bridging the European Data Sharing Divide in Genomic Science’, </w:t>
      </w:r>
      <w:r w:rsidRPr="00205279">
        <w:rPr>
          <w:rFonts w:eastAsia="Times New Roman" w:cs="Arial"/>
          <w:i/>
          <w:iCs/>
          <w:sz w:val="22"/>
          <w:szCs w:val="22"/>
          <w:lang w:eastAsia="en-GB"/>
        </w:rPr>
        <w:t>Journal of Medical Internet Research</w:t>
      </w:r>
      <w:r w:rsidRPr="00205279">
        <w:rPr>
          <w:rFonts w:eastAsia="Times New Roman" w:cs="Arial"/>
          <w:sz w:val="22"/>
          <w:szCs w:val="22"/>
          <w:lang w:eastAsia="en-GB"/>
        </w:rPr>
        <w:t xml:space="preserve">, 24(10), p. e37236. Available at: </w:t>
      </w:r>
      <w:hyperlink r:id="rId26" w:history="1">
        <w:r w:rsidRPr="00205279">
          <w:rPr>
            <w:rStyle w:val="Hyperlink"/>
            <w:rFonts w:eastAsia="Times New Roman" w:cs="Arial"/>
            <w:sz w:val="22"/>
            <w:szCs w:val="22"/>
            <w:lang w:eastAsia="en-GB"/>
          </w:rPr>
          <w:t>https://doi.org/10.2196/37236</w:t>
        </w:r>
      </w:hyperlink>
      <w:r w:rsidRPr="00205279">
        <w:rPr>
          <w:rFonts w:eastAsia="Times New Roman" w:cs="Arial"/>
          <w:sz w:val="22"/>
          <w:szCs w:val="22"/>
          <w:lang w:eastAsia="en-GB"/>
        </w:rPr>
        <w:t xml:space="preserve">. </w:t>
      </w:r>
    </w:p>
    <w:p w14:paraId="6DD9E2B6"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NHS England (2019) </w:t>
      </w:r>
      <w:r w:rsidRPr="00205279">
        <w:rPr>
          <w:rFonts w:eastAsia="Times New Roman" w:cs="Arial"/>
          <w:i/>
          <w:iCs/>
          <w:sz w:val="22"/>
          <w:szCs w:val="22"/>
          <w:lang w:eastAsia="en-GB"/>
        </w:rPr>
        <w:t>The NHS Long Term Plan</w:t>
      </w:r>
      <w:r w:rsidRPr="00205279">
        <w:rPr>
          <w:rFonts w:eastAsia="Times New Roman" w:cs="Arial"/>
          <w:sz w:val="22"/>
          <w:szCs w:val="22"/>
          <w:lang w:eastAsia="en-GB"/>
        </w:rPr>
        <w:t xml:space="preserve">. Available at: </w:t>
      </w:r>
      <w:hyperlink r:id="rId27" w:history="1">
        <w:r w:rsidRPr="00205279">
          <w:rPr>
            <w:rStyle w:val="Hyperlink"/>
            <w:rFonts w:eastAsia="Times New Roman" w:cs="Arial"/>
            <w:sz w:val="22"/>
            <w:szCs w:val="22"/>
            <w:lang w:eastAsia="en-GB"/>
          </w:rPr>
          <w:t>https://www.longtermplan.nhs.uk</w:t>
        </w:r>
      </w:hyperlink>
    </w:p>
    <w:p w14:paraId="5ADB639D" w14:textId="278EC80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NHS England (2022)</w:t>
      </w:r>
      <w:r w:rsidR="00750242">
        <w:rPr>
          <w:rFonts w:eastAsia="Times New Roman" w:cs="Arial"/>
          <w:sz w:val="22"/>
          <w:szCs w:val="22"/>
          <w:lang w:eastAsia="en-GB"/>
        </w:rPr>
        <w:t>.</w:t>
      </w:r>
      <w:r w:rsidRPr="00205279">
        <w:rPr>
          <w:rFonts w:eastAsia="Times New Roman" w:cs="Arial"/>
          <w:sz w:val="22"/>
          <w:szCs w:val="22"/>
          <w:lang w:eastAsia="en-GB"/>
        </w:rPr>
        <w:t xml:space="preserve"> </w:t>
      </w:r>
      <w:r w:rsidRPr="00205279">
        <w:rPr>
          <w:rFonts w:eastAsia="Times New Roman" w:cs="Arial"/>
          <w:i/>
          <w:iCs/>
          <w:sz w:val="22"/>
          <w:szCs w:val="22"/>
          <w:lang w:eastAsia="en-GB"/>
        </w:rPr>
        <w:t>Accelerating Genomic Medicine in the NHS</w:t>
      </w:r>
      <w:r w:rsidRPr="00205279">
        <w:rPr>
          <w:rFonts w:eastAsia="Times New Roman" w:cs="Arial"/>
          <w:sz w:val="22"/>
          <w:szCs w:val="22"/>
          <w:lang w:eastAsia="en-GB"/>
        </w:rPr>
        <w:t>. London: NHS England.</w:t>
      </w:r>
    </w:p>
    <w:p w14:paraId="2D8975D9"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NHS England (2023). </w:t>
      </w:r>
      <w:r w:rsidRPr="00205279">
        <w:rPr>
          <w:rFonts w:eastAsia="Times New Roman" w:cs="Arial"/>
          <w:i/>
          <w:iCs/>
          <w:sz w:val="22"/>
          <w:szCs w:val="22"/>
          <w:lang w:eastAsia="en-GB"/>
        </w:rPr>
        <w:t>Developing the NHS Workforce for the Genomic Era</w:t>
      </w:r>
      <w:r w:rsidRPr="00205279">
        <w:rPr>
          <w:rFonts w:eastAsia="Times New Roman" w:cs="Arial"/>
          <w:sz w:val="22"/>
          <w:szCs w:val="22"/>
          <w:lang w:eastAsia="en-GB"/>
        </w:rPr>
        <w:t xml:space="preserve">. London: NHS England. </w:t>
      </w:r>
    </w:p>
    <w:p w14:paraId="0D7ACA52"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NHS England (2024) </w:t>
      </w:r>
      <w:r w:rsidRPr="00205279">
        <w:rPr>
          <w:rFonts w:eastAsia="Times New Roman" w:cs="Arial"/>
          <w:i/>
          <w:iCs/>
          <w:sz w:val="22"/>
          <w:szCs w:val="22"/>
          <w:lang w:eastAsia="en-GB"/>
        </w:rPr>
        <w:t>Statistical Commentary: NHS Genomic Testing Throughput 2024</w:t>
      </w:r>
      <w:r w:rsidRPr="00205279">
        <w:rPr>
          <w:rFonts w:eastAsia="Times New Roman" w:cs="Arial"/>
          <w:sz w:val="22"/>
          <w:szCs w:val="22"/>
          <w:lang w:eastAsia="en-GB"/>
        </w:rPr>
        <w:t>. London: NHS England.</w:t>
      </w:r>
    </w:p>
    <w:p w14:paraId="3AB06004"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proofErr w:type="spellStart"/>
      <w:r w:rsidRPr="00205279">
        <w:rPr>
          <w:rFonts w:cs="Arial"/>
          <w:sz w:val="22"/>
          <w:szCs w:val="22"/>
        </w:rPr>
        <w:t>Nurchis</w:t>
      </w:r>
      <w:proofErr w:type="spellEnd"/>
      <w:r w:rsidRPr="00205279">
        <w:rPr>
          <w:rFonts w:cs="Arial"/>
          <w:sz w:val="22"/>
          <w:szCs w:val="22"/>
        </w:rPr>
        <w:t xml:space="preserve">, M.C. et al. (2023) ‘Bayesian cost-effectiveness analysis of whole-genome sequencing versus standard testing in paediatric suspected genetic disorders’, </w:t>
      </w:r>
      <w:r w:rsidRPr="00205279">
        <w:rPr>
          <w:rStyle w:val="Emphasis"/>
          <w:rFonts w:cs="Arial"/>
          <w:sz w:val="22"/>
          <w:szCs w:val="22"/>
        </w:rPr>
        <w:t>Journal of Health Economics and Outcomes Research</w:t>
      </w:r>
      <w:r w:rsidRPr="00205279">
        <w:rPr>
          <w:rFonts w:cs="Arial"/>
          <w:sz w:val="22"/>
          <w:szCs w:val="22"/>
        </w:rPr>
        <w:t xml:space="preserve">, 11(3), pp. 210–223. Available at: </w:t>
      </w:r>
      <w:hyperlink r:id="rId28" w:history="1">
        <w:r w:rsidRPr="00205279">
          <w:rPr>
            <w:rStyle w:val="Hyperlink"/>
            <w:rFonts w:cs="Arial"/>
            <w:sz w:val="22"/>
            <w:szCs w:val="22"/>
          </w:rPr>
          <w:t>https://pubmed.ncbi.nlm.nih.gov/37975990/</w:t>
        </w:r>
      </w:hyperlink>
      <w:r w:rsidRPr="00205279">
        <w:rPr>
          <w:rFonts w:cs="Arial"/>
          <w:sz w:val="22"/>
          <w:szCs w:val="22"/>
        </w:rPr>
        <w:t xml:space="preserve"> (</w:t>
      </w:r>
      <w:hyperlink r:id="rId29" w:tooltip="Bayesian cost-effectiveness analysis of Whole genome ..." w:history="1">
        <w:r w:rsidRPr="00205279">
          <w:rPr>
            <w:rStyle w:val="Hyperlink"/>
            <w:rFonts w:cs="Arial"/>
            <w:sz w:val="22"/>
            <w:szCs w:val="22"/>
          </w:rPr>
          <w:t>PubMed</w:t>
        </w:r>
      </w:hyperlink>
      <w:r w:rsidRPr="00205279">
        <w:rPr>
          <w:rFonts w:cs="Arial"/>
          <w:sz w:val="22"/>
          <w:szCs w:val="22"/>
        </w:rPr>
        <w:t>)</w:t>
      </w:r>
    </w:p>
    <w:p w14:paraId="1B604416"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Peter, M., Taylor, J. and Lucassen, A.M. (2022) ‘Participant experiences of genome sequencing for rare disease: Mixed-methods study’, </w:t>
      </w:r>
      <w:r w:rsidRPr="00205279">
        <w:rPr>
          <w:rFonts w:eastAsia="Times New Roman" w:cs="Arial"/>
          <w:i/>
          <w:iCs/>
          <w:sz w:val="22"/>
          <w:szCs w:val="22"/>
          <w:lang w:eastAsia="en-GB"/>
        </w:rPr>
        <w:t>BMJ Genomics</w:t>
      </w:r>
      <w:r w:rsidRPr="00205279">
        <w:rPr>
          <w:rFonts w:eastAsia="Times New Roman" w:cs="Arial"/>
          <w:sz w:val="22"/>
          <w:szCs w:val="22"/>
          <w:lang w:eastAsia="en-GB"/>
        </w:rPr>
        <w:t>, 4(2), pp. 101–110.</w:t>
      </w:r>
    </w:p>
    <w:p w14:paraId="5720B02C"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PHG Foundation (2023) </w:t>
      </w:r>
      <w:r w:rsidRPr="00205279">
        <w:rPr>
          <w:rFonts w:eastAsia="Times New Roman" w:cs="Arial"/>
          <w:i/>
          <w:iCs/>
          <w:sz w:val="22"/>
          <w:szCs w:val="22"/>
          <w:lang w:eastAsia="en-GB"/>
        </w:rPr>
        <w:t>The GDPR and genomic data</w:t>
      </w:r>
      <w:r w:rsidRPr="00205279">
        <w:rPr>
          <w:rFonts w:eastAsia="Times New Roman" w:cs="Arial"/>
          <w:sz w:val="22"/>
          <w:szCs w:val="22"/>
          <w:lang w:eastAsia="en-GB"/>
        </w:rPr>
        <w:t xml:space="preserve"> (Executive Summary).</w:t>
      </w:r>
    </w:p>
    <w:p w14:paraId="1C1359F5" w14:textId="77777777" w:rsidR="00581CF0" w:rsidRPr="00205279" w:rsidRDefault="00581CF0" w:rsidP="00205279">
      <w:pPr>
        <w:pStyle w:val="ListParagraph"/>
        <w:numPr>
          <w:ilvl w:val="0"/>
          <w:numId w:val="5"/>
        </w:numPr>
        <w:spacing w:before="0" w:after="0" w:line="360" w:lineRule="auto"/>
        <w:jc w:val="both"/>
        <w:rPr>
          <w:rFonts w:eastAsia="Times New Roman" w:cs="Arial"/>
          <w:color w:val="000000" w:themeColor="text1"/>
          <w:sz w:val="22"/>
          <w:szCs w:val="22"/>
          <w:lang w:eastAsia="en-GB"/>
        </w:rPr>
      </w:pPr>
      <w:r w:rsidRPr="00205279">
        <w:rPr>
          <w:rFonts w:eastAsia="Times New Roman" w:cs="Arial"/>
          <w:color w:val="000000" w:themeColor="text1"/>
          <w:sz w:val="22"/>
          <w:szCs w:val="22"/>
          <w:lang w:eastAsia="en-GB"/>
        </w:rPr>
        <w:t xml:space="preserve">  Roman C. T., </w:t>
      </w:r>
      <w:proofErr w:type="spellStart"/>
      <w:r w:rsidRPr="00205279">
        <w:rPr>
          <w:rFonts w:eastAsia="Times New Roman" w:cs="Arial"/>
          <w:color w:val="000000" w:themeColor="text1"/>
          <w:sz w:val="22"/>
          <w:szCs w:val="22"/>
          <w:lang w:eastAsia="en-GB"/>
        </w:rPr>
        <w:t>Manolica</w:t>
      </w:r>
      <w:proofErr w:type="spellEnd"/>
      <w:r w:rsidRPr="00205279">
        <w:rPr>
          <w:rFonts w:eastAsia="Times New Roman" w:cs="Arial"/>
          <w:color w:val="000000" w:themeColor="text1"/>
          <w:sz w:val="22"/>
          <w:szCs w:val="22"/>
          <w:lang w:eastAsia="en-GB"/>
        </w:rPr>
        <w:t xml:space="preserve"> A., and Bulat C. I., (2024) ‘Qualitative Analysis of Change Management Models’, </w:t>
      </w:r>
      <w:r w:rsidRPr="00205279">
        <w:rPr>
          <w:rFonts w:eastAsia="Times New Roman" w:cs="Arial"/>
          <w:i/>
          <w:iCs/>
          <w:color w:val="000000" w:themeColor="text1"/>
          <w:sz w:val="22"/>
          <w:szCs w:val="22"/>
          <w:lang w:eastAsia="en-GB"/>
        </w:rPr>
        <w:t>‘Ovidius’ University Annals. Economic Sciences Series</w:t>
      </w:r>
      <w:r w:rsidRPr="00205279">
        <w:rPr>
          <w:rFonts w:eastAsia="Times New Roman" w:cs="Arial"/>
          <w:color w:val="000000" w:themeColor="text1"/>
          <w:sz w:val="22"/>
          <w:szCs w:val="22"/>
          <w:lang w:eastAsia="en-GB"/>
        </w:rPr>
        <w:t xml:space="preserve">, XXIV(1), pp. 502–508. Available at: </w:t>
      </w:r>
      <w:hyperlink r:id="rId30" w:history="1">
        <w:r w:rsidRPr="00205279">
          <w:rPr>
            <w:rStyle w:val="Hyperlink"/>
            <w:rFonts w:eastAsia="Times New Roman" w:cs="Arial"/>
            <w:sz w:val="22"/>
            <w:szCs w:val="22"/>
            <w:lang w:eastAsia="en-GB"/>
          </w:rPr>
          <w:t>https://librarysearch.uwtsd.ac.uk/permalink/44WHELF_UWTSD/neci73/cdi_doaj_primary_oai_doaj_org_article_b2f063d204b2434594523e80ae900008</w:t>
        </w:r>
      </w:hyperlink>
      <w:r w:rsidRPr="00205279">
        <w:rPr>
          <w:rFonts w:eastAsia="Times New Roman" w:cs="Arial"/>
          <w:color w:val="000000" w:themeColor="text1"/>
          <w:sz w:val="22"/>
          <w:szCs w:val="22"/>
          <w:lang w:eastAsia="en-GB"/>
        </w:rPr>
        <w:t xml:space="preserve"> </w:t>
      </w:r>
    </w:p>
    <w:p w14:paraId="2D6EDAE8" w14:textId="419D5328"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cs="Arial"/>
          <w:sz w:val="22"/>
          <w:szCs w:val="22"/>
        </w:rPr>
        <w:lastRenderedPageBreak/>
        <w:t xml:space="preserve">Shabani, M. </w:t>
      </w:r>
      <w:r w:rsidRPr="0057137E">
        <w:rPr>
          <w:rFonts w:cs="Arial"/>
          <w:i/>
          <w:iCs/>
          <w:sz w:val="22"/>
          <w:szCs w:val="22"/>
        </w:rPr>
        <w:t>et al</w:t>
      </w:r>
      <w:r w:rsidRPr="00205279">
        <w:rPr>
          <w:rFonts w:cs="Arial"/>
          <w:sz w:val="22"/>
          <w:szCs w:val="22"/>
        </w:rPr>
        <w:t xml:space="preserve">. (2019) </w:t>
      </w:r>
      <w:proofErr w:type="spellStart"/>
      <w:r w:rsidRPr="00205279">
        <w:rPr>
          <w:rFonts w:cs="Arial"/>
          <w:sz w:val="22"/>
          <w:szCs w:val="22"/>
        </w:rPr>
        <w:t>‘Re</w:t>
      </w:r>
      <w:proofErr w:type="spellEnd"/>
      <w:r w:rsidRPr="00205279">
        <w:rPr>
          <w:rFonts w:cs="Arial"/>
          <w:sz w:val="22"/>
          <w:szCs w:val="22"/>
        </w:rPr>
        <w:t xml:space="preserve">-identifiability of genomic data and the GDPR’, </w:t>
      </w:r>
      <w:r w:rsidRPr="00205279">
        <w:rPr>
          <w:rStyle w:val="Emphasis"/>
          <w:rFonts w:cs="Arial"/>
          <w:sz w:val="22"/>
          <w:szCs w:val="22"/>
        </w:rPr>
        <w:t>EMBO Reports</w:t>
      </w:r>
      <w:r w:rsidRPr="00205279">
        <w:rPr>
          <w:rFonts w:cs="Arial"/>
          <w:sz w:val="22"/>
          <w:szCs w:val="22"/>
        </w:rPr>
        <w:t xml:space="preserve">, 20(6), e48316. Available at: </w:t>
      </w:r>
      <w:hyperlink r:id="rId31" w:history="1">
        <w:r w:rsidRPr="00205279">
          <w:rPr>
            <w:rStyle w:val="Hyperlink"/>
            <w:rFonts w:cs="Arial"/>
            <w:sz w:val="22"/>
            <w:szCs w:val="22"/>
          </w:rPr>
          <w:t>https://doi.org/10.15252/embr.201948316</w:t>
        </w:r>
      </w:hyperlink>
      <w:r w:rsidR="0057137E">
        <w:rPr>
          <w:rFonts w:cs="Arial"/>
          <w:sz w:val="22"/>
          <w:szCs w:val="22"/>
        </w:rPr>
        <w:t>.</w:t>
      </w:r>
    </w:p>
    <w:p w14:paraId="10D0B406" w14:textId="38AF3A1C" w:rsidR="00581CF0" w:rsidRPr="00205279" w:rsidRDefault="00581CF0" w:rsidP="00205279">
      <w:pPr>
        <w:pStyle w:val="NormalWeb"/>
        <w:numPr>
          <w:ilvl w:val="0"/>
          <w:numId w:val="5"/>
        </w:numPr>
        <w:spacing w:line="360" w:lineRule="auto"/>
        <w:jc w:val="both"/>
        <w:rPr>
          <w:rFonts w:ascii="Arial" w:hAnsi="Arial" w:cs="Arial"/>
          <w:sz w:val="22"/>
          <w:szCs w:val="22"/>
        </w:rPr>
      </w:pPr>
      <w:r w:rsidRPr="00205279">
        <w:rPr>
          <w:rFonts w:ascii="Arial" w:hAnsi="Arial" w:cs="Arial"/>
          <w:sz w:val="22"/>
          <w:szCs w:val="22"/>
        </w:rPr>
        <w:t xml:space="preserve">Smith, D. </w:t>
      </w:r>
      <w:r w:rsidRPr="00D852E1">
        <w:rPr>
          <w:rFonts w:ascii="Arial" w:hAnsi="Arial" w:cs="Arial"/>
          <w:i/>
          <w:iCs/>
          <w:sz w:val="22"/>
          <w:szCs w:val="22"/>
        </w:rPr>
        <w:t>et al</w:t>
      </w:r>
      <w:r w:rsidRPr="00205279">
        <w:rPr>
          <w:rFonts w:ascii="Arial" w:hAnsi="Arial" w:cs="Arial"/>
          <w:sz w:val="22"/>
          <w:szCs w:val="22"/>
        </w:rPr>
        <w:t xml:space="preserve">., </w:t>
      </w:r>
      <w:r w:rsidR="000A526C">
        <w:rPr>
          <w:rFonts w:ascii="Arial" w:hAnsi="Arial" w:cs="Arial"/>
          <w:sz w:val="22"/>
          <w:szCs w:val="22"/>
        </w:rPr>
        <w:t>(</w:t>
      </w:r>
      <w:r w:rsidRPr="00205279">
        <w:rPr>
          <w:rFonts w:ascii="Arial" w:hAnsi="Arial" w:cs="Arial"/>
          <w:sz w:val="22"/>
          <w:szCs w:val="22"/>
        </w:rPr>
        <w:t>2025</w:t>
      </w:r>
      <w:r w:rsidR="000A526C">
        <w:rPr>
          <w:rFonts w:ascii="Arial" w:hAnsi="Arial" w:cs="Arial"/>
          <w:sz w:val="22"/>
          <w:szCs w:val="22"/>
        </w:rPr>
        <w:t>)</w:t>
      </w:r>
      <w:r w:rsidRPr="00205279">
        <w:rPr>
          <w:rFonts w:ascii="Arial" w:hAnsi="Arial" w:cs="Arial"/>
          <w:sz w:val="22"/>
          <w:szCs w:val="22"/>
        </w:rPr>
        <w:t xml:space="preserve">. </w:t>
      </w:r>
      <w:r w:rsidRPr="00205279">
        <w:rPr>
          <w:rStyle w:val="Emphasis"/>
          <w:rFonts w:ascii="Arial" w:hAnsi="Arial" w:cs="Arial"/>
          <w:sz w:val="22"/>
          <w:szCs w:val="22"/>
        </w:rPr>
        <w:t>A qualitative study to evaluate the preparedness of community paediatricians for genomic medicine in England – ready for take-off?</w:t>
      </w:r>
      <w:r w:rsidRPr="00205279">
        <w:rPr>
          <w:rFonts w:ascii="Arial" w:hAnsi="Arial" w:cs="Arial"/>
          <w:sz w:val="22"/>
          <w:szCs w:val="22"/>
        </w:rPr>
        <w:t xml:space="preserve"> Journal of Community Genetics, 16, pp.321–334. Available at: </w:t>
      </w:r>
      <w:hyperlink r:id="rId32" w:history="1">
        <w:r w:rsidRPr="00205279">
          <w:rPr>
            <w:rStyle w:val="Hyperlink"/>
            <w:rFonts w:ascii="Arial" w:hAnsi="Arial" w:cs="Arial"/>
            <w:sz w:val="22"/>
            <w:szCs w:val="22"/>
          </w:rPr>
          <w:t>https://doi.org/10.1007/s12687-025-00781-8</w:t>
        </w:r>
      </w:hyperlink>
      <w:r w:rsidRPr="00205279">
        <w:rPr>
          <w:rFonts w:ascii="Arial" w:hAnsi="Arial" w:cs="Arial"/>
          <w:sz w:val="22"/>
          <w:szCs w:val="22"/>
        </w:rPr>
        <w:t xml:space="preserve"> </w:t>
      </w:r>
    </w:p>
    <w:p w14:paraId="3197176F" w14:textId="0B90F83D"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Smith, E.J., </w:t>
      </w:r>
      <w:r w:rsidRPr="00E12FE1">
        <w:rPr>
          <w:rFonts w:eastAsia="Times New Roman" w:cs="Arial"/>
          <w:i/>
          <w:iCs/>
          <w:sz w:val="22"/>
          <w:szCs w:val="22"/>
          <w:lang w:eastAsia="en-GB"/>
        </w:rPr>
        <w:t>et al</w:t>
      </w:r>
      <w:r w:rsidRPr="00205279">
        <w:rPr>
          <w:rFonts w:eastAsia="Times New Roman" w:cs="Arial"/>
          <w:sz w:val="22"/>
          <w:szCs w:val="22"/>
          <w:lang w:eastAsia="en-GB"/>
        </w:rPr>
        <w:t xml:space="preserve">. (2025) ‘Cost-effectiveness of returning secondary findings in the 100,000 Genomes Project’, </w:t>
      </w:r>
      <w:r w:rsidRPr="00205279">
        <w:rPr>
          <w:rFonts w:eastAsia="Times New Roman" w:cs="Arial"/>
          <w:i/>
          <w:iCs/>
          <w:sz w:val="22"/>
          <w:szCs w:val="22"/>
          <w:lang w:eastAsia="en-GB"/>
        </w:rPr>
        <w:t>Health Technology Assessment</w:t>
      </w:r>
      <w:r w:rsidRPr="00205279">
        <w:rPr>
          <w:rFonts w:eastAsia="Times New Roman" w:cs="Arial"/>
          <w:sz w:val="22"/>
          <w:szCs w:val="22"/>
          <w:lang w:eastAsia="en-GB"/>
        </w:rPr>
        <w:t xml:space="preserve">, 29(2), pp. 55–74. Available </w:t>
      </w:r>
      <w:r w:rsidR="00E12FE1">
        <w:rPr>
          <w:rFonts w:eastAsia="Times New Roman" w:cs="Arial"/>
          <w:sz w:val="22"/>
          <w:szCs w:val="22"/>
          <w:lang w:eastAsia="en-GB"/>
        </w:rPr>
        <w:t xml:space="preserve">at: </w:t>
      </w:r>
      <w:hyperlink r:id="rId33" w:history="1">
        <w:r w:rsidR="00E12FE1" w:rsidRPr="00C07DCD">
          <w:rPr>
            <w:rStyle w:val="Hyperlink"/>
            <w:rFonts w:eastAsia="Times New Roman" w:cs="Arial"/>
            <w:sz w:val="22"/>
            <w:szCs w:val="22"/>
            <w:lang w:eastAsia="en-GB"/>
          </w:rPr>
          <w:t>https://librarysearch.uwtsd.ac.uk/permalink/44WHELF_UWTSD/neci73/cdi_ucl_eprints_v2_oai_eprints_ucl_ac_uk_OAI2_10209566</w:t>
        </w:r>
      </w:hyperlink>
      <w:r w:rsidRPr="00205279">
        <w:rPr>
          <w:rFonts w:eastAsia="Times New Roman" w:cs="Arial"/>
          <w:sz w:val="22"/>
          <w:szCs w:val="22"/>
          <w:lang w:eastAsia="en-GB"/>
        </w:rPr>
        <w:t xml:space="preserve"> Accessed on: 19 October 2025. </w:t>
      </w:r>
    </w:p>
    <w:p w14:paraId="0C6ABB38" w14:textId="77777777" w:rsidR="00581CF0" w:rsidRPr="00205279" w:rsidRDefault="00581CF0" w:rsidP="00205279">
      <w:pPr>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Staunton, C. </w:t>
      </w:r>
      <w:r w:rsidRPr="00205279">
        <w:rPr>
          <w:rFonts w:eastAsia="Times New Roman" w:cs="Arial"/>
          <w:i/>
          <w:iCs/>
          <w:sz w:val="22"/>
          <w:szCs w:val="22"/>
          <w:lang w:eastAsia="en-GB"/>
        </w:rPr>
        <w:t>et al.</w:t>
      </w:r>
      <w:r w:rsidRPr="00205279">
        <w:rPr>
          <w:rFonts w:eastAsia="Times New Roman" w:cs="Arial"/>
          <w:sz w:val="22"/>
          <w:szCs w:val="22"/>
          <w:lang w:eastAsia="en-GB"/>
        </w:rPr>
        <w:t xml:space="preserve"> (2022) ‘Appropriate Safeguards and Article 89 of the GDPR: Considerations for Biobank, Databank and Genetic Research’, </w:t>
      </w:r>
      <w:r w:rsidRPr="00205279">
        <w:rPr>
          <w:rFonts w:eastAsia="Times New Roman" w:cs="Arial"/>
          <w:i/>
          <w:iCs/>
          <w:sz w:val="22"/>
          <w:szCs w:val="22"/>
          <w:lang w:eastAsia="en-GB"/>
        </w:rPr>
        <w:t>Frontiers in Genetics</w:t>
      </w:r>
      <w:r w:rsidRPr="00205279">
        <w:rPr>
          <w:rFonts w:eastAsia="Times New Roman" w:cs="Arial"/>
          <w:sz w:val="22"/>
          <w:szCs w:val="22"/>
          <w:lang w:eastAsia="en-GB"/>
        </w:rPr>
        <w:t xml:space="preserve">, 13, p. 719317. Available at: </w:t>
      </w:r>
      <w:hyperlink r:id="rId34" w:history="1">
        <w:r w:rsidRPr="00205279">
          <w:rPr>
            <w:rStyle w:val="Hyperlink"/>
            <w:rFonts w:eastAsia="Times New Roman" w:cs="Arial"/>
            <w:sz w:val="22"/>
            <w:szCs w:val="22"/>
            <w:lang w:eastAsia="en-GB"/>
          </w:rPr>
          <w:t>https://doi.org/10.3389/fgene.2022.719317</w:t>
        </w:r>
      </w:hyperlink>
      <w:r w:rsidRPr="00205279">
        <w:rPr>
          <w:rFonts w:eastAsia="Times New Roman" w:cs="Arial"/>
          <w:sz w:val="22"/>
          <w:szCs w:val="22"/>
          <w:lang w:eastAsia="en-GB"/>
        </w:rPr>
        <w:t xml:space="preserve">. </w:t>
      </w:r>
    </w:p>
    <w:p w14:paraId="759D082A"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  Taylor, M.J., Wallace, S.E. and </w:t>
      </w:r>
      <w:proofErr w:type="spellStart"/>
      <w:r w:rsidRPr="00205279">
        <w:rPr>
          <w:rFonts w:eastAsia="Times New Roman" w:cs="Arial"/>
          <w:sz w:val="22"/>
          <w:szCs w:val="22"/>
          <w:lang w:eastAsia="en-GB"/>
        </w:rPr>
        <w:t>Prictor</w:t>
      </w:r>
      <w:proofErr w:type="spellEnd"/>
      <w:r w:rsidRPr="00205279">
        <w:rPr>
          <w:rFonts w:eastAsia="Times New Roman" w:cs="Arial"/>
          <w:sz w:val="22"/>
          <w:szCs w:val="22"/>
          <w:lang w:eastAsia="en-GB"/>
        </w:rPr>
        <w:t xml:space="preserve">, M. (2018) ‘United Kingdom: transfers of genomic data to third countries’, </w:t>
      </w:r>
      <w:r w:rsidRPr="00205279">
        <w:rPr>
          <w:rFonts w:eastAsia="Times New Roman" w:cs="Arial"/>
          <w:i/>
          <w:iCs/>
          <w:sz w:val="22"/>
          <w:szCs w:val="22"/>
          <w:lang w:eastAsia="en-GB"/>
        </w:rPr>
        <w:t>Human genetics,</w:t>
      </w:r>
      <w:r w:rsidRPr="00205279">
        <w:rPr>
          <w:rFonts w:eastAsia="Times New Roman" w:cs="Arial"/>
          <w:sz w:val="22"/>
          <w:szCs w:val="22"/>
          <w:lang w:eastAsia="en-GB"/>
        </w:rPr>
        <w:t xml:space="preserve"> 137(8), pp. 637–645. Available at: </w:t>
      </w:r>
      <w:hyperlink r:id="rId35" w:history="1">
        <w:r w:rsidRPr="00205279">
          <w:rPr>
            <w:rStyle w:val="Hyperlink"/>
            <w:rFonts w:eastAsia="Times New Roman" w:cs="Arial"/>
            <w:sz w:val="22"/>
            <w:szCs w:val="22"/>
            <w:lang w:eastAsia="en-GB"/>
          </w:rPr>
          <w:t>https://doi.org/10.1007/s00439-018-1921-0</w:t>
        </w:r>
      </w:hyperlink>
      <w:r w:rsidRPr="00205279">
        <w:rPr>
          <w:rFonts w:eastAsia="Times New Roman" w:cs="Arial"/>
          <w:sz w:val="22"/>
          <w:szCs w:val="22"/>
          <w:lang w:eastAsia="en-GB"/>
        </w:rPr>
        <w:t>. Accessed on: 20 October 2025.</w:t>
      </w:r>
    </w:p>
    <w:p w14:paraId="244F35A3"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The Guardian (2024) ‘NHS to screen 100,000 newborn babies for over 200 genetic conditions’, </w:t>
      </w:r>
      <w:r w:rsidRPr="00205279">
        <w:rPr>
          <w:rFonts w:eastAsia="Times New Roman" w:cs="Arial"/>
          <w:i/>
          <w:iCs/>
          <w:sz w:val="22"/>
          <w:szCs w:val="22"/>
          <w:lang w:eastAsia="en-GB"/>
        </w:rPr>
        <w:t>The Guardian</w:t>
      </w:r>
      <w:r w:rsidRPr="00205279">
        <w:rPr>
          <w:rFonts w:eastAsia="Times New Roman" w:cs="Arial"/>
          <w:sz w:val="22"/>
          <w:szCs w:val="22"/>
          <w:lang w:eastAsia="en-GB"/>
        </w:rPr>
        <w:t>, 12 October.</w:t>
      </w:r>
    </w:p>
    <w:p w14:paraId="0DC963CB"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cs="Arial"/>
          <w:sz w:val="22"/>
          <w:szCs w:val="22"/>
        </w:rPr>
        <w:t xml:space="preserve">The Guardian (2025) ‘UK government announces £650m investment to expand genomic medicine and newborn screening’, </w:t>
      </w:r>
      <w:r w:rsidRPr="00205279">
        <w:rPr>
          <w:rStyle w:val="Emphasis"/>
          <w:rFonts w:cs="Arial"/>
          <w:sz w:val="22"/>
          <w:szCs w:val="22"/>
        </w:rPr>
        <w:t>The Guardian</w:t>
      </w:r>
      <w:r w:rsidRPr="00205279">
        <w:rPr>
          <w:rFonts w:cs="Arial"/>
          <w:sz w:val="22"/>
          <w:szCs w:val="22"/>
        </w:rPr>
        <w:t xml:space="preserve">, 16 June. Available at: </w:t>
      </w:r>
      <w:hyperlink r:id="rId36" w:history="1">
        <w:r w:rsidRPr="00205279">
          <w:rPr>
            <w:rStyle w:val="Hyperlink"/>
            <w:rFonts w:cs="Arial"/>
            <w:sz w:val="22"/>
            <w:szCs w:val="22"/>
          </w:rPr>
          <w:t>https://www.theguardian.com/science/2025/jun/20/all-babies-in-england-to-get-dna-test-to-assess-risk-of-diseases-within-10-years</w:t>
        </w:r>
      </w:hyperlink>
      <w:r w:rsidRPr="00205279">
        <w:rPr>
          <w:rFonts w:cs="Arial"/>
          <w:sz w:val="22"/>
          <w:szCs w:val="22"/>
        </w:rPr>
        <w:t xml:space="preserve"> (</w:t>
      </w:r>
      <w:hyperlink r:id="rId37" w:tooltip="All babies in England to get DNA test to assess risk of diseases within 10 years" w:history="1">
        <w:r w:rsidRPr="00205279">
          <w:rPr>
            <w:rStyle w:val="Hyperlink"/>
            <w:rFonts w:cs="Arial"/>
            <w:sz w:val="22"/>
            <w:szCs w:val="22"/>
          </w:rPr>
          <w:t>The Guardian</w:t>
        </w:r>
      </w:hyperlink>
      <w:r w:rsidRPr="00205279">
        <w:rPr>
          <w:rFonts w:cs="Arial"/>
          <w:sz w:val="22"/>
          <w:szCs w:val="22"/>
        </w:rPr>
        <w:t>)</w:t>
      </w:r>
    </w:p>
    <w:p w14:paraId="0206115B" w14:textId="77777777" w:rsidR="00581CF0" w:rsidRPr="00205279" w:rsidRDefault="00581CF0" w:rsidP="00205279">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Turnbull, C.;  Scott, R. H ; Thomas, E. ; Jones, L. ; </w:t>
      </w:r>
      <w:proofErr w:type="spellStart"/>
      <w:r w:rsidRPr="00205279">
        <w:rPr>
          <w:rFonts w:eastAsia="Times New Roman" w:cs="Arial"/>
          <w:sz w:val="22"/>
          <w:szCs w:val="22"/>
          <w:lang w:eastAsia="en-GB"/>
        </w:rPr>
        <w:t>Murugaesu</w:t>
      </w:r>
      <w:proofErr w:type="spellEnd"/>
      <w:r w:rsidRPr="00205279">
        <w:rPr>
          <w:rFonts w:eastAsia="Times New Roman" w:cs="Arial"/>
          <w:sz w:val="22"/>
          <w:szCs w:val="22"/>
          <w:lang w:eastAsia="en-GB"/>
        </w:rPr>
        <w:t xml:space="preserve">, N. ; P., Freya B. ; Halai, D. ; </w:t>
      </w:r>
      <w:proofErr w:type="spellStart"/>
      <w:r w:rsidRPr="00205279">
        <w:rPr>
          <w:rFonts w:eastAsia="Times New Roman" w:cs="Arial"/>
          <w:sz w:val="22"/>
          <w:szCs w:val="22"/>
          <w:lang w:eastAsia="en-GB"/>
        </w:rPr>
        <w:t>Baple</w:t>
      </w:r>
      <w:proofErr w:type="spellEnd"/>
      <w:r w:rsidRPr="00205279">
        <w:rPr>
          <w:rFonts w:eastAsia="Times New Roman" w:cs="Arial"/>
          <w:sz w:val="22"/>
          <w:szCs w:val="22"/>
          <w:lang w:eastAsia="en-GB"/>
        </w:rPr>
        <w:t xml:space="preserve">, E. ; Craig, C. ; Hamblin, A. ; Henderson, S. ; Patch, C. ; O’Neill, A. ; Devereaux, A. ; Smith, K. ; Martin, A. R. ; Sosinsky, A. ; McDonagh, E. M. ; Sultana, R ; Mueller, M. ; Smedley, D ; Toms, A. ; Dinh, L. ; Fowler, T. ; Bale, M. ; Hubbard, T. ; Rendon, A. ; Hill, S. and Caulfield, M. J. (2018) ‘The 100,000 Genomes Project: Bringing whole genome sequencing to the NHS’, </w:t>
      </w:r>
      <w:r w:rsidRPr="00205279">
        <w:rPr>
          <w:rFonts w:eastAsia="Times New Roman" w:cs="Arial"/>
          <w:i/>
          <w:iCs/>
          <w:sz w:val="22"/>
          <w:szCs w:val="22"/>
          <w:lang w:eastAsia="en-GB"/>
        </w:rPr>
        <w:t>British Medical Journal</w:t>
      </w:r>
      <w:r w:rsidRPr="00205279">
        <w:rPr>
          <w:rFonts w:eastAsia="Times New Roman" w:cs="Arial"/>
          <w:sz w:val="22"/>
          <w:szCs w:val="22"/>
          <w:lang w:eastAsia="en-GB"/>
        </w:rPr>
        <w:t xml:space="preserve">, 361, k1687. Available at: </w:t>
      </w:r>
      <w:hyperlink r:id="rId38" w:history="1">
        <w:r w:rsidRPr="00205279">
          <w:rPr>
            <w:rStyle w:val="Hyperlink"/>
            <w:rFonts w:eastAsia="Times New Roman" w:cs="Arial"/>
            <w:sz w:val="22"/>
            <w:szCs w:val="22"/>
            <w:lang w:eastAsia="en-GB"/>
          </w:rPr>
          <w:t>https://librarysearch.uwtsd.ac.uk/permalink/44WHELF_UWTSD/1ir6fgh/cdi_proquest_miscellaneous_2030933789</w:t>
        </w:r>
      </w:hyperlink>
      <w:r w:rsidRPr="00205279">
        <w:rPr>
          <w:rFonts w:eastAsia="Times New Roman" w:cs="Arial"/>
          <w:sz w:val="22"/>
          <w:szCs w:val="22"/>
          <w:lang w:eastAsia="en-GB"/>
        </w:rPr>
        <w:t xml:space="preserve">. Accessed on: 20 October 2025. </w:t>
      </w:r>
    </w:p>
    <w:p w14:paraId="77224564" w14:textId="143C66A9" w:rsidR="00AE12C5" w:rsidRPr="00C3130B" w:rsidRDefault="00581CF0" w:rsidP="00C3130B">
      <w:pPr>
        <w:pStyle w:val="ListParagraph"/>
        <w:numPr>
          <w:ilvl w:val="0"/>
          <w:numId w:val="5"/>
        </w:numPr>
        <w:spacing w:before="100" w:beforeAutospacing="1" w:after="100" w:afterAutospacing="1" w:line="360" w:lineRule="auto"/>
        <w:jc w:val="both"/>
        <w:rPr>
          <w:rFonts w:eastAsia="Times New Roman" w:cs="Arial"/>
          <w:sz w:val="22"/>
          <w:szCs w:val="22"/>
          <w:lang w:eastAsia="en-GB"/>
        </w:rPr>
      </w:pPr>
      <w:r w:rsidRPr="00205279">
        <w:rPr>
          <w:rFonts w:eastAsia="Times New Roman" w:cs="Arial"/>
          <w:sz w:val="22"/>
          <w:szCs w:val="22"/>
          <w:lang w:eastAsia="en-GB"/>
        </w:rPr>
        <w:t xml:space="preserve">UK Government (2020) </w:t>
      </w:r>
      <w:r w:rsidRPr="00205279">
        <w:rPr>
          <w:rFonts w:eastAsia="Times New Roman" w:cs="Arial"/>
          <w:i/>
          <w:iCs/>
          <w:sz w:val="22"/>
          <w:szCs w:val="22"/>
          <w:lang w:eastAsia="en-GB"/>
        </w:rPr>
        <w:t>Genome UK: The Future of Healthcare Strategy</w:t>
      </w:r>
      <w:r w:rsidRPr="00205279">
        <w:rPr>
          <w:rFonts w:eastAsia="Times New Roman" w:cs="Arial"/>
          <w:sz w:val="22"/>
          <w:szCs w:val="22"/>
          <w:lang w:eastAsia="en-GB"/>
        </w:rPr>
        <w:t>. London: Department of Health and Social Care.</w:t>
      </w:r>
    </w:p>
    <w:sectPr w:rsidR="00AE12C5" w:rsidRPr="00C3130B" w:rsidSect="00AE12C5">
      <w:head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D931C" w14:textId="77777777" w:rsidR="00086E06" w:rsidRDefault="00086E06" w:rsidP="00A27530">
      <w:pPr>
        <w:spacing w:before="0" w:after="0" w:line="240" w:lineRule="auto"/>
      </w:pPr>
      <w:r>
        <w:separator/>
      </w:r>
    </w:p>
  </w:endnote>
  <w:endnote w:type="continuationSeparator" w:id="0">
    <w:p w14:paraId="6277DC3E" w14:textId="77777777" w:rsidR="00086E06" w:rsidRDefault="00086E06" w:rsidP="00A275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0E664B" w14:textId="77777777" w:rsidR="00086E06" w:rsidRDefault="00086E06" w:rsidP="00A27530">
      <w:pPr>
        <w:spacing w:before="0" w:after="0" w:line="240" w:lineRule="auto"/>
      </w:pPr>
      <w:r>
        <w:separator/>
      </w:r>
    </w:p>
  </w:footnote>
  <w:footnote w:type="continuationSeparator" w:id="0">
    <w:p w14:paraId="1F4D42EA" w14:textId="77777777" w:rsidR="00086E06" w:rsidRDefault="00086E06" w:rsidP="00A2753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8460413"/>
      <w:docPartObj>
        <w:docPartGallery w:val="Page Numbers (Top of Page)"/>
        <w:docPartUnique/>
      </w:docPartObj>
    </w:sdtPr>
    <w:sdtEndPr/>
    <w:sdtContent>
      <w:p w14:paraId="473E6585" w14:textId="1E083201" w:rsidR="00A27530" w:rsidRDefault="00A27530">
        <w:pPr>
          <w:pStyle w:val="Header"/>
        </w:pPr>
        <w:r>
          <w:fldChar w:fldCharType="begin"/>
        </w:r>
        <w:r>
          <w:instrText>PAGE   \* MERGEFORMAT</w:instrText>
        </w:r>
        <w:r>
          <w:fldChar w:fldCharType="separate"/>
        </w:r>
        <w:r>
          <w:t>2</w:t>
        </w:r>
        <w:r>
          <w:fldChar w:fldCharType="end"/>
        </w:r>
      </w:p>
    </w:sdtContent>
  </w:sdt>
  <w:p w14:paraId="08958E18" w14:textId="77777777" w:rsidR="00A27530" w:rsidRDefault="00A275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360E7"/>
    <w:multiLevelType w:val="multilevel"/>
    <w:tmpl w:val="83FAA2A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8F3190"/>
    <w:multiLevelType w:val="multilevel"/>
    <w:tmpl w:val="6200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F0974"/>
    <w:multiLevelType w:val="multilevel"/>
    <w:tmpl w:val="D66C7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094369"/>
    <w:multiLevelType w:val="multilevel"/>
    <w:tmpl w:val="A2063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C654BE"/>
    <w:multiLevelType w:val="hybridMultilevel"/>
    <w:tmpl w:val="070E0B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B63A98"/>
    <w:multiLevelType w:val="multilevel"/>
    <w:tmpl w:val="543A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912D2A"/>
    <w:multiLevelType w:val="multilevel"/>
    <w:tmpl w:val="A7563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EF019D"/>
    <w:multiLevelType w:val="multilevel"/>
    <w:tmpl w:val="22323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59709B"/>
    <w:multiLevelType w:val="multilevel"/>
    <w:tmpl w:val="83D04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BC2E8A"/>
    <w:multiLevelType w:val="multilevel"/>
    <w:tmpl w:val="1B723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566AC1"/>
    <w:multiLevelType w:val="multilevel"/>
    <w:tmpl w:val="96641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8B96A6B"/>
    <w:multiLevelType w:val="hybridMultilevel"/>
    <w:tmpl w:val="9E76B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D76311"/>
    <w:multiLevelType w:val="multilevel"/>
    <w:tmpl w:val="839A4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5B0341"/>
    <w:multiLevelType w:val="multilevel"/>
    <w:tmpl w:val="2898A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00670C"/>
    <w:multiLevelType w:val="multilevel"/>
    <w:tmpl w:val="091CD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9898632">
    <w:abstractNumId w:val="7"/>
  </w:num>
  <w:num w:numId="2" w16cid:durableId="236791715">
    <w:abstractNumId w:val="10"/>
  </w:num>
  <w:num w:numId="3" w16cid:durableId="1266040573">
    <w:abstractNumId w:val="9"/>
  </w:num>
  <w:num w:numId="4" w16cid:durableId="446855341">
    <w:abstractNumId w:val="11"/>
  </w:num>
  <w:num w:numId="5" w16cid:durableId="876742937">
    <w:abstractNumId w:val="4"/>
  </w:num>
  <w:num w:numId="6" w16cid:durableId="89741862">
    <w:abstractNumId w:val="2"/>
  </w:num>
  <w:num w:numId="7" w16cid:durableId="843737975">
    <w:abstractNumId w:val="3"/>
  </w:num>
  <w:num w:numId="8" w16cid:durableId="742458148">
    <w:abstractNumId w:val="0"/>
  </w:num>
  <w:num w:numId="9" w16cid:durableId="300120101">
    <w:abstractNumId w:val="6"/>
  </w:num>
  <w:num w:numId="10" w16cid:durableId="1855261568">
    <w:abstractNumId w:val="14"/>
  </w:num>
  <w:num w:numId="11" w16cid:durableId="458687979">
    <w:abstractNumId w:val="12"/>
  </w:num>
  <w:num w:numId="12" w16cid:durableId="555625861">
    <w:abstractNumId w:val="5"/>
  </w:num>
  <w:num w:numId="13" w16cid:durableId="326590331">
    <w:abstractNumId w:val="1"/>
  </w:num>
  <w:num w:numId="14" w16cid:durableId="1820803736">
    <w:abstractNumId w:val="8"/>
  </w:num>
  <w:num w:numId="15" w16cid:durableId="3493312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2C5"/>
    <w:rsid w:val="00000491"/>
    <w:rsid w:val="00005CFB"/>
    <w:rsid w:val="000064B4"/>
    <w:rsid w:val="0001155D"/>
    <w:rsid w:val="00012E4A"/>
    <w:rsid w:val="0002471C"/>
    <w:rsid w:val="00045F27"/>
    <w:rsid w:val="00046A66"/>
    <w:rsid w:val="00051CAB"/>
    <w:rsid w:val="000536DB"/>
    <w:rsid w:val="000554A6"/>
    <w:rsid w:val="00056FCF"/>
    <w:rsid w:val="0006313F"/>
    <w:rsid w:val="00082484"/>
    <w:rsid w:val="000832F0"/>
    <w:rsid w:val="00083F47"/>
    <w:rsid w:val="00086E06"/>
    <w:rsid w:val="000A11E4"/>
    <w:rsid w:val="000A526C"/>
    <w:rsid w:val="000B3F8F"/>
    <w:rsid w:val="000B480C"/>
    <w:rsid w:val="000B51E1"/>
    <w:rsid w:val="000B5728"/>
    <w:rsid w:val="000B702A"/>
    <w:rsid w:val="000C4C25"/>
    <w:rsid w:val="000D0E32"/>
    <w:rsid w:val="000D3E90"/>
    <w:rsid w:val="000E2256"/>
    <w:rsid w:val="000E47E9"/>
    <w:rsid w:val="000E6119"/>
    <w:rsid w:val="000F2819"/>
    <w:rsid w:val="000F28BD"/>
    <w:rsid w:val="00113941"/>
    <w:rsid w:val="00122019"/>
    <w:rsid w:val="00124098"/>
    <w:rsid w:val="0012597B"/>
    <w:rsid w:val="00125A4B"/>
    <w:rsid w:val="00125E88"/>
    <w:rsid w:val="00125F26"/>
    <w:rsid w:val="0012626D"/>
    <w:rsid w:val="001326E0"/>
    <w:rsid w:val="001350C2"/>
    <w:rsid w:val="00137CB9"/>
    <w:rsid w:val="001533B6"/>
    <w:rsid w:val="00155903"/>
    <w:rsid w:val="00167D9F"/>
    <w:rsid w:val="00187A95"/>
    <w:rsid w:val="00190602"/>
    <w:rsid w:val="00190FFC"/>
    <w:rsid w:val="001A37B1"/>
    <w:rsid w:val="001A4C9F"/>
    <w:rsid w:val="001A7530"/>
    <w:rsid w:val="001B077B"/>
    <w:rsid w:val="001B1DB5"/>
    <w:rsid w:val="001C4FDA"/>
    <w:rsid w:val="001D7883"/>
    <w:rsid w:val="001E3907"/>
    <w:rsid w:val="001E5350"/>
    <w:rsid w:val="002006E9"/>
    <w:rsid w:val="00201088"/>
    <w:rsid w:val="00205279"/>
    <w:rsid w:val="0020755E"/>
    <w:rsid w:val="00210412"/>
    <w:rsid w:val="002128D7"/>
    <w:rsid w:val="0022393C"/>
    <w:rsid w:val="0024466B"/>
    <w:rsid w:val="00251691"/>
    <w:rsid w:val="00252DAF"/>
    <w:rsid w:val="0026424B"/>
    <w:rsid w:val="002763E1"/>
    <w:rsid w:val="00276BCA"/>
    <w:rsid w:val="002940C5"/>
    <w:rsid w:val="00295021"/>
    <w:rsid w:val="002A266C"/>
    <w:rsid w:val="002B3F35"/>
    <w:rsid w:val="002B6E45"/>
    <w:rsid w:val="002D0763"/>
    <w:rsid w:val="002D2C4F"/>
    <w:rsid w:val="002D412E"/>
    <w:rsid w:val="002D6B5F"/>
    <w:rsid w:val="002E13ED"/>
    <w:rsid w:val="002F1ECA"/>
    <w:rsid w:val="002F7C5B"/>
    <w:rsid w:val="002F7C79"/>
    <w:rsid w:val="00306F5F"/>
    <w:rsid w:val="003121E7"/>
    <w:rsid w:val="00326ECD"/>
    <w:rsid w:val="0033058F"/>
    <w:rsid w:val="00330CB7"/>
    <w:rsid w:val="00333966"/>
    <w:rsid w:val="00333E1A"/>
    <w:rsid w:val="00363EBB"/>
    <w:rsid w:val="00365614"/>
    <w:rsid w:val="00365C1A"/>
    <w:rsid w:val="00370809"/>
    <w:rsid w:val="0037417D"/>
    <w:rsid w:val="003828EC"/>
    <w:rsid w:val="00390C9B"/>
    <w:rsid w:val="00397070"/>
    <w:rsid w:val="003A0E66"/>
    <w:rsid w:val="003A4E11"/>
    <w:rsid w:val="003B0991"/>
    <w:rsid w:val="003B33D6"/>
    <w:rsid w:val="003B5B4D"/>
    <w:rsid w:val="003B6137"/>
    <w:rsid w:val="003C0197"/>
    <w:rsid w:val="003D052E"/>
    <w:rsid w:val="003D1858"/>
    <w:rsid w:val="003D602E"/>
    <w:rsid w:val="003E6A93"/>
    <w:rsid w:val="003F5B19"/>
    <w:rsid w:val="00403E49"/>
    <w:rsid w:val="0041012F"/>
    <w:rsid w:val="00410786"/>
    <w:rsid w:val="00411FBA"/>
    <w:rsid w:val="004151DE"/>
    <w:rsid w:val="0042127E"/>
    <w:rsid w:val="004217C4"/>
    <w:rsid w:val="004278E9"/>
    <w:rsid w:val="00430DA8"/>
    <w:rsid w:val="00434E81"/>
    <w:rsid w:val="004461D0"/>
    <w:rsid w:val="00452D2C"/>
    <w:rsid w:val="004553D5"/>
    <w:rsid w:val="00455493"/>
    <w:rsid w:val="0046661B"/>
    <w:rsid w:val="00475A87"/>
    <w:rsid w:val="00482845"/>
    <w:rsid w:val="004845E3"/>
    <w:rsid w:val="00491869"/>
    <w:rsid w:val="00492DE6"/>
    <w:rsid w:val="004A165E"/>
    <w:rsid w:val="004B22CC"/>
    <w:rsid w:val="004B38BC"/>
    <w:rsid w:val="004B6447"/>
    <w:rsid w:val="004D2F3E"/>
    <w:rsid w:val="004D6C55"/>
    <w:rsid w:val="004E06A4"/>
    <w:rsid w:val="004F2C96"/>
    <w:rsid w:val="004F7845"/>
    <w:rsid w:val="0050008F"/>
    <w:rsid w:val="00500679"/>
    <w:rsid w:val="005026CB"/>
    <w:rsid w:val="00502F5D"/>
    <w:rsid w:val="005046B1"/>
    <w:rsid w:val="00507E42"/>
    <w:rsid w:val="00513DCF"/>
    <w:rsid w:val="00515138"/>
    <w:rsid w:val="00517B37"/>
    <w:rsid w:val="00521EE5"/>
    <w:rsid w:val="00526553"/>
    <w:rsid w:val="00544713"/>
    <w:rsid w:val="00550F86"/>
    <w:rsid w:val="005521F9"/>
    <w:rsid w:val="005617F3"/>
    <w:rsid w:val="00563D5E"/>
    <w:rsid w:val="00565F08"/>
    <w:rsid w:val="0057137E"/>
    <w:rsid w:val="00571622"/>
    <w:rsid w:val="0057267F"/>
    <w:rsid w:val="00573281"/>
    <w:rsid w:val="00581CF0"/>
    <w:rsid w:val="0058567A"/>
    <w:rsid w:val="005B7520"/>
    <w:rsid w:val="005B794C"/>
    <w:rsid w:val="005C082E"/>
    <w:rsid w:val="005C502B"/>
    <w:rsid w:val="005C54C4"/>
    <w:rsid w:val="005C7049"/>
    <w:rsid w:val="005C72C3"/>
    <w:rsid w:val="005D2BF6"/>
    <w:rsid w:val="005F2C9B"/>
    <w:rsid w:val="005F734B"/>
    <w:rsid w:val="005F7AC1"/>
    <w:rsid w:val="00612359"/>
    <w:rsid w:val="006133E3"/>
    <w:rsid w:val="006152AB"/>
    <w:rsid w:val="006162DF"/>
    <w:rsid w:val="00622C86"/>
    <w:rsid w:val="006255FC"/>
    <w:rsid w:val="00630707"/>
    <w:rsid w:val="00633704"/>
    <w:rsid w:val="006339F9"/>
    <w:rsid w:val="00637E31"/>
    <w:rsid w:val="00646ECA"/>
    <w:rsid w:val="00655D40"/>
    <w:rsid w:val="00672960"/>
    <w:rsid w:val="0067301E"/>
    <w:rsid w:val="00674E2E"/>
    <w:rsid w:val="00684D05"/>
    <w:rsid w:val="00690DDB"/>
    <w:rsid w:val="006A0E98"/>
    <w:rsid w:val="006B062A"/>
    <w:rsid w:val="006B4847"/>
    <w:rsid w:val="006C4BF9"/>
    <w:rsid w:val="006D1F9B"/>
    <w:rsid w:val="006D282C"/>
    <w:rsid w:val="006D5F50"/>
    <w:rsid w:val="006D78C1"/>
    <w:rsid w:val="006E1C32"/>
    <w:rsid w:val="006E7FA3"/>
    <w:rsid w:val="00705F50"/>
    <w:rsid w:val="00710589"/>
    <w:rsid w:val="007137CA"/>
    <w:rsid w:val="0071609C"/>
    <w:rsid w:val="0072600C"/>
    <w:rsid w:val="00735FB0"/>
    <w:rsid w:val="00737E6D"/>
    <w:rsid w:val="00740ADD"/>
    <w:rsid w:val="00745B68"/>
    <w:rsid w:val="00746A10"/>
    <w:rsid w:val="00750242"/>
    <w:rsid w:val="0075079B"/>
    <w:rsid w:val="00776ECC"/>
    <w:rsid w:val="00781435"/>
    <w:rsid w:val="0078249D"/>
    <w:rsid w:val="007853CB"/>
    <w:rsid w:val="00785857"/>
    <w:rsid w:val="007A1EF9"/>
    <w:rsid w:val="007B1ECC"/>
    <w:rsid w:val="007B5B83"/>
    <w:rsid w:val="007B756F"/>
    <w:rsid w:val="007B768B"/>
    <w:rsid w:val="007B7F55"/>
    <w:rsid w:val="007F25A3"/>
    <w:rsid w:val="00807DD8"/>
    <w:rsid w:val="00815983"/>
    <w:rsid w:val="00815FCF"/>
    <w:rsid w:val="008167B7"/>
    <w:rsid w:val="00820A7F"/>
    <w:rsid w:val="00824D5A"/>
    <w:rsid w:val="00825F2D"/>
    <w:rsid w:val="00826A86"/>
    <w:rsid w:val="008312B9"/>
    <w:rsid w:val="008400CE"/>
    <w:rsid w:val="00843AD1"/>
    <w:rsid w:val="008473A7"/>
    <w:rsid w:val="00870659"/>
    <w:rsid w:val="00873157"/>
    <w:rsid w:val="008731D9"/>
    <w:rsid w:val="008736EC"/>
    <w:rsid w:val="00873837"/>
    <w:rsid w:val="008879D8"/>
    <w:rsid w:val="00887D70"/>
    <w:rsid w:val="00892B42"/>
    <w:rsid w:val="008B3088"/>
    <w:rsid w:val="008B5F46"/>
    <w:rsid w:val="008B6146"/>
    <w:rsid w:val="008B6A8D"/>
    <w:rsid w:val="008C05A0"/>
    <w:rsid w:val="008C71C1"/>
    <w:rsid w:val="008C7436"/>
    <w:rsid w:val="008D2B2F"/>
    <w:rsid w:val="008E1207"/>
    <w:rsid w:val="008E6ED3"/>
    <w:rsid w:val="008F5979"/>
    <w:rsid w:val="0090082F"/>
    <w:rsid w:val="00903AD7"/>
    <w:rsid w:val="009050FD"/>
    <w:rsid w:val="009114FC"/>
    <w:rsid w:val="00922535"/>
    <w:rsid w:val="009243E2"/>
    <w:rsid w:val="009249A5"/>
    <w:rsid w:val="00927C46"/>
    <w:rsid w:val="00934A2E"/>
    <w:rsid w:val="0094207D"/>
    <w:rsid w:val="009424BA"/>
    <w:rsid w:val="0096729B"/>
    <w:rsid w:val="009716AA"/>
    <w:rsid w:val="00983447"/>
    <w:rsid w:val="0098616A"/>
    <w:rsid w:val="009918F6"/>
    <w:rsid w:val="00991A38"/>
    <w:rsid w:val="00993686"/>
    <w:rsid w:val="00994AA4"/>
    <w:rsid w:val="009B191B"/>
    <w:rsid w:val="009B31B6"/>
    <w:rsid w:val="009C2CB5"/>
    <w:rsid w:val="009C3097"/>
    <w:rsid w:val="009C33BD"/>
    <w:rsid w:val="009C6FF1"/>
    <w:rsid w:val="009D4ACD"/>
    <w:rsid w:val="009D4AF1"/>
    <w:rsid w:val="009D4BA7"/>
    <w:rsid w:val="009D5552"/>
    <w:rsid w:val="009E28B0"/>
    <w:rsid w:val="009E347E"/>
    <w:rsid w:val="009F181B"/>
    <w:rsid w:val="00A000C3"/>
    <w:rsid w:val="00A00E71"/>
    <w:rsid w:val="00A019B0"/>
    <w:rsid w:val="00A06E19"/>
    <w:rsid w:val="00A07ACB"/>
    <w:rsid w:val="00A13354"/>
    <w:rsid w:val="00A14864"/>
    <w:rsid w:val="00A23140"/>
    <w:rsid w:val="00A27530"/>
    <w:rsid w:val="00A3028C"/>
    <w:rsid w:val="00A33F5D"/>
    <w:rsid w:val="00A40A56"/>
    <w:rsid w:val="00A54AC3"/>
    <w:rsid w:val="00A55243"/>
    <w:rsid w:val="00A5765D"/>
    <w:rsid w:val="00A65AA5"/>
    <w:rsid w:val="00A85BE8"/>
    <w:rsid w:val="00A94213"/>
    <w:rsid w:val="00AB2F6E"/>
    <w:rsid w:val="00AC18A3"/>
    <w:rsid w:val="00AD05F0"/>
    <w:rsid w:val="00AE12C5"/>
    <w:rsid w:val="00AE175E"/>
    <w:rsid w:val="00AF1737"/>
    <w:rsid w:val="00AF5705"/>
    <w:rsid w:val="00AF5C9E"/>
    <w:rsid w:val="00AF615C"/>
    <w:rsid w:val="00AF7594"/>
    <w:rsid w:val="00B1195B"/>
    <w:rsid w:val="00B17802"/>
    <w:rsid w:val="00B2284E"/>
    <w:rsid w:val="00B26D92"/>
    <w:rsid w:val="00B3187E"/>
    <w:rsid w:val="00B34D02"/>
    <w:rsid w:val="00B432FA"/>
    <w:rsid w:val="00B47805"/>
    <w:rsid w:val="00B523DC"/>
    <w:rsid w:val="00B55436"/>
    <w:rsid w:val="00B628DF"/>
    <w:rsid w:val="00B65269"/>
    <w:rsid w:val="00B74533"/>
    <w:rsid w:val="00B77AC4"/>
    <w:rsid w:val="00B83705"/>
    <w:rsid w:val="00B83B33"/>
    <w:rsid w:val="00B94991"/>
    <w:rsid w:val="00BA5015"/>
    <w:rsid w:val="00BA65D3"/>
    <w:rsid w:val="00BA7D58"/>
    <w:rsid w:val="00BC4573"/>
    <w:rsid w:val="00BE60C4"/>
    <w:rsid w:val="00C00F40"/>
    <w:rsid w:val="00C05492"/>
    <w:rsid w:val="00C13057"/>
    <w:rsid w:val="00C21DD4"/>
    <w:rsid w:val="00C234B3"/>
    <w:rsid w:val="00C3130B"/>
    <w:rsid w:val="00C35B33"/>
    <w:rsid w:val="00C40370"/>
    <w:rsid w:val="00C40440"/>
    <w:rsid w:val="00C443DB"/>
    <w:rsid w:val="00C5178A"/>
    <w:rsid w:val="00C52CAB"/>
    <w:rsid w:val="00C53301"/>
    <w:rsid w:val="00C54570"/>
    <w:rsid w:val="00C55DAF"/>
    <w:rsid w:val="00C55DF3"/>
    <w:rsid w:val="00C706A1"/>
    <w:rsid w:val="00C76172"/>
    <w:rsid w:val="00C768F2"/>
    <w:rsid w:val="00C828B5"/>
    <w:rsid w:val="00C86A71"/>
    <w:rsid w:val="00C87678"/>
    <w:rsid w:val="00C91705"/>
    <w:rsid w:val="00C93040"/>
    <w:rsid w:val="00C95A50"/>
    <w:rsid w:val="00CA1BD1"/>
    <w:rsid w:val="00CA2DB5"/>
    <w:rsid w:val="00CA6C07"/>
    <w:rsid w:val="00CB51BC"/>
    <w:rsid w:val="00CB6AF2"/>
    <w:rsid w:val="00CC173A"/>
    <w:rsid w:val="00CC1FE2"/>
    <w:rsid w:val="00CC22E9"/>
    <w:rsid w:val="00CC75E8"/>
    <w:rsid w:val="00CD0ECA"/>
    <w:rsid w:val="00CD4201"/>
    <w:rsid w:val="00CD4B3B"/>
    <w:rsid w:val="00CD5FA4"/>
    <w:rsid w:val="00CE1E4A"/>
    <w:rsid w:val="00CE4C82"/>
    <w:rsid w:val="00CF2D3D"/>
    <w:rsid w:val="00D03CED"/>
    <w:rsid w:val="00D04C70"/>
    <w:rsid w:val="00D050FD"/>
    <w:rsid w:val="00D0799F"/>
    <w:rsid w:val="00D1618E"/>
    <w:rsid w:val="00D23CEE"/>
    <w:rsid w:val="00D30E30"/>
    <w:rsid w:val="00D4565A"/>
    <w:rsid w:val="00D510D1"/>
    <w:rsid w:val="00D52AAC"/>
    <w:rsid w:val="00D54303"/>
    <w:rsid w:val="00D56699"/>
    <w:rsid w:val="00D62F24"/>
    <w:rsid w:val="00D6635B"/>
    <w:rsid w:val="00D70395"/>
    <w:rsid w:val="00D7299B"/>
    <w:rsid w:val="00D73D0F"/>
    <w:rsid w:val="00D84425"/>
    <w:rsid w:val="00D852E1"/>
    <w:rsid w:val="00D90CF7"/>
    <w:rsid w:val="00D94C63"/>
    <w:rsid w:val="00D94F5B"/>
    <w:rsid w:val="00D977F9"/>
    <w:rsid w:val="00DA0D66"/>
    <w:rsid w:val="00DA460C"/>
    <w:rsid w:val="00DB0BB3"/>
    <w:rsid w:val="00DB2A56"/>
    <w:rsid w:val="00DC3884"/>
    <w:rsid w:val="00DD2488"/>
    <w:rsid w:val="00DE17CD"/>
    <w:rsid w:val="00DE2221"/>
    <w:rsid w:val="00DE2F3F"/>
    <w:rsid w:val="00DE370D"/>
    <w:rsid w:val="00DE5CB8"/>
    <w:rsid w:val="00DE6265"/>
    <w:rsid w:val="00DE7123"/>
    <w:rsid w:val="00E0032D"/>
    <w:rsid w:val="00E00AAB"/>
    <w:rsid w:val="00E072A5"/>
    <w:rsid w:val="00E07BB7"/>
    <w:rsid w:val="00E12FE1"/>
    <w:rsid w:val="00E13714"/>
    <w:rsid w:val="00E232D8"/>
    <w:rsid w:val="00E45EE1"/>
    <w:rsid w:val="00E53EC6"/>
    <w:rsid w:val="00E612C9"/>
    <w:rsid w:val="00E754B7"/>
    <w:rsid w:val="00E81DBD"/>
    <w:rsid w:val="00E833B2"/>
    <w:rsid w:val="00E840FB"/>
    <w:rsid w:val="00E87BC8"/>
    <w:rsid w:val="00E955E5"/>
    <w:rsid w:val="00EA6516"/>
    <w:rsid w:val="00EB0920"/>
    <w:rsid w:val="00EB2DC9"/>
    <w:rsid w:val="00EB3DA8"/>
    <w:rsid w:val="00EC0FAC"/>
    <w:rsid w:val="00EC18C7"/>
    <w:rsid w:val="00EC2DD8"/>
    <w:rsid w:val="00EC5704"/>
    <w:rsid w:val="00ED38A6"/>
    <w:rsid w:val="00EE772E"/>
    <w:rsid w:val="00EF0E62"/>
    <w:rsid w:val="00EF6DC5"/>
    <w:rsid w:val="00F019EF"/>
    <w:rsid w:val="00F069B3"/>
    <w:rsid w:val="00F16C73"/>
    <w:rsid w:val="00F214C3"/>
    <w:rsid w:val="00F2293C"/>
    <w:rsid w:val="00F22A2F"/>
    <w:rsid w:val="00F245FC"/>
    <w:rsid w:val="00F24DE0"/>
    <w:rsid w:val="00F3040F"/>
    <w:rsid w:val="00F338BA"/>
    <w:rsid w:val="00F4753A"/>
    <w:rsid w:val="00F475B4"/>
    <w:rsid w:val="00F50FB7"/>
    <w:rsid w:val="00F54565"/>
    <w:rsid w:val="00F557EE"/>
    <w:rsid w:val="00F72C9A"/>
    <w:rsid w:val="00F74126"/>
    <w:rsid w:val="00F830A4"/>
    <w:rsid w:val="00F86B90"/>
    <w:rsid w:val="00F8701D"/>
    <w:rsid w:val="00F91972"/>
    <w:rsid w:val="00F919B5"/>
    <w:rsid w:val="00F93358"/>
    <w:rsid w:val="00FA36A0"/>
    <w:rsid w:val="00FA37E6"/>
    <w:rsid w:val="00FA5FF2"/>
    <w:rsid w:val="00FB127B"/>
    <w:rsid w:val="00FB27A5"/>
    <w:rsid w:val="00FB799A"/>
    <w:rsid w:val="00FC4F24"/>
    <w:rsid w:val="00FC5678"/>
    <w:rsid w:val="00FD1485"/>
    <w:rsid w:val="00FE4329"/>
    <w:rsid w:val="00FF1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8045C"/>
  <w15:chartTrackingRefBased/>
  <w15:docId w15:val="{44B0D689-E5A6-433E-8C6F-CA2FB046B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705"/>
    <w:pPr>
      <w:spacing w:before="120" w:after="280" w:line="300" w:lineRule="auto"/>
    </w:pPr>
    <w:rPr>
      <w:rFonts w:ascii="Arial" w:eastAsiaTheme="minorEastAsia" w:hAnsi="Arial"/>
      <w:kern w:val="0"/>
      <w:sz w:val="24"/>
      <w:szCs w:val="21"/>
      <w14:ligatures w14:val="none"/>
    </w:rPr>
  </w:style>
  <w:style w:type="paragraph" w:styleId="Heading1">
    <w:name w:val="heading 1"/>
    <w:basedOn w:val="Normal"/>
    <w:next w:val="Normal"/>
    <w:link w:val="Heading1Char"/>
    <w:uiPriority w:val="9"/>
    <w:qFormat/>
    <w:rsid w:val="00AE12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12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2C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2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12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E12C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12C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12C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12C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17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1705"/>
    <w:rPr>
      <w:rFonts w:ascii="Arial" w:eastAsiaTheme="minorEastAsia" w:hAnsi="Arial"/>
      <w:kern w:val="0"/>
      <w:sz w:val="24"/>
      <w:szCs w:val="21"/>
      <w14:ligatures w14:val="none"/>
    </w:rPr>
  </w:style>
  <w:style w:type="paragraph" w:styleId="Footer">
    <w:name w:val="footer"/>
    <w:basedOn w:val="Normal"/>
    <w:link w:val="FooterChar"/>
    <w:uiPriority w:val="99"/>
    <w:unhideWhenUsed/>
    <w:rsid w:val="00C917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1705"/>
    <w:rPr>
      <w:rFonts w:ascii="Arial" w:eastAsiaTheme="minorEastAsia" w:hAnsi="Arial"/>
      <w:kern w:val="0"/>
      <w:sz w:val="24"/>
      <w:szCs w:val="21"/>
      <w14:ligatures w14:val="none"/>
    </w:rPr>
  </w:style>
  <w:style w:type="paragraph" w:styleId="Title">
    <w:name w:val="Title"/>
    <w:basedOn w:val="Normal"/>
    <w:next w:val="Normal"/>
    <w:link w:val="TitleChar"/>
    <w:uiPriority w:val="10"/>
    <w:qFormat/>
    <w:rsid w:val="00C91705"/>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91705"/>
    <w:rPr>
      <w:rFonts w:ascii="Arial" w:eastAsiaTheme="majorEastAsia" w:hAnsi="Arial" w:cstheme="majorBidi"/>
      <w:spacing w:val="-10"/>
      <w:kern w:val="28"/>
      <w:sz w:val="56"/>
      <w:szCs w:val="56"/>
      <w14:ligatures w14:val="none"/>
    </w:rPr>
  </w:style>
  <w:style w:type="paragraph" w:styleId="Subtitle">
    <w:name w:val="Subtitle"/>
    <w:basedOn w:val="Normal"/>
    <w:next w:val="Normal"/>
    <w:link w:val="SubtitleChar"/>
    <w:uiPriority w:val="11"/>
    <w:qFormat/>
    <w:rsid w:val="00C91705"/>
    <w:pPr>
      <w:numPr>
        <w:ilvl w:val="1"/>
      </w:numPr>
      <w:spacing w:after="160"/>
    </w:pPr>
    <w:rPr>
      <w:rFonts w:asciiTheme="minorHAnsi"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C91705"/>
    <w:rPr>
      <w:rFonts w:eastAsiaTheme="minorEastAsia"/>
      <w:color w:val="5A5A5A" w:themeColor="text1" w:themeTint="A5"/>
      <w:spacing w:val="15"/>
      <w:kern w:val="0"/>
      <w14:ligatures w14:val="none"/>
    </w:rPr>
  </w:style>
  <w:style w:type="character" w:styleId="Hyperlink">
    <w:name w:val="Hyperlink"/>
    <w:basedOn w:val="DefaultParagraphFont"/>
    <w:uiPriority w:val="99"/>
    <w:unhideWhenUsed/>
    <w:rsid w:val="00C91705"/>
    <w:rPr>
      <w:color w:val="467886" w:themeColor="hyperlink"/>
      <w:u w:val="single"/>
    </w:rPr>
  </w:style>
  <w:style w:type="character" w:styleId="FollowedHyperlink">
    <w:name w:val="FollowedHyperlink"/>
    <w:basedOn w:val="DefaultParagraphFont"/>
    <w:uiPriority w:val="99"/>
    <w:semiHidden/>
    <w:unhideWhenUsed/>
    <w:rsid w:val="00C91705"/>
    <w:rPr>
      <w:color w:val="96607D" w:themeColor="followedHyperlink"/>
      <w:u w:val="single"/>
    </w:rPr>
  </w:style>
  <w:style w:type="paragraph" w:styleId="NormalWeb">
    <w:name w:val="Normal (Web)"/>
    <w:basedOn w:val="Normal"/>
    <w:uiPriority w:val="99"/>
    <w:unhideWhenUsed/>
    <w:rsid w:val="00C91705"/>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C917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91705"/>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C91705"/>
    <w:rPr>
      <w:rFonts w:eastAsiaTheme="minorEastAsia"/>
      <w:kern w:val="0"/>
      <w:lang w:eastAsia="en-GB"/>
    </w:rPr>
  </w:style>
  <w:style w:type="paragraph" w:styleId="ListParagraph">
    <w:name w:val="List Paragraph"/>
    <w:basedOn w:val="Normal"/>
    <w:uiPriority w:val="34"/>
    <w:qFormat/>
    <w:rsid w:val="00C91705"/>
    <w:pPr>
      <w:ind w:left="720"/>
      <w:contextualSpacing/>
    </w:pPr>
  </w:style>
  <w:style w:type="table" w:styleId="PlainTable1">
    <w:name w:val="Plain Table 1"/>
    <w:basedOn w:val="TableNormal"/>
    <w:uiPriority w:val="41"/>
    <w:rsid w:val="00C9170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9170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4">
    <w:name w:val="Grid Table 4 Accent 4"/>
    <w:basedOn w:val="TableNormal"/>
    <w:uiPriority w:val="49"/>
    <w:rsid w:val="00C9170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UnresolvedMention">
    <w:name w:val="Unresolved Mention"/>
    <w:basedOn w:val="DefaultParagraphFont"/>
    <w:uiPriority w:val="99"/>
    <w:semiHidden/>
    <w:unhideWhenUsed/>
    <w:rsid w:val="00C91705"/>
    <w:rPr>
      <w:color w:val="605E5C"/>
      <w:shd w:val="clear" w:color="auto" w:fill="E1DFDD"/>
    </w:rPr>
  </w:style>
  <w:style w:type="character" w:customStyle="1" w:styleId="Heading1Char">
    <w:name w:val="Heading 1 Char"/>
    <w:basedOn w:val="DefaultParagraphFont"/>
    <w:link w:val="Heading1"/>
    <w:uiPriority w:val="9"/>
    <w:rsid w:val="00AE12C5"/>
    <w:rPr>
      <w:rFonts w:asciiTheme="majorHAnsi" w:eastAsiaTheme="majorEastAsia" w:hAnsiTheme="majorHAnsi" w:cstheme="majorBidi"/>
      <w:color w:val="0F4761" w:themeColor="accent1" w:themeShade="BF"/>
      <w:kern w:val="0"/>
      <w:sz w:val="40"/>
      <w:szCs w:val="40"/>
      <w14:ligatures w14:val="none"/>
    </w:rPr>
  </w:style>
  <w:style w:type="character" w:customStyle="1" w:styleId="Heading2Char">
    <w:name w:val="Heading 2 Char"/>
    <w:basedOn w:val="DefaultParagraphFont"/>
    <w:link w:val="Heading2"/>
    <w:uiPriority w:val="9"/>
    <w:rsid w:val="00AE12C5"/>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AE12C5"/>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AE12C5"/>
    <w:rPr>
      <w:rFonts w:eastAsiaTheme="majorEastAsia" w:cstheme="majorBidi"/>
      <w:i/>
      <w:iCs/>
      <w:color w:val="0F4761" w:themeColor="accent1" w:themeShade="BF"/>
      <w:kern w:val="0"/>
      <w:sz w:val="24"/>
      <w:szCs w:val="21"/>
      <w14:ligatures w14:val="none"/>
    </w:rPr>
  </w:style>
  <w:style w:type="character" w:customStyle="1" w:styleId="Heading5Char">
    <w:name w:val="Heading 5 Char"/>
    <w:basedOn w:val="DefaultParagraphFont"/>
    <w:link w:val="Heading5"/>
    <w:uiPriority w:val="9"/>
    <w:semiHidden/>
    <w:rsid w:val="00AE12C5"/>
    <w:rPr>
      <w:rFonts w:eastAsiaTheme="majorEastAsia" w:cstheme="majorBidi"/>
      <w:color w:val="0F4761" w:themeColor="accent1" w:themeShade="BF"/>
      <w:kern w:val="0"/>
      <w:sz w:val="24"/>
      <w:szCs w:val="21"/>
      <w14:ligatures w14:val="none"/>
    </w:rPr>
  </w:style>
  <w:style w:type="character" w:customStyle="1" w:styleId="Heading6Char">
    <w:name w:val="Heading 6 Char"/>
    <w:basedOn w:val="DefaultParagraphFont"/>
    <w:link w:val="Heading6"/>
    <w:uiPriority w:val="9"/>
    <w:semiHidden/>
    <w:rsid w:val="00AE12C5"/>
    <w:rPr>
      <w:rFonts w:eastAsiaTheme="majorEastAsia" w:cstheme="majorBidi"/>
      <w:i/>
      <w:iCs/>
      <w:color w:val="595959" w:themeColor="text1" w:themeTint="A6"/>
      <w:kern w:val="0"/>
      <w:sz w:val="24"/>
      <w:szCs w:val="21"/>
      <w14:ligatures w14:val="none"/>
    </w:rPr>
  </w:style>
  <w:style w:type="character" w:customStyle="1" w:styleId="Heading7Char">
    <w:name w:val="Heading 7 Char"/>
    <w:basedOn w:val="DefaultParagraphFont"/>
    <w:link w:val="Heading7"/>
    <w:uiPriority w:val="9"/>
    <w:semiHidden/>
    <w:rsid w:val="00AE12C5"/>
    <w:rPr>
      <w:rFonts w:eastAsiaTheme="majorEastAsia" w:cstheme="majorBidi"/>
      <w:color w:val="595959" w:themeColor="text1" w:themeTint="A6"/>
      <w:kern w:val="0"/>
      <w:sz w:val="24"/>
      <w:szCs w:val="21"/>
      <w14:ligatures w14:val="none"/>
    </w:rPr>
  </w:style>
  <w:style w:type="character" w:customStyle="1" w:styleId="Heading8Char">
    <w:name w:val="Heading 8 Char"/>
    <w:basedOn w:val="DefaultParagraphFont"/>
    <w:link w:val="Heading8"/>
    <w:uiPriority w:val="9"/>
    <w:semiHidden/>
    <w:rsid w:val="00AE12C5"/>
    <w:rPr>
      <w:rFonts w:eastAsiaTheme="majorEastAsia" w:cstheme="majorBidi"/>
      <w:i/>
      <w:iCs/>
      <w:color w:val="272727" w:themeColor="text1" w:themeTint="D8"/>
      <w:kern w:val="0"/>
      <w:sz w:val="24"/>
      <w:szCs w:val="21"/>
      <w14:ligatures w14:val="none"/>
    </w:rPr>
  </w:style>
  <w:style w:type="character" w:customStyle="1" w:styleId="Heading9Char">
    <w:name w:val="Heading 9 Char"/>
    <w:basedOn w:val="DefaultParagraphFont"/>
    <w:link w:val="Heading9"/>
    <w:uiPriority w:val="9"/>
    <w:semiHidden/>
    <w:rsid w:val="00AE12C5"/>
    <w:rPr>
      <w:rFonts w:eastAsiaTheme="majorEastAsia" w:cstheme="majorBidi"/>
      <w:color w:val="272727" w:themeColor="text1" w:themeTint="D8"/>
      <w:kern w:val="0"/>
      <w:sz w:val="24"/>
      <w:szCs w:val="21"/>
      <w14:ligatures w14:val="none"/>
    </w:rPr>
  </w:style>
  <w:style w:type="paragraph" w:styleId="Quote">
    <w:name w:val="Quote"/>
    <w:basedOn w:val="Normal"/>
    <w:next w:val="Normal"/>
    <w:link w:val="QuoteChar"/>
    <w:uiPriority w:val="29"/>
    <w:qFormat/>
    <w:rsid w:val="00AE12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E12C5"/>
    <w:rPr>
      <w:rFonts w:ascii="Arial" w:eastAsiaTheme="minorEastAsia" w:hAnsi="Arial"/>
      <w:i/>
      <w:iCs/>
      <w:color w:val="404040" w:themeColor="text1" w:themeTint="BF"/>
      <w:kern w:val="0"/>
      <w:sz w:val="24"/>
      <w:szCs w:val="21"/>
      <w14:ligatures w14:val="none"/>
    </w:rPr>
  </w:style>
  <w:style w:type="character" w:styleId="IntenseEmphasis">
    <w:name w:val="Intense Emphasis"/>
    <w:basedOn w:val="DefaultParagraphFont"/>
    <w:uiPriority w:val="21"/>
    <w:qFormat/>
    <w:rsid w:val="00AE12C5"/>
    <w:rPr>
      <w:i/>
      <w:iCs/>
      <w:color w:val="0F4761" w:themeColor="accent1" w:themeShade="BF"/>
    </w:rPr>
  </w:style>
  <w:style w:type="paragraph" w:styleId="IntenseQuote">
    <w:name w:val="Intense Quote"/>
    <w:basedOn w:val="Normal"/>
    <w:next w:val="Normal"/>
    <w:link w:val="IntenseQuoteChar"/>
    <w:uiPriority w:val="30"/>
    <w:qFormat/>
    <w:rsid w:val="00AE1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2C5"/>
    <w:rPr>
      <w:rFonts w:ascii="Arial" w:eastAsiaTheme="minorEastAsia" w:hAnsi="Arial"/>
      <w:i/>
      <w:iCs/>
      <w:color w:val="0F4761" w:themeColor="accent1" w:themeShade="BF"/>
      <w:kern w:val="0"/>
      <w:sz w:val="24"/>
      <w:szCs w:val="21"/>
      <w14:ligatures w14:val="none"/>
    </w:rPr>
  </w:style>
  <w:style w:type="character" w:styleId="IntenseReference">
    <w:name w:val="Intense Reference"/>
    <w:basedOn w:val="DefaultParagraphFont"/>
    <w:uiPriority w:val="32"/>
    <w:qFormat/>
    <w:rsid w:val="00AE12C5"/>
    <w:rPr>
      <w:b/>
      <w:bCs/>
      <w:smallCaps/>
      <w:color w:val="0F4761" w:themeColor="accent1" w:themeShade="BF"/>
      <w:spacing w:val="5"/>
    </w:rPr>
  </w:style>
  <w:style w:type="table" w:styleId="ListTable4-Accent1">
    <w:name w:val="List Table 4 Accent 1"/>
    <w:basedOn w:val="TableNormal"/>
    <w:uiPriority w:val="49"/>
    <w:rsid w:val="00870659"/>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tcBorders>
        <w:shd w:val="clear" w:color="auto" w:fill="156082" w:themeFill="accent1"/>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87065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Emphasis">
    <w:name w:val="Emphasis"/>
    <w:basedOn w:val="DefaultParagraphFont"/>
    <w:uiPriority w:val="20"/>
    <w:qFormat/>
    <w:rsid w:val="002763E1"/>
    <w:rPr>
      <w:i/>
      <w:iCs/>
    </w:rPr>
  </w:style>
  <w:style w:type="character" w:customStyle="1" w:styleId="ms-1">
    <w:name w:val="ms-1"/>
    <w:basedOn w:val="DefaultParagraphFont"/>
    <w:rsid w:val="00CA1BD1"/>
  </w:style>
  <w:style w:type="character" w:customStyle="1" w:styleId="max-w-15ch">
    <w:name w:val="max-w-[15ch]"/>
    <w:basedOn w:val="DefaultParagraphFont"/>
    <w:rsid w:val="00CA1BD1"/>
  </w:style>
  <w:style w:type="character" w:customStyle="1" w:styleId="-me-1">
    <w:name w:val="-me-1"/>
    <w:basedOn w:val="DefaultParagraphFont"/>
    <w:rsid w:val="00CA1B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8/s41586-021-03569-1" TargetMode="External"/><Relationship Id="rId18" Type="http://schemas.openxmlformats.org/officeDocument/2006/relationships/hyperlink" Target="https://www.genomicsengland.co.uk/" TargetMode="External"/><Relationship Id="rId26" Type="http://schemas.openxmlformats.org/officeDocument/2006/relationships/hyperlink" Target="https://doi.org/10.2196/37236" TargetMode="External"/><Relationship Id="rId39" Type="http://schemas.openxmlformats.org/officeDocument/2006/relationships/header" Target="header1.xml"/><Relationship Id="rId21" Type="http://schemas.openxmlformats.org/officeDocument/2006/relationships/hyperlink" Target="https://doi.org/10.4018/978-1-6684-5422-0" TargetMode="External"/><Relationship Id="rId34" Type="http://schemas.openxmlformats.org/officeDocument/2006/relationships/hyperlink" Target="https://doi.org/10.3389/fgene.2022.719317"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4324/9781003144403" TargetMode="External"/><Relationship Id="rId20" Type="http://schemas.openxmlformats.org/officeDocument/2006/relationships/hyperlink" Target="https://www.genomicseducation.hee.nhs.uk/" TargetMode="External"/><Relationship Id="rId29" Type="http://schemas.openxmlformats.org/officeDocument/2006/relationships/hyperlink" Target="https://pubmed.ncbi.nlm.nih.gov/37975990/?utm_source=chatgpt.com"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cbi.nlm.nih.gov/pmc/articles/PMC10250296/" TargetMode="External"/><Relationship Id="rId32" Type="http://schemas.openxmlformats.org/officeDocument/2006/relationships/hyperlink" Target="https://doi.org/10.1007/s12687-025-00781-8" TargetMode="External"/><Relationship Id="rId37" Type="http://schemas.openxmlformats.org/officeDocument/2006/relationships/hyperlink" Target="https://www.theguardian.com/science/2025/jun/20/all-babies-in-england-to-get-dna-test-to-assess-risk-of-diseases-within-10-years?utm_source=chatgpt.com"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86/s12909-024-06219-y" TargetMode="External"/><Relationship Id="rId23" Type="http://schemas.openxmlformats.org/officeDocument/2006/relationships/hyperlink" Target="https://doi.org/10.3310/nihropenres.13236.2" TargetMode="External"/><Relationship Id="rId28" Type="http://schemas.openxmlformats.org/officeDocument/2006/relationships/hyperlink" Target="https://pubmed.ncbi.nlm.nih.gov/37975990/" TargetMode="External"/><Relationship Id="rId36" Type="http://schemas.openxmlformats.org/officeDocument/2006/relationships/hyperlink" Target="https://www.theguardian.com/science/2025/jun/20/all-babies-in-england-to-get-dna-test-to-assess-risk-of-diseases-within-10-years" TargetMode="External"/><Relationship Id="rId10" Type="http://schemas.openxmlformats.org/officeDocument/2006/relationships/endnotes" Target="endnotes.xml"/><Relationship Id="rId19" Type="http://schemas.openxmlformats.org/officeDocument/2006/relationships/hyperlink" Target="https://doi.org/10.3390/jcm14051605" TargetMode="External"/><Relationship Id="rId31" Type="http://schemas.openxmlformats.org/officeDocument/2006/relationships/hyperlink" Target="https://doi.org/10.15252/embr.2019483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aquaculture.2025.742837" TargetMode="External"/><Relationship Id="rId22" Type="http://schemas.openxmlformats.org/officeDocument/2006/relationships/hyperlink" Target="https://doi.org/10.1159/000542027" TargetMode="External"/><Relationship Id="rId27" Type="http://schemas.openxmlformats.org/officeDocument/2006/relationships/hyperlink" Target="https://www.longtermplan.nhs.uk/" TargetMode="External"/><Relationship Id="rId30" Type="http://schemas.openxmlformats.org/officeDocument/2006/relationships/hyperlink" Target="https://librarysearch.uwtsd.ac.uk/permalink/44WHELF_UWTSD/neci73/cdi_doaj_primary_oai_doaj_org_article_b2f063d204b2434594523e80ae900008" TargetMode="External"/><Relationship Id="rId35" Type="http://schemas.openxmlformats.org/officeDocument/2006/relationships/hyperlink" Target="https://doi.org/10.1007/s00439-018-1921-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3389/fgene.2023.1282034" TargetMode="External"/><Relationship Id="rId25" Type="http://schemas.openxmlformats.org/officeDocument/2006/relationships/hyperlink" Target="https://pmc.ncbi.nlm.nih.gov/articles/PMC10250296/?utm_source=chatgpt.com" TargetMode="External"/><Relationship Id="rId33" Type="http://schemas.openxmlformats.org/officeDocument/2006/relationships/hyperlink" Target="https://librarysearch.uwtsd.ac.uk/permalink/44WHELF_UWTSD/neci73/cdi_ucl_eprints_v2_oai_eprints_ucl_ac_uk_OAI2_10209566" TargetMode="External"/><Relationship Id="rId38" Type="http://schemas.openxmlformats.org/officeDocument/2006/relationships/hyperlink" Target="https://librarysearch.uwtsd.ac.uk/permalink/44WHELF_UWTSD/1ir6fgh/cdi_proquest_miscellaneous_203093378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3F469164D744425AD6A8941D558AB1B"/>
        <w:category>
          <w:name w:val="General"/>
          <w:gallery w:val="placeholder"/>
        </w:category>
        <w:types>
          <w:type w:val="bbPlcHdr"/>
        </w:types>
        <w:behaviors>
          <w:behavior w:val="content"/>
        </w:behaviors>
        <w:guid w:val="{A7EF56F6-DA5B-4390-9949-205CFC103B07}"/>
      </w:docPartPr>
      <w:docPartBody>
        <w:p w:rsidR="00294FD6" w:rsidRDefault="00824160" w:rsidP="00824160">
          <w:pPr>
            <w:pStyle w:val="F3F469164D744425AD6A8941D558AB1B"/>
          </w:pPr>
          <w:r>
            <w:rPr>
              <w:rFonts w:asciiTheme="majorHAnsi" w:eastAsiaTheme="majorEastAsia" w:hAnsiTheme="majorHAnsi" w:cstheme="majorBidi"/>
              <w:caps/>
              <w:color w:val="156082" w:themeColor="accent1"/>
              <w:sz w:val="80"/>
              <w:szCs w:val="80"/>
            </w:rPr>
            <w:t>[Document title]</w:t>
          </w:r>
        </w:p>
      </w:docPartBody>
    </w:docPart>
    <w:docPart>
      <w:docPartPr>
        <w:name w:val="FD2E0B42CAB44D3C88D52C459A8F033F"/>
        <w:category>
          <w:name w:val="General"/>
          <w:gallery w:val="placeholder"/>
        </w:category>
        <w:types>
          <w:type w:val="bbPlcHdr"/>
        </w:types>
        <w:behaviors>
          <w:behavior w:val="content"/>
        </w:behaviors>
        <w:guid w:val="{CACEDB1E-3D09-4102-A88F-42AF6E5CD48B}"/>
      </w:docPartPr>
      <w:docPartBody>
        <w:p w:rsidR="00294FD6" w:rsidRDefault="00824160" w:rsidP="00824160">
          <w:pPr>
            <w:pStyle w:val="FD2E0B42CAB44D3C88D52C459A8F033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160"/>
    <w:rsid w:val="000B3F8F"/>
    <w:rsid w:val="000F1F11"/>
    <w:rsid w:val="00212B34"/>
    <w:rsid w:val="00224ED9"/>
    <w:rsid w:val="00294FD6"/>
    <w:rsid w:val="00360B20"/>
    <w:rsid w:val="004D2F3E"/>
    <w:rsid w:val="00502F5D"/>
    <w:rsid w:val="00563069"/>
    <w:rsid w:val="00565F08"/>
    <w:rsid w:val="00824160"/>
    <w:rsid w:val="009424BA"/>
    <w:rsid w:val="00A85BE8"/>
    <w:rsid w:val="00AC18A3"/>
    <w:rsid w:val="00AE344A"/>
    <w:rsid w:val="00B00D34"/>
    <w:rsid w:val="00B5157B"/>
    <w:rsid w:val="00B523DC"/>
    <w:rsid w:val="00BA65D3"/>
    <w:rsid w:val="00C333C4"/>
    <w:rsid w:val="00CA2156"/>
    <w:rsid w:val="00D6551B"/>
    <w:rsid w:val="00D94C63"/>
    <w:rsid w:val="00DB0BB3"/>
    <w:rsid w:val="00E612C9"/>
    <w:rsid w:val="00F3040F"/>
    <w:rsid w:val="00F66F5F"/>
    <w:rsid w:val="00F9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F469164D744425AD6A8941D558AB1B">
    <w:name w:val="F3F469164D744425AD6A8941D558AB1B"/>
    <w:rsid w:val="00824160"/>
  </w:style>
  <w:style w:type="paragraph" w:customStyle="1" w:styleId="FD2E0B42CAB44D3C88D52C459A8F033F">
    <w:name w:val="FD2E0B42CAB44D3C88D52C459A8F033F"/>
    <w:rsid w:val="0082416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2025-11-17T00:00:00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ceb830d86ee3102b0989a45c13367d6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546e4abb87bfeac63f49270de8b69f4"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1BE3C7-2F41-4453-B95E-1E45672748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31B6B8-F50A-457D-A94B-4997EBC0BFA2}">
  <ds:schemaRefs>
    <ds:schemaRef ds:uri="http://schemas.microsoft.com/sharepoint/v3/contenttype/forms"/>
  </ds:schemaRefs>
</ds:datastoreItem>
</file>

<file path=customXml/itemProps4.xml><?xml version="1.0" encoding="utf-8"?>
<ds:datastoreItem xmlns:ds="http://schemas.openxmlformats.org/officeDocument/2006/customXml" ds:itemID="{DC9357DD-1B44-4564-BCEA-9DF03246D7CD}">
  <ds:schemaRefs>
    <ds:schemaRef ds:uri="0ebdf10f-b5a3-45b6-acdb-7dc1eb398785"/>
    <ds:schemaRef ds:uri="http://purl.org/dc/terms/"/>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550816ce-8156-4f45-b1c4-24236a73d01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3523</Words>
  <Characters>23325</Characters>
  <Application>Microsoft Office Word</Application>
  <DocSecurity>0</DocSecurity>
  <Lines>424</Lines>
  <Paragraphs>166</Paragraphs>
  <ScaleCrop>false</ScaleCrop>
  <HeadingPairs>
    <vt:vector size="2" baseType="variant">
      <vt:variant>
        <vt:lpstr>Title</vt:lpstr>
      </vt:variant>
      <vt:variant>
        <vt:i4>1</vt:i4>
      </vt:variant>
    </vt:vector>
  </HeadingPairs>
  <TitlesOfParts>
    <vt:vector size="1" baseType="lpstr">
      <vt:lpstr>Evaluation of Whole-Genome Sequencing (WGS) Implementation within UK Health and Social Care</vt:lpstr>
    </vt:vector>
  </TitlesOfParts>
  <Company/>
  <LinksUpToDate>false</LinksUpToDate>
  <CharactersWithSpaces>26682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Whole-Genome Sequencing (WGS) Implementation within UK Health and Social Care</dc:title>
  <dc:subject>Digital Transformation in the Health and Care Professions (BMHP6026_LON)</dc:subject>
  <dc:creator>Monica Ana Oprea (2315596)</dc:creator>
  <cp:keywords/>
  <dc:description/>
  <cp:lastModifiedBy>Monica Ana Oprea (2315596)</cp:lastModifiedBy>
  <cp:revision>2</cp:revision>
  <dcterms:created xsi:type="dcterms:W3CDTF">2025-11-11T12:44:00Z</dcterms:created>
  <dcterms:modified xsi:type="dcterms:W3CDTF">2025-11-11T12:44:00Z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bc5f4a02-95af-44fb-8428-51aad7cc8265</vt:lpwstr>
  </property>
  <property fmtid="{D5CDD505-2E9C-101B-9397-08002B2CF9AE}" pid="3" name="ContentTypeId">
    <vt:lpwstr>0x0101009DA2B97165742847ABC519A905693DF8</vt:lpwstr>
  </property>
</Properties>
</file>