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2303E" w14:textId="77777777" w:rsidR="006908AF" w:rsidRDefault="006908AF" w:rsidP="006908AF">
      <w:pPr>
        <w:spacing w:before="100" w:beforeAutospacing="1" w:after="100" w:afterAutospacing="1"/>
        <w:jc w:val="both"/>
        <w:rPr>
          <w:rFonts w:ascii="Arial" w:eastAsia="Times New Roman" w:hAnsi="Arial" w:cs="Arial"/>
          <w:b/>
          <w:color w:val="000000"/>
          <w:lang w:eastAsia="en-GB"/>
        </w:rPr>
      </w:pPr>
    </w:p>
    <w:p w14:paraId="5C4C485B" w14:textId="77777777" w:rsidR="006908AF" w:rsidRDefault="006908AF" w:rsidP="006908AF">
      <w:pPr>
        <w:spacing w:before="100" w:beforeAutospacing="1" w:after="100" w:afterAutospacing="1"/>
        <w:jc w:val="both"/>
        <w:rPr>
          <w:rFonts w:ascii="Arial" w:eastAsia="Times New Roman" w:hAnsi="Arial" w:cs="Arial"/>
          <w:b/>
          <w:color w:val="000000"/>
          <w:lang w:eastAsia="en-GB"/>
        </w:rPr>
      </w:pPr>
    </w:p>
    <w:p w14:paraId="137DB624" w14:textId="28A1A539" w:rsidR="006908AF" w:rsidRPr="00624BCD" w:rsidRDefault="006908AF" w:rsidP="006908AF">
      <w:pPr>
        <w:spacing w:before="100" w:beforeAutospacing="1" w:after="100" w:afterAutospacing="1"/>
        <w:jc w:val="both"/>
        <w:rPr>
          <w:rFonts w:ascii="Arial" w:eastAsia="Times New Roman" w:hAnsi="Arial" w:cs="Arial"/>
          <w:b/>
          <w:color w:val="000000"/>
          <w:lang w:eastAsia="en-GB"/>
        </w:rPr>
      </w:pPr>
      <w:r w:rsidRPr="00A15F4C">
        <w:rPr>
          <w:rFonts w:ascii="Arial" w:eastAsia="Times New Roman" w:hAnsi="Arial" w:cs="Arial"/>
          <w:b/>
          <w:color w:val="000000"/>
          <w:lang w:eastAsia="en-GB"/>
        </w:rPr>
        <w:t>Qualification: PGDip/MA in Strategic People Management</w:t>
      </w:r>
    </w:p>
    <w:p w14:paraId="58C1385A" w14:textId="77777777" w:rsidR="006908AF" w:rsidRPr="00A15F4C" w:rsidRDefault="006908AF" w:rsidP="006908AF">
      <w:pPr>
        <w:pStyle w:val="NormalWeb"/>
        <w:shd w:val="clear" w:color="auto" w:fill="FFFFFF"/>
        <w:jc w:val="both"/>
        <w:rPr>
          <w:rFonts w:ascii="Arial" w:hAnsi="Arial" w:cs="Arial"/>
        </w:rPr>
      </w:pPr>
      <w:r w:rsidRPr="00A15F4C">
        <w:rPr>
          <w:rFonts w:ascii="Arial" w:hAnsi="Arial" w:cs="Arial"/>
          <w:b/>
          <w:color w:val="000000"/>
        </w:rPr>
        <w:t>Module Name:</w:t>
      </w:r>
      <w:r w:rsidRPr="00A15F4C">
        <w:rPr>
          <w:rFonts w:ascii="Arial" w:hAnsi="Arial" w:cs="Arial"/>
          <w:color w:val="000000"/>
        </w:rPr>
        <w:t xml:space="preserve"> </w:t>
      </w:r>
      <w:r w:rsidRPr="00A15F4C">
        <w:rPr>
          <w:rFonts w:ascii="Arial" w:hAnsi="Arial" w:cs="Arial"/>
        </w:rPr>
        <w:t xml:space="preserve">Understanding the Business Context </w:t>
      </w:r>
    </w:p>
    <w:p w14:paraId="079BB428" w14:textId="77777777" w:rsidR="006908AF" w:rsidRPr="00A15F4C" w:rsidRDefault="006908AF" w:rsidP="006908AF">
      <w:pPr>
        <w:pStyle w:val="NormalWeb"/>
        <w:shd w:val="clear" w:color="auto" w:fill="FFFFFF"/>
        <w:jc w:val="both"/>
        <w:rPr>
          <w:rFonts w:ascii="Arial" w:hAnsi="Arial" w:cs="Arial"/>
        </w:rPr>
      </w:pPr>
      <w:r w:rsidRPr="00A15F4C">
        <w:rPr>
          <w:rFonts w:ascii="Arial" w:hAnsi="Arial" w:cs="Arial"/>
          <w:b/>
        </w:rPr>
        <w:t>Module Code:</w:t>
      </w:r>
      <w:r w:rsidRPr="00A15F4C">
        <w:rPr>
          <w:rFonts w:ascii="Arial" w:hAnsi="Arial" w:cs="Arial"/>
        </w:rPr>
        <w:t xml:space="preserve"> BMHR7012</w:t>
      </w:r>
    </w:p>
    <w:p w14:paraId="7B5B25BD" w14:textId="56E8D613" w:rsidR="006908AF" w:rsidRPr="00A15F4C" w:rsidRDefault="006908AF" w:rsidP="006908AF">
      <w:pPr>
        <w:spacing w:before="100" w:beforeAutospacing="1" w:after="100" w:afterAutospacing="1"/>
        <w:jc w:val="both"/>
        <w:rPr>
          <w:rFonts w:ascii="Arial" w:eastAsia="Times New Roman" w:hAnsi="Arial" w:cs="Arial"/>
          <w:bCs/>
          <w:color w:val="000000"/>
          <w:lang w:eastAsia="en-GB"/>
        </w:rPr>
      </w:pPr>
      <w:r w:rsidRPr="00A15F4C">
        <w:rPr>
          <w:rFonts w:ascii="Arial" w:eastAsia="Times New Roman" w:hAnsi="Arial" w:cs="Arial"/>
          <w:b/>
          <w:color w:val="000000"/>
          <w:lang w:eastAsia="en-GB"/>
        </w:rPr>
        <w:t xml:space="preserve">Word Count: </w:t>
      </w:r>
      <w:r w:rsidR="009B0540">
        <w:rPr>
          <w:rFonts w:ascii="Arial" w:eastAsia="Times New Roman" w:hAnsi="Arial" w:cs="Arial"/>
          <w:b/>
          <w:color w:val="000000"/>
          <w:lang w:eastAsia="en-GB"/>
        </w:rPr>
        <w:t>1</w:t>
      </w:r>
      <w:r w:rsidR="00D1769A">
        <w:rPr>
          <w:rFonts w:ascii="Arial" w:eastAsia="Times New Roman" w:hAnsi="Arial" w:cs="Arial"/>
          <w:b/>
          <w:color w:val="000000"/>
          <w:lang w:eastAsia="en-GB"/>
        </w:rPr>
        <w:t>100</w:t>
      </w:r>
    </w:p>
    <w:p w14:paraId="72C3C13D"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b/>
          <w:color w:val="000000"/>
          <w:lang w:eastAsia="en-GB"/>
        </w:rPr>
        <w:t>Student Name:</w:t>
      </w:r>
      <w:r w:rsidRPr="00A15F4C">
        <w:rPr>
          <w:rFonts w:ascii="Arial" w:eastAsia="Times New Roman" w:hAnsi="Arial" w:cs="Arial"/>
          <w:color w:val="000000"/>
          <w:lang w:eastAsia="en-GB"/>
        </w:rPr>
        <w:t xml:space="preserve"> Alys Owens</w:t>
      </w:r>
    </w:p>
    <w:p w14:paraId="5AD92B7B"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b/>
          <w:color w:val="000000"/>
          <w:lang w:eastAsia="en-GB"/>
        </w:rPr>
        <w:t>Student Number:</w:t>
      </w:r>
      <w:r w:rsidRPr="00A15F4C">
        <w:rPr>
          <w:rFonts w:ascii="Arial" w:eastAsia="Times New Roman" w:hAnsi="Arial" w:cs="Arial"/>
          <w:color w:val="000000"/>
          <w:lang w:eastAsia="en-GB"/>
        </w:rPr>
        <w:t xml:space="preserve"> 2005306</w:t>
      </w:r>
    </w:p>
    <w:p w14:paraId="5866044B"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b/>
          <w:color w:val="000000"/>
          <w:lang w:eastAsia="en-GB"/>
        </w:rPr>
        <w:t>CIPD Membership Number</w:t>
      </w:r>
      <w:r w:rsidRPr="00A15F4C">
        <w:rPr>
          <w:rFonts w:ascii="Arial" w:eastAsia="Times New Roman" w:hAnsi="Arial" w:cs="Arial"/>
          <w:color w:val="000000"/>
          <w:lang w:eastAsia="en-GB"/>
        </w:rPr>
        <w:t>: 56652305</w:t>
      </w:r>
    </w:p>
    <w:p w14:paraId="5CBF9FB0"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color w:val="000000"/>
          <w:lang w:eastAsia="en-GB"/>
        </w:rPr>
        <w:t>By signing below, I confirm that the work/evidence presented is my own, unaided work. I understand the regulations pertaining to candidate malpractice and the action that may be taken as a result.</w:t>
      </w:r>
    </w:p>
    <w:p w14:paraId="3E5E191A"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color w:val="000000"/>
          <w:lang w:eastAsia="en-GB"/>
        </w:rPr>
        <w:t>Signed: Alys Owens</w:t>
      </w:r>
    </w:p>
    <w:p w14:paraId="3AF5BF15"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color w:val="000000"/>
          <w:lang w:eastAsia="en-GB"/>
        </w:rPr>
        <w:t>Dated: December 2024</w:t>
      </w:r>
    </w:p>
    <w:p w14:paraId="00B04ACB" w14:textId="77777777" w:rsidR="006908AF" w:rsidRPr="00A15F4C" w:rsidRDefault="006908AF" w:rsidP="006908AF">
      <w:pPr>
        <w:spacing w:before="100" w:beforeAutospacing="1" w:after="100" w:afterAutospacing="1"/>
        <w:jc w:val="both"/>
        <w:rPr>
          <w:rFonts w:ascii="Arial" w:eastAsia="Times New Roman" w:hAnsi="Arial" w:cs="Arial"/>
          <w:color w:val="000000"/>
          <w:lang w:eastAsia="en-GB"/>
        </w:rPr>
      </w:pPr>
      <w:r w:rsidRPr="00A15F4C">
        <w:rPr>
          <w:rFonts w:ascii="Arial" w:eastAsia="Times New Roman" w:hAnsi="Arial" w:cs="Arial"/>
          <w:color w:val="000000"/>
          <w:lang w:eastAsia="en-GB"/>
        </w:rPr>
        <w:t>Resubmitted: March 2025</w:t>
      </w:r>
    </w:p>
    <w:p w14:paraId="67EA026F" w14:textId="77777777" w:rsidR="00DB487D" w:rsidRDefault="00DB487D">
      <w:pPr>
        <w:spacing w:after="160" w:line="259" w:lineRule="auto"/>
      </w:pPr>
    </w:p>
    <w:p w14:paraId="46F3A85B" w14:textId="38E297E5" w:rsidR="006908AF" w:rsidRDefault="006908AF">
      <w:pPr>
        <w:spacing w:after="160" w:line="259" w:lineRule="auto"/>
      </w:pPr>
      <w:r>
        <w:br w:type="page"/>
      </w:r>
    </w:p>
    <w:p w14:paraId="61778F22" w14:textId="307E5AA3" w:rsidR="00DB487D" w:rsidRPr="00010681" w:rsidRDefault="00DB487D" w:rsidP="00DB487D">
      <w:pPr>
        <w:jc w:val="both"/>
        <w:rPr>
          <w:rFonts w:ascii="Arial" w:hAnsi="Arial" w:cs="Arial"/>
          <w:b/>
          <w:bCs/>
          <w:color w:val="000000" w:themeColor="text1"/>
        </w:rPr>
      </w:pPr>
      <w:r w:rsidRPr="00010681">
        <w:rPr>
          <w:rFonts w:ascii="Arial" w:hAnsi="Arial" w:cs="Arial"/>
          <w:b/>
          <w:bCs/>
          <w:color w:val="000000" w:themeColor="text1"/>
        </w:rPr>
        <w:lastRenderedPageBreak/>
        <w:t xml:space="preserve">Introduction </w:t>
      </w:r>
    </w:p>
    <w:p w14:paraId="77A77AE0" w14:textId="77777777" w:rsidR="005638B1" w:rsidRPr="007B71B8" w:rsidRDefault="005638B1" w:rsidP="005638B1">
      <w:pPr>
        <w:jc w:val="both"/>
        <w:rPr>
          <w:rFonts w:ascii="Arial" w:hAnsi="Arial" w:cs="Arial"/>
          <w:color w:val="000000" w:themeColor="text1"/>
        </w:rPr>
      </w:pPr>
      <w:r w:rsidRPr="007B71B8">
        <w:rPr>
          <w:rFonts w:ascii="Arial" w:hAnsi="Arial" w:cs="Arial"/>
          <w:color w:val="000000" w:themeColor="text1"/>
        </w:rPr>
        <w:t>The PESTLE tool is a widely used framework within organisations, including Castell Howell, for analysing external factors that can influence strategic planning, marketing planning, and organisational change management (Perera, 2018). For management at Castell Howell, it is crucial to adapt to the external factors and changes that may impact the organisation’s operations and overall success. The PESTLE tool provides a structured approach to assess Political, Economic, Social, Technological, Legal, and Environmental factors, offering valuable insights into how these elements can shape the organisation’s future trajectory (CIPD, 2020).</w:t>
      </w:r>
    </w:p>
    <w:p w14:paraId="0A5C2BC5" w14:textId="77777777" w:rsidR="005638B1" w:rsidRPr="007B71B8" w:rsidRDefault="005638B1" w:rsidP="005638B1">
      <w:pPr>
        <w:jc w:val="both"/>
        <w:rPr>
          <w:rFonts w:ascii="Arial" w:hAnsi="Arial" w:cs="Arial"/>
          <w:color w:val="000000" w:themeColor="text1"/>
        </w:rPr>
      </w:pPr>
    </w:p>
    <w:p w14:paraId="6F21D291" w14:textId="77777777" w:rsidR="005638B1" w:rsidRPr="007B71B8" w:rsidRDefault="005638B1" w:rsidP="005638B1">
      <w:pPr>
        <w:jc w:val="both"/>
        <w:rPr>
          <w:rFonts w:ascii="Arial" w:hAnsi="Arial" w:cs="Arial"/>
          <w:color w:val="000000" w:themeColor="text1"/>
        </w:rPr>
      </w:pPr>
      <w:r w:rsidRPr="007B71B8">
        <w:rPr>
          <w:rFonts w:ascii="Arial" w:hAnsi="Arial" w:cs="Arial"/>
          <w:color w:val="000000" w:themeColor="text1"/>
        </w:rPr>
        <w:t>The PESTLE tool offers both advantages and limitations when applied to strategic planning (Battista, 2022). One of the key strengths of using PESTLE at Castell Howell is that it enables management to systematically identify and evaluate political, economic, social, technological, legal, and environmental factors that could affect the organisation’s long-term strategy (Bouzid, 2020). By analysing these factors, management at Castell Howell can better understand the broader business environment, ensuring compliance with regulations and responding proactively to industry changes. This proactive approach allows Castell Howell to plan ahead, mitigating potential risks and seizing opportunities as they arise (Indeed, 2022). Furthermore, PESTLE provides management with a comprehensive viewpoint, helping to identify both challenges and opportunities that could influence strategic decisions (CIPD, 2020).</w:t>
      </w:r>
    </w:p>
    <w:p w14:paraId="58ADE403" w14:textId="77777777" w:rsidR="005638B1" w:rsidRPr="007B71B8" w:rsidRDefault="005638B1" w:rsidP="005638B1">
      <w:pPr>
        <w:jc w:val="both"/>
        <w:rPr>
          <w:rFonts w:ascii="Arial" w:hAnsi="Arial" w:cs="Arial"/>
          <w:color w:val="000000" w:themeColor="text1"/>
        </w:rPr>
      </w:pPr>
    </w:p>
    <w:p w14:paraId="7F97F3CA" w14:textId="77777777" w:rsidR="005638B1" w:rsidRPr="007B71B8" w:rsidRDefault="005638B1" w:rsidP="005638B1">
      <w:pPr>
        <w:jc w:val="both"/>
        <w:rPr>
          <w:rFonts w:ascii="Arial" w:hAnsi="Arial" w:cs="Arial"/>
          <w:color w:val="000000" w:themeColor="text1"/>
        </w:rPr>
      </w:pPr>
      <w:r w:rsidRPr="007B71B8">
        <w:rPr>
          <w:rFonts w:ascii="Arial" w:hAnsi="Arial" w:cs="Arial"/>
          <w:color w:val="000000" w:themeColor="text1"/>
        </w:rPr>
        <w:t>However, the PESTLE tool also has certain limitations that management at Castell Howell must consider. One disadvantage is the potential for oversimplification of the analysis due to the sheer volume of data that might be used in the decision-making process (Perera, 2018). This could lead to an oversight of significant factors affecting the business environment, resulting in incomplete strategic insights. Additionally, the vast amount of data collected during a PESTLE analysis may overwhelm management, leading to disengagement or difficulty in prioritising key issues (Paul, 2020). Another challenge is the potential unreliability of the data used in the analysis. Predictions and trends, on which decisions may be based, can change unexpectedly, rendering certain insights irrelevant or unsubstantiated. To ensure the continued validity and effectiveness of the PESTLE process, it is essential that management at Castell Howell regularly updates the analysis, as external factors can shift rapidly. The organisation must continuously reassess its strategies to remain responsive to new developments and changes in the external environment (Clarke, 2023).</w:t>
      </w:r>
    </w:p>
    <w:p w14:paraId="2953C4DE" w14:textId="77777777" w:rsidR="005638B1" w:rsidRPr="007B71B8" w:rsidRDefault="005638B1" w:rsidP="005638B1">
      <w:pPr>
        <w:jc w:val="both"/>
        <w:rPr>
          <w:rFonts w:ascii="Arial" w:hAnsi="Arial" w:cs="Arial"/>
          <w:color w:val="000000" w:themeColor="text1"/>
        </w:rPr>
      </w:pPr>
    </w:p>
    <w:p w14:paraId="03709AFA" w14:textId="35A5D583" w:rsidR="005638B1" w:rsidRPr="007B71B8" w:rsidRDefault="005638B1" w:rsidP="005638B1">
      <w:pPr>
        <w:jc w:val="both"/>
        <w:rPr>
          <w:rFonts w:ascii="Arial" w:hAnsi="Arial" w:cs="Arial"/>
          <w:color w:val="000000" w:themeColor="text1"/>
        </w:rPr>
      </w:pPr>
      <w:r w:rsidRPr="007B71B8">
        <w:rPr>
          <w:rFonts w:ascii="Arial" w:hAnsi="Arial" w:cs="Arial"/>
          <w:color w:val="000000" w:themeColor="text1"/>
        </w:rPr>
        <w:t>In summary, while the PESTLE tool offers valuable insights for strategic planning, management at Castell Howell must be aware of its limitations and ensure that the analysis remains current, relevant, and comprehensive to avoid making decisions based on outdated or incomplete information</w:t>
      </w:r>
      <w:r w:rsidR="001D2CFB" w:rsidRPr="007B71B8">
        <w:rPr>
          <w:color w:val="000000" w:themeColor="text1"/>
        </w:rPr>
        <w:t xml:space="preserve"> (</w:t>
      </w:r>
      <w:r w:rsidR="001D2CFB" w:rsidRPr="007B71B8">
        <w:rPr>
          <w:rFonts w:ascii="Arial" w:hAnsi="Arial" w:cs="Arial"/>
          <w:color w:val="000000" w:themeColor="text1"/>
        </w:rPr>
        <w:t xml:space="preserve">Kotler, P, &amp; Keller, K. L. 2016). </w:t>
      </w:r>
    </w:p>
    <w:p w14:paraId="2B0A6E73" w14:textId="12BE5B11" w:rsidR="001B46E9" w:rsidRPr="005638B1" w:rsidRDefault="001B46E9" w:rsidP="005638B1">
      <w:pPr>
        <w:jc w:val="both"/>
        <w:rPr>
          <w:rFonts w:ascii="Arial" w:hAnsi="Arial" w:cs="Arial"/>
          <w:color w:val="FF0000"/>
        </w:rPr>
      </w:pPr>
    </w:p>
    <w:p w14:paraId="3FFE491B" w14:textId="77777777" w:rsidR="00DB487D" w:rsidRPr="00DB487D" w:rsidRDefault="00DB487D" w:rsidP="00DB487D">
      <w:pPr>
        <w:jc w:val="both"/>
        <w:rPr>
          <w:rFonts w:ascii="Arial" w:hAnsi="Arial" w:cs="Arial"/>
          <w:color w:val="FF0000"/>
        </w:rPr>
      </w:pPr>
    </w:p>
    <w:p w14:paraId="03C4D114" w14:textId="77777777" w:rsidR="0037239C" w:rsidRDefault="0037239C" w:rsidP="006908AF">
      <w:pPr>
        <w:spacing w:after="150"/>
        <w:jc w:val="both"/>
        <w:rPr>
          <w:rFonts w:ascii="Arial" w:eastAsia="Times New Roman" w:hAnsi="Arial" w:cs="Arial"/>
          <w:b/>
          <w:bCs/>
          <w:kern w:val="24"/>
        </w:rPr>
      </w:pPr>
    </w:p>
    <w:p w14:paraId="762F786D" w14:textId="77777777" w:rsidR="0037239C" w:rsidRDefault="0037239C" w:rsidP="006908AF">
      <w:pPr>
        <w:spacing w:after="150"/>
        <w:jc w:val="both"/>
        <w:rPr>
          <w:rFonts w:ascii="Arial" w:eastAsia="Times New Roman" w:hAnsi="Arial" w:cs="Arial"/>
          <w:b/>
          <w:bCs/>
          <w:kern w:val="24"/>
        </w:rPr>
      </w:pPr>
    </w:p>
    <w:p w14:paraId="2DC1C9A2" w14:textId="77777777" w:rsidR="0037239C" w:rsidRDefault="0037239C" w:rsidP="006908AF">
      <w:pPr>
        <w:spacing w:after="150"/>
        <w:jc w:val="both"/>
        <w:rPr>
          <w:rFonts w:ascii="Arial" w:eastAsia="Times New Roman" w:hAnsi="Arial" w:cs="Arial"/>
          <w:b/>
          <w:bCs/>
          <w:kern w:val="24"/>
        </w:rPr>
      </w:pPr>
    </w:p>
    <w:p w14:paraId="6DB98273" w14:textId="77777777" w:rsidR="0037239C" w:rsidRDefault="0037239C" w:rsidP="006908AF">
      <w:pPr>
        <w:spacing w:after="150"/>
        <w:jc w:val="both"/>
        <w:rPr>
          <w:rFonts w:ascii="Arial" w:eastAsia="Times New Roman" w:hAnsi="Arial" w:cs="Arial"/>
          <w:b/>
          <w:bCs/>
          <w:kern w:val="24"/>
        </w:rPr>
      </w:pPr>
    </w:p>
    <w:p w14:paraId="0EC1BF64" w14:textId="7E6116ED" w:rsidR="006908AF" w:rsidRPr="001012B7" w:rsidRDefault="006908AF" w:rsidP="006908AF">
      <w:pPr>
        <w:spacing w:after="150"/>
        <w:jc w:val="both"/>
        <w:rPr>
          <w:rFonts w:ascii="Arial" w:eastAsia="Times New Roman" w:hAnsi="Arial" w:cs="Arial"/>
          <w:b/>
          <w:bCs/>
          <w:kern w:val="24"/>
        </w:rPr>
      </w:pPr>
      <w:r w:rsidRPr="001012B7">
        <w:rPr>
          <w:rFonts w:ascii="Arial" w:eastAsia="Times New Roman" w:hAnsi="Arial" w:cs="Arial"/>
          <w:b/>
          <w:bCs/>
          <w:kern w:val="24"/>
        </w:rPr>
        <w:lastRenderedPageBreak/>
        <w:t xml:space="preserve">Environmental </w:t>
      </w:r>
      <w:r w:rsidR="00DB487D" w:rsidRPr="001012B7">
        <w:rPr>
          <w:rFonts w:ascii="Arial" w:eastAsia="Times New Roman" w:hAnsi="Arial" w:cs="Arial"/>
          <w:b/>
          <w:bCs/>
          <w:kern w:val="24"/>
        </w:rPr>
        <w:t>Factors</w:t>
      </w:r>
    </w:p>
    <w:p w14:paraId="6B9CF2E4" w14:textId="4D65F3E5" w:rsidR="00306E18" w:rsidRPr="00306E18" w:rsidRDefault="00306E18" w:rsidP="00306E18">
      <w:pPr>
        <w:spacing w:after="150"/>
        <w:jc w:val="both"/>
        <w:rPr>
          <w:rFonts w:ascii="Arial" w:eastAsia="Times New Roman" w:hAnsi="Arial" w:cs="Arial"/>
          <w:kern w:val="24"/>
        </w:rPr>
      </w:pPr>
      <w:r w:rsidRPr="00306E18">
        <w:rPr>
          <w:rFonts w:ascii="Arial" w:eastAsia="Times New Roman" w:hAnsi="Arial" w:cs="Arial"/>
          <w:kern w:val="24"/>
        </w:rPr>
        <w:t>To take effective action in reducing emissions, it is essential for the company to first understand and measure its emissions. The Greenhouse Gas Protocol, the world's most widely-used greenhouse gas accounting standard, will be utilised to guide this process. This protocol categorises emissions into three scopes, which represent the different types of emissions generated through the company's operations and its broader value chain, including suppliers and customers</w:t>
      </w:r>
      <w:r>
        <w:rPr>
          <w:rFonts w:ascii="Arial" w:eastAsia="Times New Roman" w:hAnsi="Arial" w:cs="Arial"/>
          <w:kern w:val="24"/>
        </w:rPr>
        <w:t xml:space="preserve"> </w:t>
      </w:r>
      <w:sdt>
        <w:sdtPr>
          <w:rPr>
            <w:rFonts w:ascii="Arial" w:eastAsia="Times New Roman" w:hAnsi="Arial" w:cs="Arial"/>
            <w:kern w:val="24"/>
          </w:rPr>
          <w:id w:val="-136657692"/>
          <w:citation/>
        </w:sdtPr>
        <w:sdtContent>
          <w:r>
            <w:rPr>
              <w:rFonts w:ascii="Arial" w:eastAsia="Times New Roman" w:hAnsi="Arial" w:cs="Arial"/>
              <w:kern w:val="24"/>
            </w:rPr>
            <w:fldChar w:fldCharType="begin"/>
          </w:r>
          <w:r>
            <w:rPr>
              <w:rFonts w:ascii="Arial" w:eastAsia="Times New Roman" w:hAnsi="Arial" w:cs="Arial"/>
              <w:kern w:val="24"/>
              <w:lang w:val="en-US"/>
            </w:rPr>
            <w:instrText xml:space="preserve"> CITATION McM23 \l 1033 </w:instrText>
          </w:r>
          <w:r>
            <w:rPr>
              <w:rFonts w:ascii="Arial" w:eastAsia="Times New Roman" w:hAnsi="Arial" w:cs="Arial"/>
              <w:kern w:val="24"/>
            </w:rPr>
            <w:fldChar w:fldCharType="separate"/>
          </w:r>
          <w:r w:rsidRPr="00306E18">
            <w:rPr>
              <w:rFonts w:ascii="Arial" w:eastAsia="Times New Roman" w:hAnsi="Arial" w:cs="Arial"/>
              <w:noProof/>
              <w:kern w:val="24"/>
              <w:lang w:val="en-US"/>
            </w:rPr>
            <w:t>(McManners, 2023)</w:t>
          </w:r>
          <w:r>
            <w:rPr>
              <w:rFonts w:ascii="Arial" w:eastAsia="Times New Roman" w:hAnsi="Arial" w:cs="Arial"/>
              <w:kern w:val="24"/>
            </w:rPr>
            <w:fldChar w:fldCharType="end"/>
          </w:r>
        </w:sdtContent>
      </w:sdt>
      <w:r>
        <w:rPr>
          <w:rFonts w:ascii="Arial" w:eastAsia="Times New Roman" w:hAnsi="Arial" w:cs="Arial"/>
          <w:kern w:val="24"/>
        </w:rPr>
        <w:t>.</w:t>
      </w:r>
    </w:p>
    <w:p w14:paraId="7F1EF75B" w14:textId="7FF3FEDC" w:rsidR="00306E18" w:rsidRPr="00306E18" w:rsidRDefault="00306E18" w:rsidP="00306E18">
      <w:pPr>
        <w:spacing w:after="150"/>
        <w:jc w:val="both"/>
        <w:rPr>
          <w:rFonts w:ascii="Arial" w:eastAsia="Times New Roman" w:hAnsi="Arial" w:cs="Arial"/>
          <w:kern w:val="24"/>
        </w:rPr>
      </w:pPr>
      <w:r w:rsidRPr="00306E18">
        <w:rPr>
          <w:rFonts w:ascii="Arial" w:eastAsia="Times New Roman" w:hAnsi="Arial" w:cs="Arial"/>
          <w:kern w:val="24"/>
        </w:rPr>
        <w:t>Scopes 1 and 2 refer to emissions that are either owned or controlled directly by the company, while Scope 3 covers emissions that are a consequence of the</w:t>
      </w:r>
      <w:r w:rsidR="00C33B27">
        <w:rPr>
          <w:rFonts w:ascii="Arial" w:eastAsia="Times New Roman" w:hAnsi="Arial" w:cs="Arial"/>
          <w:kern w:val="24"/>
        </w:rPr>
        <w:t xml:space="preserve"> organisations</w:t>
      </w:r>
      <w:r w:rsidRPr="00306E18">
        <w:rPr>
          <w:rFonts w:ascii="Arial" w:eastAsia="Times New Roman" w:hAnsi="Arial" w:cs="Arial"/>
          <w:kern w:val="24"/>
        </w:rPr>
        <w:t xml:space="preserve"> activities but occur from sources not owned or controlled by the organisation</w:t>
      </w:r>
      <w:r>
        <w:rPr>
          <w:rFonts w:ascii="Arial" w:eastAsia="Times New Roman" w:hAnsi="Arial" w:cs="Arial"/>
          <w:kern w:val="24"/>
        </w:rPr>
        <w:t xml:space="preserve"> </w:t>
      </w:r>
      <w:sdt>
        <w:sdtPr>
          <w:rPr>
            <w:rFonts w:ascii="Arial" w:eastAsia="Times New Roman" w:hAnsi="Arial" w:cs="Arial"/>
            <w:kern w:val="24"/>
          </w:rPr>
          <w:id w:val="-1423645449"/>
          <w:citation/>
        </w:sdtPr>
        <w:sdtContent>
          <w:r>
            <w:rPr>
              <w:rFonts w:ascii="Arial" w:eastAsia="Times New Roman" w:hAnsi="Arial" w:cs="Arial"/>
              <w:kern w:val="24"/>
            </w:rPr>
            <w:fldChar w:fldCharType="begin"/>
          </w:r>
          <w:r>
            <w:rPr>
              <w:rFonts w:ascii="Arial" w:eastAsia="Times New Roman" w:hAnsi="Arial" w:cs="Arial"/>
              <w:kern w:val="24"/>
              <w:lang w:val="en-US"/>
            </w:rPr>
            <w:instrText xml:space="preserve"> CITATION Mol231 \l 1033 </w:instrText>
          </w:r>
          <w:r>
            <w:rPr>
              <w:rFonts w:ascii="Arial" w:eastAsia="Times New Roman" w:hAnsi="Arial" w:cs="Arial"/>
              <w:kern w:val="24"/>
            </w:rPr>
            <w:fldChar w:fldCharType="separate"/>
          </w:r>
          <w:r w:rsidRPr="00306E18">
            <w:rPr>
              <w:rFonts w:ascii="Arial" w:eastAsia="Times New Roman" w:hAnsi="Arial" w:cs="Arial"/>
              <w:noProof/>
              <w:kern w:val="24"/>
              <w:lang w:val="en-US"/>
            </w:rPr>
            <w:t>(Molthan-Hill, Winfield, Howarth, &amp; Mazhar, 2023)</w:t>
          </w:r>
          <w:r>
            <w:rPr>
              <w:rFonts w:ascii="Arial" w:eastAsia="Times New Roman" w:hAnsi="Arial" w:cs="Arial"/>
              <w:kern w:val="24"/>
            </w:rPr>
            <w:fldChar w:fldCharType="end"/>
          </w:r>
        </w:sdtContent>
      </w:sdt>
      <w:r>
        <w:rPr>
          <w:rFonts w:ascii="Arial" w:eastAsia="Times New Roman" w:hAnsi="Arial" w:cs="Arial"/>
          <w:kern w:val="24"/>
        </w:rPr>
        <w:t>.</w:t>
      </w:r>
      <w:r w:rsidRPr="00306E18">
        <w:rPr>
          <w:rFonts w:ascii="Arial" w:eastAsia="Times New Roman" w:hAnsi="Arial" w:cs="Arial"/>
          <w:kern w:val="24"/>
        </w:rPr>
        <w:t xml:space="preserve"> Scope 1 includes emissions from sources </w:t>
      </w:r>
      <w:r w:rsidR="00C33B27">
        <w:rPr>
          <w:rFonts w:ascii="Arial" w:eastAsia="Times New Roman" w:hAnsi="Arial" w:cs="Arial"/>
          <w:kern w:val="24"/>
        </w:rPr>
        <w:t>from the organisation</w:t>
      </w:r>
      <w:r w:rsidRPr="00306E18">
        <w:rPr>
          <w:rFonts w:ascii="Arial" w:eastAsia="Times New Roman" w:hAnsi="Arial" w:cs="Arial"/>
          <w:kern w:val="24"/>
        </w:rPr>
        <w:t xml:space="preserve"> owns or controls directly, such as those from burning fuel in a fleet of petrol or diesel vehicles. Scope 2 refers to the indirect emissions caused by the company when the energy it purchases and uses is produced. Scope 3 encompasses emissions that are not generated by the company directly but are linked to its activities, such as those arising from the purchasing, use, and disposal of products from suppliers</w:t>
      </w:r>
      <w:r w:rsidR="00DB487D">
        <w:rPr>
          <w:rFonts w:ascii="Arial" w:eastAsia="Times New Roman" w:hAnsi="Arial" w:cs="Arial"/>
          <w:kern w:val="24"/>
        </w:rPr>
        <w:t xml:space="preserve"> </w:t>
      </w:r>
      <w:sdt>
        <w:sdtPr>
          <w:rPr>
            <w:rFonts w:ascii="Arial" w:eastAsia="Times New Roman" w:hAnsi="Arial" w:cs="Arial"/>
            <w:kern w:val="24"/>
          </w:rPr>
          <w:id w:val="-1614664623"/>
          <w:citation/>
        </w:sdtPr>
        <w:sdtContent>
          <w:r w:rsidR="00DB487D">
            <w:rPr>
              <w:rFonts w:ascii="Arial" w:eastAsia="Times New Roman" w:hAnsi="Arial" w:cs="Arial"/>
              <w:kern w:val="24"/>
            </w:rPr>
            <w:fldChar w:fldCharType="begin"/>
          </w:r>
          <w:r w:rsidR="00DB487D">
            <w:rPr>
              <w:rFonts w:ascii="Arial" w:eastAsia="Times New Roman" w:hAnsi="Arial" w:cs="Arial"/>
              <w:kern w:val="24"/>
              <w:lang w:val="en-US"/>
            </w:rPr>
            <w:instrText xml:space="preserve"> CITATION Blo13 \l 1033 </w:instrText>
          </w:r>
          <w:r w:rsidR="00DB487D">
            <w:rPr>
              <w:rFonts w:ascii="Arial" w:eastAsia="Times New Roman" w:hAnsi="Arial" w:cs="Arial"/>
              <w:kern w:val="24"/>
            </w:rPr>
            <w:fldChar w:fldCharType="separate"/>
          </w:r>
          <w:r w:rsidR="00DB487D" w:rsidRPr="00DB487D">
            <w:rPr>
              <w:rFonts w:ascii="Arial" w:eastAsia="Times New Roman" w:hAnsi="Arial" w:cs="Arial"/>
              <w:noProof/>
              <w:kern w:val="24"/>
              <w:lang w:val="en-US"/>
            </w:rPr>
            <w:t>(Blowfield, 2013)</w:t>
          </w:r>
          <w:r w:rsidR="00DB487D">
            <w:rPr>
              <w:rFonts w:ascii="Arial" w:eastAsia="Times New Roman" w:hAnsi="Arial" w:cs="Arial"/>
              <w:kern w:val="24"/>
            </w:rPr>
            <w:fldChar w:fldCharType="end"/>
          </w:r>
        </w:sdtContent>
      </w:sdt>
      <w:r w:rsidR="00DB487D">
        <w:rPr>
          <w:rFonts w:ascii="Arial" w:eastAsia="Times New Roman" w:hAnsi="Arial" w:cs="Arial"/>
          <w:kern w:val="24"/>
        </w:rPr>
        <w:t xml:space="preserve">. </w:t>
      </w:r>
    </w:p>
    <w:p w14:paraId="620458DD" w14:textId="247A466C" w:rsidR="00306E18" w:rsidRPr="00306E18" w:rsidRDefault="00306E18" w:rsidP="00306E18">
      <w:pPr>
        <w:spacing w:after="150"/>
        <w:jc w:val="both"/>
        <w:rPr>
          <w:rFonts w:ascii="Arial" w:eastAsia="Times New Roman" w:hAnsi="Arial" w:cs="Arial"/>
          <w:kern w:val="24"/>
        </w:rPr>
      </w:pPr>
      <w:r w:rsidRPr="00306E18">
        <w:rPr>
          <w:rFonts w:ascii="Arial" w:eastAsia="Times New Roman" w:hAnsi="Arial" w:cs="Arial"/>
          <w:kern w:val="24"/>
        </w:rPr>
        <w:t xml:space="preserve">The first step for the </w:t>
      </w:r>
      <w:r w:rsidR="00C33B27">
        <w:rPr>
          <w:rFonts w:ascii="Arial" w:eastAsia="Times New Roman" w:hAnsi="Arial" w:cs="Arial"/>
          <w:kern w:val="24"/>
        </w:rPr>
        <w:t>Castell Howell Foods</w:t>
      </w:r>
      <w:r w:rsidRPr="00306E18">
        <w:rPr>
          <w:rFonts w:ascii="Arial" w:eastAsia="Times New Roman" w:hAnsi="Arial" w:cs="Arial"/>
          <w:kern w:val="24"/>
        </w:rPr>
        <w:t xml:space="preserve"> will be to review the various process steps within its business, which are already mapped out in a flowchart for food safety management. This flowchart outlines all processes associated with the company, from the arrival of primary goods to their dispatch and delivery</w:t>
      </w:r>
      <w:r w:rsidR="00C33B27">
        <w:rPr>
          <w:rFonts w:ascii="Arial" w:eastAsia="Times New Roman" w:hAnsi="Arial" w:cs="Arial"/>
          <w:kern w:val="24"/>
        </w:rPr>
        <w:t xml:space="preserve"> </w:t>
      </w:r>
      <w:sdt>
        <w:sdtPr>
          <w:rPr>
            <w:rFonts w:ascii="Arial" w:eastAsia="Times New Roman" w:hAnsi="Arial" w:cs="Arial"/>
            <w:kern w:val="24"/>
          </w:rPr>
          <w:id w:val="614098064"/>
          <w:citation/>
        </w:sdtPr>
        <w:sdtContent>
          <w:r w:rsidR="00C33B27">
            <w:rPr>
              <w:rFonts w:ascii="Arial" w:eastAsia="Times New Roman" w:hAnsi="Arial" w:cs="Arial"/>
              <w:kern w:val="24"/>
            </w:rPr>
            <w:fldChar w:fldCharType="begin"/>
          </w:r>
          <w:r w:rsidR="00C33B27">
            <w:rPr>
              <w:rFonts w:ascii="Arial" w:eastAsia="Times New Roman" w:hAnsi="Arial" w:cs="Arial"/>
              <w:kern w:val="24"/>
              <w:lang w:val="en-US"/>
            </w:rPr>
            <w:instrText xml:space="preserve"> CITATION Gra16 \l 1033 </w:instrText>
          </w:r>
          <w:r w:rsidR="00C33B27">
            <w:rPr>
              <w:rFonts w:ascii="Arial" w:eastAsia="Times New Roman" w:hAnsi="Arial" w:cs="Arial"/>
              <w:kern w:val="24"/>
            </w:rPr>
            <w:fldChar w:fldCharType="separate"/>
          </w:r>
          <w:r w:rsidR="00C33B27" w:rsidRPr="00C33B27">
            <w:rPr>
              <w:rFonts w:ascii="Arial" w:eastAsia="Times New Roman" w:hAnsi="Arial" w:cs="Arial"/>
              <w:noProof/>
              <w:kern w:val="24"/>
              <w:lang w:val="en-US"/>
            </w:rPr>
            <w:t>(Gravells, 2016)</w:t>
          </w:r>
          <w:r w:rsidR="00C33B27">
            <w:rPr>
              <w:rFonts w:ascii="Arial" w:eastAsia="Times New Roman" w:hAnsi="Arial" w:cs="Arial"/>
              <w:kern w:val="24"/>
            </w:rPr>
            <w:fldChar w:fldCharType="end"/>
          </w:r>
        </w:sdtContent>
      </w:sdt>
      <w:r w:rsidR="00C33B27">
        <w:rPr>
          <w:rFonts w:ascii="Arial" w:eastAsia="Times New Roman" w:hAnsi="Arial" w:cs="Arial"/>
          <w:kern w:val="24"/>
        </w:rPr>
        <w:t xml:space="preserve">. </w:t>
      </w:r>
      <w:r w:rsidRPr="00306E18">
        <w:rPr>
          <w:rFonts w:ascii="Arial" w:eastAsia="Times New Roman" w:hAnsi="Arial" w:cs="Arial"/>
          <w:kern w:val="24"/>
        </w:rPr>
        <w:t>By examining these steps, the company can identify which processes have the most significant environmental impact. A close review of these steps will help pinpoint the areas that fall under Scopes 1, 2, and 3.</w:t>
      </w:r>
    </w:p>
    <w:p w14:paraId="5BD20B66" w14:textId="64DCB5F7" w:rsidR="00306E18" w:rsidRPr="00306E18" w:rsidRDefault="00306E18" w:rsidP="00306E18">
      <w:pPr>
        <w:spacing w:after="150"/>
        <w:jc w:val="both"/>
        <w:rPr>
          <w:rFonts w:ascii="Arial" w:eastAsia="Times New Roman" w:hAnsi="Arial" w:cs="Arial"/>
          <w:kern w:val="24"/>
        </w:rPr>
      </w:pPr>
      <w:r w:rsidRPr="00306E18">
        <w:rPr>
          <w:rFonts w:ascii="Arial" w:eastAsia="Times New Roman" w:hAnsi="Arial" w:cs="Arial"/>
          <w:kern w:val="24"/>
        </w:rPr>
        <w:t xml:space="preserve">Fortunately, much of the data needed is readily available, as the </w:t>
      </w:r>
      <w:r w:rsidR="001B4C0E">
        <w:rPr>
          <w:rFonts w:ascii="Arial" w:eastAsia="Times New Roman" w:hAnsi="Arial" w:cs="Arial"/>
          <w:kern w:val="24"/>
        </w:rPr>
        <w:t>organisation</w:t>
      </w:r>
      <w:r w:rsidRPr="00306E18">
        <w:rPr>
          <w:rFonts w:ascii="Arial" w:eastAsia="Times New Roman" w:hAnsi="Arial" w:cs="Arial"/>
          <w:kern w:val="24"/>
        </w:rPr>
        <w:t xml:space="preserve"> operates largely in a self-reliant manner. For example, it manages its own fleet of vehicles, and due to its production planning and forecasting, it has comprehensive data on the units manufactured. Additionally, the company works in compliance with various food safety accreditation standards, which provide detailed packaging specifications, enabling the identification of recyclable content</w:t>
      </w:r>
      <w:r w:rsidR="00BB0F59">
        <w:rPr>
          <w:rFonts w:ascii="Arial" w:eastAsia="Times New Roman" w:hAnsi="Arial" w:cs="Arial"/>
          <w:kern w:val="24"/>
        </w:rPr>
        <w:t xml:space="preserve"> </w:t>
      </w:r>
      <w:sdt>
        <w:sdtPr>
          <w:rPr>
            <w:rFonts w:ascii="Arial" w:eastAsia="Times New Roman" w:hAnsi="Arial" w:cs="Arial"/>
            <w:kern w:val="24"/>
          </w:rPr>
          <w:id w:val="-81537603"/>
          <w:citation/>
        </w:sdtPr>
        <w:sdtContent>
          <w:r w:rsidR="00BB0F59">
            <w:rPr>
              <w:rFonts w:ascii="Arial" w:eastAsia="Times New Roman" w:hAnsi="Arial" w:cs="Arial"/>
              <w:kern w:val="24"/>
            </w:rPr>
            <w:fldChar w:fldCharType="begin"/>
          </w:r>
          <w:r w:rsidR="00BB0F59">
            <w:rPr>
              <w:rFonts w:ascii="Arial" w:eastAsia="Times New Roman" w:hAnsi="Arial" w:cs="Arial"/>
              <w:kern w:val="24"/>
              <w:lang w:val="en-US"/>
            </w:rPr>
            <w:instrText xml:space="preserve"> CITATION Yia15 \l 1033 </w:instrText>
          </w:r>
          <w:r w:rsidR="00BB0F59">
            <w:rPr>
              <w:rFonts w:ascii="Arial" w:eastAsia="Times New Roman" w:hAnsi="Arial" w:cs="Arial"/>
              <w:kern w:val="24"/>
            </w:rPr>
            <w:fldChar w:fldCharType="separate"/>
          </w:r>
          <w:r w:rsidR="00BB0F59" w:rsidRPr="00BB0F59">
            <w:rPr>
              <w:rFonts w:ascii="Arial" w:eastAsia="Times New Roman" w:hAnsi="Arial" w:cs="Arial"/>
              <w:noProof/>
              <w:kern w:val="24"/>
              <w:lang w:val="en-US"/>
            </w:rPr>
            <w:t>(Yiannas, 2015)</w:t>
          </w:r>
          <w:r w:rsidR="00BB0F59">
            <w:rPr>
              <w:rFonts w:ascii="Arial" w:eastAsia="Times New Roman" w:hAnsi="Arial" w:cs="Arial"/>
              <w:kern w:val="24"/>
            </w:rPr>
            <w:fldChar w:fldCharType="end"/>
          </w:r>
        </w:sdtContent>
      </w:sdt>
      <w:r w:rsidR="00BB0F59">
        <w:rPr>
          <w:rFonts w:ascii="Arial" w:eastAsia="Times New Roman" w:hAnsi="Arial" w:cs="Arial"/>
          <w:kern w:val="24"/>
        </w:rPr>
        <w:t>.</w:t>
      </w:r>
    </w:p>
    <w:p w14:paraId="240C1E39" w14:textId="77777777" w:rsidR="00306E18" w:rsidRDefault="00306E18" w:rsidP="00306E18">
      <w:pPr>
        <w:spacing w:after="150"/>
        <w:jc w:val="both"/>
        <w:rPr>
          <w:rFonts w:ascii="Arial" w:eastAsia="Times New Roman" w:hAnsi="Arial" w:cs="Arial"/>
          <w:kern w:val="24"/>
        </w:rPr>
      </w:pPr>
      <w:r w:rsidRPr="00306E18">
        <w:rPr>
          <w:rFonts w:ascii="Arial" w:eastAsia="Times New Roman" w:hAnsi="Arial" w:cs="Arial"/>
          <w:kern w:val="24"/>
        </w:rPr>
        <w:t>The next step will involve conducting a full audit of the emissions captured within the three scopes, while exploring areas for further reductions. The company will also keep a close eye on technological advancements, particularly in electric vehicle technology, as logistics and transport are critical to the business. As soon as the technology allows, the company plans to adopt electric vehicles. Furthermore, it will continue to raise awareness of sustainability among its workforce and support its team in adjusting their working methods and behaviours to achieve the company’s common sustainability goals.</w:t>
      </w:r>
    </w:p>
    <w:p w14:paraId="2636FC2F" w14:textId="77777777" w:rsidR="00DB487D" w:rsidRDefault="00DB487D" w:rsidP="00306E18">
      <w:pPr>
        <w:spacing w:after="150"/>
        <w:jc w:val="both"/>
        <w:rPr>
          <w:rFonts w:ascii="Arial" w:eastAsia="Times New Roman" w:hAnsi="Arial" w:cs="Arial"/>
          <w:kern w:val="24"/>
        </w:rPr>
      </w:pPr>
    </w:p>
    <w:p w14:paraId="7F65F61D" w14:textId="42160A98" w:rsidR="00DB487D" w:rsidRPr="007B71B8" w:rsidRDefault="00DB487D" w:rsidP="00306E18">
      <w:pPr>
        <w:spacing w:after="150"/>
        <w:jc w:val="both"/>
        <w:rPr>
          <w:rFonts w:ascii="Arial" w:eastAsia="Times New Roman" w:hAnsi="Arial" w:cs="Arial"/>
          <w:b/>
          <w:bCs/>
          <w:color w:val="000000" w:themeColor="text1"/>
          <w:kern w:val="24"/>
        </w:rPr>
      </w:pPr>
      <w:r w:rsidRPr="007B71B8">
        <w:rPr>
          <w:rFonts w:ascii="Arial" w:eastAsia="Times New Roman" w:hAnsi="Arial" w:cs="Arial"/>
          <w:b/>
          <w:bCs/>
          <w:color w:val="000000" w:themeColor="text1"/>
          <w:kern w:val="24"/>
        </w:rPr>
        <w:t xml:space="preserve">Political Factors </w:t>
      </w:r>
    </w:p>
    <w:p w14:paraId="71B77ECE" w14:textId="77777777" w:rsidR="001012B7" w:rsidRPr="007B71B8" w:rsidRDefault="001012B7" w:rsidP="001012B7">
      <w:pPr>
        <w:spacing w:after="150"/>
        <w:jc w:val="both"/>
        <w:rPr>
          <w:rFonts w:ascii="Arial" w:eastAsia="Times New Roman" w:hAnsi="Arial" w:cs="Arial"/>
          <w:color w:val="000000" w:themeColor="text1"/>
          <w:kern w:val="24"/>
        </w:rPr>
      </w:pPr>
      <w:r w:rsidRPr="007B71B8">
        <w:rPr>
          <w:rFonts w:ascii="Arial" w:eastAsia="Times New Roman" w:hAnsi="Arial" w:cs="Arial"/>
          <w:color w:val="000000" w:themeColor="text1"/>
          <w:kern w:val="24"/>
        </w:rPr>
        <w:t xml:space="preserve">The political environment plays a crucial role in shaping the operational landscape for Castell Howell, and it is essential for the management team to recognise that political dynamics can shift rapidly, particularly following elections or changes in government. As McKinsey (2010) highlights, political transitions can introduce significant challenges and opportunities for businesses. When a new government assumes </w:t>
      </w:r>
      <w:r w:rsidRPr="007B71B8">
        <w:rPr>
          <w:rFonts w:ascii="Arial" w:eastAsia="Times New Roman" w:hAnsi="Arial" w:cs="Arial"/>
          <w:color w:val="000000" w:themeColor="text1"/>
          <w:kern w:val="24"/>
        </w:rPr>
        <w:lastRenderedPageBreak/>
        <w:t>office, its policies and agenda can either facilitate or complicate business operations, depending on the direction it decides to take.</w:t>
      </w:r>
    </w:p>
    <w:p w14:paraId="27889215" w14:textId="36861189" w:rsidR="001012B7" w:rsidRPr="007B71B8" w:rsidRDefault="001012B7" w:rsidP="001012B7">
      <w:pPr>
        <w:spacing w:after="150"/>
        <w:jc w:val="both"/>
        <w:rPr>
          <w:rFonts w:ascii="Arial" w:eastAsia="Times New Roman" w:hAnsi="Arial" w:cs="Arial"/>
          <w:color w:val="000000" w:themeColor="text1"/>
          <w:kern w:val="24"/>
        </w:rPr>
      </w:pPr>
      <w:r w:rsidRPr="007B71B8">
        <w:rPr>
          <w:rFonts w:ascii="Arial" w:eastAsia="Times New Roman" w:hAnsi="Arial" w:cs="Arial"/>
          <w:color w:val="000000" w:themeColor="text1"/>
          <w:kern w:val="24"/>
        </w:rPr>
        <w:t>For Castell Howell, the management team must acknowledge that shifts in political policies</w:t>
      </w:r>
      <w:r w:rsidR="00040648" w:rsidRPr="007B71B8">
        <w:rPr>
          <w:rFonts w:ascii="Arial" w:eastAsia="Times New Roman" w:hAnsi="Arial" w:cs="Arial"/>
          <w:color w:val="000000" w:themeColor="text1"/>
          <w:kern w:val="24"/>
        </w:rPr>
        <w:t xml:space="preserve">, </w:t>
      </w:r>
      <w:r w:rsidRPr="007B71B8">
        <w:rPr>
          <w:rFonts w:ascii="Arial" w:eastAsia="Times New Roman" w:hAnsi="Arial" w:cs="Arial"/>
          <w:color w:val="000000" w:themeColor="text1"/>
          <w:kern w:val="24"/>
        </w:rPr>
        <w:t>whether related to taxation, employment law, or trade regulations</w:t>
      </w:r>
      <w:r w:rsidR="00040648" w:rsidRPr="007B71B8">
        <w:rPr>
          <w:rFonts w:ascii="Arial" w:eastAsia="Times New Roman" w:hAnsi="Arial" w:cs="Arial"/>
          <w:color w:val="000000" w:themeColor="text1"/>
          <w:kern w:val="24"/>
        </w:rPr>
        <w:t xml:space="preserve"> this </w:t>
      </w:r>
      <w:r w:rsidRPr="007B71B8">
        <w:rPr>
          <w:rFonts w:ascii="Arial" w:eastAsia="Times New Roman" w:hAnsi="Arial" w:cs="Arial"/>
          <w:color w:val="000000" w:themeColor="text1"/>
          <w:kern w:val="24"/>
        </w:rPr>
        <w:t>can directly impact operational costs and strategic decisions. For example, changes to tax rates or new regulations concerning the environment could increase operational costs, particularly in areas such as waste management or sourcing practices. On the other hand, a government that focuses on deregulation may reduce compliance costs, offering Castell Howell an opportunity to streamline operations and improve efficiencies.</w:t>
      </w:r>
    </w:p>
    <w:p w14:paraId="3D59032D" w14:textId="77777777" w:rsidR="001012B7" w:rsidRPr="007B71B8" w:rsidRDefault="001012B7" w:rsidP="001012B7">
      <w:pPr>
        <w:spacing w:after="150"/>
        <w:jc w:val="both"/>
        <w:rPr>
          <w:rFonts w:ascii="Arial" w:eastAsia="Times New Roman" w:hAnsi="Arial" w:cs="Arial"/>
          <w:color w:val="000000" w:themeColor="text1"/>
          <w:kern w:val="24"/>
        </w:rPr>
      </w:pPr>
      <w:r w:rsidRPr="007B71B8">
        <w:rPr>
          <w:rFonts w:ascii="Arial" w:eastAsia="Times New Roman" w:hAnsi="Arial" w:cs="Arial"/>
          <w:color w:val="000000" w:themeColor="text1"/>
          <w:kern w:val="24"/>
        </w:rPr>
        <w:t>Moreover, political stability or instability can have a profound effect on investor confidence and consumer spending patterns. A sudden shift in political stability, such as an unexpected election outcome or government uncertainty, can disrupt the market, leading to delays in investment or supply chain disturbances. Conversely, a stable political environment encourages growth, fosters investor confidence, and may offer Castell Howell the opportunity to expand its operations and strengthen its market position.</w:t>
      </w:r>
    </w:p>
    <w:p w14:paraId="24484550" w14:textId="299F5B6E" w:rsidR="001012B7" w:rsidRPr="007B71B8" w:rsidRDefault="001012B7" w:rsidP="00306E18">
      <w:pPr>
        <w:spacing w:after="150"/>
        <w:jc w:val="both"/>
        <w:rPr>
          <w:rFonts w:ascii="Arial" w:eastAsia="Times New Roman" w:hAnsi="Arial" w:cs="Arial"/>
          <w:color w:val="000000" w:themeColor="text1"/>
          <w:kern w:val="24"/>
        </w:rPr>
      </w:pPr>
      <w:r w:rsidRPr="007B71B8">
        <w:rPr>
          <w:rFonts w:ascii="Arial" w:eastAsia="Times New Roman" w:hAnsi="Arial" w:cs="Arial"/>
          <w:color w:val="000000" w:themeColor="text1"/>
          <w:kern w:val="24"/>
        </w:rPr>
        <w:t>Therefore, it is imperative that the management team at Castell Howell remains proactive in monitoring political changes and assesses their potential impact on the organisation. Understanding and anticipating political shifts will ensure the business can swiftly adapt to external factors and maintain its competitive advantage in an ever-changing environment (CIPD, 2020).</w:t>
      </w:r>
    </w:p>
    <w:p w14:paraId="52274197" w14:textId="4C64DF7A" w:rsidR="00DB487D" w:rsidRPr="00DB487D" w:rsidRDefault="00DB487D" w:rsidP="00DB487D">
      <w:pPr>
        <w:spacing w:after="150"/>
        <w:jc w:val="both"/>
        <w:rPr>
          <w:rFonts w:ascii="Arial" w:eastAsia="Times New Roman" w:hAnsi="Arial" w:cs="Arial"/>
          <w:kern w:val="24"/>
        </w:rPr>
      </w:pPr>
      <w:r w:rsidRPr="00DB487D">
        <w:rPr>
          <w:rFonts w:ascii="Arial" w:eastAsia="Times New Roman" w:hAnsi="Arial" w:cs="Arial"/>
          <w:kern w:val="24"/>
        </w:rPr>
        <w:t xml:space="preserve">It is essential to analyse how political factors could impact an organisation, both positively and negatively. For example, political instability can lead to unrest, while </w:t>
      </w:r>
      <w:r w:rsidRPr="007B71B8">
        <w:rPr>
          <w:rFonts w:ascii="Arial" w:eastAsia="Times New Roman" w:hAnsi="Arial" w:cs="Arial"/>
          <w:color w:val="000000" w:themeColor="text1"/>
          <w:kern w:val="24"/>
        </w:rPr>
        <w:t xml:space="preserve">government decisions may either create opportunities or present obstacles for businesses. Factors such as trade union agreements, war, and unforeseen political changes can all bring unexpected disruptions. </w:t>
      </w:r>
      <w:r w:rsidR="005924ED" w:rsidRPr="007B71B8">
        <w:rPr>
          <w:rFonts w:ascii="Arial" w:eastAsia="Times New Roman" w:hAnsi="Arial" w:cs="Arial"/>
          <w:color w:val="000000" w:themeColor="text1"/>
          <w:kern w:val="24"/>
        </w:rPr>
        <w:t xml:space="preserve"> An example of how unforeseen political changes can disrupt a business can be seen in the impact of Brexit on UK-based companies. As the UK voted to leave the European Union, many businesses, particularly those in the manufacturing and food industries, faced unexpected disruptions. Trade agreements were renegotiated, leading to changes in tariffs, customs procedures, and supply chain delays. Castell Howell, as a food wholesaler, may have experienced difficulties in sourcing products from EU countries, leading to increased costs and potential stock shortages. The uncertainty surrounding the final outcome of Brexit negotiations also caused a decline in consumer confidence and purchasing behaviour, which affected sales and profitability</w:t>
      </w:r>
      <w:r w:rsidR="001012B7" w:rsidRPr="007B71B8">
        <w:rPr>
          <w:rFonts w:ascii="Arial" w:eastAsia="Times New Roman" w:hAnsi="Arial" w:cs="Arial"/>
          <w:color w:val="000000" w:themeColor="text1"/>
          <w:kern w:val="24"/>
        </w:rPr>
        <w:t xml:space="preserve">. </w:t>
      </w:r>
      <w:r w:rsidR="005924ED" w:rsidRPr="007B71B8">
        <w:rPr>
          <w:rFonts w:ascii="Arial" w:eastAsia="Times New Roman" w:hAnsi="Arial" w:cs="Arial"/>
          <w:color w:val="000000" w:themeColor="text1"/>
          <w:kern w:val="24"/>
        </w:rPr>
        <w:t>(Barker, 2019; Green, 2021).</w:t>
      </w:r>
      <w:r w:rsidRPr="007B71B8">
        <w:rPr>
          <w:rFonts w:ascii="Arial" w:eastAsia="Times New Roman" w:hAnsi="Arial" w:cs="Arial"/>
          <w:color w:val="000000" w:themeColor="text1"/>
          <w:kern w:val="24"/>
        </w:rPr>
        <w:t>Government regulations, for instance, can significantly affect businesses, as non-compliance with these regulations may result in fines, penalties, notices, or even the closure of the business (HSE, 2024). Furthermore, businesses must adhere to political policies that govern various aspects of operations, including health, labour, discrimination, safety, the environment, data protection, working conditions, and employee compensation (CIPD, 2020).</w:t>
      </w:r>
    </w:p>
    <w:p w14:paraId="76A86823" w14:textId="54DE1EF0" w:rsidR="00F3215F" w:rsidRDefault="00DB487D" w:rsidP="00DB487D">
      <w:pPr>
        <w:spacing w:after="150"/>
        <w:jc w:val="both"/>
        <w:rPr>
          <w:rFonts w:ascii="Arial" w:eastAsia="Times New Roman" w:hAnsi="Arial" w:cs="Arial"/>
          <w:kern w:val="24"/>
        </w:rPr>
      </w:pPr>
      <w:r w:rsidRPr="00DB487D">
        <w:rPr>
          <w:rFonts w:ascii="Arial" w:eastAsia="Times New Roman" w:hAnsi="Arial" w:cs="Arial"/>
          <w:kern w:val="24"/>
        </w:rPr>
        <w:t>Understanding these political factors and their potential impacts is critical for businesses in navigating the complexities of an ever-changing political environment.</w:t>
      </w:r>
    </w:p>
    <w:p w14:paraId="62914A77" w14:textId="77777777" w:rsidR="00145492" w:rsidRDefault="00145492" w:rsidP="00DB487D">
      <w:pPr>
        <w:spacing w:after="150"/>
        <w:jc w:val="both"/>
        <w:rPr>
          <w:rFonts w:ascii="Arial" w:eastAsia="Times New Roman" w:hAnsi="Arial" w:cs="Arial"/>
          <w:kern w:val="24"/>
        </w:rPr>
      </w:pPr>
    </w:p>
    <w:p w14:paraId="73F329DC" w14:textId="77777777" w:rsidR="00145492" w:rsidRDefault="00145492" w:rsidP="00DB487D">
      <w:pPr>
        <w:spacing w:after="150"/>
        <w:jc w:val="both"/>
        <w:rPr>
          <w:rFonts w:ascii="Arial" w:eastAsia="Times New Roman" w:hAnsi="Arial" w:cs="Arial"/>
          <w:kern w:val="24"/>
        </w:rPr>
      </w:pPr>
    </w:p>
    <w:p w14:paraId="707D8C22" w14:textId="77777777" w:rsidR="00145492" w:rsidRDefault="00145492" w:rsidP="00DB487D">
      <w:pPr>
        <w:spacing w:after="150"/>
        <w:jc w:val="both"/>
        <w:rPr>
          <w:rFonts w:ascii="Arial" w:eastAsia="Times New Roman" w:hAnsi="Arial" w:cs="Arial"/>
          <w:kern w:val="24"/>
        </w:rPr>
      </w:pPr>
    </w:p>
    <w:p w14:paraId="3222D8E0" w14:textId="78C3DE5E" w:rsidR="00F3215F" w:rsidRPr="00920F3A" w:rsidRDefault="00F3215F" w:rsidP="00DB487D">
      <w:pPr>
        <w:spacing w:after="150"/>
        <w:jc w:val="both"/>
        <w:rPr>
          <w:rFonts w:ascii="Arial" w:eastAsia="Times New Roman" w:hAnsi="Arial" w:cs="Arial"/>
          <w:b/>
          <w:bCs/>
          <w:kern w:val="24"/>
        </w:rPr>
      </w:pPr>
      <w:r w:rsidRPr="00920F3A">
        <w:rPr>
          <w:rFonts w:ascii="Arial" w:eastAsia="Times New Roman" w:hAnsi="Arial" w:cs="Arial"/>
          <w:b/>
          <w:bCs/>
          <w:kern w:val="24"/>
        </w:rPr>
        <w:t>Reference list</w:t>
      </w:r>
    </w:p>
    <w:sdt>
      <w:sdtPr>
        <w:rPr>
          <w:rFonts w:asciiTheme="minorHAnsi" w:eastAsiaTheme="minorHAnsi" w:hAnsiTheme="minorHAnsi" w:cstheme="minorBidi"/>
          <w:color w:val="auto"/>
          <w:sz w:val="24"/>
          <w:szCs w:val="24"/>
        </w:rPr>
        <w:id w:val="1794718835"/>
        <w:docPartObj>
          <w:docPartGallery w:val="Bibliographies"/>
          <w:docPartUnique/>
        </w:docPartObj>
      </w:sdtPr>
      <w:sdtContent>
        <w:p w14:paraId="10B2398F" w14:textId="5565F3C8" w:rsidR="00F3215F" w:rsidRDefault="00F3215F">
          <w:pPr>
            <w:pStyle w:val="Heading1"/>
          </w:pPr>
        </w:p>
        <w:sdt>
          <w:sdtPr>
            <w:id w:val="-573587230"/>
            <w:bibliography/>
          </w:sdtPr>
          <w:sdtContent>
            <w:p w14:paraId="379755FF" w14:textId="72F5DC55" w:rsidR="005638B1" w:rsidRPr="00703C52" w:rsidRDefault="005638B1" w:rsidP="005638B1">
              <w:r w:rsidRPr="00703C52">
                <w:t xml:space="preserve">Barker, J. (2019) </w:t>
              </w:r>
              <w:r w:rsidRPr="00703C52">
                <w:rPr>
                  <w:i/>
                  <w:iCs/>
                </w:rPr>
                <w:t>Brexit and the Food Supply Chain: An Uncertain Future</w:t>
              </w:r>
              <w:r w:rsidRPr="00703C52">
                <w:t>. London: Routledge.</w:t>
              </w:r>
            </w:p>
            <w:p w14:paraId="52E716EF" w14:textId="2BD57933" w:rsidR="00F3215F" w:rsidRPr="00703C52" w:rsidRDefault="00F3215F" w:rsidP="00F3215F">
              <w:pPr>
                <w:pStyle w:val="Bibliography"/>
                <w:ind w:left="720" w:hanging="720"/>
                <w:rPr>
                  <w:noProof/>
                  <w:kern w:val="0"/>
                  <w14:ligatures w14:val="none"/>
                </w:rPr>
              </w:pPr>
              <w:r w:rsidRPr="00703C52">
                <w:fldChar w:fldCharType="begin"/>
              </w:r>
              <w:r w:rsidRPr="00703C52">
                <w:instrText xml:space="preserve"> BIBLIOGRAPHY </w:instrText>
              </w:r>
              <w:r w:rsidRPr="00703C52">
                <w:fldChar w:fldCharType="separate"/>
              </w:r>
              <w:r w:rsidRPr="00703C52">
                <w:rPr>
                  <w:noProof/>
                </w:rPr>
                <w:t>Battista, M. (2022) Pestle Ana</w:t>
              </w:r>
              <w:r w:rsidR="00B57EA8" w:rsidRPr="00703C52">
                <w:rPr>
                  <w:noProof/>
                </w:rPr>
                <w:t xml:space="preserve">lysis. Available at: </w:t>
              </w:r>
              <w:r w:rsidRPr="00703C52">
                <w:rPr>
                  <w:noProof/>
                </w:rPr>
                <w:t>https://www.cipd.co.uk/knowledge/strategy/organisational-development/pestle-analysis-factsheet</w:t>
              </w:r>
            </w:p>
            <w:p w14:paraId="0667C24B" w14:textId="7A86C81F" w:rsidR="00F3215F" w:rsidRPr="00703C52" w:rsidRDefault="00F3215F" w:rsidP="00F3215F">
              <w:pPr>
                <w:pStyle w:val="Bibliography"/>
                <w:ind w:left="720" w:hanging="720"/>
                <w:rPr>
                  <w:noProof/>
                </w:rPr>
              </w:pPr>
              <w:r w:rsidRPr="00703C52">
                <w:rPr>
                  <w:noProof/>
                </w:rPr>
                <w:t>Blowfield, M. (2013)</w:t>
              </w:r>
              <w:r w:rsidR="005924ED" w:rsidRPr="00703C52">
                <w:rPr>
                  <w:noProof/>
                </w:rPr>
                <w:t xml:space="preserve"> </w:t>
              </w:r>
              <w:r w:rsidRPr="00703C52">
                <w:rPr>
                  <w:i/>
                  <w:iCs/>
                  <w:noProof/>
                </w:rPr>
                <w:t>Business and Sustainability.</w:t>
              </w:r>
              <w:r w:rsidRPr="00703C52">
                <w:rPr>
                  <w:noProof/>
                </w:rPr>
                <w:t xml:space="preserve"> London: Oxford University Press.</w:t>
              </w:r>
            </w:p>
            <w:p w14:paraId="55956733" w14:textId="1FB8387D" w:rsidR="00F3215F" w:rsidRPr="00703C52" w:rsidRDefault="00F3215F" w:rsidP="00F3215F">
              <w:pPr>
                <w:pStyle w:val="Bibliography"/>
                <w:ind w:left="720" w:hanging="720"/>
                <w:rPr>
                  <w:noProof/>
                </w:rPr>
              </w:pPr>
              <w:r w:rsidRPr="00703C52">
                <w:rPr>
                  <w:noProof/>
                </w:rPr>
                <w:t xml:space="preserve">Bouzid, A. (2020) </w:t>
              </w:r>
              <w:r w:rsidRPr="00703C52">
                <w:rPr>
                  <w:i/>
                  <w:iCs/>
                  <w:noProof/>
                </w:rPr>
                <w:t>The PESTLE Business Analysis Tool: To Learn &amp; Apply to Your Business: In aid of your Problem Solving and Decision Making.</w:t>
              </w:r>
              <w:r w:rsidRPr="00703C52">
                <w:rPr>
                  <w:noProof/>
                </w:rPr>
                <w:t xml:space="preserve"> Amazon.</w:t>
              </w:r>
            </w:p>
            <w:p w14:paraId="5FA4F2F5" w14:textId="312F6831" w:rsidR="00F3215F" w:rsidRPr="00703C52" w:rsidRDefault="00F3215F" w:rsidP="00F3215F">
              <w:pPr>
                <w:pStyle w:val="Bibliography"/>
                <w:ind w:left="720" w:hanging="720"/>
                <w:rPr>
                  <w:noProof/>
                </w:rPr>
              </w:pPr>
              <w:r w:rsidRPr="00703C52">
                <w:rPr>
                  <w:noProof/>
                </w:rPr>
                <w:t xml:space="preserve">CIPD. (2020) PESTLE analysis. </w:t>
              </w:r>
              <w:r w:rsidRPr="00703C52">
                <w:rPr>
                  <w:i/>
                  <w:iCs/>
                  <w:noProof/>
                </w:rPr>
                <w:t>CIPD Factsheet</w:t>
              </w:r>
              <w:r w:rsidR="005924ED" w:rsidRPr="00703C52">
                <w:rPr>
                  <w:noProof/>
                </w:rPr>
                <w:t xml:space="preserve"> </w:t>
              </w:r>
            </w:p>
            <w:p w14:paraId="0839DE12" w14:textId="4E996008" w:rsidR="001012B7" w:rsidRPr="00703C52" w:rsidRDefault="001012B7" w:rsidP="001012B7">
              <w:r w:rsidRPr="00703C52">
                <w:t xml:space="preserve">CIPD (2020) </w:t>
              </w:r>
              <w:r w:rsidRPr="00703C52">
                <w:rPr>
                  <w:i/>
                  <w:iCs/>
                </w:rPr>
                <w:t>The influence of political factors on business operations</w:t>
              </w:r>
              <w:r w:rsidRPr="00703C52">
                <w:t xml:space="preserve">. Available at: </w:t>
              </w:r>
              <w:hyperlink r:id="rId5" w:tgtFrame="_new" w:history="1">
                <w:r w:rsidRPr="00703C52">
                  <w:rPr>
                    <w:rStyle w:val="Hyperlink"/>
                    <w:color w:val="auto"/>
                  </w:rPr>
                  <w:t>https://www.cipd.co.uk</w:t>
                </w:r>
              </w:hyperlink>
              <w:r w:rsidRPr="00703C52">
                <w:t xml:space="preserve"> . Accessed March 2025.</w:t>
              </w:r>
            </w:p>
            <w:p w14:paraId="1ABFDC30" w14:textId="1CD6B464" w:rsidR="005638B1" w:rsidRPr="00703C52" w:rsidRDefault="00F3215F" w:rsidP="005638B1">
              <w:pPr>
                <w:pStyle w:val="Bibliography"/>
                <w:ind w:left="720" w:hanging="720"/>
                <w:rPr>
                  <w:noProof/>
                </w:rPr>
              </w:pPr>
              <w:r w:rsidRPr="00703C52">
                <w:rPr>
                  <w:noProof/>
                </w:rPr>
                <w:t xml:space="preserve">Clarke, T. (2023) </w:t>
              </w:r>
              <w:r w:rsidRPr="00703C52">
                <w:rPr>
                  <w:i/>
                  <w:iCs/>
                  <w:noProof/>
                </w:rPr>
                <w:t>Risk management with TARA and External analysis with PESTLE: Workbook (Accountancy Revision Workbooks) .</w:t>
              </w:r>
              <w:r w:rsidRPr="00703C52">
                <w:rPr>
                  <w:noProof/>
                </w:rPr>
                <w:t xml:space="preserve"> London.</w:t>
              </w:r>
            </w:p>
            <w:p w14:paraId="44F11FAF" w14:textId="0DA7A499" w:rsidR="00F3215F" w:rsidRPr="00703C52" w:rsidRDefault="00F3215F" w:rsidP="00F3215F">
              <w:pPr>
                <w:pStyle w:val="Bibliography"/>
                <w:ind w:left="720" w:hanging="720"/>
                <w:rPr>
                  <w:noProof/>
                </w:rPr>
              </w:pPr>
              <w:r w:rsidRPr="00703C52">
                <w:rPr>
                  <w:noProof/>
                </w:rPr>
                <w:t>Gravells, A. (2016)</w:t>
              </w:r>
              <w:r w:rsidR="005924ED" w:rsidRPr="00703C52">
                <w:rPr>
                  <w:noProof/>
                </w:rPr>
                <w:t xml:space="preserve"> </w:t>
              </w:r>
              <w:r w:rsidRPr="00703C52">
                <w:rPr>
                  <w:i/>
                  <w:iCs/>
                  <w:noProof/>
                </w:rPr>
                <w:t>Principles and Practices of Quality Assurance: A guide for internal and external quality assurers in the FE and Skills Sector .</w:t>
              </w:r>
              <w:r w:rsidRPr="00703C52">
                <w:rPr>
                  <w:noProof/>
                </w:rPr>
                <w:t xml:space="preserve"> London: Learning Matters.</w:t>
              </w:r>
            </w:p>
            <w:p w14:paraId="04FEC840" w14:textId="00BC868E" w:rsidR="005638B1" w:rsidRPr="00703C52" w:rsidRDefault="005638B1" w:rsidP="005638B1">
              <w:r w:rsidRPr="00703C52">
                <w:t xml:space="preserve">Green, P. (2021) </w:t>
              </w:r>
              <w:r w:rsidRPr="00703C52">
                <w:rPr>
                  <w:i/>
                  <w:iCs/>
                </w:rPr>
                <w:t>The Impact of Brexit on UK Business Operations</w:t>
              </w:r>
              <w:r w:rsidRPr="00703C52">
                <w:t>. Oxford University Press.</w:t>
              </w:r>
            </w:p>
            <w:p w14:paraId="71595463" w14:textId="736237E7" w:rsidR="00F3215F" w:rsidRPr="00703C52" w:rsidRDefault="00F3215F" w:rsidP="00F3215F">
              <w:pPr>
                <w:pStyle w:val="Bibliography"/>
                <w:ind w:left="720" w:hanging="720"/>
                <w:rPr>
                  <w:noProof/>
                </w:rPr>
              </w:pPr>
              <w:r w:rsidRPr="00703C52">
                <w:rPr>
                  <w:noProof/>
                </w:rPr>
                <w:t xml:space="preserve">Indeed. (2022, July) </w:t>
              </w:r>
              <w:r w:rsidRPr="00703C52">
                <w:rPr>
                  <w:i/>
                  <w:iCs/>
                  <w:noProof/>
                </w:rPr>
                <w:t>10 Types of influential power in workplace leadership.</w:t>
              </w:r>
              <w:r w:rsidRPr="00703C52">
                <w:rPr>
                  <w:noProof/>
                </w:rPr>
                <w:t xml:space="preserve"> Retrieved July 2022, from https://www.indeed.com/career-advice/career-development/types-of-power-in-leadership</w:t>
              </w:r>
            </w:p>
            <w:p w14:paraId="0DAA5D0B" w14:textId="4C20E230" w:rsidR="001D2CFB" w:rsidRPr="00703C52" w:rsidRDefault="001D2CFB" w:rsidP="001D2CFB">
              <w:r w:rsidRPr="00703C52">
                <w:rPr>
                  <w:lang w:val="de-DE"/>
                </w:rPr>
                <w:t xml:space="preserve">Kotler, P., &amp; Keller, K. L. (2016). </w:t>
              </w:r>
              <w:r w:rsidRPr="00703C52">
                <w:rPr>
                  <w:i/>
                  <w:iCs/>
                </w:rPr>
                <w:t>Marketing Management</w:t>
              </w:r>
              <w:r w:rsidRPr="00703C52">
                <w:t xml:space="preserve"> (15th ed.). Pearson Education.</w:t>
              </w:r>
            </w:p>
            <w:p w14:paraId="1732CEBE" w14:textId="6655D9BB" w:rsidR="001012B7" w:rsidRPr="00703C52" w:rsidRDefault="001012B7" w:rsidP="001012B7">
              <w:r w:rsidRPr="00703C52">
                <w:t xml:space="preserve">McKinsey &amp; Company (2010) </w:t>
              </w:r>
              <w:r w:rsidRPr="00703C52">
                <w:rPr>
                  <w:i/>
                  <w:iCs/>
                </w:rPr>
                <w:t>The impact of political change on businesses</w:t>
              </w:r>
              <w:r w:rsidRPr="00703C52">
                <w:t xml:space="preserve">. Available at: </w:t>
              </w:r>
              <w:hyperlink r:id="rId6" w:tgtFrame="_new" w:history="1">
                <w:r w:rsidRPr="00703C52">
                  <w:rPr>
                    <w:rStyle w:val="Hyperlink"/>
                    <w:color w:val="auto"/>
                  </w:rPr>
                  <w:t>https://www.mckinsey.com</w:t>
                </w:r>
              </w:hyperlink>
              <w:r w:rsidRPr="00703C52">
                <w:t xml:space="preserve"> . Accessed March 2025.</w:t>
              </w:r>
            </w:p>
            <w:p w14:paraId="0B0755AD" w14:textId="3D3CE499" w:rsidR="00F3215F" w:rsidRPr="00703C52" w:rsidRDefault="00F3215F" w:rsidP="00F3215F">
              <w:pPr>
                <w:pStyle w:val="Bibliography"/>
                <w:ind w:left="720" w:hanging="720"/>
                <w:rPr>
                  <w:noProof/>
                </w:rPr>
              </w:pPr>
              <w:r w:rsidRPr="00703C52">
                <w:rPr>
                  <w:noProof/>
                </w:rPr>
                <w:t>McManners, P. (2023)</w:t>
              </w:r>
              <w:r w:rsidR="005924ED" w:rsidRPr="00703C52">
                <w:rPr>
                  <w:noProof/>
                </w:rPr>
                <w:t xml:space="preserve"> </w:t>
              </w:r>
              <w:r w:rsidRPr="00703C52">
                <w:rPr>
                  <w:i/>
                  <w:iCs/>
                  <w:noProof/>
                </w:rPr>
                <w:t>Essentials of Sustainability for Business.</w:t>
              </w:r>
              <w:r w:rsidRPr="00703C52">
                <w:rPr>
                  <w:noProof/>
                </w:rPr>
                <w:t xml:space="preserve"> London: Routledge.</w:t>
              </w:r>
            </w:p>
            <w:p w14:paraId="336E7D21" w14:textId="77777777" w:rsidR="00F3215F" w:rsidRPr="00703C52" w:rsidRDefault="00F3215F" w:rsidP="00F3215F">
              <w:pPr>
                <w:pStyle w:val="Bibliography"/>
                <w:ind w:left="720" w:hanging="720"/>
                <w:rPr>
                  <w:noProof/>
                </w:rPr>
              </w:pPr>
              <w:r w:rsidRPr="00703C52">
                <w:rPr>
                  <w:noProof/>
                </w:rPr>
                <w:t xml:space="preserve">Molthan-Hill, P., Winfield, F., Howarth, R., &amp; Mazhar, M. (2023). </w:t>
              </w:r>
              <w:r w:rsidRPr="00703C52">
                <w:rPr>
                  <w:i/>
                  <w:iCs/>
                  <w:noProof/>
                </w:rPr>
                <w:t>The Handbook of Carbon Management.</w:t>
              </w:r>
              <w:r w:rsidRPr="00703C52">
                <w:rPr>
                  <w:noProof/>
                </w:rPr>
                <w:t xml:space="preserve"> London: Routledge.</w:t>
              </w:r>
            </w:p>
            <w:p w14:paraId="30C32611" w14:textId="641AA0F7" w:rsidR="00F3215F" w:rsidRPr="00703C52" w:rsidRDefault="00F3215F" w:rsidP="00F3215F">
              <w:pPr>
                <w:pStyle w:val="Bibliography"/>
                <w:ind w:left="720" w:hanging="720"/>
                <w:rPr>
                  <w:noProof/>
                </w:rPr>
              </w:pPr>
              <w:r w:rsidRPr="00703C52">
                <w:rPr>
                  <w:noProof/>
                </w:rPr>
                <w:t xml:space="preserve">Paul, D. (2020) </w:t>
              </w:r>
              <w:r w:rsidRPr="00703C52">
                <w:rPr>
                  <w:i/>
                  <w:iCs/>
                  <w:noProof/>
                </w:rPr>
                <w:t>Business Analysis.</w:t>
              </w:r>
              <w:r w:rsidRPr="00703C52">
                <w:rPr>
                  <w:noProof/>
                </w:rPr>
                <w:t xml:space="preserve"> London: BCS, The Chartered Institute for IT.</w:t>
              </w:r>
            </w:p>
            <w:p w14:paraId="4998342A" w14:textId="3231D3CA" w:rsidR="00F3215F" w:rsidRPr="00703C52" w:rsidRDefault="00F3215F" w:rsidP="00F3215F">
              <w:pPr>
                <w:pStyle w:val="Bibliography"/>
                <w:ind w:left="720" w:hanging="720"/>
                <w:rPr>
                  <w:noProof/>
                  <w:lang w:val="sv-SE"/>
                </w:rPr>
              </w:pPr>
              <w:r w:rsidRPr="00703C52">
                <w:rPr>
                  <w:noProof/>
                  <w:lang w:val="sv-SE"/>
                </w:rPr>
                <w:t>Perera.R. (2018)</w:t>
              </w:r>
              <w:r w:rsidR="005924ED" w:rsidRPr="00703C52">
                <w:rPr>
                  <w:noProof/>
                  <w:lang w:val="sv-SE"/>
                </w:rPr>
                <w:t xml:space="preserve"> </w:t>
              </w:r>
              <w:r w:rsidRPr="00703C52">
                <w:rPr>
                  <w:i/>
                  <w:iCs/>
                  <w:noProof/>
                  <w:lang w:val="sv-SE"/>
                </w:rPr>
                <w:t>The Pestle Analsyis</w:t>
              </w:r>
              <w:r w:rsidRPr="00703C52">
                <w:rPr>
                  <w:noProof/>
                  <w:lang w:val="sv-SE"/>
                </w:rPr>
                <w:t xml:space="preserve"> (1 ed.). Rashain Perera.</w:t>
              </w:r>
            </w:p>
            <w:p w14:paraId="6F160EDD" w14:textId="0BA8466F" w:rsidR="00F3215F" w:rsidRPr="00703C52" w:rsidRDefault="00F3215F" w:rsidP="00F3215F">
              <w:pPr>
                <w:pStyle w:val="Bibliography"/>
                <w:ind w:left="720" w:hanging="720"/>
                <w:rPr>
                  <w:noProof/>
                </w:rPr>
              </w:pPr>
              <w:r w:rsidRPr="00703C52">
                <w:rPr>
                  <w:noProof/>
                  <w:lang w:val="sv-SE"/>
                </w:rPr>
                <w:t>Yiannas, F. (2015)</w:t>
              </w:r>
              <w:r w:rsidR="00B57EA8" w:rsidRPr="00703C52">
                <w:rPr>
                  <w:noProof/>
                  <w:lang w:val="sv-SE"/>
                </w:rPr>
                <w:t xml:space="preserve"> </w:t>
              </w:r>
              <w:r w:rsidRPr="00703C52">
                <w:rPr>
                  <w:i/>
                  <w:iCs/>
                  <w:noProof/>
                </w:rPr>
                <w:t>Food Safety = Behavior : 30 Proven Techniques to Enhance Employee Compliance.</w:t>
              </w:r>
              <w:r w:rsidRPr="00703C52">
                <w:rPr>
                  <w:noProof/>
                </w:rPr>
                <w:t xml:space="preserve"> New York: Springer.</w:t>
              </w:r>
            </w:p>
            <w:p w14:paraId="7FE3FC14" w14:textId="77777777" w:rsidR="005638B1" w:rsidRPr="00703C52" w:rsidRDefault="005638B1" w:rsidP="005638B1"/>
            <w:p w14:paraId="2056CBCA" w14:textId="6248F092" w:rsidR="00F3215F" w:rsidRDefault="00F3215F" w:rsidP="00F3215F">
              <w:r w:rsidRPr="00703C52">
                <w:rPr>
                  <w:b/>
                  <w:bCs/>
                  <w:noProof/>
                </w:rPr>
                <w:fldChar w:fldCharType="end"/>
              </w:r>
            </w:p>
          </w:sdtContent>
        </w:sdt>
      </w:sdtContent>
    </w:sdt>
    <w:p w14:paraId="67F74709" w14:textId="77777777" w:rsidR="00D11648" w:rsidRDefault="00D11648"/>
    <w:sectPr w:rsidR="00D116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8AF"/>
    <w:rsid w:val="00010681"/>
    <w:rsid w:val="00040648"/>
    <w:rsid w:val="00042237"/>
    <w:rsid w:val="00085216"/>
    <w:rsid w:val="001012B7"/>
    <w:rsid w:val="00145492"/>
    <w:rsid w:val="00183B46"/>
    <w:rsid w:val="001A1696"/>
    <w:rsid w:val="001A2659"/>
    <w:rsid w:val="001B46E9"/>
    <w:rsid w:val="001B4C0E"/>
    <w:rsid w:val="001C0DED"/>
    <w:rsid w:val="001D2CFB"/>
    <w:rsid w:val="00306E18"/>
    <w:rsid w:val="0037239C"/>
    <w:rsid w:val="003D659C"/>
    <w:rsid w:val="00410A78"/>
    <w:rsid w:val="00473887"/>
    <w:rsid w:val="005638B1"/>
    <w:rsid w:val="0056627B"/>
    <w:rsid w:val="005924ED"/>
    <w:rsid w:val="005C53B5"/>
    <w:rsid w:val="006908AF"/>
    <w:rsid w:val="00703C52"/>
    <w:rsid w:val="00787DC8"/>
    <w:rsid w:val="007B71B8"/>
    <w:rsid w:val="007D31A5"/>
    <w:rsid w:val="00850389"/>
    <w:rsid w:val="008554A9"/>
    <w:rsid w:val="00920F3A"/>
    <w:rsid w:val="009B0540"/>
    <w:rsid w:val="009C0080"/>
    <w:rsid w:val="00B21FDD"/>
    <w:rsid w:val="00B57EA8"/>
    <w:rsid w:val="00BB0F59"/>
    <w:rsid w:val="00BC220F"/>
    <w:rsid w:val="00C33B27"/>
    <w:rsid w:val="00D11648"/>
    <w:rsid w:val="00D1769A"/>
    <w:rsid w:val="00DB487D"/>
    <w:rsid w:val="00E619A7"/>
    <w:rsid w:val="00F321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6AB319"/>
  <w15:chartTrackingRefBased/>
  <w15:docId w15:val="{57DE0D20-7108-4318-9A92-66F6CB456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8AF"/>
    <w:pPr>
      <w:spacing w:after="0" w:line="240" w:lineRule="auto"/>
    </w:pPr>
    <w:rPr>
      <w:sz w:val="24"/>
      <w:szCs w:val="24"/>
    </w:rPr>
  </w:style>
  <w:style w:type="paragraph" w:styleId="Heading1">
    <w:name w:val="heading 1"/>
    <w:basedOn w:val="Normal"/>
    <w:next w:val="Normal"/>
    <w:link w:val="Heading1Char"/>
    <w:uiPriority w:val="9"/>
    <w:qFormat/>
    <w:rsid w:val="006908AF"/>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8AF"/>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8AF"/>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8AF"/>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6908AF"/>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6908AF"/>
    <w:pPr>
      <w:keepNext/>
      <w:keepLines/>
      <w:spacing w:before="4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6908AF"/>
    <w:pPr>
      <w:keepNext/>
      <w:keepLines/>
      <w:spacing w:before="4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6908AF"/>
    <w:pPr>
      <w:keepNext/>
      <w:keepLines/>
      <w:spacing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6908AF"/>
    <w:pPr>
      <w:keepNext/>
      <w:keepLines/>
      <w:spacing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8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8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8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8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8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8AF"/>
    <w:rPr>
      <w:rFonts w:eastAsiaTheme="majorEastAsia" w:cstheme="majorBidi"/>
      <w:color w:val="272727" w:themeColor="text1" w:themeTint="D8"/>
    </w:rPr>
  </w:style>
  <w:style w:type="paragraph" w:styleId="Title">
    <w:name w:val="Title"/>
    <w:basedOn w:val="Normal"/>
    <w:next w:val="Normal"/>
    <w:link w:val="TitleChar"/>
    <w:uiPriority w:val="10"/>
    <w:qFormat/>
    <w:rsid w:val="006908A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8AF"/>
    <w:pPr>
      <w:numPr>
        <w:ilvl w:val="1"/>
      </w:numPr>
      <w:spacing w:after="160"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8AF"/>
    <w:pPr>
      <w:spacing w:before="160" w:after="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6908AF"/>
    <w:rPr>
      <w:i/>
      <w:iCs/>
      <w:color w:val="404040" w:themeColor="text1" w:themeTint="BF"/>
    </w:rPr>
  </w:style>
  <w:style w:type="paragraph" w:styleId="ListParagraph">
    <w:name w:val="List Paragraph"/>
    <w:basedOn w:val="Normal"/>
    <w:uiPriority w:val="34"/>
    <w:qFormat/>
    <w:rsid w:val="006908AF"/>
    <w:pPr>
      <w:spacing w:after="160" w:line="259" w:lineRule="auto"/>
      <w:ind w:left="720"/>
      <w:contextualSpacing/>
    </w:pPr>
    <w:rPr>
      <w:sz w:val="22"/>
      <w:szCs w:val="22"/>
    </w:rPr>
  </w:style>
  <w:style w:type="character" w:styleId="IntenseEmphasis">
    <w:name w:val="Intense Emphasis"/>
    <w:basedOn w:val="DefaultParagraphFont"/>
    <w:uiPriority w:val="21"/>
    <w:qFormat/>
    <w:rsid w:val="006908AF"/>
    <w:rPr>
      <w:i/>
      <w:iCs/>
      <w:color w:val="0F4761" w:themeColor="accent1" w:themeShade="BF"/>
    </w:rPr>
  </w:style>
  <w:style w:type="paragraph" w:styleId="IntenseQuote">
    <w:name w:val="Intense Quote"/>
    <w:basedOn w:val="Normal"/>
    <w:next w:val="Normal"/>
    <w:link w:val="IntenseQuoteChar"/>
    <w:uiPriority w:val="30"/>
    <w:qFormat/>
    <w:rsid w:val="006908AF"/>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6908AF"/>
    <w:rPr>
      <w:i/>
      <w:iCs/>
      <w:color w:val="0F4761" w:themeColor="accent1" w:themeShade="BF"/>
    </w:rPr>
  </w:style>
  <w:style w:type="character" w:styleId="IntenseReference">
    <w:name w:val="Intense Reference"/>
    <w:basedOn w:val="DefaultParagraphFont"/>
    <w:uiPriority w:val="32"/>
    <w:qFormat/>
    <w:rsid w:val="006908AF"/>
    <w:rPr>
      <w:b/>
      <w:bCs/>
      <w:smallCaps/>
      <w:color w:val="0F4761" w:themeColor="accent1" w:themeShade="BF"/>
      <w:spacing w:val="5"/>
    </w:rPr>
  </w:style>
  <w:style w:type="paragraph" w:styleId="NormalWeb">
    <w:name w:val="Normal (Web)"/>
    <w:basedOn w:val="Normal"/>
    <w:uiPriority w:val="99"/>
    <w:unhideWhenUsed/>
    <w:rsid w:val="006908A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F3215F"/>
  </w:style>
  <w:style w:type="character" w:styleId="CommentReference">
    <w:name w:val="annotation reference"/>
    <w:basedOn w:val="DefaultParagraphFont"/>
    <w:uiPriority w:val="99"/>
    <w:semiHidden/>
    <w:unhideWhenUsed/>
    <w:rsid w:val="00183B46"/>
    <w:rPr>
      <w:sz w:val="16"/>
      <w:szCs w:val="16"/>
    </w:rPr>
  </w:style>
  <w:style w:type="paragraph" w:styleId="CommentText">
    <w:name w:val="annotation text"/>
    <w:basedOn w:val="Normal"/>
    <w:link w:val="CommentTextChar"/>
    <w:uiPriority w:val="99"/>
    <w:unhideWhenUsed/>
    <w:rsid w:val="00183B46"/>
    <w:rPr>
      <w:sz w:val="20"/>
      <w:szCs w:val="20"/>
    </w:rPr>
  </w:style>
  <w:style w:type="character" w:customStyle="1" w:styleId="CommentTextChar">
    <w:name w:val="Comment Text Char"/>
    <w:basedOn w:val="DefaultParagraphFont"/>
    <w:link w:val="CommentText"/>
    <w:uiPriority w:val="99"/>
    <w:rsid w:val="00183B46"/>
    <w:rPr>
      <w:sz w:val="20"/>
      <w:szCs w:val="20"/>
    </w:rPr>
  </w:style>
  <w:style w:type="paragraph" w:styleId="CommentSubject">
    <w:name w:val="annotation subject"/>
    <w:basedOn w:val="CommentText"/>
    <w:next w:val="CommentText"/>
    <w:link w:val="CommentSubjectChar"/>
    <w:uiPriority w:val="99"/>
    <w:semiHidden/>
    <w:unhideWhenUsed/>
    <w:rsid w:val="00183B46"/>
    <w:rPr>
      <w:b/>
      <w:bCs/>
    </w:rPr>
  </w:style>
  <w:style w:type="character" w:customStyle="1" w:styleId="CommentSubjectChar">
    <w:name w:val="Comment Subject Char"/>
    <w:basedOn w:val="CommentTextChar"/>
    <w:link w:val="CommentSubject"/>
    <w:uiPriority w:val="99"/>
    <w:semiHidden/>
    <w:rsid w:val="00183B46"/>
    <w:rPr>
      <w:b/>
      <w:bCs/>
      <w:sz w:val="20"/>
      <w:szCs w:val="20"/>
    </w:rPr>
  </w:style>
  <w:style w:type="character" w:styleId="Hyperlink">
    <w:name w:val="Hyperlink"/>
    <w:basedOn w:val="DefaultParagraphFont"/>
    <w:uiPriority w:val="99"/>
    <w:unhideWhenUsed/>
    <w:rsid w:val="00E619A7"/>
    <w:rPr>
      <w:color w:val="467886" w:themeColor="hyperlink"/>
      <w:u w:val="single"/>
    </w:rPr>
  </w:style>
  <w:style w:type="character" w:styleId="UnresolvedMention">
    <w:name w:val="Unresolved Mention"/>
    <w:basedOn w:val="DefaultParagraphFont"/>
    <w:uiPriority w:val="99"/>
    <w:semiHidden/>
    <w:unhideWhenUsed/>
    <w:rsid w:val="00E619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6028">
      <w:bodyDiv w:val="1"/>
      <w:marLeft w:val="0"/>
      <w:marRight w:val="0"/>
      <w:marTop w:val="0"/>
      <w:marBottom w:val="0"/>
      <w:divBdr>
        <w:top w:val="none" w:sz="0" w:space="0" w:color="auto"/>
        <w:left w:val="none" w:sz="0" w:space="0" w:color="auto"/>
        <w:bottom w:val="none" w:sz="0" w:space="0" w:color="auto"/>
        <w:right w:val="none" w:sz="0" w:space="0" w:color="auto"/>
      </w:divBdr>
    </w:div>
    <w:div w:id="116222217">
      <w:bodyDiv w:val="1"/>
      <w:marLeft w:val="0"/>
      <w:marRight w:val="0"/>
      <w:marTop w:val="0"/>
      <w:marBottom w:val="0"/>
      <w:divBdr>
        <w:top w:val="none" w:sz="0" w:space="0" w:color="auto"/>
        <w:left w:val="none" w:sz="0" w:space="0" w:color="auto"/>
        <w:bottom w:val="none" w:sz="0" w:space="0" w:color="auto"/>
        <w:right w:val="none" w:sz="0" w:space="0" w:color="auto"/>
      </w:divBdr>
    </w:div>
    <w:div w:id="320278011">
      <w:bodyDiv w:val="1"/>
      <w:marLeft w:val="0"/>
      <w:marRight w:val="0"/>
      <w:marTop w:val="0"/>
      <w:marBottom w:val="0"/>
      <w:divBdr>
        <w:top w:val="none" w:sz="0" w:space="0" w:color="auto"/>
        <w:left w:val="none" w:sz="0" w:space="0" w:color="auto"/>
        <w:bottom w:val="none" w:sz="0" w:space="0" w:color="auto"/>
        <w:right w:val="none" w:sz="0" w:space="0" w:color="auto"/>
      </w:divBdr>
    </w:div>
    <w:div w:id="347492202">
      <w:bodyDiv w:val="1"/>
      <w:marLeft w:val="0"/>
      <w:marRight w:val="0"/>
      <w:marTop w:val="0"/>
      <w:marBottom w:val="0"/>
      <w:divBdr>
        <w:top w:val="none" w:sz="0" w:space="0" w:color="auto"/>
        <w:left w:val="none" w:sz="0" w:space="0" w:color="auto"/>
        <w:bottom w:val="none" w:sz="0" w:space="0" w:color="auto"/>
        <w:right w:val="none" w:sz="0" w:space="0" w:color="auto"/>
      </w:divBdr>
    </w:div>
    <w:div w:id="513039759">
      <w:bodyDiv w:val="1"/>
      <w:marLeft w:val="0"/>
      <w:marRight w:val="0"/>
      <w:marTop w:val="0"/>
      <w:marBottom w:val="0"/>
      <w:divBdr>
        <w:top w:val="none" w:sz="0" w:space="0" w:color="auto"/>
        <w:left w:val="none" w:sz="0" w:space="0" w:color="auto"/>
        <w:bottom w:val="none" w:sz="0" w:space="0" w:color="auto"/>
        <w:right w:val="none" w:sz="0" w:space="0" w:color="auto"/>
      </w:divBdr>
    </w:div>
    <w:div w:id="617416056">
      <w:bodyDiv w:val="1"/>
      <w:marLeft w:val="0"/>
      <w:marRight w:val="0"/>
      <w:marTop w:val="0"/>
      <w:marBottom w:val="0"/>
      <w:divBdr>
        <w:top w:val="none" w:sz="0" w:space="0" w:color="auto"/>
        <w:left w:val="none" w:sz="0" w:space="0" w:color="auto"/>
        <w:bottom w:val="none" w:sz="0" w:space="0" w:color="auto"/>
        <w:right w:val="none" w:sz="0" w:space="0" w:color="auto"/>
      </w:divBdr>
    </w:div>
    <w:div w:id="649093264">
      <w:bodyDiv w:val="1"/>
      <w:marLeft w:val="0"/>
      <w:marRight w:val="0"/>
      <w:marTop w:val="0"/>
      <w:marBottom w:val="0"/>
      <w:divBdr>
        <w:top w:val="none" w:sz="0" w:space="0" w:color="auto"/>
        <w:left w:val="none" w:sz="0" w:space="0" w:color="auto"/>
        <w:bottom w:val="none" w:sz="0" w:space="0" w:color="auto"/>
        <w:right w:val="none" w:sz="0" w:space="0" w:color="auto"/>
      </w:divBdr>
    </w:div>
    <w:div w:id="721321755">
      <w:bodyDiv w:val="1"/>
      <w:marLeft w:val="0"/>
      <w:marRight w:val="0"/>
      <w:marTop w:val="0"/>
      <w:marBottom w:val="0"/>
      <w:divBdr>
        <w:top w:val="none" w:sz="0" w:space="0" w:color="auto"/>
        <w:left w:val="none" w:sz="0" w:space="0" w:color="auto"/>
        <w:bottom w:val="none" w:sz="0" w:space="0" w:color="auto"/>
        <w:right w:val="none" w:sz="0" w:space="0" w:color="auto"/>
      </w:divBdr>
    </w:div>
    <w:div w:id="827595564">
      <w:bodyDiv w:val="1"/>
      <w:marLeft w:val="0"/>
      <w:marRight w:val="0"/>
      <w:marTop w:val="0"/>
      <w:marBottom w:val="0"/>
      <w:divBdr>
        <w:top w:val="none" w:sz="0" w:space="0" w:color="auto"/>
        <w:left w:val="none" w:sz="0" w:space="0" w:color="auto"/>
        <w:bottom w:val="none" w:sz="0" w:space="0" w:color="auto"/>
        <w:right w:val="none" w:sz="0" w:space="0" w:color="auto"/>
      </w:divBdr>
    </w:div>
    <w:div w:id="1020544918">
      <w:bodyDiv w:val="1"/>
      <w:marLeft w:val="0"/>
      <w:marRight w:val="0"/>
      <w:marTop w:val="0"/>
      <w:marBottom w:val="0"/>
      <w:divBdr>
        <w:top w:val="none" w:sz="0" w:space="0" w:color="auto"/>
        <w:left w:val="none" w:sz="0" w:space="0" w:color="auto"/>
        <w:bottom w:val="none" w:sz="0" w:space="0" w:color="auto"/>
        <w:right w:val="none" w:sz="0" w:space="0" w:color="auto"/>
      </w:divBdr>
    </w:div>
    <w:div w:id="1050111002">
      <w:bodyDiv w:val="1"/>
      <w:marLeft w:val="0"/>
      <w:marRight w:val="0"/>
      <w:marTop w:val="0"/>
      <w:marBottom w:val="0"/>
      <w:divBdr>
        <w:top w:val="none" w:sz="0" w:space="0" w:color="auto"/>
        <w:left w:val="none" w:sz="0" w:space="0" w:color="auto"/>
        <w:bottom w:val="none" w:sz="0" w:space="0" w:color="auto"/>
        <w:right w:val="none" w:sz="0" w:space="0" w:color="auto"/>
      </w:divBdr>
    </w:div>
    <w:div w:id="1266226402">
      <w:bodyDiv w:val="1"/>
      <w:marLeft w:val="0"/>
      <w:marRight w:val="0"/>
      <w:marTop w:val="0"/>
      <w:marBottom w:val="0"/>
      <w:divBdr>
        <w:top w:val="none" w:sz="0" w:space="0" w:color="auto"/>
        <w:left w:val="none" w:sz="0" w:space="0" w:color="auto"/>
        <w:bottom w:val="none" w:sz="0" w:space="0" w:color="auto"/>
        <w:right w:val="none" w:sz="0" w:space="0" w:color="auto"/>
      </w:divBdr>
    </w:div>
    <w:div w:id="1465586012">
      <w:bodyDiv w:val="1"/>
      <w:marLeft w:val="0"/>
      <w:marRight w:val="0"/>
      <w:marTop w:val="0"/>
      <w:marBottom w:val="0"/>
      <w:divBdr>
        <w:top w:val="none" w:sz="0" w:space="0" w:color="auto"/>
        <w:left w:val="none" w:sz="0" w:space="0" w:color="auto"/>
        <w:bottom w:val="none" w:sz="0" w:space="0" w:color="auto"/>
        <w:right w:val="none" w:sz="0" w:space="0" w:color="auto"/>
      </w:divBdr>
    </w:div>
    <w:div w:id="1517304546">
      <w:bodyDiv w:val="1"/>
      <w:marLeft w:val="0"/>
      <w:marRight w:val="0"/>
      <w:marTop w:val="0"/>
      <w:marBottom w:val="0"/>
      <w:divBdr>
        <w:top w:val="none" w:sz="0" w:space="0" w:color="auto"/>
        <w:left w:val="none" w:sz="0" w:space="0" w:color="auto"/>
        <w:bottom w:val="none" w:sz="0" w:space="0" w:color="auto"/>
        <w:right w:val="none" w:sz="0" w:space="0" w:color="auto"/>
      </w:divBdr>
    </w:div>
    <w:div w:id="1556350352">
      <w:bodyDiv w:val="1"/>
      <w:marLeft w:val="0"/>
      <w:marRight w:val="0"/>
      <w:marTop w:val="0"/>
      <w:marBottom w:val="0"/>
      <w:divBdr>
        <w:top w:val="none" w:sz="0" w:space="0" w:color="auto"/>
        <w:left w:val="none" w:sz="0" w:space="0" w:color="auto"/>
        <w:bottom w:val="none" w:sz="0" w:space="0" w:color="auto"/>
        <w:right w:val="none" w:sz="0" w:space="0" w:color="auto"/>
      </w:divBdr>
    </w:div>
    <w:div w:id="1620139473">
      <w:bodyDiv w:val="1"/>
      <w:marLeft w:val="0"/>
      <w:marRight w:val="0"/>
      <w:marTop w:val="0"/>
      <w:marBottom w:val="0"/>
      <w:divBdr>
        <w:top w:val="none" w:sz="0" w:space="0" w:color="auto"/>
        <w:left w:val="none" w:sz="0" w:space="0" w:color="auto"/>
        <w:bottom w:val="none" w:sz="0" w:space="0" w:color="auto"/>
        <w:right w:val="none" w:sz="0" w:space="0" w:color="auto"/>
      </w:divBdr>
    </w:div>
    <w:div w:id="1703550437">
      <w:bodyDiv w:val="1"/>
      <w:marLeft w:val="0"/>
      <w:marRight w:val="0"/>
      <w:marTop w:val="0"/>
      <w:marBottom w:val="0"/>
      <w:divBdr>
        <w:top w:val="none" w:sz="0" w:space="0" w:color="auto"/>
        <w:left w:val="none" w:sz="0" w:space="0" w:color="auto"/>
        <w:bottom w:val="none" w:sz="0" w:space="0" w:color="auto"/>
        <w:right w:val="none" w:sz="0" w:space="0" w:color="auto"/>
      </w:divBdr>
    </w:div>
    <w:div w:id="1802113994">
      <w:bodyDiv w:val="1"/>
      <w:marLeft w:val="0"/>
      <w:marRight w:val="0"/>
      <w:marTop w:val="0"/>
      <w:marBottom w:val="0"/>
      <w:divBdr>
        <w:top w:val="none" w:sz="0" w:space="0" w:color="auto"/>
        <w:left w:val="none" w:sz="0" w:space="0" w:color="auto"/>
        <w:bottom w:val="none" w:sz="0" w:space="0" w:color="auto"/>
        <w:right w:val="none" w:sz="0" w:space="0" w:color="auto"/>
      </w:divBdr>
    </w:div>
    <w:div w:id="1888762753">
      <w:bodyDiv w:val="1"/>
      <w:marLeft w:val="0"/>
      <w:marRight w:val="0"/>
      <w:marTop w:val="0"/>
      <w:marBottom w:val="0"/>
      <w:divBdr>
        <w:top w:val="none" w:sz="0" w:space="0" w:color="auto"/>
        <w:left w:val="none" w:sz="0" w:space="0" w:color="auto"/>
        <w:bottom w:val="none" w:sz="0" w:space="0" w:color="auto"/>
        <w:right w:val="none" w:sz="0" w:space="0" w:color="auto"/>
      </w:divBdr>
    </w:div>
    <w:div w:id="1897159412">
      <w:bodyDiv w:val="1"/>
      <w:marLeft w:val="0"/>
      <w:marRight w:val="0"/>
      <w:marTop w:val="0"/>
      <w:marBottom w:val="0"/>
      <w:divBdr>
        <w:top w:val="none" w:sz="0" w:space="0" w:color="auto"/>
        <w:left w:val="none" w:sz="0" w:space="0" w:color="auto"/>
        <w:bottom w:val="none" w:sz="0" w:space="0" w:color="auto"/>
        <w:right w:val="none" w:sz="0" w:space="0" w:color="auto"/>
      </w:divBdr>
    </w:div>
    <w:div w:id="2004822047">
      <w:bodyDiv w:val="1"/>
      <w:marLeft w:val="0"/>
      <w:marRight w:val="0"/>
      <w:marTop w:val="0"/>
      <w:marBottom w:val="0"/>
      <w:divBdr>
        <w:top w:val="none" w:sz="0" w:space="0" w:color="auto"/>
        <w:left w:val="none" w:sz="0" w:space="0" w:color="auto"/>
        <w:bottom w:val="none" w:sz="0" w:space="0" w:color="auto"/>
        <w:right w:val="none" w:sz="0" w:space="0" w:color="auto"/>
      </w:divBdr>
    </w:div>
    <w:div w:id="2117671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ckinsey.com" TargetMode="External"/><Relationship Id="rId5" Type="http://schemas.openxmlformats.org/officeDocument/2006/relationships/hyperlink" Target="https://www.cipd.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McM23</b:Tag>
    <b:SourceType>Book</b:SourceType>
    <b:Guid>{14C9D366-39F9-41AB-A0A5-0013225259EA}</b:Guid>
    <b:Author>
      <b:Author>
        <b:NameList>
          <b:Person>
            <b:Last>McManners</b:Last>
            <b:First>P</b:First>
          </b:Person>
        </b:NameList>
      </b:Author>
    </b:Author>
    <b:Title>Essentials of Sustainability for Business</b:Title>
    <b:Year>2023</b:Year>
    <b:City>London</b:City>
    <b:Publisher>Routledge</b:Publisher>
    <b:RefOrder>8</b:RefOrder>
  </b:Source>
  <b:Source>
    <b:Tag>Mol231</b:Tag>
    <b:SourceType>Book</b:SourceType>
    <b:Guid>{715BE458-B10A-4A65-9389-A61AC76955FA}</b:Guid>
    <b:Author>
      <b:Author>
        <b:NameList>
          <b:Person>
            <b:Last>Molthan-Hill</b:Last>
            <b:First>P</b:First>
          </b:Person>
          <b:Person>
            <b:Last>Winfield</b:Last>
            <b:First>F</b:First>
          </b:Person>
          <b:Person>
            <b:Last>Howarth</b:Last>
            <b:First>R</b:First>
          </b:Person>
          <b:Person>
            <b:Last>Mazhar</b:Last>
            <b:First>M</b:First>
          </b:Person>
        </b:NameList>
      </b:Author>
    </b:Author>
    <b:Title>The Handbook of Carbon Management</b:Title>
    <b:Year>2023</b:Year>
    <b:City>London</b:City>
    <b:Publisher>Routledge</b:Publisher>
    <b:RefOrder>9</b:RefOrder>
  </b:Source>
  <b:Source>
    <b:Tag>CIP20</b:Tag>
    <b:SourceType>JournalArticle</b:SourceType>
    <b:Guid>{A32EAE4B-4137-A34B-BF41-13CBDEF93E4C}</b:Guid>
    <b:Author>
      <b:Author>
        <b:NameList>
          <b:Person>
            <b:Last>CIPD</b:Last>
          </b:Person>
        </b:NameList>
      </b:Author>
    </b:Author>
    <b:Title>PESTLE analysis</b:Title>
    <b:Year>2020</b:Year>
    <b:JournalName>CIPD Factsheet</b:JournalName>
    <b:RefOrder>2</b:RefOrder>
  </b:Source>
  <b:Source>
    <b:Tag>Bat22</b:Tag>
    <b:SourceType>DocumentFromInternetSite</b:SourceType>
    <b:Guid>{2CC1E69D-A327-4035-9017-7CFD7D452453}</b:Guid>
    <b:Title>Pestle Analysis</b:Title>
    <b:Year>2022</b:Year>
    <b:Author>
      <b:Author>
        <b:NameList>
          <b:Person>
            <b:Last>Battista</b:Last>
            <b:First>M</b:First>
          </b:Person>
        </b:NameList>
      </b:Author>
    </b:Author>
    <b:Month>July</b:Month>
    <b:YearAccessed>2022</b:YearAccessed>
    <b:MonthAccessed>July</b:MonthAccessed>
    <b:URL>https://www.cipd.co.uk/knowledge/strategy/organisational-development/pestle-analysis-factsheet</b:URL>
    <b:RefOrder>3</b:RefOrder>
  </b:Source>
  <b:Source>
    <b:Tag>Bou20</b:Tag>
    <b:SourceType>Book</b:SourceType>
    <b:Guid>{D671A674-A609-4292-8074-8A45A014DB75}</b:Guid>
    <b:Author>
      <b:Author>
        <b:NameList>
          <b:Person>
            <b:Last>Bouzid</b:Last>
            <b:First>A</b:First>
          </b:Person>
        </b:NameList>
      </b:Author>
    </b:Author>
    <b:Title>The PESTLE Business Analysis Tool: To Learn &amp; Apply to Your Business: In aid of your Problem Solving and Decision Making</b:Title>
    <b:Year>2020</b:Year>
    <b:Publisher>Amazon</b:Publisher>
    <b:RefOrder>4</b:RefOrder>
  </b:Source>
  <b:Source>
    <b:Tag>10T22</b:Tag>
    <b:SourceType>DocumentFromInternetSite</b:SourceType>
    <b:Guid>{040A8D9D-297F-4511-B025-8DB13041A2CF}</b:Guid>
    <b:Title>10 Types of influential power in workplace leadership</b:Title>
    <b:Year>2022</b:Year>
    <b:Month>July</b:Month>
    <b:YearAccessed>2022</b:YearAccessed>
    <b:MonthAccessed>July</b:MonthAccessed>
    <b:URL>https://www.indeed.com/career-advice/career-development/types-of-power-in-leadership</b:URL>
    <b:Author>
      <b:Author>
        <b:Corporate>Indeed</b:Corporate>
      </b:Author>
    </b:Author>
    <b:RefOrder>5</b:RefOrder>
  </b:Source>
  <b:Source>
    <b:Tag>Pau20</b:Tag>
    <b:SourceType>Book</b:SourceType>
    <b:Guid>{05C3574A-97A8-4943-A456-CD64F9C3D243}</b:Guid>
    <b:Author>
      <b:Author>
        <b:NameList>
          <b:Person>
            <b:Last>Paul</b:Last>
            <b:First>D</b:First>
          </b:Person>
        </b:NameList>
      </b:Author>
    </b:Author>
    <b:Title>Business Analysis</b:Title>
    <b:Year>2020</b:Year>
    <b:City>London</b:City>
    <b:Publisher>BCS, The Chartered Institute for IT</b:Publisher>
    <b:RefOrder>6</b:RefOrder>
  </b:Source>
  <b:Source>
    <b:Tag>Cla23</b:Tag>
    <b:SourceType>Book</b:SourceType>
    <b:Guid>{08ED29BD-7006-4306-AD36-96DC5D6BDF46}</b:Guid>
    <b:Author>
      <b:Author>
        <b:NameList>
          <b:Person>
            <b:Last>Clarke</b:Last>
            <b:First>T</b:First>
          </b:Person>
        </b:NameList>
      </b:Author>
    </b:Author>
    <b:Title>Risk management with TARA and External analysis with PESTLE: Workbook (Accountancy Revision Workbooks) </b:Title>
    <b:Year>2023</b:Year>
    <b:City>London</b:City>
    <b:RefOrder>7</b:RefOrder>
  </b:Source>
  <b:Source>
    <b:Tag>Blo13</b:Tag>
    <b:SourceType>Book</b:SourceType>
    <b:Guid>{2E872653-3855-4BCD-9B33-51F1556FFAC2}</b:Guid>
    <b:Author>
      <b:Author>
        <b:NameList>
          <b:Person>
            <b:Last>Blowfield</b:Last>
            <b:First>M</b:First>
          </b:Person>
        </b:NameList>
      </b:Author>
    </b:Author>
    <b:Title>Business and Sustainability</b:Title>
    <b:Year>2013</b:Year>
    <b:City>London</b:City>
    <b:Publisher>Oxford University Press</b:Publisher>
    <b:RefOrder>10</b:RefOrder>
  </b:Source>
  <b:Source>
    <b:Tag>Gra16</b:Tag>
    <b:SourceType>Book</b:SourceType>
    <b:Guid>{900DC15F-20AE-4E39-9954-8E1CEF5B2E4C}</b:Guid>
    <b:Author>
      <b:Author>
        <b:NameList>
          <b:Person>
            <b:Last>Gravells</b:Last>
            <b:First>A</b:First>
          </b:Person>
        </b:NameList>
      </b:Author>
    </b:Author>
    <b:Title>Principles and Practices of Quality Assurance: A guide for internal and external quality assurers in the FE and Skills Sector </b:Title>
    <b:Year>2016</b:Year>
    <b:City>London</b:City>
    <b:Publisher>Learning Matters</b:Publisher>
    <b:RefOrder>11</b:RefOrder>
  </b:Source>
  <b:Source>
    <b:Tag>Yia15</b:Tag>
    <b:SourceType>Book</b:SourceType>
    <b:Guid>{6C4DADB7-3A90-43C9-954E-B0E3E7C2D7A4}</b:Guid>
    <b:Author>
      <b:Author>
        <b:NameList>
          <b:Person>
            <b:Last>Yiannas</b:Last>
            <b:First>F</b:First>
          </b:Person>
        </b:NameList>
      </b:Author>
    </b:Author>
    <b:Title>Food Safety = Behavior : 30 Proven Techniques to Enhance Employee Compliance</b:Title>
    <b:Year>2015</b:Year>
    <b:City>New York</b:City>
    <b:Publisher>Springer</b:Publisher>
    <b:RefOrder>12</b:RefOrder>
  </b:Source>
  <b:Source>
    <b:Tag>Per18</b:Tag>
    <b:SourceType>Book</b:SourceType>
    <b:Guid>{0D8C584E-F648-49BF-8FCE-A9B2A64754C5}</b:Guid>
    <b:Title>The Pestle Analsyis</b:Title>
    <b:Year>2018</b:Year>
    <b:Author>
      <b:Author>
        <b:NameList>
          <b:Person>
            <b:Last>Perera</b:Last>
            <b:First>R</b:First>
          </b:Person>
        </b:NameList>
      </b:Author>
    </b:Author>
    <b:Publisher>Rashain Perera</b:Publisher>
    <b:Edition>1</b:Edition>
    <b:RefOrder>1</b:RefOrder>
  </b:Source>
</b:Sources>
</file>

<file path=customXml/itemProps1.xml><?xml version="1.0" encoding="utf-8"?>
<ds:datastoreItem xmlns:ds="http://schemas.openxmlformats.org/officeDocument/2006/customXml" ds:itemID="{D14E8F79-1953-48D7-9174-1D3D794C8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1868</Words>
  <Characters>10652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6</cp:revision>
  <dcterms:created xsi:type="dcterms:W3CDTF">2025-03-21T11:25:00Z</dcterms:created>
  <dcterms:modified xsi:type="dcterms:W3CDTF">2025-03-21T11:26:00Z</dcterms:modified>
</cp:coreProperties>
</file>