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lang w:val="en-US" w:eastAsia="zh-CN"/>
        </w:rPr>
      </w:pPr>
      <w:r>
        <w:rPr>
          <w:rFonts w:hint="default" w:ascii="Arial" w:hAnsi="Arial" w:cs="Arial"/>
          <w:bCs/>
          <w:sz w:val="24"/>
          <w:szCs w:val="24"/>
          <w:lang w:val="en-US" w:eastAsia="zh-CN"/>
        </w:rPr>
        <w:drawing>
          <wp:inline distT="0" distB="0" distL="114300" distR="114300">
            <wp:extent cx="5734050" cy="8611235"/>
            <wp:effectExtent l="0" t="0" r="11430" b="14605"/>
            <wp:docPr id="3" name="图片 3" descr="封面"/>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封面"/>
                    <pic:cNvPicPr>
                      <a:picLocks noChangeAspect="1"/>
                    </pic:cNvPicPr>
                  </pic:nvPicPr>
                  <pic:blipFill>
                    <a:blip r:embed="rId5"/>
                    <a:stretch>
                      <a:fillRect/>
                    </a:stretch>
                  </pic:blipFill>
                  <pic:spPr>
                    <a:xfrm>
                      <a:off x="0" y="0"/>
                      <a:ext cx="5734050" cy="8611235"/>
                    </a:xfrm>
                    <a:prstGeom prst="rect">
                      <a:avLst/>
                    </a:prstGeom>
                  </pic:spPr>
                </pic:pic>
              </a:graphicData>
            </a:graphic>
          </wp:inline>
        </w:drawing>
      </w:r>
    </w:p>
    <w:p>
      <w:pPr>
        <w:pStyle w:val="2"/>
        <w:pageBreakBefore w:val="0"/>
        <w:kinsoku/>
        <w:wordWrap/>
        <w:overflowPunct/>
        <w:topLinePunct w:val="0"/>
        <w:autoSpaceDE/>
        <w:autoSpaceDN/>
        <w:bidi w:val="0"/>
        <w:adjustRightInd/>
        <w:snapToGrid/>
        <w:spacing w:line="240" w:lineRule="auto"/>
        <w:jc w:val="both"/>
        <w:textAlignment w:val="auto"/>
        <w:rPr>
          <w:rFonts w:hint="default" w:ascii="Arial" w:hAnsi="Arial" w:cs="Arial"/>
          <w:sz w:val="32"/>
          <w:szCs w:val="32"/>
        </w:rPr>
      </w:pPr>
      <w:bookmarkStart w:id="0" w:name="_Toc9681"/>
      <w:r>
        <w:rPr>
          <w:rFonts w:hint="default" w:ascii="Arial" w:hAnsi="Arial" w:cs="Arial"/>
          <w:sz w:val="32"/>
          <w:szCs w:val="32"/>
        </w:rPr>
        <w:t>Executive Summary</w:t>
      </w:r>
      <w:bookmarkEnd w:id="0"/>
    </w:p>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lang w:val="en-US" w:eastAsia="zh-CN"/>
        </w:rPr>
      </w:pPr>
      <w:r>
        <w:rPr>
          <w:rFonts w:hint="default" w:ascii="Arial" w:hAnsi="Arial" w:cs="Arial"/>
          <w:bCs/>
          <w:sz w:val="24"/>
          <w:szCs w:val="24"/>
          <w:lang w:val="en-US" w:eastAsia="zh-CN"/>
        </w:rPr>
        <w:t>The whole article talks about the importance of ethics for modern business and gives the case studies to show the consequences of unethical behaviour. The nature of ethical decisions includes Business Ethics, Normative Ethical Theory, Deontology, Teleology, Virtues, Shareholders Theory and Stakeholders Theory. Through the Ponzi scheme case, managers can understand the horrors of fraudulent behaviour and managers should apply Business Ethics to regulate the internal business, take social responsibility and fiduciary responsibility. Deontology ethics focuses on fulfilling personal moral obligations, while Teleology ethics focuses only on consequences and does not care about responsibility in the process. Through the Trolley Problem case study, managers can learn how to use Deontology ethics and Teleology ethics to achieve a code of ethics and minimal loss. Shareholders Theory suggests that maximising profit is the ethical responsibility and Stakeholders Theory suggests that companies should focus on CSR, sustainability, and the Stakeholders of the company. Based on the Ford Pinto case analysis, managers can learn that the safety and security of the product is important and should not cause damage to Stakeholders for the purpose of profit according to the Shareholders Theory. Managers can also use the Stakeholders Theory to put some of their profits into social objectives, to build public facilities for the society, for caring others, and to build trust. This article will make managers learn that greed can make profit for the business but never do illegal and unethical behaviours, especially hurting others.</w:t>
      </w:r>
    </w:p>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lang w:val="en-US" w:eastAsia="zh-CN"/>
        </w:rPr>
      </w:pPr>
    </w:p>
    <w:p>
      <w:pPr>
        <w:pStyle w:val="2"/>
        <w:pageBreakBefore w:val="0"/>
        <w:kinsoku/>
        <w:wordWrap/>
        <w:overflowPunct/>
        <w:topLinePunct w:val="0"/>
        <w:autoSpaceDE/>
        <w:autoSpaceDN/>
        <w:bidi w:val="0"/>
        <w:adjustRightInd/>
        <w:snapToGrid/>
        <w:spacing w:line="240" w:lineRule="auto"/>
        <w:jc w:val="both"/>
        <w:textAlignment w:val="auto"/>
        <w:rPr>
          <w:rFonts w:hint="default" w:ascii="Arial" w:hAnsi="Arial" w:cs="Arial"/>
          <w:sz w:val="32"/>
          <w:szCs w:val="32"/>
        </w:rPr>
      </w:pPr>
      <w:bookmarkStart w:id="1" w:name="_Toc10015"/>
      <w:r>
        <w:rPr>
          <w:rFonts w:hint="default" w:ascii="Arial" w:hAnsi="Arial" w:cs="Arial"/>
          <w:sz w:val="32"/>
          <w:szCs w:val="32"/>
        </w:rPr>
        <w:t>Contents Page</w:t>
      </w:r>
      <w:bookmarkEnd w:id="1"/>
    </w:p>
    <w:p>
      <w:pPr>
        <w:pStyle w:val="8"/>
        <w:tabs>
          <w:tab w:val="right" w:leader="dot" w:pos="8306"/>
        </w:tabs>
        <w:rPr>
          <w:rFonts w:hint="default" w:ascii="Arial" w:hAnsi="Arial" w:cs="Arial"/>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TOC \o "1-3" \h \u </w:instrText>
      </w:r>
      <w:r>
        <w:rPr>
          <w:rFonts w:hint="default" w:ascii="Arial" w:hAnsi="Arial" w:cs="Arial"/>
          <w:bCs/>
          <w:sz w:val="24"/>
          <w:szCs w:val="24"/>
          <w:lang w:val="en-US" w:eastAsia="zh-CN"/>
        </w:rPr>
        <w:fldChar w:fldCharType="separate"/>
      </w:r>
      <w:r>
        <w:rPr>
          <w:rFonts w:hint="default" w:ascii="Arial" w:hAnsi="Arial" w:cs="Arial"/>
          <w:bCs/>
          <w:szCs w:val="24"/>
          <w:lang w:val="en-US" w:eastAsia="zh-CN"/>
        </w:rPr>
        <w:fldChar w:fldCharType="begin"/>
      </w:r>
      <w:r>
        <w:rPr>
          <w:rFonts w:hint="default" w:ascii="Arial" w:hAnsi="Arial" w:cs="Arial"/>
          <w:bCs/>
          <w:szCs w:val="24"/>
          <w:lang w:val="en-US" w:eastAsia="zh-CN"/>
        </w:rPr>
        <w:instrText xml:space="preserve"> HYPERLINK \l _Toc9681 </w:instrText>
      </w:r>
      <w:r>
        <w:rPr>
          <w:rFonts w:hint="default" w:ascii="Arial" w:hAnsi="Arial" w:cs="Arial"/>
          <w:bCs/>
          <w:szCs w:val="24"/>
          <w:lang w:val="en-US" w:eastAsia="zh-CN"/>
        </w:rPr>
        <w:fldChar w:fldCharType="separate"/>
      </w:r>
      <w:r>
        <w:rPr>
          <w:rFonts w:hint="default" w:ascii="Arial" w:hAnsi="Arial" w:cs="Arial"/>
          <w:szCs w:val="32"/>
        </w:rPr>
        <w:t>Executive Summary</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_Toc9681 \h </w:instrText>
      </w:r>
      <w:r>
        <w:rPr>
          <w:rFonts w:hint="default" w:ascii="Arial" w:hAnsi="Arial" w:cs="Arial"/>
        </w:rPr>
        <w:fldChar w:fldCharType="separate"/>
      </w:r>
      <w:r>
        <w:rPr>
          <w:rFonts w:hint="default" w:ascii="Arial" w:hAnsi="Arial" w:cs="Arial"/>
        </w:rPr>
        <w:t>2</w:t>
      </w:r>
      <w:r>
        <w:rPr>
          <w:rFonts w:hint="default" w:ascii="Arial" w:hAnsi="Arial" w:cs="Arial"/>
        </w:rPr>
        <w:fldChar w:fldCharType="end"/>
      </w:r>
      <w:r>
        <w:rPr>
          <w:rFonts w:hint="default" w:ascii="Arial" w:hAnsi="Arial" w:cs="Arial"/>
          <w:bCs/>
          <w:szCs w:val="24"/>
          <w:lang w:val="en-US" w:eastAsia="zh-CN"/>
        </w:rPr>
        <w:fldChar w:fldCharType="end"/>
      </w:r>
    </w:p>
    <w:p>
      <w:pPr>
        <w:pStyle w:val="8"/>
        <w:tabs>
          <w:tab w:val="right" w:leader="dot" w:pos="8306"/>
        </w:tabs>
        <w:rPr>
          <w:rFonts w:hint="default" w:ascii="Arial" w:hAnsi="Arial" w:cs="Arial"/>
        </w:rPr>
      </w:pPr>
      <w:r>
        <w:rPr>
          <w:rFonts w:hint="default" w:ascii="Arial" w:hAnsi="Arial" w:cs="Arial"/>
          <w:bCs/>
          <w:szCs w:val="24"/>
          <w:lang w:val="en-US" w:eastAsia="zh-CN"/>
        </w:rPr>
        <w:fldChar w:fldCharType="begin"/>
      </w:r>
      <w:r>
        <w:rPr>
          <w:rFonts w:hint="default" w:ascii="Arial" w:hAnsi="Arial" w:cs="Arial"/>
          <w:bCs/>
          <w:szCs w:val="24"/>
          <w:lang w:val="en-US" w:eastAsia="zh-CN"/>
        </w:rPr>
        <w:instrText xml:space="preserve"> HYPERLINK \l _Toc10015 </w:instrText>
      </w:r>
      <w:r>
        <w:rPr>
          <w:rFonts w:hint="default" w:ascii="Arial" w:hAnsi="Arial" w:cs="Arial"/>
          <w:bCs/>
          <w:szCs w:val="24"/>
          <w:lang w:val="en-US" w:eastAsia="zh-CN"/>
        </w:rPr>
        <w:fldChar w:fldCharType="separate"/>
      </w:r>
      <w:r>
        <w:rPr>
          <w:rFonts w:hint="default" w:ascii="Arial" w:hAnsi="Arial" w:cs="Arial"/>
          <w:szCs w:val="32"/>
        </w:rPr>
        <w:t>Contents Page</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_Toc10015 \h </w:instrText>
      </w:r>
      <w:r>
        <w:rPr>
          <w:rFonts w:hint="default" w:ascii="Arial" w:hAnsi="Arial" w:cs="Arial"/>
        </w:rPr>
        <w:fldChar w:fldCharType="separate"/>
      </w:r>
      <w:r>
        <w:rPr>
          <w:rFonts w:hint="default" w:ascii="Arial" w:hAnsi="Arial" w:cs="Arial"/>
        </w:rPr>
        <w:t>3</w:t>
      </w:r>
      <w:r>
        <w:rPr>
          <w:rFonts w:hint="default" w:ascii="Arial" w:hAnsi="Arial" w:cs="Arial"/>
        </w:rPr>
        <w:fldChar w:fldCharType="end"/>
      </w:r>
      <w:r>
        <w:rPr>
          <w:rFonts w:hint="default" w:ascii="Arial" w:hAnsi="Arial" w:cs="Arial"/>
          <w:bCs/>
          <w:szCs w:val="24"/>
          <w:lang w:val="en-US" w:eastAsia="zh-CN"/>
        </w:rPr>
        <w:fldChar w:fldCharType="end"/>
      </w:r>
    </w:p>
    <w:p>
      <w:pPr>
        <w:pStyle w:val="8"/>
        <w:tabs>
          <w:tab w:val="right" w:leader="dot" w:pos="8306"/>
        </w:tabs>
        <w:rPr>
          <w:rFonts w:hint="default" w:ascii="Arial" w:hAnsi="Arial" w:cs="Arial"/>
        </w:rPr>
      </w:pPr>
      <w:r>
        <w:rPr>
          <w:rFonts w:hint="default" w:ascii="Arial" w:hAnsi="Arial" w:cs="Arial"/>
          <w:bCs/>
          <w:szCs w:val="24"/>
          <w:lang w:val="en-US" w:eastAsia="zh-CN"/>
        </w:rPr>
        <w:fldChar w:fldCharType="begin"/>
      </w:r>
      <w:r>
        <w:rPr>
          <w:rFonts w:hint="default" w:ascii="Arial" w:hAnsi="Arial" w:cs="Arial"/>
          <w:bCs/>
          <w:szCs w:val="24"/>
          <w:lang w:val="en-US" w:eastAsia="zh-CN"/>
        </w:rPr>
        <w:instrText xml:space="preserve"> HYPERLINK \l _Toc11490 </w:instrText>
      </w:r>
      <w:r>
        <w:rPr>
          <w:rFonts w:hint="default" w:ascii="Arial" w:hAnsi="Arial" w:cs="Arial"/>
          <w:bCs/>
          <w:szCs w:val="24"/>
          <w:lang w:val="en-US" w:eastAsia="zh-CN"/>
        </w:rPr>
        <w:fldChar w:fldCharType="separate"/>
      </w:r>
      <w:r>
        <w:rPr>
          <w:rFonts w:hint="default" w:ascii="Arial" w:hAnsi="Arial" w:cs="Arial"/>
          <w:szCs w:val="32"/>
        </w:rPr>
        <w:t>Introduction</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_Toc11490 \h </w:instrText>
      </w:r>
      <w:r>
        <w:rPr>
          <w:rFonts w:hint="default" w:ascii="Arial" w:hAnsi="Arial" w:cs="Arial"/>
        </w:rPr>
        <w:fldChar w:fldCharType="separate"/>
      </w:r>
      <w:r>
        <w:rPr>
          <w:rFonts w:hint="default" w:ascii="Arial" w:hAnsi="Arial" w:cs="Arial"/>
        </w:rPr>
        <w:t>4</w:t>
      </w:r>
      <w:r>
        <w:rPr>
          <w:rFonts w:hint="default" w:ascii="Arial" w:hAnsi="Arial" w:cs="Arial"/>
        </w:rPr>
        <w:fldChar w:fldCharType="end"/>
      </w:r>
      <w:r>
        <w:rPr>
          <w:rFonts w:hint="default" w:ascii="Arial" w:hAnsi="Arial" w:cs="Arial"/>
          <w:bCs/>
          <w:szCs w:val="24"/>
          <w:lang w:val="en-US" w:eastAsia="zh-CN"/>
        </w:rPr>
        <w:fldChar w:fldCharType="end"/>
      </w:r>
    </w:p>
    <w:p>
      <w:pPr>
        <w:pStyle w:val="8"/>
        <w:tabs>
          <w:tab w:val="right" w:leader="dot" w:pos="8306"/>
        </w:tabs>
        <w:rPr>
          <w:rFonts w:hint="default" w:ascii="Arial" w:hAnsi="Arial" w:cs="Arial"/>
        </w:rPr>
      </w:pPr>
      <w:r>
        <w:rPr>
          <w:rFonts w:hint="default" w:ascii="Arial" w:hAnsi="Arial" w:cs="Arial"/>
          <w:bCs/>
          <w:szCs w:val="24"/>
          <w:lang w:val="en-US" w:eastAsia="zh-CN"/>
        </w:rPr>
        <w:fldChar w:fldCharType="begin"/>
      </w:r>
      <w:r>
        <w:rPr>
          <w:rFonts w:hint="default" w:ascii="Arial" w:hAnsi="Arial" w:cs="Arial"/>
          <w:bCs/>
          <w:szCs w:val="24"/>
          <w:lang w:val="en-US" w:eastAsia="zh-CN"/>
        </w:rPr>
        <w:instrText xml:space="preserve"> HYPERLINK \l _Toc29960 </w:instrText>
      </w:r>
      <w:r>
        <w:rPr>
          <w:rFonts w:hint="default" w:ascii="Arial" w:hAnsi="Arial" w:cs="Arial"/>
          <w:bCs/>
          <w:szCs w:val="24"/>
          <w:lang w:val="en-US" w:eastAsia="zh-CN"/>
        </w:rPr>
        <w:fldChar w:fldCharType="separate"/>
      </w:r>
      <w:r>
        <w:rPr>
          <w:rFonts w:hint="default" w:ascii="Arial" w:hAnsi="Arial" w:cs="Arial"/>
          <w:szCs w:val="32"/>
          <w:lang w:val="en-US" w:eastAsia="zh-CN"/>
        </w:rPr>
        <w:t>The Nature of Ethical Decisions</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_Toc29960 \h </w:instrText>
      </w:r>
      <w:r>
        <w:rPr>
          <w:rFonts w:hint="default" w:ascii="Arial" w:hAnsi="Arial" w:cs="Arial"/>
        </w:rPr>
        <w:fldChar w:fldCharType="separate"/>
      </w:r>
      <w:r>
        <w:rPr>
          <w:rFonts w:hint="default" w:ascii="Arial" w:hAnsi="Arial" w:cs="Arial"/>
        </w:rPr>
        <w:t>7</w:t>
      </w:r>
      <w:r>
        <w:rPr>
          <w:rFonts w:hint="default" w:ascii="Arial" w:hAnsi="Arial" w:cs="Arial"/>
        </w:rPr>
        <w:fldChar w:fldCharType="end"/>
      </w:r>
      <w:r>
        <w:rPr>
          <w:rFonts w:hint="default" w:ascii="Arial" w:hAnsi="Arial" w:cs="Arial"/>
          <w:bCs/>
          <w:szCs w:val="24"/>
          <w:lang w:val="en-US" w:eastAsia="zh-CN"/>
        </w:rPr>
        <w:fldChar w:fldCharType="end"/>
      </w:r>
    </w:p>
    <w:p>
      <w:pPr>
        <w:pStyle w:val="9"/>
        <w:tabs>
          <w:tab w:val="right" w:leader="dot" w:pos="8306"/>
        </w:tabs>
        <w:rPr>
          <w:rFonts w:hint="default" w:ascii="Arial" w:hAnsi="Arial" w:cs="Arial"/>
        </w:rPr>
      </w:pPr>
      <w:r>
        <w:rPr>
          <w:rFonts w:hint="default" w:ascii="Arial" w:hAnsi="Arial" w:cs="Arial"/>
          <w:bCs/>
          <w:szCs w:val="24"/>
          <w:lang w:val="en-US" w:eastAsia="zh-CN"/>
        </w:rPr>
        <w:fldChar w:fldCharType="begin"/>
      </w:r>
      <w:r>
        <w:rPr>
          <w:rFonts w:hint="default" w:ascii="Arial" w:hAnsi="Arial" w:cs="Arial"/>
          <w:bCs/>
          <w:szCs w:val="24"/>
          <w:lang w:val="en-US" w:eastAsia="zh-CN"/>
        </w:rPr>
        <w:instrText xml:space="preserve"> HYPERLINK \l _Toc27894 </w:instrText>
      </w:r>
      <w:r>
        <w:rPr>
          <w:rFonts w:hint="default" w:ascii="Arial" w:hAnsi="Arial" w:cs="Arial"/>
          <w:bCs/>
          <w:szCs w:val="24"/>
          <w:lang w:val="en-US" w:eastAsia="zh-CN"/>
        </w:rPr>
        <w:fldChar w:fldCharType="separate"/>
      </w:r>
      <w:r>
        <w:rPr>
          <w:rFonts w:hint="default" w:ascii="Arial" w:hAnsi="Arial" w:cs="Arial"/>
          <w:szCs w:val="28"/>
          <w:lang w:val="en-US" w:eastAsia="zh-CN"/>
        </w:rPr>
        <w:t>1.0 Business Ethics</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_Toc27894 \h </w:instrText>
      </w:r>
      <w:r>
        <w:rPr>
          <w:rFonts w:hint="default" w:ascii="Arial" w:hAnsi="Arial" w:cs="Arial"/>
        </w:rPr>
        <w:fldChar w:fldCharType="separate"/>
      </w:r>
      <w:r>
        <w:rPr>
          <w:rFonts w:hint="default" w:ascii="Arial" w:hAnsi="Arial" w:cs="Arial"/>
        </w:rPr>
        <w:t>7</w:t>
      </w:r>
      <w:r>
        <w:rPr>
          <w:rFonts w:hint="default" w:ascii="Arial" w:hAnsi="Arial" w:cs="Arial"/>
        </w:rPr>
        <w:fldChar w:fldCharType="end"/>
      </w:r>
      <w:r>
        <w:rPr>
          <w:rFonts w:hint="default" w:ascii="Arial" w:hAnsi="Arial" w:cs="Arial"/>
          <w:bCs/>
          <w:szCs w:val="24"/>
          <w:lang w:val="en-US" w:eastAsia="zh-CN"/>
        </w:rPr>
        <w:fldChar w:fldCharType="end"/>
      </w:r>
    </w:p>
    <w:p>
      <w:pPr>
        <w:pStyle w:val="9"/>
        <w:tabs>
          <w:tab w:val="right" w:leader="dot" w:pos="8306"/>
        </w:tabs>
        <w:rPr>
          <w:rFonts w:hint="default" w:ascii="Arial" w:hAnsi="Arial" w:cs="Arial"/>
        </w:rPr>
      </w:pPr>
      <w:r>
        <w:rPr>
          <w:rFonts w:hint="default" w:ascii="Arial" w:hAnsi="Arial" w:cs="Arial"/>
          <w:bCs/>
          <w:szCs w:val="24"/>
          <w:lang w:val="en-US" w:eastAsia="zh-CN"/>
        </w:rPr>
        <w:fldChar w:fldCharType="begin"/>
      </w:r>
      <w:r>
        <w:rPr>
          <w:rFonts w:hint="default" w:ascii="Arial" w:hAnsi="Arial" w:cs="Arial"/>
          <w:bCs/>
          <w:szCs w:val="24"/>
          <w:lang w:val="en-US" w:eastAsia="zh-CN"/>
        </w:rPr>
        <w:instrText xml:space="preserve"> HYPERLINK \l _Toc15865 </w:instrText>
      </w:r>
      <w:r>
        <w:rPr>
          <w:rFonts w:hint="default" w:ascii="Arial" w:hAnsi="Arial" w:cs="Arial"/>
          <w:bCs/>
          <w:szCs w:val="24"/>
          <w:lang w:val="en-US" w:eastAsia="zh-CN"/>
        </w:rPr>
        <w:fldChar w:fldCharType="separate"/>
      </w:r>
      <w:r>
        <w:rPr>
          <w:rFonts w:hint="default" w:ascii="Arial" w:hAnsi="Arial" w:cs="Arial"/>
          <w:szCs w:val="28"/>
          <w:lang w:val="en-US" w:eastAsia="zh-CN"/>
        </w:rPr>
        <w:t>2.0 Normative Ethical Theory</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_Toc15865 \h </w:instrText>
      </w:r>
      <w:r>
        <w:rPr>
          <w:rFonts w:hint="default" w:ascii="Arial" w:hAnsi="Arial" w:cs="Arial"/>
        </w:rPr>
        <w:fldChar w:fldCharType="separate"/>
      </w:r>
      <w:r>
        <w:rPr>
          <w:rFonts w:hint="default" w:ascii="Arial" w:hAnsi="Arial" w:cs="Arial"/>
        </w:rPr>
        <w:t>9</w:t>
      </w:r>
      <w:r>
        <w:rPr>
          <w:rFonts w:hint="default" w:ascii="Arial" w:hAnsi="Arial" w:cs="Arial"/>
        </w:rPr>
        <w:fldChar w:fldCharType="end"/>
      </w:r>
      <w:r>
        <w:rPr>
          <w:rFonts w:hint="default" w:ascii="Arial" w:hAnsi="Arial" w:cs="Arial"/>
          <w:bCs/>
          <w:szCs w:val="24"/>
          <w:lang w:val="en-US" w:eastAsia="zh-CN"/>
        </w:rPr>
        <w:fldChar w:fldCharType="end"/>
      </w:r>
    </w:p>
    <w:p>
      <w:pPr>
        <w:pStyle w:val="5"/>
        <w:tabs>
          <w:tab w:val="right" w:leader="dot" w:pos="8306"/>
        </w:tabs>
        <w:rPr>
          <w:rFonts w:hint="default" w:ascii="Arial" w:hAnsi="Arial" w:cs="Arial"/>
        </w:rPr>
      </w:pPr>
      <w:r>
        <w:rPr>
          <w:rFonts w:hint="default" w:ascii="Arial" w:hAnsi="Arial" w:cs="Arial"/>
          <w:bCs/>
          <w:szCs w:val="24"/>
          <w:lang w:val="en-US" w:eastAsia="zh-CN"/>
        </w:rPr>
        <w:fldChar w:fldCharType="begin"/>
      </w:r>
      <w:r>
        <w:rPr>
          <w:rFonts w:hint="default" w:ascii="Arial" w:hAnsi="Arial" w:cs="Arial"/>
          <w:bCs/>
          <w:szCs w:val="24"/>
          <w:lang w:val="en-US" w:eastAsia="zh-CN"/>
        </w:rPr>
        <w:instrText xml:space="preserve"> HYPERLINK \l _Toc25279 </w:instrText>
      </w:r>
      <w:r>
        <w:rPr>
          <w:rFonts w:hint="default" w:ascii="Arial" w:hAnsi="Arial" w:cs="Arial"/>
          <w:bCs/>
          <w:szCs w:val="24"/>
          <w:lang w:val="en-US" w:eastAsia="zh-CN"/>
        </w:rPr>
        <w:fldChar w:fldCharType="separate"/>
      </w:r>
      <w:r>
        <w:rPr>
          <w:rFonts w:hint="default" w:ascii="Arial" w:hAnsi="Arial" w:cs="Arial"/>
          <w:szCs w:val="24"/>
          <w:lang w:val="en-US" w:eastAsia="zh-CN"/>
        </w:rPr>
        <w:t>2.1 Deontology Ethics</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_Toc25279 \h </w:instrText>
      </w:r>
      <w:r>
        <w:rPr>
          <w:rFonts w:hint="default" w:ascii="Arial" w:hAnsi="Arial" w:cs="Arial"/>
        </w:rPr>
        <w:fldChar w:fldCharType="separate"/>
      </w:r>
      <w:r>
        <w:rPr>
          <w:rFonts w:hint="default" w:ascii="Arial" w:hAnsi="Arial" w:cs="Arial"/>
        </w:rPr>
        <w:t>10</w:t>
      </w:r>
      <w:r>
        <w:rPr>
          <w:rFonts w:hint="default" w:ascii="Arial" w:hAnsi="Arial" w:cs="Arial"/>
        </w:rPr>
        <w:fldChar w:fldCharType="end"/>
      </w:r>
      <w:r>
        <w:rPr>
          <w:rFonts w:hint="default" w:ascii="Arial" w:hAnsi="Arial" w:cs="Arial"/>
          <w:bCs/>
          <w:szCs w:val="24"/>
          <w:lang w:val="en-US" w:eastAsia="zh-CN"/>
        </w:rPr>
        <w:fldChar w:fldCharType="end"/>
      </w:r>
    </w:p>
    <w:p>
      <w:pPr>
        <w:pStyle w:val="5"/>
        <w:tabs>
          <w:tab w:val="right" w:leader="dot" w:pos="8306"/>
        </w:tabs>
        <w:rPr>
          <w:rFonts w:hint="default" w:ascii="Arial" w:hAnsi="Arial" w:cs="Arial"/>
        </w:rPr>
      </w:pPr>
      <w:r>
        <w:rPr>
          <w:rFonts w:hint="default" w:ascii="Arial" w:hAnsi="Arial" w:cs="Arial"/>
          <w:bCs/>
          <w:szCs w:val="24"/>
          <w:lang w:val="en-US" w:eastAsia="zh-CN"/>
        </w:rPr>
        <w:fldChar w:fldCharType="begin"/>
      </w:r>
      <w:r>
        <w:rPr>
          <w:rFonts w:hint="default" w:ascii="Arial" w:hAnsi="Arial" w:cs="Arial"/>
          <w:bCs/>
          <w:szCs w:val="24"/>
          <w:lang w:val="en-US" w:eastAsia="zh-CN"/>
        </w:rPr>
        <w:instrText xml:space="preserve"> HYPERLINK \l _Toc9837 </w:instrText>
      </w:r>
      <w:r>
        <w:rPr>
          <w:rFonts w:hint="default" w:ascii="Arial" w:hAnsi="Arial" w:cs="Arial"/>
          <w:bCs/>
          <w:szCs w:val="24"/>
          <w:lang w:val="en-US" w:eastAsia="zh-CN"/>
        </w:rPr>
        <w:fldChar w:fldCharType="separate"/>
      </w:r>
      <w:r>
        <w:rPr>
          <w:rFonts w:hint="default" w:ascii="Arial" w:hAnsi="Arial" w:cs="Arial"/>
          <w:szCs w:val="24"/>
          <w:lang w:val="en-US" w:eastAsia="zh-CN"/>
        </w:rPr>
        <w:t>2.2 Teleology Ethics</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_Toc9837 \h </w:instrText>
      </w:r>
      <w:r>
        <w:rPr>
          <w:rFonts w:hint="default" w:ascii="Arial" w:hAnsi="Arial" w:cs="Arial"/>
        </w:rPr>
        <w:fldChar w:fldCharType="separate"/>
      </w:r>
      <w:r>
        <w:rPr>
          <w:rFonts w:hint="default" w:ascii="Arial" w:hAnsi="Arial" w:cs="Arial"/>
        </w:rPr>
        <w:t>11</w:t>
      </w:r>
      <w:r>
        <w:rPr>
          <w:rFonts w:hint="default" w:ascii="Arial" w:hAnsi="Arial" w:cs="Arial"/>
        </w:rPr>
        <w:fldChar w:fldCharType="end"/>
      </w:r>
      <w:r>
        <w:rPr>
          <w:rFonts w:hint="default" w:ascii="Arial" w:hAnsi="Arial" w:cs="Arial"/>
          <w:bCs/>
          <w:szCs w:val="24"/>
          <w:lang w:val="en-US" w:eastAsia="zh-CN"/>
        </w:rPr>
        <w:fldChar w:fldCharType="end"/>
      </w:r>
    </w:p>
    <w:p>
      <w:pPr>
        <w:pStyle w:val="5"/>
        <w:tabs>
          <w:tab w:val="right" w:leader="dot" w:pos="8306"/>
        </w:tabs>
        <w:rPr>
          <w:rFonts w:hint="default" w:ascii="Arial" w:hAnsi="Arial" w:cs="Arial"/>
        </w:rPr>
      </w:pPr>
      <w:r>
        <w:rPr>
          <w:rFonts w:hint="default" w:ascii="Arial" w:hAnsi="Arial" w:cs="Arial"/>
          <w:bCs/>
          <w:szCs w:val="24"/>
          <w:lang w:val="en-US" w:eastAsia="zh-CN"/>
        </w:rPr>
        <w:fldChar w:fldCharType="begin"/>
      </w:r>
      <w:r>
        <w:rPr>
          <w:rFonts w:hint="default" w:ascii="Arial" w:hAnsi="Arial" w:cs="Arial"/>
          <w:bCs/>
          <w:szCs w:val="24"/>
          <w:lang w:val="en-US" w:eastAsia="zh-CN"/>
        </w:rPr>
        <w:instrText xml:space="preserve"> HYPERLINK \l _Toc6415 </w:instrText>
      </w:r>
      <w:r>
        <w:rPr>
          <w:rFonts w:hint="default" w:ascii="Arial" w:hAnsi="Arial" w:cs="Arial"/>
          <w:bCs/>
          <w:szCs w:val="24"/>
          <w:lang w:val="en-US" w:eastAsia="zh-CN"/>
        </w:rPr>
        <w:fldChar w:fldCharType="separate"/>
      </w:r>
      <w:r>
        <w:rPr>
          <w:rFonts w:hint="default" w:ascii="Arial" w:hAnsi="Arial" w:cs="Arial"/>
          <w:szCs w:val="24"/>
          <w:lang w:val="en-US" w:eastAsia="zh-CN"/>
        </w:rPr>
        <w:t>2.3 Virtues or Moral Character</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_Toc6415 \h </w:instrText>
      </w:r>
      <w:r>
        <w:rPr>
          <w:rFonts w:hint="default" w:ascii="Arial" w:hAnsi="Arial" w:cs="Arial"/>
        </w:rPr>
        <w:fldChar w:fldCharType="separate"/>
      </w:r>
      <w:r>
        <w:rPr>
          <w:rFonts w:hint="default" w:ascii="Arial" w:hAnsi="Arial" w:cs="Arial"/>
        </w:rPr>
        <w:t>12</w:t>
      </w:r>
      <w:r>
        <w:rPr>
          <w:rFonts w:hint="default" w:ascii="Arial" w:hAnsi="Arial" w:cs="Arial"/>
        </w:rPr>
        <w:fldChar w:fldCharType="end"/>
      </w:r>
      <w:r>
        <w:rPr>
          <w:rFonts w:hint="default" w:ascii="Arial" w:hAnsi="Arial" w:cs="Arial"/>
          <w:bCs/>
          <w:szCs w:val="24"/>
          <w:lang w:val="en-US" w:eastAsia="zh-CN"/>
        </w:rPr>
        <w:fldChar w:fldCharType="end"/>
      </w:r>
    </w:p>
    <w:p>
      <w:pPr>
        <w:pStyle w:val="9"/>
        <w:tabs>
          <w:tab w:val="right" w:leader="dot" w:pos="8306"/>
        </w:tabs>
        <w:rPr>
          <w:rFonts w:hint="default" w:ascii="Arial" w:hAnsi="Arial" w:cs="Arial"/>
        </w:rPr>
      </w:pPr>
      <w:r>
        <w:rPr>
          <w:rFonts w:hint="default" w:ascii="Arial" w:hAnsi="Arial" w:cs="Arial"/>
          <w:bCs/>
          <w:szCs w:val="24"/>
          <w:lang w:val="en-US" w:eastAsia="zh-CN"/>
        </w:rPr>
        <w:fldChar w:fldCharType="begin"/>
      </w:r>
      <w:r>
        <w:rPr>
          <w:rFonts w:hint="default" w:ascii="Arial" w:hAnsi="Arial" w:cs="Arial"/>
          <w:bCs/>
          <w:szCs w:val="24"/>
          <w:lang w:val="en-US" w:eastAsia="zh-CN"/>
        </w:rPr>
        <w:instrText xml:space="preserve"> HYPERLINK \l _Toc19732 </w:instrText>
      </w:r>
      <w:r>
        <w:rPr>
          <w:rFonts w:hint="default" w:ascii="Arial" w:hAnsi="Arial" w:cs="Arial"/>
          <w:bCs/>
          <w:szCs w:val="24"/>
          <w:lang w:val="en-US" w:eastAsia="zh-CN"/>
        </w:rPr>
        <w:fldChar w:fldCharType="separate"/>
      </w:r>
      <w:r>
        <w:rPr>
          <w:rFonts w:hint="default" w:ascii="Arial" w:hAnsi="Arial" w:cs="Arial"/>
          <w:szCs w:val="28"/>
          <w:lang w:val="en-US" w:eastAsia="zh-CN"/>
        </w:rPr>
        <w:t>3.0 Shareholders Theory and Stakeholders Theory</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_Toc19732 \h </w:instrText>
      </w:r>
      <w:r>
        <w:rPr>
          <w:rFonts w:hint="default" w:ascii="Arial" w:hAnsi="Arial" w:cs="Arial"/>
        </w:rPr>
        <w:fldChar w:fldCharType="separate"/>
      </w:r>
      <w:r>
        <w:rPr>
          <w:rFonts w:hint="default" w:ascii="Arial" w:hAnsi="Arial" w:cs="Arial"/>
        </w:rPr>
        <w:t>12</w:t>
      </w:r>
      <w:r>
        <w:rPr>
          <w:rFonts w:hint="default" w:ascii="Arial" w:hAnsi="Arial" w:cs="Arial"/>
        </w:rPr>
        <w:fldChar w:fldCharType="end"/>
      </w:r>
      <w:r>
        <w:rPr>
          <w:rFonts w:hint="default" w:ascii="Arial" w:hAnsi="Arial" w:cs="Arial"/>
          <w:bCs/>
          <w:szCs w:val="24"/>
          <w:lang w:val="en-US" w:eastAsia="zh-CN"/>
        </w:rPr>
        <w:fldChar w:fldCharType="end"/>
      </w:r>
    </w:p>
    <w:p>
      <w:pPr>
        <w:pStyle w:val="5"/>
        <w:tabs>
          <w:tab w:val="right" w:leader="dot" w:pos="8306"/>
        </w:tabs>
        <w:rPr>
          <w:rFonts w:hint="default" w:ascii="Arial" w:hAnsi="Arial" w:cs="Arial"/>
        </w:rPr>
      </w:pPr>
      <w:r>
        <w:rPr>
          <w:rFonts w:hint="default" w:ascii="Arial" w:hAnsi="Arial" w:cs="Arial"/>
          <w:bCs/>
          <w:szCs w:val="24"/>
          <w:lang w:val="en-US" w:eastAsia="zh-CN"/>
        </w:rPr>
        <w:fldChar w:fldCharType="begin"/>
      </w:r>
      <w:r>
        <w:rPr>
          <w:rFonts w:hint="default" w:ascii="Arial" w:hAnsi="Arial" w:cs="Arial"/>
          <w:bCs/>
          <w:szCs w:val="24"/>
          <w:lang w:val="en-US" w:eastAsia="zh-CN"/>
        </w:rPr>
        <w:instrText xml:space="preserve"> HYPERLINK \l _Toc32375 </w:instrText>
      </w:r>
      <w:r>
        <w:rPr>
          <w:rFonts w:hint="default" w:ascii="Arial" w:hAnsi="Arial" w:cs="Arial"/>
          <w:bCs/>
          <w:szCs w:val="24"/>
          <w:lang w:val="en-US" w:eastAsia="zh-CN"/>
        </w:rPr>
        <w:fldChar w:fldCharType="separate"/>
      </w:r>
      <w:r>
        <w:rPr>
          <w:rFonts w:hint="default" w:ascii="Arial" w:hAnsi="Arial" w:cs="Arial"/>
          <w:szCs w:val="24"/>
          <w:lang w:val="en-US" w:eastAsia="zh-CN"/>
        </w:rPr>
        <w:t>3.1 Milton Friedman’s thought Process</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_Toc32375 \h </w:instrText>
      </w:r>
      <w:r>
        <w:rPr>
          <w:rFonts w:hint="default" w:ascii="Arial" w:hAnsi="Arial" w:cs="Arial"/>
        </w:rPr>
        <w:fldChar w:fldCharType="separate"/>
      </w:r>
      <w:r>
        <w:rPr>
          <w:rFonts w:hint="default" w:ascii="Arial" w:hAnsi="Arial" w:cs="Arial"/>
        </w:rPr>
        <w:t>12</w:t>
      </w:r>
      <w:r>
        <w:rPr>
          <w:rFonts w:hint="default" w:ascii="Arial" w:hAnsi="Arial" w:cs="Arial"/>
        </w:rPr>
        <w:fldChar w:fldCharType="end"/>
      </w:r>
      <w:r>
        <w:rPr>
          <w:rFonts w:hint="default" w:ascii="Arial" w:hAnsi="Arial" w:cs="Arial"/>
          <w:bCs/>
          <w:szCs w:val="24"/>
          <w:lang w:val="en-US" w:eastAsia="zh-CN"/>
        </w:rPr>
        <w:fldChar w:fldCharType="end"/>
      </w:r>
    </w:p>
    <w:p>
      <w:pPr>
        <w:pStyle w:val="5"/>
        <w:tabs>
          <w:tab w:val="right" w:leader="dot" w:pos="8306"/>
        </w:tabs>
        <w:rPr>
          <w:rFonts w:hint="default" w:ascii="Arial" w:hAnsi="Arial" w:cs="Arial"/>
        </w:rPr>
      </w:pPr>
      <w:r>
        <w:rPr>
          <w:rFonts w:hint="default" w:ascii="Arial" w:hAnsi="Arial" w:cs="Arial"/>
          <w:bCs/>
          <w:szCs w:val="24"/>
          <w:lang w:val="en-US" w:eastAsia="zh-CN"/>
        </w:rPr>
        <w:fldChar w:fldCharType="begin"/>
      </w:r>
      <w:r>
        <w:rPr>
          <w:rFonts w:hint="default" w:ascii="Arial" w:hAnsi="Arial" w:cs="Arial"/>
          <w:bCs/>
          <w:szCs w:val="24"/>
          <w:lang w:val="en-US" w:eastAsia="zh-CN"/>
        </w:rPr>
        <w:instrText xml:space="preserve"> HYPERLINK \l _Toc28269 </w:instrText>
      </w:r>
      <w:r>
        <w:rPr>
          <w:rFonts w:hint="default" w:ascii="Arial" w:hAnsi="Arial" w:cs="Arial"/>
          <w:bCs/>
          <w:szCs w:val="24"/>
          <w:lang w:val="en-US" w:eastAsia="zh-CN"/>
        </w:rPr>
        <w:fldChar w:fldCharType="separate"/>
      </w:r>
      <w:r>
        <w:rPr>
          <w:rFonts w:hint="default" w:ascii="Arial" w:hAnsi="Arial" w:cs="Arial"/>
          <w:szCs w:val="24"/>
          <w:lang w:val="en-US" w:eastAsia="zh-CN"/>
        </w:rPr>
        <w:t>3.2 R. Edward Freeman - Stakeholder Theory</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_Toc28269 \h </w:instrText>
      </w:r>
      <w:r>
        <w:rPr>
          <w:rFonts w:hint="default" w:ascii="Arial" w:hAnsi="Arial" w:cs="Arial"/>
        </w:rPr>
        <w:fldChar w:fldCharType="separate"/>
      </w:r>
      <w:r>
        <w:rPr>
          <w:rFonts w:hint="default" w:ascii="Arial" w:hAnsi="Arial" w:cs="Arial"/>
        </w:rPr>
        <w:t>13</w:t>
      </w:r>
      <w:r>
        <w:rPr>
          <w:rFonts w:hint="default" w:ascii="Arial" w:hAnsi="Arial" w:cs="Arial"/>
        </w:rPr>
        <w:fldChar w:fldCharType="end"/>
      </w:r>
      <w:r>
        <w:rPr>
          <w:rFonts w:hint="default" w:ascii="Arial" w:hAnsi="Arial" w:cs="Arial"/>
          <w:bCs/>
          <w:szCs w:val="24"/>
          <w:lang w:val="en-US" w:eastAsia="zh-CN"/>
        </w:rPr>
        <w:fldChar w:fldCharType="end"/>
      </w:r>
    </w:p>
    <w:p>
      <w:pPr>
        <w:pStyle w:val="8"/>
        <w:tabs>
          <w:tab w:val="right" w:leader="dot" w:pos="8306"/>
        </w:tabs>
        <w:rPr>
          <w:rFonts w:hint="default" w:ascii="Arial" w:hAnsi="Arial" w:cs="Arial"/>
        </w:rPr>
      </w:pPr>
      <w:r>
        <w:rPr>
          <w:rFonts w:hint="default" w:ascii="Arial" w:hAnsi="Arial" w:cs="Arial"/>
          <w:bCs/>
          <w:szCs w:val="24"/>
          <w:lang w:val="en-US" w:eastAsia="zh-CN"/>
        </w:rPr>
        <w:fldChar w:fldCharType="begin"/>
      </w:r>
      <w:r>
        <w:rPr>
          <w:rFonts w:hint="default" w:ascii="Arial" w:hAnsi="Arial" w:cs="Arial"/>
          <w:bCs/>
          <w:szCs w:val="24"/>
          <w:lang w:val="en-US" w:eastAsia="zh-CN"/>
        </w:rPr>
        <w:instrText xml:space="preserve"> HYPERLINK \l _Toc3293 </w:instrText>
      </w:r>
      <w:r>
        <w:rPr>
          <w:rFonts w:hint="default" w:ascii="Arial" w:hAnsi="Arial" w:cs="Arial"/>
          <w:bCs/>
          <w:szCs w:val="24"/>
          <w:lang w:val="en-US" w:eastAsia="zh-CN"/>
        </w:rPr>
        <w:fldChar w:fldCharType="separate"/>
      </w:r>
      <w:r>
        <w:rPr>
          <w:rFonts w:hint="default" w:ascii="Arial" w:hAnsi="Arial" w:cs="Arial"/>
          <w:szCs w:val="32"/>
        </w:rPr>
        <w:t>Conclusion</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_Toc3293 \h </w:instrText>
      </w:r>
      <w:r>
        <w:rPr>
          <w:rFonts w:hint="default" w:ascii="Arial" w:hAnsi="Arial" w:cs="Arial"/>
        </w:rPr>
        <w:fldChar w:fldCharType="separate"/>
      </w:r>
      <w:r>
        <w:rPr>
          <w:rFonts w:hint="default" w:ascii="Arial" w:hAnsi="Arial" w:cs="Arial"/>
        </w:rPr>
        <w:t>15</w:t>
      </w:r>
      <w:r>
        <w:rPr>
          <w:rFonts w:hint="default" w:ascii="Arial" w:hAnsi="Arial" w:cs="Arial"/>
        </w:rPr>
        <w:fldChar w:fldCharType="end"/>
      </w:r>
      <w:r>
        <w:rPr>
          <w:rFonts w:hint="default" w:ascii="Arial" w:hAnsi="Arial" w:cs="Arial"/>
          <w:bCs/>
          <w:szCs w:val="24"/>
          <w:lang w:val="en-US" w:eastAsia="zh-CN"/>
        </w:rPr>
        <w:fldChar w:fldCharType="end"/>
      </w:r>
    </w:p>
    <w:p>
      <w:pPr>
        <w:pStyle w:val="8"/>
        <w:tabs>
          <w:tab w:val="right" w:leader="dot" w:pos="8306"/>
        </w:tabs>
        <w:rPr>
          <w:rFonts w:hint="default" w:ascii="Arial" w:hAnsi="Arial" w:cs="Arial"/>
        </w:rPr>
      </w:pPr>
      <w:r>
        <w:rPr>
          <w:rFonts w:hint="default" w:ascii="Arial" w:hAnsi="Arial" w:cs="Arial"/>
          <w:bCs/>
          <w:szCs w:val="24"/>
          <w:lang w:val="en-US" w:eastAsia="zh-CN"/>
        </w:rPr>
        <w:fldChar w:fldCharType="begin"/>
      </w:r>
      <w:r>
        <w:rPr>
          <w:rFonts w:hint="default" w:ascii="Arial" w:hAnsi="Arial" w:cs="Arial"/>
          <w:bCs/>
          <w:szCs w:val="24"/>
          <w:lang w:val="en-US" w:eastAsia="zh-CN"/>
        </w:rPr>
        <w:instrText xml:space="preserve"> HYPERLINK \l _Toc13957 </w:instrText>
      </w:r>
      <w:r>
        <w:rPr>
          <w:rFonts w:hint="default" w:ascii="Arial" w:hAnsi="Arial" w:cs="Arial"/>
          <w:bCs/>
          <w:szCs w:val="24"/>
          <w:lang w:val="en-US" w:eastAsia="zh-CN"/>
        </w:rPr>
        <w:fldChar w:fldCharType="separate"/>
      </w:r>
      <w:r>
        <w:rPr>
          <w:rFonts w:hint="default" w:ascii="Arial" w:hAnsi="Arial" w:cs="Arial"/>
          <w:szCs w:val="32"/>
        </w:rPr>
        <w:t>References</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_Toc13957 \h </w:instrText>
      </w:r>
      <w:r>
        <w:rPr>
          <w:rFonts w:hint="default" w:ascii="Arial" w:hAnsi="Arial" w:cs="Arial"/>
        </w:rPr>
        <w:fldChar w:fldCharType="separate"/>
      </w:r>
      <w:r>
        <w:rPr>
          <w:rFonts w:hint="default" w:ascii="Arial" w:hAnsi="Arial" w:cs="Arial"/>
        </w:rPr>
        <w:t>17</w:t>
      </w:r>
      <w:r>
        <w:rPr>
          <w:rFonts w:hint="default" w:ascii="Arial" w:hAnsi="Arial" w:cs="Arial"/>
        </w:rPr>
        <w:fldChar w:fldCharType="end"/>
      </w:r>
      <w:r>
        <w:rPr>
          <w:rFonts w:hint="default" w:ascii="Arial" w:hAnsi="Arial" w:cs="Arial"/>
          <w:bCs/>
          <w:szCs w:val="24"/>
          <w:lang w:val="en-US" w:eastAsia="zh-CN"/>
        </w:rPr>
        <w:fldChar w:fldCharType="end"/>
      </w:r>
    </w:p>
    <w:p>
      <w:pPr>
        <w:pStyle w:val="8"/>
        <w:tabs>
          <w:tab w:val="right" w:leader="dot" w:pos="8306"/>
        </w:tabs>
        <w:rPr>
          <w:rFonts w:hint="default" w:ascii="Arial" w:hAnsi="Arial" w:cs="Arial"/>
        </w:rPr>
      </w:pPr>
      <w:r>
        <w:rPr>
          <w:rFonts w:hint="default" w:ascii="Arial" w:hAnsi="Arial" w:cs="Arial"/>
          <w:bCs/>
          <w:szCs w:val="24"/>
          <w:lang w:val="en-US" w:eastAsia="zh-CN"/>
        </w:rPr>
        <w:fldChar w:fldCharType="begin"/>
      </w:r>
      <w:r>
        <w:rPr>
          <w:rFonts w:hint="default" w:ascii="Arial" w:hAnsi="Arial" w:cs="Arial"/>
          <w:bCs/>
          <w:szCs w:val="24"/>
          <w:lang w:val="en-US" w:eastAsia="zh-CN"/>
        </w:rPr>
        <w:instrText xml:space="preserve"> HYPERLINK \l _Toc31449 </w:instrText>
      </w:r>
      <w:r>
        <w:rPr>
          <w:rFonts w:hint="default" w:ascii="Arial" w:hAnsi="Arial" w:cs="Arial"/>
          <w:bCs/>
          <w:szCs w:val="24"/>
          <w:lang w:val="en-US" w:eastAsia="zh-CN"/>
        </w:rPr>
        <w:fldChar w:fldCharType="separate"/>
      </w:r>
      <w:r>
        <w:rPr>
          <w:rFonts w:hint="default" w:ascii="Arial" w:hAnsi="Arial" w:cs="Arial"/>
          <w:szCs w:val="32"/>
        </w:rPr>
        <w:t>Appendices</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_Toc31449 \h </w:instrText>
      </w:r>
      <w:r>
        <w:rPr>
          <w:rFonts w:hint="default" w:ascii="Arial" w:hAnsi="Arial" w:cs="Arial"/>
        </w:rPr>
        <w:fldChar w:fldCharType="separate"/>
      </w:r>
      <w:r>
        <w:rPr>
          <w:rFonts w:hint="default" w:ascii="Arial" w:hAnsi="Arial" w:cs="Arial"/>
        </w:rPr>
        <w:t>22</w:t>
      </w:r>
      <w:r>
        <w:rPr>
          <w:rFonts w:hint="default" w:ascii="Arial" w:hAnsi="Arial" w:cs="Arial"/>
        </w:rPr>
        <w:fldChar w:fldCharType="end"/>
      </w:r>
      <w:r>
        <w:rPr>
          <w:rFonts w:hint="default" w:ascii="Arial" w:hAnsi="Arial" w:cs="Arial"/>
          <w:bCs/>
          <w:szCs w:val="24"/>
          <w:lang w:val="en-US" w:eastAsia="zh-CN"/>
        </w:rPr>
        <w:fldChar w:fldCharType="end"/>
      </w:r>
    </w:p>
    <w:p>
      <w:pPr>
        <w:pStyle w:val="9"/>
        <w:tabs>
          <w:tab w:val="right" w:leader="dot" w:pos="8306"/>
        </w:tabs>
        <w:rPr>
          <w:rFonts w:hint="default" w:ascii="Arial" w:hAnsi="Arial" w:cs="Arial"/>
        </w:rPr>
      </w:pPr>
      <w:r>
        <w:rPr>
          <w:rFonts w:hint="default" w:ascii="Arial" w:hAnsi="Arial" w:cs="Arial"/>
          <w:bCs/>
          <w:szCs w:val="24"/>
          <w:lang w:val="en-US" w:eastAsia="zh-CN"/>
        </w:rPr>
        <w:fldChar w:fldCharType="begin"/>
      </w:r>
      <w:r>
        <w:rPr>
          <w:rFonts w:hint="default" w:ascii="Arial" w:hAnsi="Arial" w:cs="Arial"/>
          <w:bCs/>
          <w:szCs w:val="24"/>
          <w:lang w:val="en-US" w:eastAsia="zh-CN"/>
        </w:rPr>
        <w:instrText xml:space="preserve"> HYPERLINK \l _Toc14693 </w:instrText>
      </w:r>
      <w:r>
        <w:rPr>
          <w:rFonts w:hint="default" w:ascii="Arial" w:hAnsi="Arial" w:cs="Arial"/>
          <w:bCs/>
          <w:szCs w:val="24"/>
          <w:lang w:val="en-US" w:eastAsia="zh-CN"/>
        </w:rPr>
        <w:fldChar w:fldCharType="separate"/>
      </w:r>
      <w:r>
        <w:rPr>
          <w:rFonts w:hint="default" w:ascii="Arial" w:hAnsi="Arial" w:cs="Arial"/>
          <w:szCs w:val="22"/>
          <w:lang w:val="en-US" w:eastAsia="zh-CN"/>
        </w:rPr>
        <w:t>1.0 Ethics, Morality and Law</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_Toc14693 \h </w:instrText>
      </w:r>
      <w:r>
        <w:rPr>
          <w:rFonts w:hint="default" w:ascii="Arial" w:hAnsi="Arial" w:cs="Arial"/>
        </w:rPr>
        <w:fldChar w:fldCharType="separate"/>
      </w:r>
      <w:r>
        <w:rPr>
          <w:rFonts w:hint="default" w:ascii="Arial" w:hAnsi="Arial" w:cs="Arial"/>
        </w:rPr>
        <w:t>22</w:t>
      </w:r>
      <w:r>
        <w:rPr>
          <w:rFonts w:hint="default" w:ascii="Arial" w:hAnsi="Arial" w:cs="Arial"/>
        </w:rPr>
        <w:fldChar w:fldCharType="end"/>
      </w:r>
      <w:r>
        <w:rPr>
          <w:rFonts w:hint="default" w:ascii="Arial" w:hAnsi="Arial" w:cs="Arial"/>
          <w:bCs/>
          <w:szCs w:val="24"/>
          <w:lang w:val="en-US" w:eastAsia="zh-CN"/>
        </w:rPr>
        <w:fldChar w:fldCharType="end"/>
      </w:r>
    </w:p>
    <w:p>
      <w:pPr>
        <w:pStyle w:val="9"/>
        <w:tabs>
          <w:tab w:val="right" w:leader="dot" w:pos="8306"/>
        </w:tabs>
        <w:rPr>
          <w:rFonts w:hint="default" w:ascii="Arial" w:hAnsi="Arial" w:cs="Arial"/>
        </w:rPr>
      </w:pPr>
      <w:r>
        <w:rPr>
          <w:rFonts w:hint="default" w:ascii="Arial" w:hAnsi="Arial" w:cs="Arial"/>
          <w:bCs/>
          <w:szCs w:val="24"/>
          <w:lang w:val="en-US" w:eastAsia="zh-CN"/>
        </w:rPr>
        <w:fldChar w:fldCharType="begin"/>
      </w:r>
      <w:r>
        <w:rPr>
          <w:rFonts w:hint="default" w:ascii="Arial" w:hAnsi="Arial" w:cs="Arial"/>
          <w:bCs/>
          <w:szCs w:val="24"/>
          <w:lang w:val="en-US" w:eastAsia="zh-CN"/>
        </w:rPr>
        <w:instrText xml:space="preserve"> HYPERLINK \l _Toc11478 </w:instrText>
      </w:r>
      <w:r>
        <w:rPr>
          <w:rFonts w:hint="default" w:ascii="Arial" w:hAnsi="Arial" w:cs="Arial"/>
          <w:bCs/>
          <w:szCs w:val="24"/>
          <w:lang w:val="en-US" w:eastAsia="zh-CN"/>
        </w:rPr>
        <w:fldChar w:fldCharType="separate"/>
      </w:r>
      <w:r>
        <w:rPr>
          <w:rFonts w:hint="default" w:ascii="Arial" w:hAnsi="Arial" w:cs="Arial"/>
          <w:szCs w:val="22"/>
          <w:lang w:val="en-US" w:eastAsia="zh-CN"/>
        </w:rPr>
        <w:t>2.0 Ethical Codes and Corporate Responsibility</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_Toc11478 \h </w:instrText>
      </w:r>
      <w:r>
        <w:rPr>
          <w:rFonts w:hint="default" w:ascii="Arial" w:hAnsi="Arial" w:cs="Arial"/>
        </w:rPr>
        <w:fldChar w:fldCharType="separate"/>
      </w:r>
      <w:r>
        <w:rPr>
          <w:rFonts w:hint="default" w:ascii="Arial" w:hAnsi="Arial" w:cs="Arial"/>
        </w:rPr>
        <w:t>22</w:t>
      </w:r>
      <w:r>
        <w:rPr>
          <w:rFonts w:hint="default" w:ascii="Arial" w:hAnsi="Arial" w:cs="Arial"/>
        </w:rPr>
        <w:fldChar w:fldCharType="end"/>
      </w:r>
      <w:r>
        <w:rPr>
          <w:rFonts w:hint="default" w:ascii="Arial" w:hAnsi="Arial" w:cs="Arial"/>
          <w:bCs/>
          <w:szCs w:val="24"/>
          <w:lang w:val="en-US" w:eastAsia="zh-CN"/>
        </w:rPr>
        <w:fldChar w:fldCharType="end"/>
      </w:r>
    </w:p>
    <w:p>
      <w:pPr>
        <w:pStyle w:val="9"/>
        <w:tabs>
          <w:tab w:val="right" w:leader="dot" w:pos="8306"/>
        </w:tabs>
        <w:rPr>
          <w:rFonts w:hint="default" w:ascii="Arial" w:hAnsi="Arial" w:cs="Arial"/>
        </w:rPr>
      </w:pPr>
      <w:r>
        <w:rPr>
          <w:rFonts w:hint="default" w:ascii="Arial" w:hAnsi="Arial" w:cs="Arial"/>
          <w:bCs/>
          <w:szCs w:val="24"/>
          <w:lang w:val="en-US" w:eastAsia="zh-CN"/>
        </w:rPr>
        <w:fldChar w:fldCharType="begin"/>
      </w:r>
      <w:r>
        <w:rPr>
          <w:rFonts w:hint="default" w:ascii="Arial" w:hAnsi="Arial" w:cs="Arial"/>
          <w:bCs/>
          <w:szCs w:val="24"/>
          <w:lang w:val="en-US" w:eastAsia="zh-CN"/>
        </w:rPr>
        <w:instrText xml:space="preserve"> HYPERLINK \l _Toc4146 </w:instrText>
      </w:r>
      <w:r>
        <w:rPr>
          <w:rFonts w:hint="default" w:ascii="Arial" w:hAnsi="Arial" w:cs="Arial"/>
          <w:bCs/>
          <w:szCs w:val="24"/>
          <w:lang w:val="en-US" w:eastAsia="zh-CN"/>
        </w:rPr>
        <w:fldChar w:fldCharType="separate"/>
      </w:r>
      <w:r>
        <w:rPr>
          <w:rFonts w:hint="default" w:ascii="Arial" w:hAnsi="Arial" w:cs="Arial"/>
          <w:szCs w:val="22"/>
          <w:lang w:val="en-US" w:eastAsia="zh-CN"/>
        </w:rPr>
        <w:t>3.0 PERI Table</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_Toc4146 \h </w:instrText>
      </w:r>
      <w:r>
        <w:rPr>
          <w:rFonts w:hint="default" w:ascii="Arial" w:hAnsi="Arial" w:cs="Arial"/>
        </w:rPr>
        <w:fldChar w:fldCharType="separate"/>
      </w:r>
      <w:r>
        <w:rPr>
          <w:rFonts w:hint="default" w:ascii="Arial" w:hAnsi="Arial" w:cs="Arial"/>
        </w:rPr>
        <w:t>24</w:t>
      </w:r>
      <w:r>
        <w:rPr>
          <w:rFonts w:hint="default" w:ascii="Arial" w:hAnsi="Arial" w:cs="Arial"/>
        </w:rPr>
        <w:fldChar w:fldCharType="end"/>
      </w:r>
      <w:r>
        <w:rPr>
          <w:rFonts w:hint="default" w:ascii="Arial" w:hAnsi="Arial" w:cs="Arial"/>
          <w:bCs/>
          <w:szCs w:val="24"/>
          <w:lang w:val="en-US" w:eastAsia="zh-CN"/>
        </w:rPr>
        <w:fldChar w:fldCharType="end"/>
      </w:r>
    </w:p>
    <w:p>
      <w:pPr>
        <w:pStyle w:val="9"/>
        <w:tabs>
          <w:tab w:val="right" w:leader="dot" w:pos="8306"/>
        </w:tabs>
        <w:rPr>
          <w:rFonts w:hint="default" w:ascii="Arial" w:hAnsi="Arial" w:cs="Arial"/>
        </w:rPr>
      </w:pPr>
      <w:r>
        <w:rPr>
          <w:rFonts w:hint="default" w:ascii="Arial" w:hAnsi="Arial" w:cs="Arial"/>
          <w:bCs/>
          <w:szCs w:val="24"/>
          <w:lang w:val="en-US" w:eastAsia="zh-CN"/>
        </w:rPr>
        <w:fldChar w:fldCharType="begin"/>
      </w:r>
      <w:r>
        <w:rPr>
          <w:rFonts w:hint="default" w:ascii="Arial" w:hAnsi="Arial" w:cs="Arial"/>
          <w:bCs/>
          <w:szCs w:val="24"/>
          <w:lang w:val="en-US" w:eastAsia="zh-CN"/>
        </w:rPr>
        <w:instrText xml:space="preserve"> HYPERLINK \l _Toc3139 </w:instrText>
      </w:r>
      <w:r>
        <w:rPr>
          <w:rFonts w:hint="default" w:ascii="Arial" w:hAnsi="Arial" w:cs="Arial"/>
          <w:bCs/>
          <w:szCs w:val="24"/>
          <w:lang w:val="en-US" w:eastAsia="zh-CN"/>
        </w:rPr>
        <w:fldChar w:fldCharType="separate"/>
      </w:r>
      <w:r>
        <w:rPr>
          <w:rFonts w:hint="default" w:ascii="Arial" w:hAnsi="Arial" w:cs="Arial"/>
          <w:szCs w:val="22"/>
          <w:lang w:val="en-US" w:eastAsia="zh-CN"/>
        </w:rPr>
        <w:t>4.0 Religious groups' stand on abortion</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_Toc3139 \h </w:instrText>
      </w:r>
      <w:r>
        <w:rPr>
          <w:rFonts w:hint="default" w:ascii="Arial" w:hAnsi="Arial" w:cs="Arial"/>
        </w:rPr>
        <w:fldChar w:fldCharType="separate"/>
      </w:r>
      <w:r>
        <w:rPr>
          <w:rFonts w:hint="default" w:ascii="Arial" w:hAnsi="Arial" w:cs="Arial"/>
        </w:rPr>
        <w:t>28</w:t>
      </w:r>
      <w:r>
        <w:rPr>
          <w:rFonts w:hint="default" w:ascii="Arial" w:hAnsi="Arial" w:cs="Arial"/>
        </w:rPr>
        <w:fldChar w:fldCharType="end"/>
      </w:r>
      <w:r>
        <w:rPr>
          <w:rFonts w:hint="default" w:ascii="Arial" w:hAnsi="Arial" w:cs="Arial"/>
          <w:bCs/>
          <w:szCs w:val="24"/>
          <w:lang w:val="en-US" w:eastAsia="zh-CN"/>
        </w:rPr>
        <w:fldChar w:fldCharType="end"/>
      </w:r>
    </w:p>
    <w:p>
      <w:pPr>
        <w:pStyle w:val="9"/>
        <w:tabs>
          <w:tab w:val="right" w:leader="dot" w:pos="8306"/>
        </w:tabs>
        <w:rPr>
          <w:rFonts w:hint="default" w:ascii="Arial" w:hAnsi="Arial" w:cs="Arial"/>
        </w:rPr>
      </w:pPr>
      <w:r>
        <w:rPr>
          <w:rFonts w:hint="default" w:ascii="Arial" w:hAnsi="Arial" w:cs="Arial"/>
          <w:bCs/>
          <w:szCs w:val="24"/>
          <w:lang w:val="en-US" w:eastAsia="zh-CN"/>
        </w:rPr>
        <w:fldChar w:fldCharType="begin"/>
      </w:r>
      <w:r>
        <w:rPr>
          <w:rFonts w:hint="default" w:ascii="Arial" w:hAnsi="Arial" w:cs="Arial"/>
          <w:bCs/>
          <w:szCs w:val="24"/>
          <w:lang w:val="en-US" w:eastAsia="zh-CN"/>
        </w:rPr>
        <w:instrText xml:space="preserve"> HYPERLINK \l _Toc18446 </w:instrText>
      </w:r>
      <w:r>
        <w:rPr>
          <w:rFonts w:hint="default" w:ascii="Arial" w:hAnsi="Arial" w:cs="Arial"/>
          <w:bCs/>
          <w:szCs w:val="24"/>
          <w:lang w:val="en-US" w:eastAsia="zh-CN"/>
        </w:rPr>
        <w:fldChar w:fldCharType="separate"/>
      </w:r>
      <w:r>
        <w:rPr>
          <w:rFonts w:hint="default" w:ascii="Arial" w:hAnsi="Arial" w:cs="Arial"/>
          <w:szCs w:val="22"/>
          <w:lang w:val="en-US" w:eastAsia="zh-CN"/>
        </w:rPr>
        <w:t>5.0 ESG</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_Toc18446 \h </w:instrText>
      </w:r>
      <w:r>
        <w:rPr>
          <w:rFonts w:hint="default" w:ascii="Arial" w:hAnsi="Arial" w:cs="Arial"/>
        </w:rPr>
        <w:fldChar w:fldCharType="separate"/>
      </w:r>
      <w:r>
        <w:rPr>
          <w:rFonts w:hint="default" w:ascii="Arial" w:hAnsi="Arial" w:cs="Arial"/>
        </w:rPr>
        <w:t>29</w:t>
      </w:r>
      <w:r>
        <w:rPr>
          <w:rFonts w:hint="default" w:ascii="Arial" w:hAnsi="Arial" w:cs="Arial"/>
        </w:rPr>
        <w:fldChar w:fldCharType="end"/>
      </w:r>
      <w:r>
        <w:rPr>
          <w:rFonts w:hint="default" w:ascii="Arial" w:hAnsi="Arial" w:cs="Arial"/>
          <w:bCs/>
          <w:szCs w:val="24"/>
          <w:lang w:val="en-US" w:eastAsia="zh-CN"/>
        </w:rPr>
        <w:fldChar w:fldCharType="end"/>
      </w:r>
    </w:p>
    <w:p>
      <w:pPr>
        <w:pStyle w:val="9"/>
        <w:tabs>
          <w:tab w:val="right" w:leader="dot" w:pos="8306"/>
        </w:tabs>
        <w:rPr>
          <w:rFonts w:hint="default" w:ascii="Arial" w:hAnsi="Arial" w:cs="Arial"/>
        </w:rPr>
      </w:pPr>
      <w:r>
        <w:rPr>
          <w:rFonts w:hint="default" w:ascii="Arial" w:hAnsi="Arial" w:cs="Arial"/>
          <w:bCs/>
          <w:szCs w:val="24"/>
          <w:lang w:val="en-US" w:eastAsia="zh-CN"/>
        </w:rPr>
        <w:fldChar w:fldCharType="begin"/>
      </w:r>
      <w:r>
        <w:rPr>
          <w:rFonts w:hint="default" w:ascii="Arial" w:hAnsi="Arial" w:cs="Arial"/>
          <w:bCs/>
          <w:szCs w:val="24"/>
          <w:lang w:val="en-US" w:eastAsia="zh-CN"/>
        </w:rPr>
        <w:instrText xml:space="preserve"> HYPERLINK \l _Toc23907 </w:instrText>
      </w:r>
      <w:r>
        <w:rPr>
          <w:rFonts w:hint="default" w:ascii="Arial" w:hAnsi="Arial" w:cs="Arial"/>
          <w:bCs/>
          <w:szCs w:val="24"/>
          <w:lang w:val="en-US" w:eastAsia="zh-CN"/>
        </w:rPr>
        <w:fldChar w:fldCharType="separate"/>
      </w:r>
      <w:r>
        <w:rPr>
          <w:rFonts w:hint="default" w:ascii="Arial" w:hAnsi="Arial" w:cs="Arial"/>
          <w:szCs w:val="22"/>
          <w:lang w:val="en-US" w:eastAsia="zh-CN"/>
        </w:rPr>
        <w:t>6.0 CSR</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_Toc23907 \h </w:instrText>
      </w:r>
      <w:r>
        <w:rPr>
          <w:rFonts w:hint="default" w:ascii="Arial" w:hAnsi="Arial" w:cs="Arial"/>
        </w:rPr>
        <w:fldChar w:fldCharType="separate"/>
      </w:r>
      <w:r>
        <w:rPr>
          <w:rFonts w:hint="default" w:ascii="Arial" w:hAnsi="Arial" w:cs="Arial"/>
        </w:rPr>
        <w:t>31</w:t>
      </w:r>
      <w:r>
        <w:rPr>
          <w:rFonts w:hint="default" w:ascii="Arial" w:hAnsi="Arial" w:cs="Arial"/>
        </w:rPr>
        <w:fldChar w:fldCharType="end"/>
      </w:r>
      <w:r>
        <w:rPr>
          <w:rFonts w:hint="default" w:ascii="Arial" w:hAnsi="Arial" w:cs="Arial"/>
          <w:bCs/>
          <w:szCs w:val="24"/>
          <w:lang w:val="en-US" w:eastAsia="zh-CN"/>
        </w:rPr>
        <w:fldChar w:fldCharType="end"/>
      </w:r>
    </w:p>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lang w:val="en-US" w:eastAsia="zh-CN"/>
        </w:rPr>
      </w:pPr>
      <w:r>
        <w:rPr>
          <w:rFonts w:hint="default" w:ascii="Arial" w:hAnsi="Arial" w:cs="Arial"/>
          <w:bCs/>
          <w:szCs w:val="24"/>
          <w:lang w:val="en-US" w:eastAsia="zh-CN"/>
        </w:rPr>
        <w:fldChar w:fldCharType="end"/>
      </w:r>
    </w:p>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lang w:val="en-US" w:eastAsia="zh-CN"/>
        </w:rPr>
      </w:pPr>
    </w:p>
    <w:p>
      <w:pPr>
        <w:pStyle w:val="2"/>
        <w:pageBreakBefore w:val="0"/>
        <w:kinsoku/>
        <w:wordWrap/>
        <w:overflowPunct/>
        <w:topLinePunct w:val="0"/>
        <w:autoSpaceDE/>
        <w:autoSpaceDN/>
        <w:bidi w:val="0"/>
        <w:adjustRightInd/>
        <w:snapToGrid/>
        <w:spacing w:line="480" w:lineRule="auto"/>
        <w:jc w:val="both"/>
        <w:textAlignment w:val="auto"/>
        <w:rPr>
          <w:rFonts w:hint="default" w:ascii="Arial" w:hAnsi="Arial" w:cs="Arial"/>
          <w:sz w:val="32"/>
          <w:szCs w:val="32"/>
          <w:lang w:val="en-US" w:eastAsia="zh-CN"/>
        </w:rPr>
      </w:pPr>
      <w:bookmarkStart w:id="2" w:name="_Toc11490"/>
      <w:r>
        <w:rPr>
          <w:rFonts w:hint="default" w:ascii="Arial" w:hAnsi="Arial" w:cs="Arial"/>
          <w:sz w:val="32"/>
          <w:szCs w:val="32"/>
        </w:rPr>
        <w:t>Introduction</w:t>
      </w:r>
      <w:bookmarkEnd w:id="2"/>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lang w:val="en-US" w:eastAsia="zh-CN"/>
        </w:rPr>
      </w:pPr>
      <w:r>
        <w:rPr>
          <w:rFonts w:hint="default" w:ascii="Arial" w:hAnsi="Arial" w:cs="Arial"/>
          <w:bCs/>
          <w:sz w:val="24"/>
          <w:szCs w:val="24"/>
          <w:lang w:val="en-US" w:eastAsia="zh-CN"/>
        </w:rPr>
        <w:t>During this era, businesses have maximised profits as their main objective because it satisfies people's daily needs (Hollensbe et al., 2014). The word greed refers to the desire for something better and can never be satisfied (Uhlhaas, 2007). For entrepreneurs, this may be a good thing because greed can bring the desire to seek more opportunities, but greed can also make people blinded by profit. If an entrepreneur has made £100 million he has the right to decide to donate to help others or put the profits into his own pocket. How would a business balance greed and morals is an ethical question worth thinking about.</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highlight w:val="yellow"/>
          <w:lang w:val="en-US" w:eastAsia="zh-CN"/>
        </w:rPr>
      </w:pPr>
      <w:r>
        <w:rPr>
          <w:rFonts w:hint="default" w:ascii="Arial" w:hAnsi="Arial" w:cs="Arial"/>
          <w:bCs/>
          <w:sz w:val="24"/>
          <w:szCs w:val="24"/>
          <w:lang w:val="en-US" w:eastAsia="zh-CN"/>
        </w:rPr>
        <w:t>Ethics refers to the general standard of behaviour that each individual has for their personal and professional life. Through this standard it is possible to assess whether an individual's behaviour and public reputation possesses honesty, empathy, trustworthiness, and other virtues (Byars and Stanberry, 2018, pp. 13-14). Ethics can be used to judge right and wrong behaviours through general principles, whereas Morals are applicable to judge particular and culturally transmitted standards, so they are applicable to personal and professional interactions respectively (SHRM, 2016). Learn more see Appendix 1: Ethics, Morality and Law.</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lang w:val="en-US" w:eastAsia="zh-CN"/>
        </w:rPr>
      </w:pPr>
      <w:r>
        <w:rPr>
          <w:rFonts w:hint="default" w:ascii="Arial" w:hAnsi="Arial" w:cs="Arial"/>
          <w:bCs/>
          <w:sz w:val="24"/>
          <w:szCs w:val="24"/>
          <w:lang w:val="en-US" w:eastAsia="zh-CN"/>
        </w:rPr>
        <w:t>Every business has a different business model and size, but they all share a common objective of adding value to their customer base. All businesses have unique values, but the essence of a business is to convene a team to produce goods, sell goods, and serve customers for profit. Therefore, businesses can be classified into for-profit and non-profit organisations, charities are organisations that thrive on serving the community and they invest their profits into social objectives (Hollensbe et al., 2014). According to NPT UK data website, the global charity market is estimated at £182 billion. In 2018-2019, the top 50 corporate foundations gave £230 million, an increase of 12.5 per cent (NPT UK, 2018). This shows that globalisation is appealing to people to be charitable, and the companies with strong capabilities have all set up foundations to invest in social purposes. This shows that the success of a company requires strong business capabilities as well as regulating ethical code of conduct.</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lang w:val="en-US" w:eastAsia="zh-CN"/>
        </w:rPr>
      </w:pPr>
      <w:r>
        <w:rPr>
          <w:rFonts w:hint="default" w:ascii="Arial" w:hAnsi="Arial" w:cs="Arial"/>
          <w:bCs/>
          <w:sz w:val="24"/>
          <w:szCs w:val="24"/>
          <w:lang w:val="en-US" w:eastAsia="zh-CN"/>
        </w:rPr>
        <w:t>The ethical code contains a set of rules of conduct and corporate principles regarding the responsibility of the company towards its stakeholders and shareholders (Calderón, Ferrero and Redin, 2017). To learn more see Appendix 2: Ethical codes and corporate responsibility.This code regulates the standard behaviour of the corporate team and employees also helps managers to understand that the reinforcement of the corporate code of ethics contributes to the respect of the company by the society.</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lang w:val="en-US" w:eastAsia="zh-CN"/>
        </w:rPr>
      </w:pPr>
      <w:r>
        <w:rPr>
          <w:rFonts w:hint="default" w:ascii="Arial" w:hAnsi="Arial" w:cs="Arial"/>
          <w:bCs/>
          <w:sz w:val="24"/>
          <w:szCs w:val="24"/>
          <w:lang w:val="en-US" w:eastAsia="zh-CN"/>
        </w:rPr>
        <w:t>According to Philanthropy and the Global Economy, companies that generate community good may receive a higher percentage of profits because modern society is empathetic and responsible for the common good, so the future of the company may be to fulfil an ethical code of conduct towards the community with charitable donations and social outreach activities (Pitt, Thompson and Kardos , 2021). The basic ethical practices for business in modern society include doing no harm to the interests of others and protecting the environment. According to PERI data, many contemporary chemical, industrial, food, and clothing industries pollute water resources (Baylor, 2022). View Appendix 3: PERI Tables. According to the Water pollution studies, global freshwater sources are affected by pollutants from a variety of fields, which contributes to the increasing threat to human and wildlife health as well. The study shows that the common pollutant in tap water is called PFAS, short for poly and perfluoroalkyl substances, which are used to make everyday items resistant to moisture, heat and stains, such as plastic products (Nunez, 2010). The purpose of this research paper is to regulate more ethical guidelines for businesses to reduce the production of pollutants and to cooperate with policies that protect nature. Modern society will place more value on a company's contribution to society and ethics, not purely on brand recognition.</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lang w:val="en-US" w:eastAsia="zh-CN"/>
        </w:rPr>
      </w:pPr>
      <w:r>
        <w:rPr>
          <w:rFonts w:hint="default" w:ascii="Arial" w:hAnsi="Arial" w:cs="Arial"/>
          <w:bCs/>
          <w:sz w:val="24"/>
          <w:szCs w:val="24"/>
          <w:lang w:val="en-US" w:eastAsia="zh-CN"/>
        </w:rPr>
        <w:t>The nature of ethical decisions includes Business Ethics, Normative Ethical Theory, Deontology, Teleology, Virtue, Shareholders Theory and Stakeholders Theory. These theories help businesses to understand ethical guidelines and unethical behaviour, so business managers can read the article to get a deeper idea of the pros and cons of greed. The article also uses many business cases as references, which include the Ponzi scheme, the Trolley Problem, and the Ford Pinto Case to help managers understand on a deeper basis.</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lang w:val="en-US" w:eastAsia="zh-CN"/>
        </w:rPr>
      </w:pPr>
    </w:p>
    <w:p>
      <w:pPr>
        <w:pStyle w:val="2"/>
        <w:pageBreakBefore w:val="0"/>
        <w:kinsoku/>
        <w:wordWrap/>
        <w:overflowPunct/>
        <w:topLinePunct w:val="0"/>
        <w:autoSpaceDE/>
        <w:autoSpaceDN/>
        <w:bidi w:val="0"/>
        <w:adjustRightInd/>
        <w:snapToGrid/>
        <w:spacing w:line="480" w:lineRule="auto"/>
        <w:jc w:val="both"/>
        <w:textAlignment w:val="auto"/>
        <w:rPr>
          <w:rFonts w:hint="default" w:ascii="Arial" w:hAnsi="Arial" w:cs="Arial"/>
          <w:sz w:val="32"/>
          <w:szCs w:val="32"/>
          <w:lang w:val="en-US" w:eastAsia="zh-CN"/>
        </w:rPr>
      </w:pPr>
      <w:bookmarkStart w:id="3" w:name="_Toc29960"/>
      <w:r>
        <w:rPr>
          <w:rFonts w:hint="default" w:ascii="Arial" w:hAnsi="Arial" w:cs="Arial"/>
          <w:sz w:val="32"/>
          <w:szCs w:val="32"/>
          <w:lang w:val="en-US" w:eastAsia="zh-CN"/>
        </w:rPr>
        <w:t>The Nature of Ethical Decisions</w:t>
      </w:r>
      <w:bookmarkEnd w:id="3"/>
    </w:p>
    <w:p>
      <w:pPr>
        <w:pStyle w:val="3"/>
        <w:pageBreakBefore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lang w:val="en-US" w:eastAsia="zh-CN"/>
        </w:rPr>
      </w:pPr>
      <w:bookmarkStart w:id="4" w:name="_Toc27894"/>
      <w:r>
        <w:rPr>
          <w:rFonts w:hint="default" w:ascii="Arial" w:hAnsi="Arial" w:cs="Arial"/>
          <w:sz w:val="28"/>
          <w:szCs w:val="28"/>
          <w:lang w:val="en-US" w:eastAsia="zh-CN"/>
        </w:rPr>
        <w:t>1.0 Business Ethics</w:t>
      </w:r>
      <w:bookmarkEnd w:id="4"/>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highlight w:val="none"/>
          <w:lang w:val="en-US" w:eastAsia="zh-CN"/>
        </w:rPr>
      </w:pPr>
      <w:r>
        <w:rPr>
          <w:rFonts w:hint="default" w:ascii="Arial" w:hAnsi="Arial" w:eastAsia="宋体" w:cs="Arial"/>
          <w:sz w:val="24"/>
          <w:szCs w:val="24"/>
          <w:highlight w:val="none"/>
          <w:lang w:val="en-US" w:eastAsia="zh-CN"/>
        </w:rPr>
        <w:t>According to the Business Ethics study, business ethics focuses on the implementation of appropriate business policies and practices on controversial topics. Generally, it is the local government that issues legal policies to guide the code of business ethics, which can regulate corporate governance, insider trading, bribery, discrimination, corporate social responsibility, and fiduciary responsibility (Drucker, 1981). This code is expected to follow the basic guidelines of business ethics for every business that wants to be recognised by the public. Peter Drucker, a successful business professional, stated that "business ethics is a fad (Ciulla, 1991)." This means that all contemporary entrepreneurs should go for good personal character and care about their appearance as much as they do about the suits they wear every day. The executives of a company have authority and their behaviour can represent the public's perception of a positive image of the company.</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lang w:val="en-US" w:eastAsia="zh-CN"/>
        </w:rPr>
      </w:pPr>
      <w:r>
        <w:rPr>
          <w:rFonts w:hint="default" w:ascii="Arial" w:hAnsi="Arial" w:cs="Arial"/>
          <w:bCs/>
          <w:sz w:val="24"/>
          <w:szCs w:val="24"/>
          <w:lang w:val="en-US" w:eastAsia="zh-CN"/>
        </w:rPr>
        <w:t>In addition, companies that fail to fulfil their social ethics and responsibilities will be besieged by journalists who will publicise these unscrupulous business organisations. This can lead to a loss of credibility and make it difficult to restore corporate image and consumer confidence. Businesses that break the law and engage in unethical behaviour can cause harmful behaviour to employees and customers, and company executives can face criminal charges, most notably in the case of the Ponzi scheme. A Ponzi scheme is a financial fraud that lures users under the guise of high profits. According to survey data, victims were approx 5000 and the losses around $65 billion, which works out to about $13 million from each client (Bartoletti et al., 2020). In 2009, the judge sentenced Charles Ponzi to 150 years in prison and his sons died for the incident (Bartoletti et al., 2020). The judgement in this case is a warning that businesses that do not follow the rules of doing business and commit offences are subject to the jurisdiction of the government and are required to pay huge fines and even life in prison.</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lang w:val="en-US" w:eastAsia="zh-CN"/>
        </w:rPr>
      </w:pPr>
      <w:r>
        <w:rPr>
          <w:rFonts w:hint="default" w:ascii="Arial" w:hAnsi="Arial" w:cs="Arial"/>
          <w:bCs/>
          <w:sz w:val="24"/>
          <w:szCs w:val="24"/>
          <w:lang w:val="en-US" w:eastAsia="zh-CN"/>
        </w:rPr>
        <w:t>According to Journal of Business Ethics, professionals believe that most businesses engage in unethical behaviour because managers lack operating principles or they abandon them in the face of competitive pressures from the external environment (Ludwig and Longenecker, 1993). This suggests that setting a good business objective in a company is helpful to both employees and managers, while a reasonable distribution of workload can reduce employee stress. A good working environment prevents unethical behaviour because employees' personal work objectives are aligned with the business, so employees' loyalty to the business increases. Also, managers should provide business training and ethical training to employees on an ongoing basis and monitor employee performance appraisals to reduce unethical behaviour (Zeiger, 2019).</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lang w:val="en-US" w:eastAsia="zh-CN"/>
        </w:rPr>
      </w:pPr>
    </w:p>
    <w:p>
      <w:pPr>
        <w:pStyle w:val="3"/>
        <w:pageBreakBefore w:val="0"/>
        <w:kinsoku/>
        <w:wordWrap/>
        <w:overflowPunct/>
        <w:topLinePunct w:val="0"/>
        <w:autoSpaceDE/>
        <w:autoSpaceDN/>
        <w:bidi w:val="0"/>
        <w:adjustRightInd/>
        <w:snapToGrid/>
        <w:spacing w:line="480" w:lineRule="auto"/>
        <w:jc w:val="both"/>
        <w:textAlignment w:val="auto"/>
        <w:rPr>
          <w:rFonts w:hint="default" w:ascii="Arial" w:hAnsi="Arial" w:cs="Arial"/>
          <w:sz w:val="28"/>
          <w:szCs w:val="28"/>
          <w:lang w:val="en-US" w:eastAsia="zh-CN"/>
        </w:rPr>
      </w:pPr>
      <w:bookmarkStart w:id="5" w:name="_Toc15865"/>
      <w:r>
        <w:rPr>
          <w:rFonts w:hint="default" w:ascii="Arial" w:hAnsi="Arial" w:cs="Arial"/>
          <w:sz w:val="28"/>
          <w:szCs w:val="28"/>
          <w:lang w:val="en-US" w:eastAsia="zh-CN"/>
        </w:rPr>
        <w:t>2.0 Normative Ethical Theory</w:t>
      </w:r>
      <w:bookmarkEnd w:id="5"/>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lang w:val="en-US" w:eastAsia="zh-CN"/>
        </w:rPr>
      </w:pPr>
      <w:r>
        <w:rPr>
          <w:rFonts w:hint="default" w:ascii="Arial" w:hAnsi="Arial" w:cs="Arial"/>
          <w:sz w:val="24"/>
          <w:szCs w:val="24"/>
          <w:highlight w:val="none"/>
          <w:lang w:val="en-US" w:eastAsia="zh-CN"/>
        </w:rPr>
        <w:t>Normative ethics is mainly concerned with stating and defending the most basic moral principles such as rights, duties, virtues, or traits found in other people (Hasnas, 2015). Normative would just tell people the most conventional right way to do things, and they care more about duties and rules, so this falls under Individualism. "Milton Friedman's idea was that individuals were the best judge of their own interests (Mcmurray, 2016)." This shows that Friedman wanted everyone to pursue the objectives they wanted, which would achieve the best results for the society they belonged to. Descriptive is telling people the right thing to do by describing things when they care more about the outcome, which is Utilitarianism. Jeremy Bentham suggests that people should judge whether it is the right or wrong decision based on the increase or decrease in the final welfare before they make any action (D'OLIMPIO, 2019). This suggests that Bentham is advocating for people to consider in advance what the consequences of doing the thing will be and that people should act in a way that maximises happiness and minimises pain and suffering. Normative Ethical Theory consists of three main strands which are deontology and teleology, and virtues or moral character.</w:t>
      </w:r>
    </w:p>
    <w:p>
      <w:pPr>
        <w:pStyle w:val="4"/>
        <w:pageBreakBefore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bookmarkStart w:id="6" w:name="_Toc25279"/>
      <w:r>
        <w:rPr>
          <w:rFonts w:hint="default" w:ascii="Arial" w:hAnsi="Arial" w:cs="Arial"/>
          <w:sz w:val="24"/>
          <w:szCs w:val="24"/>
          <w:lang w:val="en-US" w:eastAsia="zh-CN"/>
        </w:rPr>
        <w:t>2.1 Deontology Ethics</w:t>
      </w:r>
      <w:bookmarkEnd w:id="6"/>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Immanuel Kant proposes Deontology ethics as an ethical approach centred on rules and professional duties (White, 2009). His main point is not about the consequences that will arise but about fulfilling personal moral obligations in the process. For example, stealing is inherently wrong, even if you are hungry, it is still an act against the moral code. Kant's Categorical Imperative refers to an objective, rational, and unconditional principle. He argues that the most universal moral code is don't lie, don't steal, and don't cheat (McCombs School of Business, 2013). This idea points to the fact that all behaviour that is not ethical is irrational, such as the Ponzi scheme mentioned.Kant's moral law states that a person should always treat others with respect, and that a person should only act according to the rules that apply to each individual (McCombs School of Business, 2013). Moral principles vary greatly between countries, cultures and religions, such as the topic of abortion for women in various countries (Masci, 2016). Learn more view Appendix 4: Religious groups' stand on abortion.</w:t>
      </w:r>
    </w:p>
    <w:p>
      <w:pPr>
        <w:pStyle w:val="4"/>
        <w:pageBreakBefore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bookmarkStart w:id="7" w:name="_Toc9837"/>
      <w:r>
        <w:rPr>
          <w:rFonts w:hint="default" w:ascii="Arial" w:hAnsi="Arial" w:cs="Arial"/>
          <w:sz w:val="24"/>
          <w:szCs w:val="24"/>
          <w:lang w:val="en-US" w:eastAsia="zh-CN"/>
        </w:rPr>
        <w:t>2.2 Teleology Ethics</w:t>
      </w:r>
      <w:bookmarkEnd w:id="7"/>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bCs/>
          <w:sz w:val="24"/>
          <w:szCs w:val="24"/>
          <w:lang w:val="en-US" w:eastAsia="zh-CN"/>
        </w:rPr>
      </w:pPr>
      <w:r>
        <w:rPr>
          <w:rFonts w:hint="default" w:ascii="Arial" w:hAnsi="Arial" w:cs="Arial"/>
          <w:bCs/>
          <w:sz w:val="24"/>
          <w:szCs w:val="24"/>
          <w:lang w:val="en-US" w:eastAsia="zh-CN"/>
        </w:rPr>
        <w:t>Teleology ethics is a moral theory which derives responsibility or moral obligation from people's best or desirable goals (Viner, 1949). This ethic promotes the idea that it is right to choose the behaviour that will bring the greatest benefits to people, regardless of responsibility. Jeremy Bentham and JS Mill's explanation of utilitarianism is that the moral value of an act or event is determined solely by the consequences of that event (Viner, 1949). This suggests that utilitarianism is completely consequentialist because it allows people to analyse right and wrong through cost-benefit analysis and to disregard the process approach and only pursue the desired result. For example the Deontological view is that one should never kill, but in Teleological the view is that it depends on different situations.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bCs/>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sz w:val="24"/>
          <w:szCs w:val="24"/>
          <w:highlight w:val="yellow"/>
          <w:lang w:val="en-US" w:eastAsia="zh-CN"/>
        </w:rPr>
      </w:pPr>
      <w:r>
        <w:rPr>
          <w:rFonts w:hint="default" w:ascii="Arial" w:hAnsi="Arial" w:cs="Arial"/>
          <w:bCs/>
          <w:sz w:val="24"/>
          <w:szCs w:val="24"/>
          <w:lang w:val="en-US" w:eastAsia="zh-CN"/>
        </w:rPr>
        <w:t>According to the Trolley Problem case, in a situation where the trolley is out of control people will generally choose to save five people over one life (Thomson, 1985). Under the standpoint of utilitarianism, there are human lives on the left and right, and the most correct thing to do is to choose the least degree of sacrifice (Viner, 1949). This suggests that when business interests must be lost, people should choose the least degree of harm and it is the ideal moral obligation to stop in time.</w:t>
      </w:r>
    </w:p>
    <w:p>
      <w:pPr>
        <w:pStyle w:val="4"/>
        <w:pageBreakBefore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bookmarkStart w:id="8" w:name="_Toc6415"/>
      <w:r>
        <w:rPr>
          <w:rFonts w:hint="default" w:ascii="Arial" w:hAnsi="Arial" w:cs="Arial"/>
          <w:sz w:val="24"/>
          <w:szCs w:val="24"/>
          <w:lang w:val="en-US" w:eastAsia="zh-CN"/>
        </w:rPr>
        <w:t>2.3 Virtues or Moral Character</w:t>
      </w:r>
      <w:bookmarkEnd w:id="8"/>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Aristotle proposes that there are four basic virtues included in the ethical scheme, which include Courage, Honesty, Temperance, and Justice. He believed that having these virtues would make a person good, happy and prosperous (Summers, 2022). This tells the idea that people's morality can also be reflected in having a good character, and that any choices people make are helping them to grow and learn.</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pStyle w:val="3"/>
        <w:pageBreakBefore w:val="0"/>
        <w:kinsoku/>
        <w:wordWrap/>
        <w:overflowPunct/>
        <w:topLinePunct w:val="0"/>
        <w:autoSpaceDE/>
        <w:autoSpaceDN/>
        <w:bidi w:val="0"/>
        <w:adjustRightInd/>
        <w:snapToGrid/>
        <w:spacing w:line="480" w:lineRule="auto"/>
        <w:jc w:val="both"/>
        <w:textAlignment w:val="auto"/>
        <w:rPr>
          <w:rFonts w:hint="default" w:ascii="Arial" w:hAnsi="Arial" w:eastAsia="Arial" w:cs="Arial"/>
          <w:i w:val="0"/>
          <w:iCs w:val="0"/>
          <w:caps w:val="0"/>
          <w:color w:val="202124"/>
          <w:spacing w:val="0"/>
          <w:sz w:val="24"/>
          <w:szCs w:val="24"/>
          <w:shd w:val="clear" w:fill="FFFFFF"/>
        </w:rPr>
      </w:pPr>
      <w:bookmarkStart w:id="9" w:name="_Toc19732"/>
      <w:r>
        <w:rPr>
          <w:rFonts w:hint="default" w:ascii="Arial" w:hAnsi="Arial" w:cs="Arial"/>
          <w:sz w:val="28"/>
          <w:szCs w:val="28"/>
          <w:lang w:val="en-US" w:eastAsia="zh-CN"/>
        </w:rPr>
        <w:t xml:space="preserve">3.0 Shareholders </w:t>
      </w:r>
      <w:r>
        <w:rPr>
          <w:rFonts w:hint="default" w:ascii="Arial" w:hAnsi="Arial" w:cs="Arial"/>
          <w:sz w:val="28"/>
          <w:szCs w:val="28"/>
          <w:lang w:val="en-US" w:eastAsia="zh-CN"/>
        </w:rPr>
        <w:fldChar w:fldCharType="begin"/>
      </w:r>
      <w:r>
        <w:rPr>
          <w:rFonts w:hint="default" w:ascii="Arial" w:hAnsi="Arial" w:cs="Arial"/>
          <w:sz w:val="28"/>
          <w:szCs w:val="28"/>
          <w:lang w:val="en-US" w:eastAsia="zh-CN"/>
        </w:rPr>
        <w:instrText xml:space="preserve"> HYPERLINK "https://www.google.com/search?sca_esv=578522338&amp;sxsrf=AM9HkKl516H5BLTuJwQh7B7YDdCKne2weA:1698856577904&amp;q=Shareholders+and+Stakeholders+Theory&amp;spell=1&amp;sa=X&amp;ved=2ahUKEwiEreb2naOCAxWSQEEAHf3vDCwQkeECKAB6BAgIEAE" </w:instrText>
      </w:r>
      <w:r>
        <w:rPr>
          <w:rFonts w:hint="default" w:ascii="Arial" w:hAnsi="Arial" w:cs="Arial"/>
          <w:sz w:val="28"/>
          <w:szCs w:val="28"/>
          <w:lang w:val="en-US" w:eastAsia="zh-CN"/>
        </w:rPr>
        <w:fldChar w:fldCharType="separate"/>
      </w:r>
      <w:r>
        <w:rPr>
          <w:rFonts w:hint="default" w:ascii="Arial" w:hAnsi="Arial" w:cs="Arial"/>
          <w:sz w:val="28"/>
          <w:szCs w:val="28"/>
          <w:lang w:val="en-US" w:eastAsia="zh-CN"/>
        </w:rPr>
        <w:t>Theory</w:t>
      </w:r>
      <w:r>
        <w:rPr>
          <w:rFonts w:hint="default" w:ascii="Arial" w:hAnsi="Arial" w:cs="Arial"/>
          <w:sz w:val="28"/>
          <w:szCs w:val="28"/>
          <w:lang w:val="en-US" w:eastAsia="zh-CN"/>
        </w:rPr>
        <w:fldChar w:fldCharType="end"/>
      </w:r>
      <w:r>
        <w:rPr>
          <w:rFonts w:hint="default" w:ascii="Arial" w:hAnsi="Arial" w:cs="Arial"/>
          <w:sz w:val="28"/>
          <w:szCs w:val="28"/>
          <w:lang w:val="en-US" w:eastAsia="zh-CN"/>
        </w:rPr>
        <w:t xml:space="preserve"> and Stakeholders </w:t>
      </w:r>
      <w:r>
        <w:rPr>
          <w:rFonts w:hint="default" w:ascii="Arial" w:hAnsi="Arial" w:cs="Arial"/>
          <w:sz w:val="28"/>
          <w:szCs w:val="28"/>
          <w:lang w:val="en-US" w:eastAsia="zh-CN"/>
        </w:rPr>
        <w:fldChar w:fldCharType="begin"/>
      </w:r>
      <w:r>
        <w:rPr>
          <w:rFonts w:hint="default" w:ascii="Arial" w:hAnsi="Arial" w:cs="Arial"/>
          <w:sz w:val="28"/>
          <w:szCs w:val="28"/>
          <w:lang w:val="en-US" w:eastAsia="zh-CN"/>
        </w:rPr>
        <w:instrText xml:space="preserve"> HYPERLINK "https://www.google.com/search?sca_esv=578522338&amp;sxsrf=AM9HkKl516H5BLTuJwQh7B7YDdCKne2weA:1698856577904&amp;q=Shareholders+and+Stakeholders+Theory&amp;spell=1&amp;sa=X&amp;ved=2ahUKEwiEreb2naOCAxWSQEEAHf3vDCwQkeECKAB6BAgIEAE" </w:instrText>
      </w:r>
      <w:r>
        <w:rPr>
          <w:rFonts w:hint="default" w:ascii="Arial" w:hAnsi="Arial" w:cs="Arial"/>
          <w:sz w:val="28"/>
          <w:szCs w:val="28"/>
          <w:lang w:val="en-US" w:eastAsia="zh-CN"/>
        </w:rPr>
        <w:fldChar w:fldCharType="separate"/>
      </w:r>
      <w:r>
        <w:rPr>
          <w:rFonts w:hint="default" w:ascii="Arial" w:hAnsi="Arial" w:cs="Arial"/>
          <w:sz w:val="28"/>
          <w:szCs w:val="28"/>
          <w:lang w:val="en-US" w:eastAsia="zh-CN"/>
        </w:rPr>
        <w:t>Theory</w:t>
      </w:r>
      <w:r>
        <w:rPr>
          <w:rFonts w:hint="default" w:ascii="Arial" w:hAnsi="Arial" w:cs="Arial"/>
          <w:sz w:val="28"/>
          <w:szCs w:val="28"/>
          <w:lang w:val="en-US" w:eastAsia="zh-CN"/>
        </w:rPr>
        <w:fldChar w:fldCharType="end"/>
      </w:r>
      <w:bookmarkEnd w:id="9"/>
    </w:p>
    <w:p>
      <w:pPr>
        <w:pStyle w:val="4"/>
        <w:pageBreakBefore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bookmarkStart w:id="10" w:name="_Toc32375"/>
      <w:r>
        <w:rPr>
          <w:rFonts w:hint="default" w:ascii="Arial" w:hAnsi="Arial" w:cs="Arial"/>
          <w:sz w:val="24"/>
          <w:szCs w:val="24"/>
          <w:lang w:val="en-US" w:eastAsia="zh-CN"/>
        </w:rPr>
        <w:t>3.1 Milton Friedman’s thought Process</w:t>
      </w:r>
      <w:bookmarkEnd w:id="10"/>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eastAsia="宋体" w:cs="Arial"/>
          <w:i w:val="0"/>
          <w:iCs w:val="0"/>
          <w:caps w:val="0"/>
          <w:color w:val="202124"/>
          <w:spacing w:val="0"/>
          <w:sz w:val="24"/>
          <w:szCs w:val="24"/>
          <w:highlight w:val="none"/>
          <w:shd w:val="clear" w:fill="FFFFFF"/>
          <w:lang w:val="en-US" w:eastAsia="zh-CN"/>
        </w:rPr>
      </w:pPr>
      <w:r>
        <w:rPr>
          <w:rFonts w:hint="default" w:ascii="Arial" w:hAnsi="Arial" w:eastAsia="宋体" w:cs="Arial"/>
          <w:i w:val="0"/>
          <w:iCs w:val="0"/>
          <w:caps w:val="0"/>
          <w:color w:val="202124"/>
          <w:spacing w:val="0"/>
          <w:sz w:val="24"/>
          <w:szCs w:val="24"/>
          <w:highlight w:val="none"/>
          <w:shd w:val="clear" w:fill="FFFFFF"/>
          <w:lang w:val="en-US" w:eastAsia="zh-CN"/>
        </w:rPr>
        <w:t>Shareholder Theory is represented by Milton Friedman, who believes that the only social responsibility of a company is to maximise the profits of its shareholders, and that the managers of a business have a moral responsibility to create significant value for all shareholders. Businesses only need to follow the rules and compete fairly and freely without making deceitful fraud (Tepper, 2020).</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eastAsia="宋体" w:cs="Arial"/>
          <w:i w:val="0"/>
          <w:iCs w:val="0"/>
          <w:caps w:val="0"/>
          <w:color w:val="202124"/>
          <w:spacing w:val="0"/>
          <w:sz w:val="24"/>
          <w:szCs w:val="24"/>
          <w:highlight w:val="none"/>
          <w:shd w:val="clear" w:fill="FFFFFF"/>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eastAsia="宋体" w:cs="Arial"/>
          <w:i w:val="0"/>
          <w:iCs w:val="0"/>
          <w:caps w:val="0"/>
          <w:color w:val="202124"/>
          <w:spacing w:val="0"/>
          <w:sz w:val="24"/>
          <w:szCs w:val="24"/>
          <w:highlight w:val="none"/>
          <w:shd w:val="clear" w:fill="FFFFFF"/>
          <w:lang w:val="en-US" w:eastAsia="zh-CN"/>
        </w:rPr>
      </w:pPr>
      <w:r>
        <w:rPr>
          <w:rFonts w:hint="default" w:ascii="Arial" w:hAnsi="Arial" w:eastAsia="宋体" w:cs="Arial"/>
          <w:i w:val="0"/>
          <w:iCs w:val="0"/>
          <w:caps w:val="0"/>
          <w:color w:val="202124"/>
          <w:spacing w:val="0"/>
          <w:sz w:val="24"/>
          <w:szCs w:val="24"/>
          <w:highlight w:val="none"/>
          <w:shd w:val="clear" w:fill="FFFFFF"/>
          <w:lang w:val="en-US" w:eastAsia="zh-CN"/>
        </w:rPr>
        <w:t>According to Friedman's thought process, if the manager says that the business should be socially responsible, the business will spend a lot of money to reduce the environmental pollution which will reduce the profit and harm the company's interest (Friedman, 1970). This suggests that Friedman decided to become greedy because greed brings greater benefits to the firm considering the fact that performing social responsibility requires compromising the firm's interests.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eastAsia="宋体" w:cs="Arial"/>
          <w:i w:val="0"/>
          <w:iCs w:val="0"/>
          <w:caps w:val="0"/>
          <w:color w:val="202124"/>
          <w:spacing w:val="0"/>
          <w:sz w:val="24"/>
          <w:szCs w:val="24"/>
          <w:highlight w:val="none"/>
          <w:shd w:val="clear" w:fill="FFFFFF"/>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sz w:val="24"/>
          <w:szCs w:val="24"/>
          <w:highlight w:val="none"/>
          <w:lang w:val="en-US" w:eastAsia="zh-CN"/>
        </w:rPr>
      </w:pPr>
      <w:r>
        <w:rPr>
          <w:rFonts w:hint="default" w:ascii="Arial" w:hAnsi="Arial" w:eastAsia="宋体" w:cs="Arial"/>
          <w:i w:val="0"/>
          <w:iCs w:val="0"/>
          <w:caps w:val="0"/>
          <w:color w:val="202124"/>
          <w:spacing w:val="0"/>
          <w:sz w:val="24"/>
          <w:szCs w:val="24"/>
          <w:highlight w:val="none"/>
          <w:shd w:val="clear" w:fill="FFFFFF"/>
          <w:lang w:val="en-US" w:eastAsia="zh-CN"/>
        </w:rPr>
        <w:t>In the Ford Pinto case, Lee Iacocca intentionally marketed defective cars in order for the Pinto to compete with other foreign car companies, which resulted in a large number of deaths and burns. Through Cost Benefit Analysis, paying for medical bills was less than going through safety alteration, so he was very determined to choose current gas tank (Lee, 1998). This case clearly demonstrates Shareholders Theory that they can make the customer's life as a cost in order to maximise profit. Of course, this is not permitted because it is against the law to stock substandard products and it is unethical to seek to harm the safety of others. This case serves as a reminder to businesses not to falsify their products as it is their responsibility and ethical to ensure the safety and quality of their products. If Lee Iacocca had been willing to use an Environmental, social and governance analysis, he would have repaired the faulty cars for the long-term benefit of the company. Learn more view Appendix 5: ESG (Peterdy and Miller, 2022).</w:t>
      </w:r>
    </w:p>
    <w:p>
      <w:pPr>
        <w:pStyle w:val="4"/>
        <w:pageBreakBefore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bookmarkStart w:id="11" w:name="_Toc28269"/>
      <w:r>
        <w:rPr>
          <w:rFonts w:hint="default" w:ascii="Arial" w:hAnsi="Arial" w:cs="Arial"/>
          <w:sz w:val="24"/>
          <w:szCs w:val="24"/>
          <w:lang w:val="en-US" w:eastAsia="zh-CN"/>
        </w:rPr>
        <w:t>3.2 R. Edward Freeman - Stakeholder Theory</w:t>
      </w:r>
      <w:bookmarkEnd w:id="11"/>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eastAsia="Arial" w:cs="Arial"/>
          <w:i w:val="0"/>
          <w:iCs w:val="0"/>
          <w:caps w:val="0"/>
          <w:color w:val="202124"/>
          <w:spacing w:val="0"/>
          <w:sz w:val="24"/>
          <w:szCs w:val="24"/>
          <w:shd w:val="clear" w:fill="FFFFFF"/>
        </w:rPr>
      </w:pPr>
      <w:r>
        <w:rPr>
          <w:rFonts w:hint="default" w:ascii="Arial" w:hAnsi="Arial" w:eastAsia="Arial" w:cs="Arial"/>
          <w:i w:val="0"/>
          <w:iCs w:val="0"/>
          <w:caps w:val="0"/>
          <w:color w:val="202124"/>
          <w:spacing w:val="0"/>
          <w:sz w:val="24"/>
          <w:szCs w:val="24"/>
          <w:shd w:val="clear" w:fill="FFFFFF"/>
        </w:rPr>
        <w:t>Stakeholders Theory is represented by R. Edward Freeman who proposed that companies should focus on corporate social responsibility and sustainable development. Learn more in Appendix 6: CSR (Reckmann, 2023). He was an opponent of the Shareholder Theory because he believed that profit should not be seen as the only measure of business success. He suggests that businesses should focus on social responsibility and the Stakeholders of the business such as customers, employees, investors, communities and other related organisations (Wright, 2023).</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eastAsia="Arial" w:cs="Arial"/>
          <w:i w:val="0"/>
          <w:iCs w:val="0"/>
          <w:caps w:val="0"/>
          <w:color w:val="202124"/>
          <w:spacing w:val="0"/>
          <w:sz w:val="24"/>
          <w:szCs w:val="24"/>
          <w:shd w:val="clear" w:fill="FFFFFF"/>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eastAsia="Arial" w:cs="Arial"/>
          <w:i w:val="0"/>
          <w:iCs w:val="0"/>
          <w:caps w:val="0"/>
          <w:color w:val="202124"/>
          <w:spacing w:val="0"/>
          <w:sz w:val="24"/>
          <w:szCs w:val="24"/>
          <w:shd w:val="clear" w:fill="FFFFFF"/>
        </w:rPr>
      </w:pPr>
      <w:r>
        <w:rPr>
          <w:rFonts w:hint="default" w:ascii="Arial" w:hAnsi="Arial" w:eastAsia="Arial" w:cs="Arial"/>
          <w:i w:val="0"/>
          <w:iCs w:val="0"/>
          <w:caps w:val="0"/>
          <w:color w:val="202124"/>
          <w:spacing w:val="0"/>
          <w:sz w:val="24"/>
          <w:szCs w:val="24"/>
          <w:shd w:val="clear" w:fill="FFFFFF"/>
        </w:rPr>
        <w:t>In the Shareholder Theory, a business would not spend extra money on charities or building public buildings in order to maximise profits.</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eastAsia="Arial" w:cs="Arial"/>
          <w:i w:val="0"/>
          <w:iCs w:val="0"/>
          <w:caps w:val="0"/>
          <w:color w:val="202124"/>
          <w:spacing w:val="0"/>
          <w:sz w:val="24"/>
          <w:szCs w:val="24"/>
          <w:shd w:val="clear" w:fill="FFFFFF"/>
        </w:rPr>
      </w:pPr>
      <w:r>
        <w:rPr>
          <w:rFonts w:hint="default" w:ascii="Arial" w:hAnsi="Arial" w:eastAsia="Arial" w:cs="Arial"/>
          <w:i w:val="0"/>
          <w:iCs w:val="0"/>
          <w:caps w:val="0"/>
          <w:color w:val="202124"/>
          <w:spacing w:val="0"/>
          <w:sz w:val="24"/>
          <w:szCs w:val="24"/>
          <w:shd w:val="clear" w:fill="FFFFFF"/>
        </w:rPr>
        <w:t>In Stakeholders Theory, if the staff of the company do not have medical support, then they will be sick and unable to work, which will cause the company's profit to be lost. Freeman would definitely recommend using the profits to build charitable facilities such as schools, hospitals, parks, etc. Companies should give and reward their employees to keep them happy so that the employees will work harder and be loyal to the company.</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eastAsia="Arial" w:cs="Arial"/>
          <w:i w:val="0"/>
          <w:iCs w:val="0"/>
          <w:caps w:val="0"/>
          <w:color w:val="202124"/>
          <w:spacing w:val="0"/>
          <w:sz w:val="24"/>
          <w:szCs w:val="24"/>
          <w:shd w:val="clear" w:fill="FFFFFF"/>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lang w:val="en-US" w:eastAsia="zh-CN"/>
        </w:rPr>
      </w:pPr>
      <w:r>
        <w:rPr>
          <w:rFonts w:hint="default" w:ascii="Arial" w:hAnsi="Arial" w:eastAsia="Arial" w:cs="Arial"/>
          <w:i w:val="0"/>
          <w:iCs w:val="0"/>
          <w:caps w:val="0"/>
          <w:color w:val="202124"/>
          <w:spacing w:val="0"/>
          <w:sz w:val="24"/>
          <w:szCs w:val="24"/>
          <w:shd w:val="clear" w:fill="FFFFFF"/>
        </w:rPr>
        <w:t>By comparison, this shows the benefits of Stakeholder Theory is caring for the individuals and organisations that have a relationship with the company and enforcing a social responsibility and ethical code that is recognised by the public. Companies achieving this will do so for a long time because their objective is to make long term profits and be sustainable.</w:t>
      </w:r>
    </w:p>
    <w:p>
      <w:pPr>
        <w:pStyle w:val="2"/>
        <w:pageBreakBefore w:val="0"/>
        <w:kinsoku/>
        <w:wordWrap/>
        <w:overflowPunct/>
        <w:topLinePunct w:val="0"/>
        <w:autoSpaceDE/>
        <w:autoSpaceDN/>
        <w:bidi w:val="0"/>
        <w:adjustRightInd/>
        <w:snapToGrid/>
        <w:spacing w:line="480" w:lineRule="auto"/>
        <w:jc w:val="both"/>
        <w:textAlignment w:val="auto"/>
        <w:rPr>
          <w:rFonts w:hint="default" w:ascii="Arial" w:hAnsi="Arial" w:cs="Arial"/>
          <w:sz w:val="32"/>
          <w:szCs w:val="32"/>
        </w:rPr>
      </w:pPr>
      <w:bookmarkStart w:id="12" w:name="_Toc3293"/>
      <w:r>
        <w:rPr>
          <w:rFonts w:hint="default" w:ascii="Arial" w:hAnsi="Arial" w:cs="Arial"/>
          <w:sz w:val="32"/>
          <w:szCs w:val="32"/>
        </w:rPr>
        <w:t>Conclusion</w:t>
      </w:r>
      <w:bookmarkEnd w:id="12"/>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lang w:val="en-US" w:eastAsia="zh-CN"/>
        </w:rPr>
      </w:pPr>
      <w:r>
        <w:rPr>
          <w:rFonts w:hint="default" w:ascii="Arial" w:hAnsi="Arial" w:cs="Arial"/>
          <w:bCs/>
          <w:sz w:val="24"/>
          <w:szCs w:val="24"/>
          <w:lang w:val="en-US" w:eastAsia="zh-CN"/>
        </w:rPr>
        <w:t>The whole article gives business managers an idea that Business Ethics is a universal and recognised code of ethics. This code can help companies to control governance, insider trading, bribery, discrimination, corporate social responsibility, and fiduciary responsibility. Through the Ponzi scheme case, managers can understand the consequences of unethical behaviour, so companies should be more likely to set good business objectives to reduce employee stress and set up training to reduce the occurrence of unethical behaviour.</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lang w:val="en-US" w:eastAsia="zh-CN"/>
        </w:rPr>
      </w:pPr>
      <w:r>
        <w:rPr>
          <w:rFonts w:hint="default" w:ascii="Arial" w:hAnsi="Arial" w:cs="Arial"/>
          <w:bCs/>
          <w:sz w:val="24"/>
          <w:szCs w:val="24"/>
          <w:lang w:val="en-US" w:eastAsia="zh-CN"/>
        </w:rPr>
        <w:t>Two important ethics in Normative Ethical Theory are Deontology and Teleology, the other one is Virtues. Kant suggests that Deontology focuses on the process of behaviour in which a business fulfils its personal ethical obligations and he suggests that the Categorical Imperative is more of a universal ethical law. Teleological ethics only cares about the consequences, it does not care about the responsibility in the process. Jeremy Bentham and JS Mill's explanation of utilitarianism is that in order to pursue the most desirable benefits, it is possible to disregard what practices are used. According to Trolley Problem case, Teleology proposes to choose the least sacrifice to save five lives. Deontology proposes that anything that maims lives is unethical. Aristotle proposes that possessing virtues makes a person good, happy and prosperous so he proposes that everyone should have Courage. Honesty, Temperance, and Justice.</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lang w:val="en-US" w:eastAsia="zh-CN"/>
        </w:rPr>
      </w:pPr>
      <w:r>
        <w:rPr>
          <w:rFonts w:hint="default" w:ascii="Arial" w:hAnsi="Arial" w:cs="Arial"/>
          <w:bCs/>
          <w:sz w:val="24"/>
          <w:szCs w:val="24"/>
          <w:lang w:val="en-US" w:eastAsia="zh-CN"/>
        </w:rPr>
        <w:t>The Shareholders Theory, represented by Friedman, argues that maximising profit is the ethical responsibility, which presupposes compliance with the rules. In the Ford Pinto case, Lee Iacocca's abandonment of the safety and security of the car for profit resulted in the company having to pay high compensation and take it off the shelves forever. If companies can learn ESG analysis, they can detect long term benefits and choose to repair cars that have safety concerns. Freeman's Stakeholders Theory suggests that companies should focus on CSR, sustainability, and corporate stakeholders. Spending profits on charitable organisations can motivate employees, and achieve social targets to gain trust. and achieve social goals to be trusted. Through Friedman's and Freeman's theories, business managers can understand that while immediate profits are tempting, it is the realisation of longer term objectives that will make the business more profitable. Managers should learn from Freeman that businesses should not be greedy, they should follow laws, regulate ethical codes, and fulfil social responsibilities. Businesses should perform the right ethical behaviours to earn profits and not harm their employees or customers as a cost.</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lang w:val="en-US" w:eastAsia="zh-CN"/>
        </w:rPr>
      </w:pPr>
    </w:p>
    <w:p>
      <w:pPr>
        <w:pStyle w:val="2"/>
        <w:pageBreakBefore w:val="0"/>
        <w:kinsoku/>
        <w:wordWrap/>
        <w:overflowPunct/>
        <w:topLinePunct w:val="0"/>
        <w:autoSpaceDE/>
        <w:autoSpaceDN/>
        <w:bidi w:val="0"/>
        <w:adjustRightInd/>
        <w:snapToGrid/>
        <w:spacing w:line="240" w:lineRule="auto"/>
        <w:jc w:val="both"/>
        <w:textAlignment w:val="auto"/>
        <w:rPr>
          <w:rFonts w:hint="default" w:ascii="Arial" w:hAnsi="Arial" w:cs="Arial"/>
          <w:sz w:val="32"/>
          <w:szCs w:val="32"/>
        </w:rPr>
      </w:pPr>
      <w:bookmarkStart w:id="13" w:name="_Toc117847546"/>
      <w:bookmarkStart w:id="14" w:name="_Toc13957"/>
      <w:r>
        <w:rPr>
          <w:rFonts w:hint="default" w:ascii="Arial" w:hAnsi="Arial" w:cs="Arial"/>
          <w:sz w:val="32"/>
          <w:szCs w:val="32"/>
        </w:rPr>
        <w:t>References</w:t>
      </w:r>
      <w:bookmarkEnd w:id="13"/>
      <w:bookmarkEnd w:id="14"/>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r>
        <w:rPr>
          <w:rFonts w:hint="default" w:ascii="Arial" w:hAnsi="Arial" w:cs="Arial"/>
          <w:sz w:val="24"/>
          <w:szCs w:val="24"/>
        </w:rPr>
        <w:t xml:space="preserve">Bartoletti, M., Carta, S., Cimoli, T. and Saia, R. (2020). Dissecting Ponzi schemes on Ethereum: Identification, analysis, and impact. </w:t>
      </w:r>
      <w:r>
        <w:rPr>
          <w:rFonts w:hint="default" w:ascii="Arial" w:hAnsi="Arial" w:cs="Arial"/>
          <w:i/>
          <w:iCs/>
          <w:sz w:val="24"/>
          <w:szCs w:val="24"/>
        </w:rPr>
        <w:t>Future Generation Computer Systems</w:t>
      </w:r>
      <w:r>
        <w:rPr>
          <w:rFonts w:hint="default" w:ascii="Arial" w:hAnsi="Arial" w:cs="Arial"/>
          <w:sz w:val="24"/>
          <w:szCs w:val="24"/>
        </w:rPr>
        <w:t>, 102(102), pp.259–277. doi:</w:t>
      </w:r>
      <w:r>
        <w:rPr>
          <w:rFonts w:hint="default" w:ascii="Arial" w:hAnsi="Arial" w:cs="Arial"/>
          <w:sz w:val="24"/>
          <w:szCs w:val="24"/>
          <w:lang w:val="en-US" w:eastAsia="zh-CN"/>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"https://doi.org/10.1016/j.future.2019.08.014" </w:instrText>
      </w:r>
      <w:r>
        <w:rPr>
          <w:rFonts w:hint="default" w:ascii="Arial" w:hAnsi="Arial" w:cs="Arial"/>
          <w:sz w:val="24"/>
          <w:szCs w:val="24"/>
        </w:rPr>
        <w:fldChar w:fldCharType="separate"/>
      </w:r>
      <w:r>
        <w:rPr>
          <w:rStyle w:val="15"/>
          <w:rFonts w:hint="default" w:ascii="Arial" w:hAnsi="Arial" w:cs="Arial"/>
          <w:sz w:val="24"/>
          <w:szCs w:val="24"/>
        </w:rPr>
        <w:t>https://doi.org/10.1016/j.future.2019.08.014</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2 Nov. 2023].</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eastAsiaTheme="minorEastAsia"/>
          <w:sz w:val="24"/>
          <w:szCs w:val="24"/>
          <w:lang w:eastAsia="zh-CN"/>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r>
        <w:rPr>
          <w:rFonts w:hint="default" w:ascii="Arial" w:hAnsi="Arial" w:cs="Arial"/>
          <w:sz w:val="24"/>
          <w:szCs w:val="24"/>
        </w:rPr>
        <w:t xml:space="preserve">Baylor, M. (2022). </w:t>
      </w:r>
      <w:r>
        <w:rPr>
          <w:rFonts w:hint="default" w:ascii="Arial" w:hAnsi="Arial" w:cs="Arial"/>
          <w:i/>
          <w:iCs/>
          <w:sz w:val="24"/>
          <w:szCs w:val="24"/>
        </w:rPr>
        <w:t>Toxic 100 Water Polluters Index (2020 Report, Based on 2018 Data)</w:t>
      </w:r>
      <w:r>
        <w:rPr>
          <w:rFonts w:hint="default" w:ascii="Arial" w:hAnsi="Arial" w:cs="Arial"/>
          <w:sz w:val="24"/>
          <w:szCs w:val="24"/>
        </w:rPr>
        <w:t xml:space="preserve">. [online] PERI. Available at: </w:t>
      </w:r>
      <w:r>
        <w:rPr>
          <w:rFonts w:hint="default" w:ascii="Arial" w:hAnsi="Arial" w:cs="Arial"/>
          <w:sz w:val="24"/>
          <w:szCs w:val="24"/>
        </w:rPr>
        <w:fldChar w:fldCharType="begin"/>
      </w:r>
      <w:r>
        <w:rPr>
          <w:rFonts w:hint="default" w:ascii="Arial" w:hAnsi="Arial" w:cs="Arial"/>
          <w:sz w:val="24"/>
          <w:szCs w:val="24"/>
        </w:rPr>
        <w:instrText xml:space="preserve"> HYPERLINK "https://peri.umass.edu/toxic-100-water-polluters-index-current" </w:instrText>
      </w:r>
      <w:r>
        <w:rPr>
          <w:rFonts w:hint="default" w:ascii="Arial" w:hAnsi="Arial" w:cs="Arial"/>
          <w:sz w:val="24"/>
          <w:szCs w:val="24"/>
        </w:rPr>
        <w:fldChar w:fldCharType="separate"/>
      </w:r>
      <w:r>
        <w:rPr>
          <w:rStyle w:val="15"/>
          <w:rFonts w:hint="default" w:ascii="Arial" w:hAnsi="Arial" w:cs="Arial"/>
          <w:sz w:val="24"/>
          <w:szCs w:val="24"/>
        </w:rPr>
        <w:t>https://peri.umass.edu/toxic-100-water-polluters-index-current</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2 Nov. 2023].</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r>
        <w:rPr>
          <w:rFonts w:hint="default" w:ascii="Arial" w:hAnsi="Arial" w:cs="Arial"/>
          <w:sz w:val="24"/>
          <w:szCs w:val="24"/>
        </w:rPr>
        <w:t xml:space="preserve">Byars, S. and Stanberry, K. (2018). </w:t>
      </w:r>
      <w:r>
        <w:rPr>
          <w:rFonts w:hint="default" w:ascii="Arial" w:hAnsi="Arial" w:cs="Arial"/>
          <w:i/>
          <w:iCs/>
          <w:sz w:val="24"/>
          <w:szCs w:val="24"/>
        </w:rPr>
        <w:t>Business Ethics</w:t>
      </w:r>
      <w:r>
        <w:rPr>
          <w:rFonts w:hint="default" w:ascii="Arial" w:hAnsi="Arial" w:cs="Arial"/>
          <w:sz w:val="24"/>
          <w:szCs w:val="24"/>
        </w:rPr>
        <w:t xml:space="preserve">. Open Access Textbooks. ed. [online] Houston, TX: OpenStax, pp.13–14. Available at: </w:t>
      </w:r>
      <w:r>
        <w:rPr>
          <w:rFonts w:hint="default" w:ascii="Arial" w:hAnsi="Arial" w:cs="Arial"/>
          <w:sz w:val="24"/>
          <w:szCs w:val="24"/>
        </w:rPr>
        <w:fldChar w:fldCharType="begin"/>
      </w:r>
      <w:r>
        <w:rPr>
          <w:rFonts w:hint="default" w:ascii="Arial" w:hAnsi="Arial" w:cs="Arial"/>
          <w:sz w:val="24"/>
          <w:szCs w:val="24"/>
        </w:rPr>
        <w:instrText xml:space="preserve"> HYPERLINK "https://commons.erau.edu/cgi/viewcontent.cgi?article=1006&amp;context=oer-textbook" </w:instrText>
      </w:r>
      <w:r>
        <w:rPr>
          <w:rFonts w:hint="default" w:ascii="Arial" w:hAnsi="Arial" w:cs="Arial"/>
          <w:sz w:val="24"/>
          <w:szCs w:val="24"/>
        </w:rPr>
        <w:fldChar w:fldCharType="separate"/>
      </w:r>
      <w:r>
        <w:rPr>
          <w:rStyle w:val="15"/>
          <w:rFonts w:hint="default" w:ascii="Arial" w:hAnsi="Arial" w:cs="Arial"/>
          <w:sz w:val="24"/>
          <w:szCs w:val="24"/>
        </w:rPr>
        <w:t>https://commons.erau.edu/cgi/viewcontent.cgi?article=1006&amp;context=oer-textbook</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2 Nov. 2023].</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r>
        <w:rPr>
          <w:rFonts w:hint="default" w:ascii="Arial" w:hAnsi="Arial" w:cs="Arial"/>
          <w:sz w:val="24"/>
          <w:szCs w:val="24"/>
        </w:rPr>
        <w:t xml:space="preserve">Calderón, R., Ferrero, I. and Redin, D.M. (2017). Ethical codes and corporate responsibility of the most admired companies of the world: Toward a third generation ethics? </w:t>
      </w:r>
      <w:r>
        <w:rPr>
          <w:rFonts w:hint="default" w:ascii="Arial" w:hAnsi="Arial" w:cs="Arial"/>
          <w:i/>
          <w:iCs/>
          <w:sz w:val="24"/>
          <w:szCs w:val="24"/>
        </w:rPr>
        <w:t>Business and Politics</w:t>
      </w:r>
      <w:r>
        <w:rPr>
          <w:rFonts w:hint="default" w:ascii="Arial" w:hAnsi="Arial" w:cs="Arial"/>
          <w:sz w:val="24"/>
          <w:szCs w:val="24"/>
        </w:rPr>
        <w:t>, 14(4), pp.1–24. doi:</w:t>
      </w:r>
      <w:r>
        <w:rPr>
          <w:rFonts w:hint="default" w:ascii="Arial" w:hAnsi="Arial" w:cs="Arial"/>
          <w:sz w:val="24"/>
          <w:szCs w:val="24"/>
          <w:lang w:val="en-US" w:eastAsia="zh-CN"/>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"https://doi.org/10.1515/bap-2012-0044" </w:instrText>
      </w:r>
      <w:r>
        <w:rPr>
          <w:rFonts w:hint="default" w:ascii="Arial" w:hAnsi="Arial" w:cs="Arial"/>
          <w:sz w:val="24"/>
          <w:szCs w:val="24"/>
        </w:rPr>
        <w:fldChar w:fldCharType="separate"/>
      </w:r>
      <w:r>
        <w:rPr>
          <w:rStyle w:val="15"/>
          <w:rFonts w:hint="default" w:ascii="Arial" w:hAnsi="Arial" w:cs="Arial"/>
          <w:sz w:val="24"/>
          <w:szCs w:val="24"/>
        </w:rPr>
        <w:t>https://doi.org/10.1515/bap-2012-0044</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2 Nov. 2023].</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r>
        <w:rPr>
          <w:rFonts w:hint="default" w:ascii="Arial" w:hAnsi="Arial" w:cs="Arial"/>
          <w:sz w:val="24"/>
          <w:szCs w:val="24"/>
        </w:rPr>
        <w:t xml:space="preserve">Ciulla, J. (1991). Why is Business Talking about Ethics?: Reflections on Foreign Conversations. </w:t>
      </w:r>
      <w:r>
        <w:rPr>
          <w:rFonts w:hint="default" w:ascii="Arial" w:hAnsi="Arial" w:cs="Arial"/>
          <w:i/>
          <w:iCs/>
          <w:sz w:val="24"/>
          <w:szCs w:val="24"/>
        </w:rPr>
        <w:t>California Management Review</w:t>
      </w:r>
      <w:r>
        <w:rPr>
          <w:rFonts w:hint="default" w:ascii="Arial" w:hAnsi="Arial" w:cs="Arial"/>
          <w:sz w:val="24"/>
          <w:szCs w:val="24"/>
        </w:rPr>
        <w:t>, 34(1), pp.67–86. doi:</w:t>
      </w:r>
      <w:r>
        <w:rPr>
          <w:rFonts w:hint="default" w:ascii="Arial" w:hAnsi="Arial" w:cs="Arial"/>
          <w:sz w:val="24"/>
          <w:szCs w:val="24"/>
          <w:lang w:val="en-US" w:eastAsia="zh-CN"/>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"https://doi.org/10.2307/41166684" </w:instrText>
      </w:r>
      <w:r>
        <w:rPr>
          <w:rFonts w:hint="default" w:ascii="Arial" w:hAnsi="Arial" w:cs="Arial"/>
          <w:sz w:val="24"/>
          <w:szCs w:val="24"/>
        </w:rPr>
        <w:fldChar w:fldCharType="separate"/>
      </w:r>
      <w:r>
        <w:rPr>
          <w:rStyle w:val="15"/>
          <w:rFonts w:hint="default" w:ascii="Arial" w:hAnsi="Arial" w:cs="Arial"/>
          <w:sz w:val="24"/>
          <w:szCs w:val="24"/>
        </w:rPr>
        <w:t>https://doi.org/10.2307/41166684</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2 Nov. 2023].</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eastAsiaTheme="minorEastAsia"/>
          <w:sz w:val="24"/>
          <w:szCs w:val="24"/>
          <w:lang w:eastAsia="zh-CN"/>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r>
        <w:rPr>
          <w:rFonts w:hint="default" w:ascii="Arial" w:hAnsi="Arial" w:cs="Arial"/>
          <w:sz w:val="24"/>
          <w:szCs w:val="24"/>
        </w:rPr>
        <w:t xml:space="preserve">D’OLIMPIO, L. (2019). </w:t>
      </w:r>
      <w:r>
        <w:rPr>
          <w:rFonts w:hint="default" w:ascii="Arial" w:hAnsi="Arial" w:cs="Arial"/>
          <w:i/>
          <w:iCs/>
          <w:sz w:val="24"/>
          <w:szCs w:val="24"/>
        </w:rPr>
        <w:t>Big Thinker: Jeremy Bentham</w:t>
      </w:r>
      <w:r>
        <w:rPr>
          <w:rFonts w:hint="default" w:ascii="Arial" w:hAnsi="Arial" w:cs="Arial"/>
          <w:sz w:val="24"/>
          <w:szCs w:val="24"/>
        </w:rPr>
        <w:t xml:space="preserve">. [online] Ethics Centre. Available at: </w:t>
      </w:r>
      <w:r>
        <w:rPr>
          <w:rFonts w:hint="default" w:ascii="Arial" w:hAnsi="Arial" w:cs="Arial"/>
          <w:sz w:val="24"/>
          <w:szCs w:val="24"/>
        </w:rPr>
        <w:fldChar w:fldCharType="begin"/>
      </w:r>
      <w:r>
        <w:rPr>
          <w:rFonts w:hint="default" w:ascii="Arial" w:hAnsi="Arial" w:cs="Arial"/>
          <w:sz w:val="24"/>
          <w:szCs w:val="24"/>
        </w:rPr>
        <w:instrText xml:space="preserve"> HYPERLINK "https://ethics.org.au/big-thinker-jeremy-bentham/" </w:instrText>
      </w:r>
      <w:r>
        <w:rPr>
          <w:rFonts w:hint="default" w:ascii="Arial" w:hAnsi="Arial" w:cs="Arial"/>
          <w:sz w:val="24"/>
          <w:szCs w:val="24"/>
        </w:rPr>
        <w:fldChar w:fldCharType="separate"/>
      </w:r>
      <w:r>
        <w:rPr>
          <w:rStyle w:val="15"/>
          <w:rFonts w:hint="default" w:ascii="Arial" w:hAnsi="Arial" w:cs="Arial"/>
          <w:sz w:val="24"/>
          <w:szCs w:val="24"/>
        </w:rPr>
        <w:t>https://ethics.org.au/big-thinker-jeremy-bentham/</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2 Nov. 2023].</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eastAsiaTheme="minorEastAsia"/>
          <w:sz w:val="24"/>
          <w:szCs w:val="24"/>
          <w:lang w:eastAsia="zh-CN"/>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r>
        <w:rPr>
          <w:rFonts w:hint="default" w:ascii="Arial" w:hAnsi="Arial" w:cs="Arial"/>
          <w:sz w:val="24"/>
          <w:szCs w:val="24"/>
        </w:rPr>
        <w:t xml:space="preserve">Drucker, P. (1981). </w:t>
      </w:r>
      <w:r>
        <w:rPr>
          <w:rFonts w:hint="default" w:ascii="Arial" w:hAnsi="Arial" w:cs="Arial"/>
          <w:i/>
          <w:iCs/>
          <w:sz w:val="24"/>
          <w:szCs w:val="24"/>
        </w:rPr>
        <w:t>What is business ethics?</w:t>
      </w:r>
      <w:r>
        <w:rPr>
          <w:rFonts w:hint="default" w:ascii="Arial" w:hAnsi="Arial" w:cs="Arial"/>
          <w:sz w:val="24"/>
          <w:szCs w:val="24"/>
        </w:rPr>
        <w:t xml:space="preserve"> [online] edisciplinas.usp.br. Available at: </w:t>
      </w:r>
      <w:r>
        <w:rPr>
          <w:rFonts w:hint="default" w:ascii="Arial" w:hAnsi="Arial" w:cs="Arial"/>
          <w:sz w:val="24"/>
          <w:szCs w:val="24"/>
        </w:rPr>
        <w:fldChar w:fldCharType="begin"/>
      </w:r>
      <w:r>
        <w:rPr>
          <w:rFonts w:hint="default" w:ascii="Arial" w:hAnsi="Arial" w:cs="Arial"/>
          <w:sz w:val="24"/>
          <w:szCs w:val="24"/>
        </w:rPr>
        <w:instrText xml:space="preserve"> HYPERLINK "https://edisciplinas.usp.br/pluginfile.php/4221491/mod_resource/content/0/What%20is%20business%20ethics%20-%20Peter%20Ducker.pdf" </w:instrText>
      </w:r>
      <w:r>
        <w:rPr>
          <w:rFonts w:hint="default" w:ascii="Arial" w:hAnsi="Arial" w:cs="Arial"/>
          <w:sz w:val="24"/>
          <w:szCs w:val="24"/>
        </w:rPr>
        <w:fldChar w:fldCharType="separate"/>
      </w:r>
      <w:r>
        <w:rPr>
          <w:rStyle w:val="15"/>
          <w:rFonts w:hint="default" w:ascii="Arial" w:hAnsi="Arial" w:cs="Arial"/>
          <w:sz w:val="24"/>
          <w:szCs w:val="24"/>
        </w:rPr>
        <w:t>https://edisciplinas.usp.br/pluginfile.php/4221491/mod_resource/content/0/What%20is%20business%20ethics%20-%20Peter%20Ducker.pdf</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2 Nov. 2023].</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r>
        <w:rPr>
          <w:rFonts w:hint="default" w:ascii="Arial" w:hAnsi="Arial" w:cs="Arial"/>
          <w:sz w:val="24"/>
          <w:szCs w:val="24"/>
        </w:rPr>
        <w:t xml:space="preserve">Friedman, M. (1970). A Friedman doctrine‐The Social Responsibility of Business Is to Increase Its Profits. </w:t>
      </w:r>
      <w:r>
        <w:rPr>
          <w:rFonts w:hint="default" w:ascii="Arial" w:hAnsi="Arial" w:cs="Arial"/>
          <w:i/>
          <w:iCs/>
          <w:sz w:val="24"/>
          <w:szCs w:val="24"/>
        </w:rPr>
        <w:t>The New York Times</w:t>
      </w:r>
      <w:r>
        <w:rPr>
          <w:rFonts w:hint="default" w:ascii="Arial" w:hAnsi="Arial" w:cs="Arial"/>
          <w:sz w:val="24"/>
          <w:szCs w:val="24"/>
        </w:rPr>
        <w:t xml:space="preserve">, [online] 13 Sep., p.17. Available at: </w:t>
      </w:r>
      <w:r>
        <w:rPr>
          <w:rFonts w:hint="default" w:ascii="Arial" w:hAnsi="Arial" w:cs="Arial"/>
          <w:sz w:val="24"/>
          <w:szCs w:val="24"/>
        </w:rPr>
        <w:fldChar w:fldCharType="begin"/>
      </w:r>
      <w:r>
        <w:rPr>
          <w:rFonts w:hint="default" w:ascii="Arial" w:hAnsi="Arial" w:cs="Arial"/>
          <w:sz w:val="24"/>
          <w:szCs w:val="24"/>
        </w:rPr>
        <w:instrText xml:space="preserve"> HYPERLINK "https://www.nytimes.com/1970/09/13/archives/a-friedman-doctrine-the-social-responsibility-of-business-is-to.html" </w:instrText>
      </w:r>
      <w:r>
        <w:rPr>
          <w:rFonts w:hint="default" w:ascii="Arial" w:hAnsi="Arial" w:cs="Arial"/>
          <w:sz w:val="24"/>
          <w:szCs w:val="24"/>
        </w:rPr>
        <w:fldChar w:fldCharType="separate"/>
      </w:r>
      <w:r>
        <w:rPr>
          <w:rStyle w:val="15"/>
          <w:rFonts w:hint="default" w:ascii="Arial" w:hAnsi="Arial" w:cs="Arial"/>
          <w:sz w:val="24"/>
          <w:szCs w:val="24"/>
        </w:rPr>
        <w:t>https://www.nytimes.com/1970/09/13/archives/a-friedman-doctrine-the-social-responsibility-of-business-is-to.html</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2 Nov. 2023].</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r>
        <w:rPr>
          <w:rFonts w:hint="default" w:ascii="Arial" w:hAnsi="Arial" w:cs="Arial"/>
          <w:sz w:val="24"/>
          <w:szCs w:val="24"/>
        </w:rPr>
        <w:t xml:space="preserve">Hasnas, J. (2015). The Normative Theories of Business Ethics: A Guide for the Perplexed. </w:t>
      </w:r>
      <w:r>
        <w:rPr>
          <w:rFonts w:hint="default" w:ascii="Arial" w:hAnsi="Arial" w:cs="Arial"/>
          <w:i/>
          <w:iCs/>
          <w:sz w:val="24"/>
          <w:szCs w:val="24"/>
        </w:rPr>
        <w:t>Business Ethics Quarterly</w:t>
      </w:r>
      <w:r>
        <w:rPr>
          <w:rFonts w:hint="default" w:ascii="Arial" w:hAnsi="Arial" w:cs="Arial"/>
          <w:sz w:val="24"/>
          <w:szCs w:val="24"/>
        </w:rPr>
        <w:t>, 8(1), pp.19–42. doi:</w:t>
      </w:r>
      <w:r>
        <w:rPr>
          <w:rFonts w:hint="default" w:ascii="Arial" w:hAnsi="Arial" w:cs="Arial"/>
          <w:sz w:val="24"/>
          <w:szCs w:val="24"/>
          <w:lang w:val="en-US" w:eastAsia="zh-CN"/>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"https://doi.org/10.2307/3857520" </w:instrText>
      </w:r>
      <w:r>
        <w:rPr>
          <w:rFonts w:hint="default" w:ascii="Arial" w:hAnsi="Arial" w:cs="Arial"/>
          <w:sz w:val="24"/>
          <w:szCs w:val="24"/>
        </w:rPr>
        <w:fldChar w:fldCharType="separate"/>
      </w:r>
      <w:r>
        <w:rPr>
          <w:rStyle w:val="15"/>
          <w:rFonts w:hint="default" w:ascii="Arial" w:hAnsi="Arial" w:cs="Arial"/>
          <w:sz w:val="24"/>
          <w:szCs w:val="24"/>
        </w:rPr>
        <w:t>https://doi.org/10.2307/3857520</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2 Nov. 2023].</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eastAsiaTheme="minorEastAsia"/>
          <w:sz w:val="24"/>
          <w:szCs w:val="24"/>
          <w:lang w:eastAsia="zh-CN"/>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eastAsiaTheme="minorEastAsia"/>
          <w:sz w:val="24"/>
          <w:szCs w:val="24"/>
          <w:lang w:val="en-US" w:eastAsia="zh-CN"/>
        </w:rPr>
      </w:pPr>
      <w:r>
        <w:rPr>
          <w:rFonts w:hint="default" w:ascii="Arial" w:hAnsi="Arial" w:cs="Arial"/>
          <w:sz w:val="24"/>
          <w:szCs w:val="24"/>
        </w:rPr>
        <w:t xml:space="preserve">Hollensbe, E., Wookey, C., Hickey, L., George, G. and Nichols, C. (2014). Organizations with Purpose. </w:t>
      </w:r>
      <w:r>
        <w:rPr>
          <w:rFonts w:hint="default" w:ascii="Arial" w:hAnsi="Arial" w:cs="Arial"/>
          <w:i/>
          <w:iCs/>
          <w:sz w:val="24"/>
          <w:szCs w:val="24"/>
        </w:rPr>
        <w:t>Academy of Management Journal</w:t>
      </w:r>
      <w:r>
        <w:rPr>
          <w:rFonts w:hint="default" w:ascii="Arial" w:hAnsi="Arial" w:cs="Arial"/>
          <w:sz w:val="24"/>
          <w:szCs w:val="24"/>
        </w:rPr>
        <w:t>, 57(5), pp.1227–1234. doi:</w:t>
      </w:r>
      <w:r>
        <w:rPr>
          <w:rFonts w:hint="default" w:ascii="Arial" w:hAnsi="Arial" w:cs="Arial"/>
          <w:sz w:val="24"/>
          <w:szCs w:val="24"/>
          <w:lang w:val="en-US" w:eastAsia="zh-CN"/>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"https://doi.org/10.5465/amj.2014.4005" </w:instrText>
      </w:r>
      <w:r>
        <w:rPr>
          <w:rFonts w:hint="default" w:ascii="Arial" w:hAnsi="Arial" w:cs="Arial"/>
          <w:sz w:val="24"/>
          <w:szCs w:val="24"/>
        </w:rPr>
        <w:fldChar w:fldCharType="separate"/>
      </w:r>
      <w:r>
        <w:rPr>
          <w:rStyle w:val="15"/>
          <w:rFonts w:hint="default" w:ascii="Arial" w:hAnsi="Arial" w:cs="Arial"/>
          <w:sz w:val="24"/>
          <w:szCs w:val="24"/>
        </w:rPr>
        <w:t>https://doi.org/10.5465/amj.2014.4005</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2 Nov. 2023].</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r>
        <w:rPr>
          <w:rFonts w:hint="default" w:ascii="Arial" w:hAnsi="Arial" w:cs="Arial"/>
          <w:sz w:val="24"/>
          <w:szCs w:val="24"/>
        </w:rPr>
        <w:t xml:space="preserve">Horner, J. (2003). Morality, Ethics, and Law: Introductory Concepts. </w:t>
      </w:r>
      <w:r>
        <w:rPr>
          <w:rFonts w:hint="default" w:ascii="Arial" w:hAnsi="Arial" w:cs="Arial"/>
          <w:i/>
          <w:iCs/>
          <w:sz w:val="24"/>
          <w:szCs w:val="24"/>
        </w:rPr>
        <w:t>Seminars in Speech and Language</w:t>
      </w:r>
      <w:r>
        <w:rPr>
          <w:rFonts w:hint="default" w:ascii="Arial" w:hAnsi="Arial" w:cs="Arial"/>
          <w:sz w:val="24"/>
          <w:szCs w:val="24"/>
        </w:rPr>
        <w:t>, 24(4), pp.263–274. doi:</w:t>
      </w:r>
      <w:r>
        <w:rPr>
          <w:rFonts w:hint="default" w:ascii="Arial" w:hAnsi="Arial" w:cs="Arial"/>
          <w:sz w:val="24"/>
          <w:szCs w:val="24"/>
          <w:lang w:val="en-US" w:eastAsia="zh-CN"/>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"https://doi.org/10.1055/s-2004-815580" </w:instrText>
      </w:r>
      <w:r>
        <w:rPr>
          <w:rFonts w:hint="default" w:ascii="Arial" w:hAnsi="Arial" w:cs="Arial"/>
          <w:sz w:val="24"/>
          <w:szCs w:val="24"/>
        </w:rPr>
        <w:fldChar w:fldCharType="separate"/>
      </w:r>
      <w:r>
        <w:rPr>
          <w:rStyle w:val="15"/>
          <w:rFonts w:hint="default" w:ascii="Arial" w:hAnsi="Arial" w:cs="Arial"/>
          <w:sz w:val="24"/>
          <w:szCs w:val="24"/>
        </w:rPr>
        <w:t>https://doi.org/10.1055/s-2004-815580</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2 Nov. 2023].</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r>
        <w:rPr>
          <w:rFonts w:hint="default" w:ascii="Arial" w:hAnsi="Arial" w:cs="Arial"/>
          <w:sz w:val="24"/>
          <w:szCs w:val="24"/>
        </w:rPr>
        <w:t xml:space="preserve">Lee, M.T. (1998). The Ford Pinto Case and the Development of Auto Safety Regulations, 1893—1978. </w:t>
      </w:r>
      <w:r>
        <w:rPr>
          <w:rFonts w:hint="default" w:ascii="Arial" w:hAnsi="Arial" w:cs="Arial"/>
          <w:i/>
          <w:iCs/>
          <w:sz w:val="24"/>
          <w:szCs w:val="24"/>
        </w:rPr>
        <w:t>Business and Economic History</w:t>
      </w:r>
      <w:r>
        <w:rPr>
          <w:rFonts w:hint="default" w:ascii="Arial" w:hAnsi="Arial" w:cs="Arial"/>
          <w:sz w:val="24"/>
          <w:szCs w:val="24"/>
        </w:rPr>
        <w:t xml:space="preserve">, [online] 27(2), pp.390–401. Available at: </w:t>
      </w:r>
      <w:r>
        <w:rPr>
          <w:rFonts w:hint="default" w:ascii="Arial" w:hAnsi="Arial" w:cs="Arial"/>
          <w:sz w:val="24"/>
          <w:szCs w:val="24"/>
        </w:rPr>
        <w:fldChar w:fldCharType="begin"/>
      </w:r>
      <w:r>
        <w:rPr>
          <w:rFonts w:hint="default" w:ascii="Arial" w:hAnsi="Arial" w:cs="Arial"/>
          <w:sz w:val="24"/>
          <w:szCs w:val="24"/>
        </w:rPr>
        <w:instrText xml:space="preserve"> HYPERLINK "https://www.jstor.org/stable/23703151" </w:instrText>
      </w:r>
      <w:r>
        <w:rPr>
          <w:rFonts w:hint="default" w:ascii="Arial" w:hAnsi="Arial" w:cs="Arial"/>
          <w:sz w:val="24"/>
          <w:szCs w:val="24"/>
        </w:rPr>
        <w:fldChar w:fldCharType="separate"/>
      </w:r>
      <w:r>
        <w:rPr>
          <w:rStyle w:val="15"/>
          <w:rFonts w:hint="default" w:ascii="Arial" w:hAnsi="Arial" w:cs="Arial"/>
          <w:sz w:val="24"/>
          <w:szCs w:val="24"/>
        </w:rPr>
        <w:t>https://www.jstor.org/stable/23703151</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2 Nov. 2023].</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r>
        <w:rPr>
          <w:rFonts w:hint="default" w:ascii="Arial" w:hAnsi="Arial" w:cs="Arial"/>
          <w:sz w:val="24"/>
          <w:szCs w:val="24"/>
        </w:rPr>
        <w:t xml:space="preserve">Ludwig, D.C. and Longenecker, C.O. (1993). The Bathsheba Syndrome: The ethical failure of successful leaders. </w:t>
      </w:r>
      <w:r>
        <w:rPr>
          <w:rFonts w:hint="default" w:ascii="Arial" w:hAnsi="Arial" w:cs="Arial"/>
          <w:i/>
          <w:iCs/>
          <w:sz w:val="24"/>
          <w:szCs w:val="24"/>
        </w:rPr>
        <w:t>Journal of Business Ethics</w:t>
      </w:r>
      <w:r>
        <w:rPr>
          <w:rFonts w:hint="default" w:ascii="Arial" w:hAnsi="Arial" w:cs="Arial"/>
          <w:sz w:val="24"/>
          <w:szCs w:val="24"/>
        </w:rPr>
        <w:t>, 12(4), pp.265–273. doi:</w:t>
      </w:r>
      <w:r>
        <w:rPr>
          <w:rFonts w:hint="default" w:ascii="Arial" w:hAnsi="Arial" w:cs="Arial"/>
          <w:sz w:val="24"/>
          <w:szCs w:val="24"/>
          <w:lang w:val="en-US" w:eastAsia="zh-CN"/>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"https://doi.org/10.1007/bf01666530" </w:instrText>
      </w:r>
      <w:r>
        <w:rPr>
          <w:rFonts w:hint="default" w:ascii="Arial" w:hAnsi="Arial" w:cs="Arial"/>
          <w:sz w:val="24"/>
          <w:szCs w:val="24"/>
        </w:rPr>
        <w:fldChar w:fldCharType="separate"/>
      </w:r>
      <w:r>
        <w:rPr>
          <w:rStyle w:val="15"/>
          <w:rFonts w:hint="default" w:ascii="Arial" w:hAnsi="Arial" w:cs="Arial"/>
          <w:sz w:val="24"/>
          <w:szCs w:val="24"/>
        </w:rPr>
        <w:t>https://doi.org/10.1007/bf01666530</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2 Nov. 2023].</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r>
        <w:rPr>
          <w:rFonts w:hint="default" w:ascii="Arial" w:hAnsi="Arial" w:cs="Arial"/>
          <w:sz w:val="24"/>
          <w:szCs w:val="24"/>
        </w:rPr>
        <w:t xml:space="preserve">Masci, D. (2016). </w:t>
      </w:r>
      <w:r>
        <w:rPr>
          <w:rFonts w:hint="default" w:ascii="Arial" w:hAnsi="Arial" w:cs="Arial"/>
          <w:i/>
          <w:iCs/>
          <w:sz w:val="24"/>
          <w:szCs w:val="24"/>
        </w:rPr>
        <w:t>Where major religious groups stand on abortion</w:t>
      </w:r>
      <w:r>
        <w:rPr>
          <w:rFonts w:hint="default" w:ascii="Arial" w:hAnsi="Arial" w:cs="Arial"/>
          <w:sz w:val="24"/>
          <w:szCs w:val="24"/>
        </w:rPr>
        <w:t xml:space="preserve">. [online] Pew Research Center. Available at: </w:t>
      </w:r>
      <w:r>
        <w:rPr>
          <w:rFonts w:hint="default" w:ascii="Arial" w:hAnsi="Arial" w:cs="Arial"/>
          <w:sz w:val="24"/>
          <w:szCs w:val="24"/>
        </w:rPr>
        <w:fldChar w:fldCharType="begin"/>
      </w:r>
      <w:r>
        <w:rPr>
          <w:rFonts w:hint="default" w:ascii="Arial" w:hAnsi="Arial" w:cs="Arial"/>
          <w:sz w:val="24"/>
          <w:szCs w:val="24"/>
        </w:rPr>
        <w:instrText xml:space="preserve"> HYPERLINK "https://www.pewresearch.org/short-reads/2016/06/21/where-major-religious-groups-stand-on-abortion/" </w:instrText>
      </w:r>
      <w:r>
        <w:rPr>
          <w:rFonts w:hint="default" w:ascii="Arial" w:hAnsi="Arial" w:cs="Arial"/>
          <w:sz w:val="24"/>
          <w:szCs w:val="24"/>
        </w:rPr>
        <w:fldChar w:fldCharType="separate"/>
      </w:r>
      <w:r>
        <w:rPr>
          <w:rStyle w:val="15"/>
          <w:rFonts w:hint="default" w:ascii="Arial" w:hAnsi="Arial" w:cs="Arial"/>
          <w:sz w:val="24"/>
          <w:szCs w:val="24"/>
        </w:rPr>
        <w:t>https://www.pewresearch.org/short-reads/2016/06/21/where-major-religious-groups-stand-on-abortion/</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2 Nov. 2023].</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r>
        <w:rPr>
          <w:rFonts w:hint="default" w:ascii="Arial" w:hAnsi="Arial" w:cs="Arial"/>
          <w:sz w:val="24"/>
          <w:szCs w:val="24"/>
        </w:rPr>
        <w:t xml:space="preserve">McCombs School of Business (2013). </w:t>
      </w:r>
      <w:r>
        <w:rPr>
          <w:rFonts w:hint="default" w:ascii="Arial" w:hAnsi="Arial" w:cs="Arial"/>
          <w:i/>
          <w:iCs/>
          <w:sz w:val="24"/>
          <w:szCs w:val="24"/>
        </w:rPr>
        <w:t>Moral Absolutism - Ethics Unwrapped</w:t>
      </w:r>
      <w:r>
        <w:rPr>
          <w:rFonts w:hint="default" w:ascii="Arial" w:hAnsi="Arial" w:cs="Arial"/>
          <w:sz w:val="24"/>
          <w:szCs w:val="24"/>
        </w:rPr>
        <w:t xml:space="preserve">. [online] Ethics Unwrapped. Available at: </w:t>
      </w:r>
      <w:r>
        <w:rPr>
          <w:rFonts w:hint="default" w:ascii="Arial" w:hAnsi="Arial" w:cs="Arial"/>
          <w:sz w:val="24"/>
          <w:szCs w:val="24"/>
        </w:rPr>
        <w:fldChar w:fldCharType="begin"/>
      </w:r>
      <w:r>
        <w:rPr>
          <w:rFonts w:hint="default" w:ascii="Arial" w:hAnsi="Arial" w:cs="Arial"/>
          <w:sz w:val="24"/>
          <w:szCs w:val="24"/>
        </w:rPr>
        <w:instrText xml:space="preserve"> HYPERLINK "https://ethicsunwrapped.utexas.edu/glossary/moral-absolutism" </w:instrText>
      </w:r>
      <w:r>
        <w:rPr>
          <w:rFonts w:hint="default" w:ascii="Arial" w:hAnsi="Arial" w:cs="Arial"/>
          <w:sz w:val="24"/>
          <w:szCs w:val="24"/>
        </w:rPr>
        <w:fldChar w:fldCharType="separate"/>
      </w:r>
      <w:r>
        <w:rPr>
          <w:rStyle w:val="15"/>
          <w:rFonts w:hint="default" w:ascii="Arial" w:hAnsi="Arial" w:cs="Arial"/>
          <w:sz w:val="24"/>
          <w:szCs w:val="24"/>
        </w:rPr>
        <w:t>https://ethicsunwrapped.utexas.edu/glossary/moral-absolutism</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2 Nov. 2023].</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lang w:eastAsia="zh-CN"/>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r>
        <w:rPr>
          <w:rFonts w:hint="default" w:ascii="Arial" w:hAnsi="Arial" w:cs="Arial"/>
          <w:sz w:val="24"/>
          <w:szCs w:val="24"/>
        </w:rPr>
        <w:t xml:space="preserve">Mcmurray, J. (2016). </w:t>
      </w:r>
      <w:r>
        <w:rPr>
          <w:rFonts w:hint="default" w:ascii="Arial" w:hAnsi="Arial" w:cs="Arial"/>
          <w:i/>
          <w:iCs/>
          <w:sz w:val="24"/>
          <w:szCs w:val="24"/>
        </w:rPr>
        <w:t>Economist Milton Friedman Championed Free Markets And Individualism</w:t>
      </w:r>
      <w:r>
        <w:rPr>
          <w:rFonts w:hint="default" w:ascii="Arial" w:hAnsi="Arial" w:cs="Arial"/>
          <w:sz w:val="24"/>
          <w:szCs w:val="24"/>
        </w:rPr>
        <w:t xml:space="preserve">. [online] Investor’s Business Daily. Available at: </w:t>
      </w:r>
      <w:r>
        <w:rPr>
          <w:rFonts w:hint="default" w:ascii="Arial" w:hAnsi="Arial" w:cs="Arial"/>
          <w:sz w:val="24"/>
          <w:szCs w:val="24"/>
        </w:rPr>
        <w:fldChar w:fldCharType="begin"/>
      </w:r>
      <w:r>
        <w:rPr>
          <w:rFonts w:hint="default" w:ascii="Arial" w:hAnsi="Arial" w:cs="Arial"/>
          <w:sz w:val="24"/>
          <w:szCs w:val="24"/>
        </w:rPr>
        <w:instrText xml:space="preserve"> HYPERLINK "https://www.investors.com/news/management/leaders-and-success/economist-milton-friedman-championed-free-markets-and-individualism/" </w:instrText>
      </w:r>
      <w:r>
        <w:rPr>
          <w:rFonts w:hint="default" w:ascii="Arial" w:hAnsi="Arial" w:cs="Arial"/>
          <w:sz w:val="24"/>
          <w:szCs w:val="24"/>
        </w:rPr>
        <w:fldChar w:fldCharType="separate"/>
      </w:r>
      <w:r>
        <w:rPr>
          <w:rStyle w:val="15"/>
          <w:rFonts w:hint="default" w:ascii="Arial" w:hAnsi="Arial" w:cs="Arial"/>
          <w:sz w:val="24"/>
          <w:szCs w:val="24"/>
        </w:rPr>
        <w:t>https://www.investors.com/news/management/leaders-and-success/economist-milton-friedman-championed-free-markets-and-individualism/</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2 Nov. 2023].</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r>
        <w:rPr>
          <w:rFonts w:hint="default" w:ascii="Arial" w:hAnsi="Arial" w:cs="Arial"/>
          <w:sz w:val="24"/>
          <w:szCs w:val="24"/>
        </w:rPr>
        <w:t xml:space="preserve">NPT UK (2018). </w:t>
      </w:r>
      <w:r>
        <w:rPr>
          <w:rFonts w:hint="default" w:ascii="Arial" w:hAnsi="Arial" w:cs="Arial"/>
          <w:i/>
          <w:iCs/>
          <w:sz w:val="24"/>
          <w:szCs w:val="24"/>
        </w:rPr>
        <w:t>UK Charitable Giving Statistics | NPT UK</w:t>
      </w:r>
      <w:r>
        <w:rPr>
          <w:rFonts w:hint="default" w:ascii="Arial" w:hAnsi="Arial" w:cs="Arial"/>
          <w:sz w:val="24"/>
          <w:szCs w:val="24"/>
        </w:rPr>
        <w:t xml:space="preserve">. [online] NPT UK. Available at: </w:t>
      </w:r>
      <w:r>
        <w:rPr>
          <w:rFonts w:hint="default" w:ascii="Arial" w:hAnsi="Arial" w:cs="Arial"/>
          <w:sz w:val="24"/>
          <w:szCs w:val="24"/>
        </w:rPr>
        <w:fldChar w:fldCharType="begin"/>
      </w:r>
      <w:r>
        <w:rPr>
          <w:rFonts w:hint="default" w:ascii="Arial" w:hAnsi="Arial" w:cs="Arial"/>
          <w:sz w:val="24"/>
          <w:szCs w:val="24"/>
        </w:rPr>
        <w:instrText xml:space="preserve"> HYPERLINK "https://www.nptuk.org/philanthropic-resources/uk-charitable-giving-statistics/" </w:instrText>
      </w:r>
      <w:r>
        <w:rPr>
          <w:rFonts w:hint="default" w:ascii="Arial" w:hAnsi="Arial" w:cs="Arial"/>
          <w:sz w:val="24"/>
          <w:szCs w:val="24"/>
        </w:rPr>
        <w:fldChar w:fldCharType="separate"/>
      </w:r>
      <w:r>
        <w:rPr>
          <w:rStyle w:val="15"/>
          <w:rFonts w:hint="default" w:ascii="Arial" w:hAnsi="Arial" w:cs="Arial"/>
          <w:sz w:val="24"/>
          <w:szCs w:val="24"/>
        </w:rPr>
        <w:t>https://www.nptuk.org/philanthropic-resources/uk-charitable-giving-statistics/</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2 Nov. 2023].</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r>
        <w:rPr>
          <w:rFonts w:hint="default" w:ascii="Arial" w:hAnsi="Arial" w:cs="Arial"/>
          <w:sz w:val="24"/>
          <w:szCs w:val="24"/>
        </w:rPr>
        <w:t xml:space="preserve">Nunez, C. (2010). </w:t>
      </w:r>
      <w:r>
        <w:rPr>
          <w:rFonts w:hint="default" w:ascii="Arial" w:hAnsi="Arial" w:cs="Arial"/>
          <w:i/>
          <w:iCs/>
          <w:sz w:val="24"/>
          <w:szCs w:val="24"/>
        </w:rPr>
        <w:t>Water Pollution Is a Rising Global crisis. Here’s What You Need to know.</w:t>
      </w:r>
      <w:r>
        <w:rPr>
          <w:rFonts w:hint="default" w:ascii="Arial" w:hAnsi="Arial" w:cs="Arial"/>
          <w:sz w:val="24"/>
          <w:szCs w:val="24"/>
        </w:rPr>
        <w:t xml:space="preserve"> [online] National Geographic. Available at: </w:t>
      </w:r>
      <w:r>
        <w:rPr>
          <w:rFonts w:hint="default" w:ascii="Arial" w:hAnsi="Arial" w:cs="Arial"/>
          <w:sz w:val="24"/>
          <w:szCs w:val="24"/>
        </w:rPr>
        <w:fldChar w:fldCharType="begin"/>
      </w:r>
      <w:r>
        <w:rPr>
          <w:rFonts w:hint="default" w:ascii="Arial" w:hAnsi="Arial" w:cs="Arial"/>
          <w:sz w:val="24"/>
          <w:szCs w:val="24"/>
        </w:rPr>
        <w:instrText xml:space="preserve"> HYPERLINK "https://www.nationalgeographic.com/environment/article/freshwater-pollution" </w:instrText>
      </w:r>
      <w:r>
        <w:rPr>
          <w:rFonts w:hint="default" w:ascii="Arial" w:hAnsi="Arial" w:cs="Arial"/>
          <w:sz w:val="24"/>
          <w:szCs w:val="24"/>
        </w:rPr>
        <w:fldChar w:fldCharType="separate"/>
      </w:r>
      <w:r>
        <w:rPr>
          <w:rStyle w:val="15"/>
          <w:rFonts w:hint="default" w:ascii="Arial" w:hAnsi="Arial" w:cs="Arial"/>
          <w:sz w:val="24"/>
          <w:szCs w:val="24"/>
        </w:rPr>
        <w:t>https://www.nationalgeographic.com/environment/article/freshwater-pollution</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2 Nov. 2023].</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r>
        <w:rPr>
          <w:rFonts w:hint="default" w:ascii="Arial" w:hAnsi="Arial" w:cs="Arial"/>
          <w:sz w:val="24"/>
          <w:szCs w:val="24"/>
        </w:rPr>
        <w:t xml:space="preserve">Peterdy, K. and Miller, N. (2022). </w:t>
      </w:r>
      <w:r>
        <w:rPr>
          <w:rFonts w:hint="default" w:ascii="Arial" w:hAnsi="Arial" w:cs="Arial"/>
          <w:i/>
          <w:iCs/>
          <w:sz w:val="24"/>
          <w:szCs w:val="24"/>
        </w:rPr>
        <w:t>ESG (Environmental, Social and Governance)</w:t>
      </w:r>
      <w:r>
        <w:rPr>
          <w:rFonts w:hint="default" w:ascii="Arial" w:hAnsi="Arial" w:cs="Arial"/>
          <w:sz w:val="24"/>
          <w:szCs w:val="24"/>
        </w:rPr>
        <w:t xml:space="preserve">. [online] Corporate Finance Institute. Available at: </w:t>
      </w:r>
      <w:r>
        <w:rPr>
          <w:rFonts w:hint="default" w:ascii="Arial" w:hAnsi="Arial" w:cs="Arial"/>
          <w:sz w:val="24"/>
          <w:szCs w:val="24"/>
        </w:rPr>
        <w:fldChar w:fldCharType="begin"/>
      </w:r>
      <w:r>
        <w:rPr>
          <w:rFonts w:hint="default" w:ascii="Arial" w:hAnsi="Arial" w:cs="Arial"/>
          <w:sz w:val="24"/>
          <w:szCs w:val="24"/>
        </w:rPr>
        <w:instrText xml:space="preserve"> HYPERLINK "https://corporatefinanceinstitute.com/resources/esg/esg-environmental-social-governance/" </w:instrText>
      </w:r>
      <w:r>
        <w:rPr>
          <w:rFonts w:hint="default" w:ascii="Arial" w:hAnsi="Arial" w:cs="Arial"/>
          <w:sz w:val="24"/>
          <w:szCs w:val="24"/>
        </w:rPr>
        <w:fldChar w:fldCharType="separate"/>
      </w:r>
      <w:r>
        <w:rPr>
          <w:rStyle w:val="15"/>
          <w:rFonts w:hint="default" w:ascii="Arial" w:hAnsi="Arial" w:cs="Arial"/>
          <w:sz w:val="24"/>
          <w:szCs w:val="24"/>
        </w:rPr>
        <w:t>https://corporatefinanceinstitute.com/resources/esg/esg-environmental-social-governance/</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2 Nov. 2023].</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r>
        <w:rPr>
          <w:rFonts w:hint="default" w:ascii="Arial" w:hAnsi="Arial" w:cs="Arial"/>
          <w:sz w:val="24"/>
          <w:szCs w:val="24"/>
        </w:rPr>
        <w:t xml:space="preserve">Pitt, A., Thompson , A. and Kardos , K. (2021). </w:t>
      </w:r>
      <w:r>
        <w:rPr>
          <w:rFonts w:hint="default" w:ascii="Arial" w:hAnsi="Arial" w:cs="Arial"/>
          <w:i/>
          <w:iCs/>
          <w:sz w:val="24"/>
          <w:szCs w:val="24"/>
        </w:rPr>
        <w:t>PHILANTHROPY AND THE GLOBAL ECONOMY Opportunities in a World of Transition</w:t>
      </w:r>
      <w:r>
        <w:rPr>
          <w:rFonts w:hint="default" w:ascii="Arial" w:hAnsi="Arial" w:cs="Arial"/>
          <w:sz w:val="24"/>
          <w:szCs w:val="24"/>
        </w:rPr>
        <w:t xml:space="preserve">. [online] </w:t>
      </w:r>
      <w:r>
        <w:rPr>
          <w:rFonts w:hint="default" w:ascii="Arial" w:hAnsi="Arial" w:cs="Arial"/>
          <w:i/>
          <w:iCs/>
          <w:sz w:val="24"/>
          <w:szCs w:val="24"/>
        </w:rPr>
        <w:t>Citi GPS</w:t>
      </w:r>
      <w:r>
        <w:rPr>
          <w:rFonts w:hint="default" w:ascii="Arial" w:hAnsi="Arial" w:cs="Arial"/>
          <w:sz w:val="24"/>
          <w:szCs w:val="24"/>
        </w:rPr>
        <w:t xml:space="preserve">, pp.59–61. Available at: </w:t>
      </w:r>
      <w:r>
        <w:rPr>
          <w:rFonts w:hint="default" w:ascii="Arial" w:hAnsi="Arial" w:cs="Arial"/>
          <w:sz w:val="24"/>
          <w:szCs w:val="24"/>
        </w:rPr>
        <w:fldChar w:fldCharType="begin"/>
      </w:r>
      <w:r>
        <w:rPr>
          <w:rFonts w:hint="default" w:ascii="Arial" w:hAnsi="Arial" w:cs="Arial"/>
          <w:sz w:val="24"/>
          <w:szCs w:val="24"/>
        </w:rPr>
        <w:instrText xml:space="preserve"> HYPERLINK "https://www.privatebank.citibank.com/newcpb-media/media/documents/insights/Philanthropy-and-global-economy.pdf" </w:instrText>
      </w:r>
      <w:r>
        <w:rPr>
          <w:rFonts w:hint="default" w:ascii="Arial" w:hAnsi="Arial" w:cs="Arial"/>
          <w:sz w:val="24"/>
          <w:szCs w:val="24"/>
        </w:rPr>
        <w:fldChar w:fldCharType="separate"/>
      </w:r>
      <w:r>
        <w:rPr>
          <w:rStyle w:val="15"/>
          <w:rFonts w:hint="default" w:ascii="Arial" w:hAnsi="Arial" w:cs="Arial"/>
          <w:sz w:val="24"/>
          <w:szCs w:val="24"/>
        </w:rPr>
        <w:t>https://www.privatebank.citibank.com/newcpb-media/media/documents/insights/Philanthropy-and-global-economy.pdf</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2 Nov. 2023].</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r>
        <w:rPr>
          <w:rFonts w:hint="default" w:ascii="Arial" w:hAnsi="Arial" w:cs="Arial"/>
          <w:sz w:val="24"/>
          <w:szCs w:val="24"/>
        </w:rPr>
        <w:t xml:space="preserve">Reckmann, N. (2023). </w:t>
      </w:r>
      <w:r>
        <w:rPr>
          <w:rFonts w:hint="default" w:ascii="Arial" w:hAnsi="Arial" w:cs="Arial"/>
          <w:i/>
          <w:iCs/>
          <w:sz w:val="24"/>
          <w:szCs w:val="24"/>
        </w:rPr>
        <w:t>What is Corporate Social Responsibility?</w:t>
      </w:r>
      <w:r>
        <w:rPr>
          <w:rFonts w:hint="default" w:ascii="Arial" w:hAnsi="Arial" w:cs="Arial"/>
          <w:sz w:val="24"/>
          <w:szCs w:val="24"/>
        </w:rPr>
        <w:t xml:space="preserve"> [online] Business News Daily. Available at: </w:t>
      </w:r>
      <w:r>
        <w:rPr>
          <w:rFonts w:hint="default" w:ascii="Arial" w:hAnsi="Arial" w:cs="Arial"/>
          <w:sz w:val="24"/>
          <w:szCs w:val="24"/>
        </w:rPr>
        <w:fldChar w:fldCharType="begin"/>
      </w:r>
      <w:r>
        <w:rPr>
          <w:rFonts w:hint="default" w:ascii="Arial" w:hAnsi="Arial" w:cs="Arial"/>
          <w:sz w:val="24"/>
          <w:szCs w:val="24"/>
        </w:rPr>
        <w:instrText xml:space="preserve"> HYPERLINK "https://www.businessnewsdaily.com/4679-corporate-social-responsibility.html" </w:instrText>
      </w:r>
      <w:r>
        <w:rPr>
          <w:rFonts w:hint="default" w:ascii="Arial" w:hAnsi="Arial" w:cs="Arial"/>
          <w:sz w:val="24"/>
          <w:szCs w:val="24"/>
        </w:rPr>
        <w:fldChar w:fldCharType="separate"/>
      </w:r>
      <w:r>
        <w:rPr>
          <w:rStyle w:val="15"/>
          <w:rFonts w:hint="default" w:ascii="Arial" w:hAnsi="Arial" w:cs="Arial"/>
          <w:sz w:val="24"/>
          <w:szCs w:val="24"/>
        </w:rPr>
        <w:t>https://www.businessnewsdaily.com/4679-corporate-social-responsibility.html</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2 Nov. 2023].</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r>
        <w:rPr>
          <w:rFonts w:hint="default" w:ascii="Arial" w:hAnsi="Arial" w:cs="Arial"/>
          <w:sz w:val="24"/>
          <w:szCs w:val="24"/>
        </w:rPr>
        <w:t xml:space="preserve">SHRM (2016). </w:t>
      </w:r>
      <w:r>
        <w:rPr>
          <w:rFonts w:hint="default" w:ascii="Arial" w:hAnsi="Arial" w:cs="Arial"/>
          <w:i/>
          <w:iCs/>
          <w:sz w:val="24"/>
          <w:szCs w:val="24"/>
        </w:rPr>
        <w:t>Ethical Practice</w:t>
      </w:r>
      <w:r>
        <w:rPr>
          <w:rFonts w:hint="default" w:ascii="Arial" w:hAnsi="Arial" w:cs="Arial"/>
          <w:sz w:val="24"/>
          <w:szCs w:val="24"/>
        </w:rPr>
        <w:t xml:space="preserve">. [online] Shrm.org. Available at: </w:t>
      </w:r>
      <w:r>
        <w:rPr>
          <w:rFonts w:hint="default" w:ascii="Arial" w:hAnsi="Arial" w:cs="Arial"/>
          <w:sz w:val="24"/>
          <w:szCs w:val="24"/>
        </w:rPr>
        <w:fldChar w:fldCharType="begin"/>
      </w:r>
      <w:r>
        <w:rPr>
          <w:rFonts w:hint="default" w:ascii="Arial" w:hAnsi="Arial" w:cs="Arial"/>
          <w:sz w:val="24"/>
          <w:szCs w:val="24"/>
        </w:rPr>
        <w:instrText xml:space="preserve"> HYPERLINK "https://www.shrm.org/certification/educators/Documents/Session%203%20Instructors%20Guide%20and%20Teaching%20Notes.pdf" </w:instrText>
      </w:r>
      <w:r>
        <w:rPr>
          <w:rFonts w:hint="default" w:ascii="Arial" w:hAnsi="Arial" w:cs="Arial"/>
          <w:sz w:val="24"/>
          <w:szCs w:val="24"/>
        </w:rPr>
        <w:fldChar w:fldCharType="separate"/>
      </w:r>
      <w:r>
        <w:rPr>
          <w:rStyle w:val="15"/>
          <w:rFonts w:hint="default" w:ascii="Arial" w:hAnsi="Arial" w:cs="Arial"/>
          <w:sz w:val="24"/>
          <w:szCs w:val="24"/>
        </w:rPr>
        <w:t>https://www.shrm.org/certification/educators/Documents/Session%203%20Instructors%20Guide%20and%20Teaching%20Notes.pdf</w:t>
      </w:r>
      <w:r>
        <w:rPr>
          <w:rFonts w:hint="default" w:ascii="Arial" w:hAnsi="Arial" w:cs="Arial"/>
          <w:sz w:val="24"/>
          <w:szCs w:val="24"/>
        </w:rPr>
        <w:fldChar w:fldCharType="end"/>
      </w:r>
      <w:r>
        <w:rPr>
          <w:rFonts w:hint="default" w:ascii="Arial" w:hAnsi="Arial" w:cs="Arial"/>
          <w:sz w:val="24"/>
          <w:szCs w:val="24"/>
        </w:rPr>
        <w:t xml:space="preserve"> [Accessed 2 Nov. 2023].</w:t>
      </w:r>
    </w:p>
    <w:p>
      <w:pPr>
        <w:keepNext w:val="0"/>
        <w:keepLines w:val="0"/>
        <w:pageBreakBefore w:val="0"/>
        <w:widowControl/>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r>
        <w:rPr>
          <w:rFonts w:hint="default" w:ascii="Arial" w:hAnsi="Arial" w:cs="Arial"/>
          <w:sz w:val="24"/>
          <w:szCs w:val="24"/>
        </w:rPr>
        <w:t xml:space="preserve">Summers, H. (2022). </w:t>
      </w:r>
      <w:r>
        <w:rPr>
          <w:rFonts w:hint="default" w:ascii="Arial" w:hAnsi="Arial" w:cs="Arial"/>
          <w:i/>
          <w:iCs/>
          <w:sz w:val="24"/>
          <w:szCs w:val="24"/>
        </w:rPr>
        <w:t>What Were Aristotle’s Four Cardinal Virtues?</w:t>
      </w:r>
      <w:r>
        <w:rPr>
          <w:rFonts w:hint="default" w:ascii="Arial" w:hAnsi="Arial" w:cs="Arial"/>
          <w:sz w:val="24"/>
          <w:szCs w:val="24"/>
        </w:rPr>
        <w:t xml:space="preserve"> [online] TheCollector. Available at: </w:t>
      </w:r>
      <w:r>
        <w:rPr>
          <w:rFonts w:hint="default" w:ascii="Arial" w:hAnsi="Arial" w:cs="Arial"/>
          <w:sz w:val="24"/>
          <w:szCs w:val="24"/>
        </w:rPr>
        <w:fldChar w:fldCharType="begin"/>
      </w:r>
      <w:r>
        <w:rPr>
          <w:rFonts w:hint="default" w:ascii="Arial" w:hAnsi="Arial" w:cs="Arial"/>
          <w:sz w:val="24"/>
          <w:szCs w:val="24"/>
        </w:rPr>
        <w:instrText xml:space="preserve"> HYPERLINK "https://www.thecollector.com/aristotle-four-cardinal-virtues/" </w:instrText>
      </w:r>
      <w:r>
        <w:rPr>
          <w:rFonts w:hint="default" w:ascii="Arial" w:hAnsi="Arial" w:cs="Arial"/>
          <w:sz w:val="24"/>
          <w:szCs w:val="24"/>
        </w:rPr>
        <w:fldChar w:fldCharType="separate"/>
      </w:r>
      <w:r>
        <w:rPr>
          <w:rStyle w:val="15"/>
          <w:rFonts w:hint="default" w:ascii="Arial" w:hAnsi="Arial" w:cs="Arial"/>
          <w:sz w:val="24"/>
          <w:szCs w:val="24"/>
        </w:rPr>
        <w:t>https://www.thecollector.com/aristotle-four-cardinal-virtues/</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2 Nov. 2023].</w:t>
      </w:r>
    </w:p>
    <w:p>
      <w:pPr>
        <w:keepNext w:val="0"/>
        <w:keepLines w:val="0"/>
        <w:pageBreakBefore w:val="0"/>
        <w:widowControl/>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r>
        <w:rPr>
          <w:rFonts w:hint="default" w:ascii="Arial" w:hAnsi="Arial" w:cs="Arial"/>
          <w:sz w:val="24"/>
          <w:szCs w:val="24"/>
        </w:rPr>
        <w:t xml:space="preserve">Tepper, T. (2020). Milton Friedman On The Social Responsibility of Business, 50 Years Later. </w:t>
      </w:r>
      <w:r>
        <w:rPr>
          <w:rFonts w:hint="default" w:ascii="Arial" w:hAnsi="Arial" w:cs="Arial"/>
          <w:i/>
          <w:iCs/>
          <w:sz w:val="24"/>
          <w:szCs w:val="24"/>
        </w:rPr>
        <w:t>Forbes Advisor</w:t>
      </w:r>
      <w:r>
        <w:rPr>
          <w:rFonts w:hint="default" w:ascii="Arial" w:hAnsi="Arial" w:cs="Arial"/>
          <w:sz w:val="24"/>
          <w:szCs w:val="24"/>
        </w:rPr>
        <w:t xml:space="preserve">. [online] 16 Sep. Available at: </w:t>
      </w:r>
      <w:r>
        <w:rPr>
          <w:rFonts w:hint="default" w:ascii="Arial" w:hAnsi="Arial" w:cs="Arial"/>
          <w:sz w:val="24"/>
          <w:szCs w:val="24"/>
        </w:rPr>
        <w:fldChar w:fldCharType="begin"/>
      </w:r>
      <w:r>
        <w:rPr>
          <w:rFonts w:hint="default" w:ascii="Arial" w:hAnsi="Arial" w:cs="Arial"/>
          <w:sz w:val="24"/>
          <w:szCs w:val="24"/>
        </w:rPr>
        <w:instrText xml:space="preserve"> HYPERLINK "https://www.forbes.com/advisor/investing/milton-friedman-social-responsibility-of-business/" </w:instrText>
      </w:r>
      <w:r>
        <w:rPr>
          <w:rFonts w:hint="default" w:ascii="Arial" w:hAnsi="Arial" w:cs="Arial"/>
          <w:sz w:val="24"/>
          <w:szCs w:val="24"/>
        </w:rPr>
        <w:fldChar w:fldCharType="separate"/>
      </w:r>
      <w:r>
        <w:rPr>
          <w:rStyle w:val="15"/>
          <w:rFonts w:hint="default" w:ascii="Arial" w:hAnsi="Arial" w:cs="Arial"/>
          <w:sz w:val="24"/>
          <w:szCs w:val="24"/>
        </w:rPr>
        <w:t>https://www.forbes.com/advisor/investing/milton-friedman-social-responsibility-of-business/</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2 Nov. 2023].</w:t>
      </w:r>
    </w:p>
    <w:p>
      <w:pPr>
        <w:keepNext w:val="0"/>
        <w:keepLines w:val="0"/>
        <w:pageBreakBefore w:val="0"/>
        <w:widowControl/>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r>
        <w:rPr>
          <w:rFonts w:hint="default" w:ascii="Arial" w:hAnsi="Arial" w:cs="Arial"/>
          <w:sz w:val="24"/>
          <w:szCs w:val="24"/>
        </w:rPr>
        <w:t xml:space="preserve">Thomson, J. (1985). The Trolley Problem Comment. </w:t>
      </w:r>
      <w:r>
        <w:rPr>
          <w:rFonts w:hint="default" w:ascii="Arial" w:hAnsi="Arial" w:cs="Arial"/>
          <w:i/>
          <w:iCs/>
          <w:sz w:val="24"/>
          <w:szCs w:val="24"/>
        </w:rPr>
        <w:t>94 Yale Law Journal 1984-1985</w:t>
      </w:r>
      <w:r>
        <w:rPr>
          <w:rFonts w:hint="default" w:ascii="Arial" w:hAnsi="Arial" w:cs="Arial"/>
          <w:sz w:val="24"/>
          <w:szCs w:val="24"/>
        </w:rPr>
        <w:t xml:space="preserve">, [online] 1(94), p.1395. Available at: </w:t>
      </w:r>
      <w:r>
        <w:rPr>
          <w:rFonts w:hint="default" w:ascii="Arial" w:hAnsi="Arial" w:cs="Arial"/>
          <w:sz w:val="24"/>
          <w:szCs w:val="24"/>
        </w:rPr>
        <w:fldChar w:fldCharType="begin"/>
      </w:r>
      <w:r>
        <w:rPr>
          <w:rFonts w:hint="default" w:ascii="Arial" w:hAnsi="Arial" w:cs="Arial"/>
          <w:sz w:val="24"/>
          <w:szCs w:val="24"/>
        </w:rPr>
        <w:instrText xml:space="preserve"> HYPERLINK "https://heinonline.org/HOL/LandingPage?handle=hein.journals/ylr94&amp;div=57&amp;id=&amp;page=" </w:instrText>
      </w:r>
      <w:r>
        <w:rPr>
          <w:rFonts w:hint="default" w:ascii="Arial" w:hAnsi="Arial" w:cs="Arial"/>
          <w:sz w:val="24"/>
          <w:szCs w:val="24"/>
        </w:rPr>
        <w:fldChar w:fldCharType="separate"/>
      </w:r>
      <w:r>
        <w:rPr>
          <w:rStyle w:val="15"/>
          <w:rFonts w:hint="default" w:ascii="Arial" w:hAnsi="Arial" w:cs="Arial"/>
          <w:sz w:val="24"/>
          <w:szCs w:val="24"/>
        </w:rPr>
        <w:t>https://heinonline.org/HOL/LandingPage?handle=hein.journals/ylr94&amp;div=57&amp;id=&amp;page=</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2 Nov. 2023].</w:t>
      </w:r>
    </w:p>
    <w:p>
      <w:pPr>
        <w:keepNext w:val="0"/>
        <w:keepLines w:val="0"/>
        <w:pageBreakBefore w:val="0"/>
        <w:widowControl/>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keepNext w:val="0"/>
        <w:keepLines w:val="0"/>
        <w:pageBreakBefore w:val="0"/>
        <w:widowControl/>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r>
        <w:rPr>
          <w:rFonts w:hint="default" w:ascii="Arial" w:hAnsi="Arial" w:cs="Arial"/>
          <w:sz w:val="24"/>
          <w:szCs w:val="24"/>
        </w:rPr>
        <w:t xml:space="preserve">Uhlhaas, C. (2007). Is Greed Good? </w:t>
      </w:r>
      <w:r>
        <w:rPr>
          <w:rFonts w:hint="default" w:ascii="Arial" w:hAnsi="Arial" w:cs="Arial"/>
          <w:i/>
          <w:iCs/>
          <w:sz w:val="24"/>
          <w:szCs w:val="24"/>
        </w:rPr>
        <w:t>Scientific American Mind</w:t>
      </w:r>
      <w:r>
        <w:rPr>
          <w:rFonts w:hint="default" w:ascii="Arial" w:hAnsi="Arial" w:cs="Arial"/>
          <w:sz w:val="24"/>
          <w:szCs w:val="24"/>
        </w:rPr>
        <w:t xml:space="preserve">, [online] 18(4), pp.60–67. Available at: </w:t>
      </w:r>
      <w:r>
        <w:rPr>
          <w:rFonts w:hint="default" w:ascii="Arial" w:hAnsi="Arial" w:cs="Arial"/>
          <w:sz w:val="24"/>
          <w:szCs w:val="24"/>
        </w:rPr>
        <w:fldChar w:fldCharType="begin"/>
      </w:r>
      <w:r>
        <w:rPr>
          <w:rFonts w:hint="default" w:ascii="Arial" w:hAnsi="Arial" w:cs="Arial"/>
          <w:sz w:val="24"/>
          <w:szCs w:val="24"/>
        </w:rPr>
        <w:instrText xml:space="preserve"> HYPERLINK "https://www.jstor.org/stable/24939686?casa_token=DKZ8-JFQkhMAAAAA%3AVvIUzh-YB9nkE-qFU7xZe0i8xgKEs_VsNO04cBfrJ9bqt7Gyf0NYRXo4rr40a9HttnTvpnU9ieo9crpWUyqVvY06QuObTOJT6eqCG2-JjqDNbGSohHM&amp;seq=1" </w:instrText>
      </w:r>
      <w:r>
        <w:rPr>
          <w:rFonts w:hint="default" w:ascii="Arial" w:hAnsi="Arial" w:cs="Arial"/>
          <w:sz w:val="24"/>
          <w:szCs w:val="24"/>
        </w:rPr>
        <w:fldChar w:fldCharType="separate"/>
      </w:r>
      <w:r>
        <w:rPr>
          <w:rStyle w:val="15"/>
          <w:rFonts w:hint="default" w:ascii="Arial" w:hAnsi="Arial" w:cs="Arial"/>
          <w:sz w:val="24"/>
          <w:szCs w:val="24"/>
        </w:rPr>
        <w:t>https://www.jstor.org/stable/24939686?casa_token=DKZ8-JFQkhMAAAAA%3AVvIUzh-YB9nkE-qFU7xZe0i8xgKEs_VsNO04cBfrJ9bqt7Gyf0NYRXo4rr40a9HttnTvpnU9ieo9crpWUyqVvY06QuObTOJT6eqCG2-JjqDNbGSohHM&amp;seq=1</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2 Nov. 2023].</w:t>
      </w:r>
    </w:p>
    <w:p>
      <w:pPr>
        <w:keepNext w:val="0"/>
        <w:keepLines w:val="0"/>
        <w:pageBreakBefore w:val="0"/>
        <w:widowControl/>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r>
        <w:rPr>
          <w:rFonts w:hint="default" w:ascii="Arial" w:hAnsi="Arial" w:cs="Arial"/>
          <w:sz w:val="24"/>
          <w:szCs w:val="24"/>
        </w:rPr>
        <w:t xml:space="preserve">Viner, J. (1949). Bentham and J. S. Mill: The Utilitarian Background. </w:t>
      </w:r>
      <w:r>
        <w:rPr>
          <w:rFonts w:hint="default" w:ascii="Arial" w:hAnsi="Arial" w:cs="Arial"/>
          <w:i/>
          <w:iCs/>
          <w:sz w:val="24"/>
          <w:szCs w:val="24"/>
        </w:rPr>
        <w:t>The American Economic Review</w:t>
      </w:r>
      <w:r>
        <w:rPr>
          <w:rFonts w:hint="default" w:ascii="Arial" w:hAnsi="Arial" w:cs="Arial"/>
          <w:sz w:val="24"/>
          <w:szCs w:val="24"/>
        </w:rPr>
        <w:t xml:space="preserve">, [online] 39(2), pp.360–382. Available at: </w:t>
      </w:r>
      <w:r>
        <w:rPr>
          <w:rFonts w:hint="default" w:ascii="Arial" w:hAnsi="Arial" w:cs="Arial"/>
          <w:sz w:val="24"/>
          <w:szCs w:val="24"/>
        </w:rPr>
        <w:fldChar w:fldCharType="begin"/>
      </w:r>
      <w:r>
        <w:rPr>
          <w:rFonts w:hint="default" w:ascii="Arial" w:hAnsi="Arial" w:cs="Arial"/>
          <w:sz w:val="24"/>
          <w:szCs w:val="24"/>
        </w:rPr>
        <w:instrText xml:space="preserve"> HYPERLINK "https://www.jstor.org/stable/1812738?seq=2" </w:instrText>
      </w:r>
      <w:r>
        <w:rPr>
          <w:rFonts w:hint="default" w:ascii="Arial" w:hAnsi="Arial" w:cs="Arial"/>
          <w:sz w:val="24"/>
          <w:szCs w:val="24"/>
        </w:rPr>
        <w:fldChar w:fldCharType="separate"/>
      </w:r>
      <w:r>
        <w:rPr>
          <w:rStyle w:val="15"/>
          <w:rFonts w:hint="default" w:ascii="Arial" w:hAnsi="Arial" w:cs="Arial"/>
          <w:sz w:val="24"/>
          <w:szCs w:val="24"/>
        </w:rPr>
        <w:t>https://www.jstor.org/stable/1812738?seq=2</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2 Nov. 2023].</w:t>
      </w:r>
    </w:p>
    <w:p>
      <w:pPr>
        <w:keepNext w:val="0"/>
        <w:keepLines w:val="0"/>
        <w:pageBreakBefore w:val="0"/>
        <w:widowControl/>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r>
        <w:rPr>
          <w:rFonts w:hint="default" w:ascii="Arial" w:hAnsi="Arial" w:cs="Arial"/>
          <w:sz w:val="24"/>
          <w:szCs w:val="24"/>
        </w:rPr>
        <w:t xml:space="preserve">White, M.D. (2009). In Defense of Deontology and Kant: A Reply to van Staveren. </w:t>
      </w:r>
      <w:r>
        <w:rPr>
          <w:rFonts w:hint="default" w:ascii="Arial" w:hAnsi="Arial" w:cs="Arial"/>
          <w:i/>
          <w:iCs/>
          <w:sz w:val="24"/>
          <w:szCs w:val="24"/>
        </w:rPr>
        <w:t>Review of Political Economy</w:t>
      </w:r>
      <w:r>
        <w:rPr>
          <w:rFonts w:hint="default" w:ascii="Arial" w:hAnsi="Arial" w:cs="Arial"/>
          <w:sz w:val="24"/>
          <w:szCs w:val="24"/>
        </w:rPr>
        <w:t>, 21(2), pp.299–307. doi:</w:t>
      </w:r>
      <w:r>
        <w:rPr>
          <w:rFonts w:hint="default" w:ascii="Arial" w:hAnsi="Arial" w:cs="Arial"/>
          <w:sz w:val="24"/>
          <w:szCs w:val="24"/>
          <w:lang w:val="en-US" w:eastAsia="zh-CN"/>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"https://doi.org/10.1080/09538250902834103" </w:instrText>
      </w:r>
      <w:r>
        <w:rPr>
          <w:rFonts w:hint="default" w:ascii="Arial" w:hAnsi="Arial" w:cs="Arial"/>
          <w:sz w:val="24"/>
          <w:szCs w:val="24"/>
        </w:rPr>
        <w:fldChar w:fldCharType="separate"/>
      </w:r>
      <w:r>
        <w:rPr>
          <w:rStyle w:val="15"/>
          <w:rFonts w:hint="default" w:ascii="Arial" w:hAnsi="Arial" w:cs="Arial"/>
          <w:sz w:val="24"/>
          <w:szCs w:val="24"/>
        </w:rPr>
        <w:t>https://doi.org/10.1080/09538250902834103</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2 Nov. 2023].</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r>
        <w:rPr>
          <w:rFonts w:hint="default" w:ascii="Arial" w:hAnsi="Arial" w:cs="Arial"/>
          <w:sz w:val="24"/>
          <w:szCs w:val="24"/>
        </w:rPr>
        <w:t xml:space="preserve">Wright, T. (2023). </w:t>
      </w:r>
      <w:r>
        <w:rPr>
          <w:rFonts w:hint="default" w:ascii="Arial" w:hAnsi="Arial" w:cs="Arial"/>
          <w:i/>
          <w:iCs/>
          <w:sz w:val="24"/>
          <w:szCs w:val="24"/>
        </w:rPr>
        <w:t>What Is Stakeholder Theory? Benefits, Challenges &amp; Application</w:t>
      </w:r>
      <w:r>
        <w:rPr>
          <w:rFonts w:hint="default" w:ascii="Arial" w:hAnsi="Arial" w:cs="Arial"/>
          <w:sz w:val="24"/>
          <w:szCs w:val="24"/>
        </w:rPr>
        <w:t xml:space="preserve">. [online] Cascade. Available at: </w:t>
      </w:r>
      <w:r>
        <w:rPr>
          <w:rFonts w:hint="default" w:ascii="Arial" w:hAnsi="Arial" w:cs="Arial"/>
          <w:sz w:val="24"/>
          <w:szCs w:val="24"/>
        </w:rPr>
        <w:fldChar w:fldCharType="begin"/>
      </w:r>
      <w:r>
        <w:rPr>
          <w:rFonts w:hint="default" w:ascii="Arial" w:hAnsi="Arial" w:cs="Arial"/>
          <w:sz w:val="24"/>
          <w:szCs w:val="24"/>
        </w:rPr>
        <w:instrText xml:space="preserve"> HYPERLINK "https://www.cascade.app/blog/stakeholder-theory" </w:instrText>
      </w:r>
      <w:r>
        <w:rPr>
          <w:rFonts w:hint="default" w:ascii="Arial" w:hAnsi="Arial" w:cs="Arial"/>
          <w:sz w:val="24"/>
          <w:szCs w:val="24"/>
        </w:rPr>
        <w:fldChar w:fldCharType="separate"/>
      </w:r>
      <w:r>
        <w:rPr>
          <w:rStyle w:val="15"/>
          <w:rFonts w:hint="default" w:ascii="Arial" w:hAnsi="Arial" w:cs="Arial"/>
          <w:sz w:val="24"/>
          <w:szCs w:val="24"/>
        </w:rPr>
        <w:t>https://www.cascade.app/blog/stakeholder-theory</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2 Nov. 2023].</w:t>
      </w:r>
    </w:p>
    <w:p>
      <w:pPr>
        <w:keepNext w:val="0"/>
        <w:keepLines w:val="0"/>
        <w:pageBreakBefore w:val="0"/>
        <w:widowControl/>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jc w:val="both"/>
        <w:textAlignment w:val="auto"/>
        <w:rPr>
          <w:rFonts w:hint="default" w:ascii="Arial" w:hAnsi="Arial" w:cs="Arial"/>
          <w:sz w:val="24"/>
          <w:szCs w:val="24"/>
        </w:rPr>
      </w:pPr>
      <w:r>
        <w:rPr>
          <w:rFonts w:hint="default" w:ascii="Arial" w:hAnsi="Arial" w:cs="Arial"/>
          <w:sz w:val="24"/>
          <w:szCs w:val="24"/>
        </w:rPr>
        <w:t xml:space="preserve">Zeiger, S. (2019). </w:t>
      </w:r>
      <w:r>
        <w:rPr>
          <w:rFonts w:hint="default" w:ascii="Arial" w:hAnsi="Arial" w:cs="Arial"/>
          <w:i/>
          <w:iCs/>
          <w:sz w:val="24"/>
          <w:szCs w:val="24"/>
        </w:rPr>
        <w:t>Effects of a Lack of Ethics on a Business Environment</w:t>
      </w:r>
      <w:r>
        <w:rPr>
          <w:rFonts w:hint="default" w:ascii="Arial" w:hAnsi="Arial" w:cs="Arial"/>
          <w:sz w:val="24"/>
          <w:szCs w:val="24"/>
        </w:rPr>
        <w:t xml:space="preserve">. [online] Chron. Available at: </w:t>
      </w:r>
      <w:r>
        <w:rPr>
          <w:rFonts w:hint="default" w:ascii="Arial" w:hAnsi="Arial" w:cs="Arial"/>
          <w:sz w:val="24"/>
          <w:szCs w:val="24"/>
        </w:rPr>
        <w:fldChar w:fldCharType="begin"/>
      </w:r>
      <w:r>
        <w:rPr>
          <w:rFonts w:hint="default" w:ascii="Arial" w:hAnsi="Arial" w:cs="Arial"/>
          <w:sz w:val="24"/>
          <w:szCs w:val="24"/>
        </w:rPr>
        <w:instrText xml:space="preserve"> HYPERLINK "https://smallbusiness.chron.com/effects-lack-ethics-business-environment-23332.html" </w:instrText>
      </w:r>
      <w:r>
        <w:rPr>
          <w:rFonts w:hint="default" w:ascii="Arial" w:hAnsi="Arial" w:cs="Arial"/>
          <w:sz w:val="24"/>
          <w:szCs w:val="24"/>
        </w:rPr>
        <w:fldChar w:fldCharType="separate"/>
      </w:r>
      <w:r>
        <w:rPr>
          <w:rStyle w:val="15"/>
          <w:rFonts w:hint="default" w:ascii="Arial" w:hAnsi="Arial" w:cs="Arial"/>
          <w:sz w:val="24"/>
          <w:szCs w:val="24"/>
        </w:rPr>
        <w:t>https://smallbusiness.chron.com/effects-lack-ethics-business-environment-23332.html</w:t>
      </w:r>
      <w:r>
        <w:rPr>
          <w:rFonts w:hint="default" w:ascii="Arial" w:hAnsi="Arial" w:cs="Arial"/>
          <w:sz w:val="24"/>
          <w:szCs w:val="24"/>
        </w:rPr>
        <w:fldChar w:fldCharType="end"/>
      </w:r>
      <w:r>
        <w:rPr>
          <w:rFonts w:hint="default" w:ascii="Arial" w:hAnsi="Arial" w:cs="Arial"/>
          <w:sz w:val="24"/>
          <w:szCs w:val="24"/>
          <w:lang w:val="en-US" w:eastAsia="zh-CN"/>
        </w:rPr>
        <w:t xml:space="preserve"> </w:t>
      </w:r>
      <w:r>
        <w:rPr>
          <w:rFonts w:hint="default" w:ascii="Arial" w:hAnsi="Arial" w:cs="Arial"/>
          <w:sz w:val="24"/>
          <w:szCs w:val="24"/>
        </w:rPr>
        <w:t>[Accessed 2 Nov. 2023].</w:t>
      </w:r>
    </w:p>
    <w:p>
      <w:pPr>
        <w:pageBreakBefore w:val="0"/>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pageBreakBefore w:val="0"/>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pageBreakBefore w:val="0"/>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pageBreakBefore w:val="0"/>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pageBreakBefore w:val="0"/>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pageBreakBefore w:val="0"/>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pageBreakBefore w:val="0"/>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pageBreakBefore w:val="0"/>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pageBreakBefore w:val="0"/>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pageBreakBefore w:val="0"/>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pageBreakBefore w:val="0"/>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pageBreakBefore w:val="0"/>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pageBreakBefore w:val="0"/>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pageBreakBefore w:val="0"/>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pageBreakBefore w:val="0"/>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pageBreakBefore w:val="0"/>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pageBreakBefore w:val="0"/>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pageBreakBefore w:val="0"/>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pageBreakBefore w:val="0"/>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pageBreakBefore w:val="0"/>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pageBreakBefore w:val="0"/>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pageBreakBefore w:val="0"/>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pageBreakBefore w:val="0"/>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pageBreakBefore w:val="0"/>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pageBreakBefore w:val="0"/>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pageBreakBefore w:val="0"/>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pageBreakBefore w:val="0"/>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pageBreakBefore w:val="0"/>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pageBreakBefore w:val="0"/>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pageBreakBefore w:val="0"/>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pageBreakBefore w:val="0"/>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pageBreakBefore w:val="0"/>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pageBreakBefore w:val="0"/>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pStyle w:val="2"/>
        <w:pageBreakBefore w:val="0"/>
        <w:kinsoku/>
        <w:wordWrap/>
        <w:overflowPunct/>
        <w:topLinePunct w:val="0"/>
        <w:autoSpaceDE/>
        <w:autoSpaceDN/>
        <w:bidi w:val="0"/>
        <w:adjustRightInd/>
        <w:snapToGrid/>
        <w:spacing w:line="480" w:lineRule="auto"/>
        <w:jc w:val="both"/>
        <w:textAlignment w:val="auto"/>
        <w:rPr>
          <w:rFonts w:hint="default" w:ascii="Arial" w:hAnsi="Arial" w:cs="Arial"/>
          <w:sz w:val="32"/>
          <w:szCs w:val="32"/>
        </w:rPr>
      </w:pPr>
      <w:bookmarkStart w:id="15" w:name="_Toc117847547"/>
      <w:bookmarkStart w:id="16" w:name="_Toc31449"/>
      <w:r>
        <w:rPr>
          <w:rFonts w:hint="default" w:ascii="Arial" w:hAnsi="Arial" w:cs="Arial"/>
          <w:sz w:val="32"/>
          <w:szCs w:val="32"/>
        </w:rPr>
        <w:t>Appendices</w:t>
      </w:r>
      <w:bookmarkEnd w:id="15"/>
      <w:bookmarkEnd w:id="16"/>
    </w:p>
    <w:p>
      <w:pPr>
        <w:pStyle w:val="3"/>
        <w:pageBreakBefore w:val="0"/>
        <w:kinsoku/>
        <w:wordWrap/>
        <w:overflowPunct/>
        <w:topLinePunct w:val="0"/>
        <w:autoSpaceDE/>
        <w:autoSpaceDN/>
        <w:bidi w:val="0"/>
        <w:adjustRightInd/>
        <w:snapToGrid/>
        <w:spacing w:line="480" w:lineRule="auto"/>
        <w:textAlignment w:val="auto"/>
        <w:rPr>
          <w:rFonts w:hint="default" w:ascii="Arial" w:hAnsi="Arial" w:cs="Arial"/>
          <w:sz w:val="28"/>
          <w:szCs w:val="22"/>
          <w:lang w:val="en-US" w:eastAsia="zh-CN"/>
        </w:rPr>
      </w:pPr>
      <w:bookmarkStart w:id="17" w:name="_Toc14693"/>
      <w:r>
        <w:rPr>
          <w:rFonts w:hint="default" w:ascii="Arial" w:hAnsi="Arial" w:cs="Arial"/>
          <w:sz w:val="28"/>
          <w:szCs w:val="22"/>
          <w:lang w:val="en-US" w:eastAsia="zh-CN"/>
        </w:rPr>
        <w:t>1.0 Ethics, Morality and Law</w:t>
      </w:r>
      <w:bookmarkEnd w:id="17"/>
    </w:p>
    <w:p>
      <w:pPr>
        <w:pageBreakBefore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lang w:val="en-US" w:eastAsia="zh-CN"/>
        </w:rPr>
      </w:pPr>
      <w:r>
        <w:rPr>
          <w:rFonts w:hint="default" w:ascii="Arial" w:hAnsi="Arial" w:cs="Arial"/>
          <w:bCs/>
          <w:sz w:val="24"/>
          <w:szCs w:val="24"/>
          <w:lang w:val="en-US" w:eastAsia="zh-CN"/>
        </w:rPr>
        <w:t>Ethics refers to values that are deeply rooted within a community and are widely shared and relatively stable among social groups. Ethics as a philosophical enterprise involves the study of values and the defence of right and good behaviour. Classical ethics include Aristotle's virtue ethics, Kant's duty-based ethics, and the utilitarian and consequentialist ethics proposed by Bianchin and Mill. Finally, law consists of specific duties set by the government that are necessary to maintain social order and resolve disputes, as well as to allocate society's resources according to people's needs or entitlements (Horner, 2003).</w:t>
      </w:r>
    </w:p>
    <w:p>
      <w:pPr>
        <w:pageBreakBefore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lang w:val="en-US" w:eastAsia="zh-CN"/>
        </w:rPr>
      </w:pPr>
    </w:p>
    <w:p>
      <w:pPr>
        <w:pStyle w:val="3"/>
        <w:pageBreakBefore w:val="0"/>
        <w:kinsoku/>
        <w:wordWrap/>
        <w:overflowPunct/>
        <w:topLinePunct w:val="0"/>
        <w:autoSpaceDE/>
        <w:autoSpaceDN/>
        <w:bidi w:val="0"/>
        <w:adjustRightInd/>
        <w:snapToGrid/>
        <w:spacing w:line="480" w:lineRule="auto"/>
        <w:textAlignment w:val="auto"/>
        <w:rPr>
          <w:rFonts w:hint="default" w:ascii="Arial" w:hAnsi="Arial" w:cs="Arial"/>
          <w:sz w:val="28"/>
          <w:szCs w:val="22"/>
          <w:lang w:val="en-US" w:eastAsia="zh-CN"/>
        </w:rPr>
      </w:pPr>
      <w:bookmarkStart w:id="18" w:name="_Toc11478"/>
      <w:r>
        <w:rPr>
          <w:rFonts w:hint="default" w:ascii="Arial" w:hAnsi="Arial" w:cs="Arial"/>
          <w:sz w:val="28"/>
          <w:szCs w:val="22"/>
          <w:lang w:val="en-US" w:eastAsia="zh-CN"/>
        </w:rPr>
        <w:t>2.0 Ethical Codes and Corporate Responsibility</w:t>
      </w:r>
      <w:bookmarkEnd w:id="18"/>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lang w:val="en-US" w:eastAsia="zh-CN"/>
        </w:rPr>
      </w:pPr>
      <w:r>
        <w:rPr>
          <w:rFonts w:hint="default" w:ascii="Arial" w:hAnsi="Arial" w:cs="Arial"/>
          <w:bCs/>
          <w:sz w:val="24"/>
          <w:szCs w:val="24"/>
          <w:lang w:val="en-US" w:eastAsia="zh-CN"/>
        </w:rPr>
        <w:t xml:space="preserve">Today most of the biggest corporations in the world have a code, and the percentage is rising. This interest in codes has grown simultaneously with the attention on corporate social responsibility and sustainable business practice in big corporations. Codes of ethics show corporate responsibility sensibility, or at least they are the most objectively verifiable elements of social responsibility (Calderón, Ferrero and Redin, 2017). </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lang w:val="en-US" w:eastAsia="zh-CN"/>
        </w:rPr>
      </w:pPr>
      <w:r>
        <w:rPr>
          <w:rFonts w:hint="default" w:ascii="Arial" w:hAnsi="Arial" w:cs="Arial"/>
          <w:bCs/>
          <w:sz w:val="24"/>
          <w:szCs w:val="24"/>
          <w:lang w:val="en-US" w:eastAsia="zh-CN"/>
        </w:rPr>
        <w:t xml:space="preserve">Given the growing concern for social responsibility and for forging relationships with external stakeholders – both of which have become an undeniable social demand – it is reasonable to think that the content of the codes of the most respected and admired companies should reflect this trend. </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lang w:val="en-US" w:eastAsia="zh-CN"/>
        </w:rPr>
      </w:pPr>
      <w:r>
        <w:rPr>
          <w:rFonts w:hint="default" w:ascii="Arial" w:hAnsi="Arial" w:cs="Arial"/>
          <w:bCs/>
          <w:sz w:val="24"/>
          <w:szCs w:val="24"/>
          <w:lang w:val="en-US" w:eastAsia="zh-CN"/>
        </w:rPr>
        <w:t xml:space="preserve">By definition, admiration indicates that corporate actions and behaviors are estimated as distinguished, which supposes credibility, a long-term positive image and reputation, and therefore the adherence to values and principles. In theory, admiration comes from actions and not from the codes themselves, although these values are usually described in business codes. </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lang w:val="en-US" w:eastAsia="zh-CN"/>
        </w:rPr>
      </w:pPr>
      <w:r>
        <w:rPr>
          <w:rFonts w:hint="default" w:ascii="Arial" w:hAnsi="Arial" w:cs="Arial"/>
          <w:bCs/>
          <w:sz w:val="24"/>
          <w:szCs w:val="24"/>
          <w:lang w:val="en-US" w:eastAsia="zh-CN"/>
        </w:rPr>
        <w:t>Moreover, the content of the code constitutes the basis for defining the indicators for measuring its effectiveness, and also influences the ethical or unethical behavior within companies. Codes are usually regarded as the most important component of an ethics program in companies. They are useful tools for stating ethical principles as well as for communicating to its audience the importance the company gives to these principles as necessary conditions for doing business. Hence codes are an essential tool to make a company ethical and an important step for corporate image (Calderón, Ferrero and Redin, 2017).</w:t>
      </w:r>
    </w:p>
    <w:p>
      <w:pPr>
        <w:pageBreakBefore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bookmarkStart w:id="23" w:name="_GoBack"/>
      <w:bookmarkEnd w:id="23"/>
    </w:p>
    <w:p>
      <w:pPr>
        <w:pStyle w:val="3"/>
        <w:pageBreakBefore w:val="0"/>
        <w:kinsoku/>
        <w:wordWrap/>
        <w:overflowPunct/>
        <w:topLinePunct w:val="0"/>
        <w:autoSpaceDE/>
        <w:autoSpaceDN/>
        <w:bidi w:val="0"/>
        <w:adjustRightInd/>
        <w:snapToGrid/>
        <w:spacing w:line="480" w:lineRule="auto"/>
        <w:textAlignment w:val="auto"/>
        <w:rPr>
          <w:rFonts w:hint="default" w:ascii="Arial" w:hAnsi="Arial" w:cs="Arial"/>
          <w:sz w:val="28"/>
          <w:szCs w:val="22"/>
          <w:lang w:val="en-US" w:eastAsia="zh-CN"/>
        </w:rPr>
      </w:pPr>
      <w:bookmarkStart w:id="19" w:name="_Toc4146"/>
      <w:r>
        <w:rPr>
          <w:rFonts w:hint="default" w:ascii="Arial" w:hAnsi="Arial" w:cs="Arial"/>
          <w:sz w:val="28"/>
          <w:szCs w:val="22"/>
          <w:lang w:val="en-US" w:eastAsia="zh-CN"/>
        </w:rPr>
        <w:t>3.0 PERI Table</w:t>
      </w:r>
      <w:bookmarkEnd w:id="19"/>
    </w:p>
    <w:tbl>
      <w:tblPr>
        <w:tblStyle w:val="11"/>
        <w:tblW w:w="0" w:type="auto"/>
        <w:tblCellSpacing w:w="7" w:type="dxa"/>
        <w:tblInd w:w="15"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Layout w:type="autofit"/>
        <w:tblCellMar>
          <w:top w:w="75" w:type="dxa"/>
          <w:left w:w="75" w:type="dxa"/>
          <w:bottom w:w="75" w:type="dxa"/>
          <w:right w:w="75" w:type="dxa"/>
        </w:tblCellMar>
      </w:tblPr>
      <w:tblGrid>
        <w:gridCol w:w="701"/>
        <w:gridCol w:w="1583"/>
        <w:gridCol w:w="1482"/>
        <w:gridCol w:w="1054"/>
        <w:gridCol w:w="1318"/>
        <w:gridCol w:w="682"/>
        <w:gridCol w:w="774"/>
        <w:gridCol w:w="875"/>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6699CC"/>
            <w:vAlign w:val="center"/>
          </w:tcPr>
          <w:p>
            <w:pPr>
              <w:keepNext w:val="0"/>
              <w:keepLines w:val="0"/>
              <w:widowControl/>
              <w:suppressLineNumbers w:val="0"/>
              <w:jc w:val="center"/>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"https://grconnect.com/tox100wt/ry2020/index.php?search=top100&amp;iframe=yes&amp;sortp=wat100_rank"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Toxic 100 Water Rank</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6699CC"/>
            <w:vAlign w:val="center"/>
          </w:tcPr>
          <w:p>
            <w:pPr>
              <w:keepNext w:val="0"/>
              <w:keepLines w:val="0"/>
              <w:widowControl/>
              <w:suppressLineNumbers w:val="0"/>
              <w:jc w:val="center"/>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"https://grconnect.com/tox100wt/ry2020/index.php?search=top100&amp;iframe=yes&amp;sortp=final_parent"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Corporation</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6699CC"/>
            <w:vAlign w:val="center"/>
          </w:tcPr>
          <w:p>
            <w:pPr>
              <w:keepNext w:val="0"/>
              <w:keepLines w:val="0"/>
              <w:widowControl/>
              <w:suppressLineNumbers w:val="0"/>
              <w:jc w:val="center"/>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"https://grconnect.com/tox100wt/ry2020/index.php?search=top100&amp;iframe=yes&amp;sortp=hazard_rev"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Toxic hazard (pounds released x toxicity)</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6699CC"/>
            <w:vAlign w:val="center"/>
          </w:tcPr>
          <w:p>
            <w:pPr>
              <w:keepNext w:val="0"/>
              <w:keepLines w:val="0"/>
              <w:widowControl/>
              <w:suppressLineNumbers w:val="0"/>
              <w:jc w:val="center"/>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"https://grconnect.com/tox100wt/ry2020/index.php?search=top100&amp;iframe=yes&amp;sortp=surf_million_lbs"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Millions of pounds of toxic surface water releases</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6699CC"/>
            <w:vAlign w:val="center"/>
          </w:tcPr>
          <w:p>
            <w:pPr>
              <w:keepNext w:val="0"/>
              <w:keepLines w:val="0"/>
              <w:widowControl/>
              <w:suppressLineNumbers w:val="0"/>
              <w:jc w:val="center"/>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"https://grconnect.com/tox100wt/ry2020/index.php?search=top100&amp;iframe=yes&amp;sortp=potw_million_lbs"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Millions of pounds discharged to public sewage treatment works</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6699CC"/>
            <w:vAlign w:val="center"/>
          </w:tcPr>
          <w:p>
            <w:pPr>
              <w:keepNext w:val="0"/>
              <w:keepLines w:val="0"/>
              <w:widowControl/>
              <w:suppressLineNumbers w:val="0"/>
              <w:jc w:val="center"/>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"https://grconnect.com/tox100wt/ry2020/index.php?search=top100&amp;iframe=yes&amp;sortp=ej_near_poor"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EJ: Near Poor Share</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6699CC"/>
            <w:vAlign w:val="center"/>
          </w:tcPr>
          <w:p>
            <w:pPr>
              <w:keepNext w:val="0"/>
              <w:keepLines w:val="0"/>
              <w:widowControl/>
              <w:suppressLineNumbers w:val="0"/>
              <w:jc w:val="center"/>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"https://grconnect.com/tox100wt/ry2020/index.php?search=top100&amp;iframe=yes&amp;sortp=ej_minority"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EJ: Minority Share</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6699CC"/>
            <w:vAlign w:val="center"/>
          </w:tcPr>
          <w:p>
            <w:pPr>
              <w:keepNext w:val="0"/>
              <w:keepLines w:val="0"/>
              <w:widowControl/>
              <w:suppressLineNumbers w:val="0"/>
              <w:jc w:val="center"/>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"https://grconnect.com/tox100wt/ry2020/index.php?search=top100&amp;iframe=yes&amp;sortp=single_fac_pct"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 of toxic hazard from a single facility</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"https://grconnect.com/tox100wt/ry2020/index.php?search=yes&amp;company2=1871"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Northrop Grumman</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148,935,444,216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&lt;0.01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0.20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35%</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"https://grconnect.com/tox100wt/ry2020/index.php?search=yes&amp;company2=897"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LyondellBasell Industries</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60,823,822,110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0.27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4.02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97%</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"https://grconnect.com/tox100wt/ry2020/index.php?search=yes&amp;company2=517"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NextEra Energy</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45,021,037,511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&lt;0.01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"https://grconnect.com/tox100wt/ry2020/index.php?search=yes&amp;company2=1719"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Dow Inc.</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39,668,371,826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0.36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0.18</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48%</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63%</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97%</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"https://grconnect.com/tox100wt/ry2020/index.php?search=yes&amp;company2=560"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Cargill</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25,038,754,640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3.04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0.44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99%</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"https://grconnect.com/tox100wt/ry2020/index.php?search=yes&amp;company2=1988"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Celanese</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16,847,820,281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8.84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7</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"https://grconnect.com/tox100wt/ry2020/index.php?search=yes&amp;company2=1478"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Clayton Dubilier &amp; Rice</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12,447,140,628</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&lt;0.01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0.03</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66%</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8</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"https://grconnect.com/tox100wt/ry2020/index.php?search=yes&amp;company2=850"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Huntsman Corp.</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12,439,304,302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&lt;0.01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9</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"https://grconnect.com/tox100wt/ry2020/index.php?search=yes&amp;company2=2118"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Canopus International</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10,293,380,451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0.44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0.91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51%</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"https://grconnect.com/tox100wt/ry2020/index.php?search=yes&amp;company2=2110"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Duke Energy</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6,603,750,310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0.16</w:t>
            </w:r>
          </w:p>
        </w:tc>
        <w:tc>
          <w:tcPr>
            <w:tcW w:w="0" w:type="auto"/>
            <w:shd w:val="clear" w:color="auto" w:fill="CFDFEF"/>
            <w:vAlign w:val="center"/>
          </w:tcPr>
          <w:p>
            <w:pPr>
              <w:jc w:val="right"/>
              <w:rPr>
                <w:rFonts w:hint="default" w:ascii="Arial" w:hAnsi="Arial" w:eastAsia="微软雅黑" w:cs="Arial"/>
                <w:i w:val="0"/>
                <w:iCs w:val="0"/>
                <w:caps w:val="0"/>
                <w:color w:val="000000"/>
                <w:spacing w:val="0"/>
                <w:sz w:val="15"/>
                <w:szCs w:val="15"/>
              </w:rPr>
            </w:pP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94%</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11</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"https://grconnect.com/tox100wt/ry2020/index.php?search=yes&amp;company2=649"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Honeywell International</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5,974,222,501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0.05</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38%</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12</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"https://grconnect.com/tox100wt/ry2020/index.php?search=yes&amp;company2=2052"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Far Easten New Century Corp.</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4,442,086,541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0.05</w:t>
            </w:r>
          </w:p>
        </w:tc>
        <w:tc>
          <w:tcPr>
            <w:tcW w:w="0" w:type="auto"/>
            <w:shd w:val="clear" w:color="auto" w:fill="CFDFEF"/>
            <w:vAlign w:val="center"/>
          </w:tcPr>
          <w:p>
            <w:pPr>
              <w:jc w:val="right"/>
              <w:rPr>
                <w:rFonts w:hint="default" w:ascii="Arial" w:hAnsi="Arial" w:eastAsia="微软雅黑" w:cs="Arial"/>
                <w:i w:val="0"/>
                <w:iCs w:val="0"/>
                <w:caps w:val="0"/>
                <w:color w:val="000000"/>
                <w:spacing w:val="0"/>
                <w:sz w:val="15"/>
                <w:szCs w:val="15"/>
              </w:rPr>
            </w:pP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13</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"https://grconnect.com/tox100wt/ry2020/index.php?search=yes&amp;company2=5119"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Boston Scientific Corp.</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3,400,000,945</w:t>
            </w:r>
          </w:p>
        </w:tc>
        <w:tc>
          <w:tcPr>
            <w:tcW w:w="0" w:type="auto"/>
            <w:shd w:val="clear" w:color="auto" w:fill="CFDFEF"/>
            <w:vAlign w:val="center"/>
          </w:tcPr>
          <w:p>
            <w:pPr>
              <w:jc w:val="right"/>
              <w:rPr>
                <w:rFonts w:hint="default" w:ascii="Arial" w:hAnsi="Arial" w:eastAsia="微软雅黑" w:cs="Arial"/>
                <w:i w:val="0"/>
                <w:iCs w:val="0"/>
                <w:caps w:val="0"/>
                <w:color w:val="000000"/>
                <w:spacing w:val="0"/>
                <w:sz w:val="15"/>
                <w:szCs w:val="15"/>
              </w:rPr>
            </w:pP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&lt;0.01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14</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"https://grconnect.com/tox100wt/ry2020/index.php?search=yes&amp;company2=34"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BASF</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3,263,121,704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3.45</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1.77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15</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"https://grconnect.com/tox100wt/ry2020/index.php?search=yes&amp;company2=1169"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Goodyear Tire &amp; Rubber</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2,899,970,992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55%</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16</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"https://grconnect.com/tox100wt/ry2020/index.php?search=yes&amp;company2=324"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Energy Capital Partners</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2,398,952,499</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&lt;0.01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&lt;0.01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33%</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94%</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17</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"https://grconnect.com/tox100wt/ry2020/index.php?search=yes&amp;company2=1611"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ChampionX Corporation</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2,264,731,428</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0.05</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48%</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18</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"https://grconnect.com/tox100wt/ry2020/index.php?search=yes&amp;company2=76"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WestRock</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1,563,761,619</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0.91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4.74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80%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19</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"https://grconnect.com/tox100wt/ry2020/index.php?search=yes&amp;company2=6720"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Rio Tinto</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1,455,203,633</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&lt;0.01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25%</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72%</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20</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"https://grconnect.com/tox100wt/ry2020/index.php?search=yes&amp;company2=39"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JBS</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1,295,622,848</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10.47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7.92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85%</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21</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"https://grconnect.com/tox100wt/ry2020/index.php?search=yes&amp;company2=845"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Chemours</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1,202,620,520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0.93</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0.61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28%</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85%</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22</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"https://grconnect.com/tox100wt/ry2020/index.php?search=yes&amp;company2=253"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Koch Industries</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1,174,982,314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5.70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1.66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16%</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23</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"https://grconnect.com/tox100wt/ry2020/index.php?search=yes&amp;company2=489"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Lonza</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1,020,204,397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&lt;0.01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&lt;0.01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89%</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24</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"https://grconnect.com/tox100wt/ry2020/index.php?search=yes&amp;company2=127"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Eastman Chemical</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1,001,872,077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1.98</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3.99</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98%</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25</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"https://grconnect.com/tox100wt/ry2020/index.php?search=yes&amp;company2=3444"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Mitsui</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892,914,408</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&lt;0.01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&lt;0.01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35%</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26</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"https://grconnect.com/tox100wt/ry2020/index.php?search=yes&amp;company2=4323"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DTE Energy</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881,966,726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&lt;0.01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23%</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99%</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27</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"https://grconnect.com/tox100wt/ry2020/index.php?search=yes&amp;company2=2045"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American Electric Power</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873,808,266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0.11</w:t>
            </w:r>
          </w:p>
        </w:tc>
        <w:tc>
          <w:tcPr>
            <w:tcW w:w="0" w:type="auto"/>
            <w:shd w:val="clear" w:color="auto" w:fill="CFDFEF"/>
            <w:vAlign w:val="center"/>
          </w:tcPr>
          <w:p>
            <w:pPr>
              <w:jc w:val="right"/>
              <w:rPr>
                <w:rFonts w:hint="default" w:ascii="Arial" w:hAnsi="Arial" w:eastAsia="微软雅黑" w:cs="Arial"/>
                <w:i w:val="0"/>
                <w:iCs w:val="0"/>
                <w:caps w:val="0"/>
                <w:color w:val="000000"/>
                <w:spacing w:val="0"/>
                <w:sz w:val="15"/>
                <w:szCs w:val="15"/>
              </w:rPr>
            </w:pP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39%</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8%</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69%</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28</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"https://grconnect.com/tox100wt/ry2020/index.php?search=yes&amp;company2=2112"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Ingredion</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869,510,827</w:t>
            </w:r>
          </w:p>
        </w:tc>
        <w:tc>
          <w:tcPr>
            <w:tcW w:w="0" w:type="auto"/>
            <w:shd w:val="clear" w:color="auto" w:fill="CFDFEF"/>
            <w:vAlign w:val="center"/>
          </w:tcPr>
          <w:p>
            <w:pPr>
              <w:jc w:val="right"/>
              <w:rPr>
                <w:rFonts w:hint="default" w:ascii="Arial" w:hAnsi="Arial" w:eastAsia="微软雅黑" w:cs="Arial"/>
                <w:i w:val="0"/>
                <w:iCs w:val="0"/>
                <w:caps w:val="0"/>
                <w:color w:val="000000"/>
                <w:spacing w:val="0"/>
                <w:sz w:val="15"/>
                <w:szCs w:val="15"/>
              </w:rPr>
            </w:pP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0.76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29</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"https://grconnect.com/tox100wt/ry2020/index.php?search=yes&amp;company2=227"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Holcim Group</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756,775,967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0.03</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&lt;0.01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30</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"https://grconnect.com/tox100wt/ry2020/index.php?search=yes&amp;company2=2073"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Westlake Chemical</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711,777,192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0.19</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&lt;0.01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8%</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94%</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31</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"https://grconnect.com/tox100wt/ry2020/index.php?search=yes&amp;company2=3904"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Vistra Energy</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693,041,632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0.04</w:t>
            </w:r>
          </w:p>
        </w:tc>
        <w:tc>
          <w:tcPr>
            <w:tcW w:w="0" w:type="auto"/>
            <w:shd w:val="clear" w:color="auto" w:fill="CFDFEF"/>
            <w:vAlign w:val="center"/>
          </w:tcPr>
          <w:p>
            <w:pPr>
              <w:jc w:val="right"/>
              <w:rPr>
                <w:rFonts w:hint="default" w:ascii="Arial" w:hAnsi="Arial" w:eastAsia="微软雅黑" w:cs="Arial"/>
                <w:i w:val="0"/>
                <w:iCs w:val="0"/>
                <w:caps w:val="0"/>
                <w:color w:val="000000"/>
                <w:spacing w:val="0"/>
                <w:sz w:val="15"/>
                <w:szCs w:val="15"/>
              </w:rPr>
            </w:pP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79%</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32</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"https://grconnect.com/tox100wt/ry2020/index.php?search=yes&amp;company2=1144"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Marathon Petroleum</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689,999,735</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0.75</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0.40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23%</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45%</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33</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"https://grconnect.com/tox100wt/ry2020/index.php?search=yes&amp;company2=2420"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Chevron</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646,069,961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0.99</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0.20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69%</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34</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"https://grconnect.com/tox100wt/ry2020/index.php?search=yes&amp;company2=1030"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International Paper</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610,213,141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3.21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39%</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38%</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24%</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35</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"https://grconnect.com/tox100wt/ry2020/index.php?search=yes&amp;company2=2453"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Formosa Plastics</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496,913,402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85%</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36</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"https://grconnect.com/tox100wt/ry2020/index.php?search=yes&amp;company2=1171"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Republic Services</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481,910,766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1.70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46%</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37</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"https://grconnect.com/tox100wt/ry2020/index.php?search=yes&amp;company2=2729"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Packaging Corporation of America</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457,619,803</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1.33</w:t>
            </w:r>
          </w:p>
        </w:tc>
        <w:tc>
          <w:tcPr>
            <w:tcW w:w="0" w:type="auto"/>
            <w:shd w:val="clear" w:color="auto" w:fill="CFDFEF"/>
            <w:vAlign w:val="center"/>
          </w:tcPr>
          <w:p>
            <w:pPr>
              <w:jc w:val="right"/>
              <w:rPr>
                <w:rFonts w:hint="default" w:ascii="Arial" w:hAnsi="Arial" w:eastAsia="微软雅黑" w:cs="Arial"/>
                <w:i w:val="0"/>
                <w:iCs w:val="0"/>
                <w:caps w:val="0"/>
                <w:color w:val="000000"/>
                <w:spacing w:val="0"/>
                <w:sz w:val="15"/>
                <w:szCs w:val="15"/>
              </w:rPr>
            </w:pP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45%</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38</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"https://grconnect.com/tox100wt/ry2020/index.php?search=yes&amp;company2=3397"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PPL Corp.</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413,086,022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0.20</w:t>
            </w:r>
          </w:p>
        </w:tc>
        <w:tc>
          <w:tcPr>
            <w:tcW w:w="0" w:type="auto"/>
            <w:shd w:val="clear" w:color="auto" w:fill="CFDFEF"/>
            <w:vAlign w:val="center"/>
          </w:tcPr>
          <w:p>
            <w:pPr>
              <w:jc w:val="right"/>
              <w:rPr>
                <w:rFonts w:hint="default" w:ascii="Arial" w:hAnsi="Arial" w:eastAsia="微软雅黑" w:cs="Arial"/>
                <w:i w:val="0"/>
                <w:iCs w:val="0"/>
                <w:caps w:val="0"/>
                <w:color w:val="000000"/>
                <w:spacing w:val="0"/>
                <w:sz w:val="15"/>
                <w:szCs w:val="15"/>
              </w:rPr>
            </w:pP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35%</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9%</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59%</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39</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"https://grconnect.com/tox100wt/ry2020/index.php?search=yes&amp;company2=625"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Freeport-McMoRan</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409,716,428</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0.05</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97%</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40</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"https://grconnect.com/tox100wt/ry2020/index.php?search=yes&amp;company2=854"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PBF Energy</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390,493,407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7.69</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0.36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91%</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41</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"https://grconnect.com/tox100wt/ry2020/index.php?search=yes&amp;company2=184"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Mitsubishi Chemical</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329,646,223</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&lt;0.01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3.61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15%</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25%</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99%</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42</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"https://grconnect.com/tox100wt/ry2020/index.php?search=yes&amp;company2=28"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Archer Daniels Midland</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321,718,570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0.03</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1.86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33%</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61%</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43</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"https://grconnect.com/tox100wt/ry2020/index.php?search=yes&amp;company2=2261"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Southern Company</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290,072,401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0.06</w:t>
            </w:r>
          </w:p>
        </w:tc>
        <w:tc>
          <w:tcPr>
            <w:tcW w:w="0" w:type="auto"/>
            <w:shd w:val="clear" w:color="auto" w:fill="CFDFEF"/>
            <w:vAlign w:val="center"/>
          </w:tcPr>
          <w:p>
            <w:pPr>
              <w:jc w:val="right"/>
              <w:rPr>
                <w:rFonts w:hint="default" w:ascii="Arial" w:hAnsi="Arial" w:eastAsia="微软雅黑" w:cs="Arial"/>
                <w:i w:val="0"/>
                <w:iCs w:val="0"/>
                <w:caps w:val="0"/>
                <w:color w:val="000000"/>
                <w:spacing w:val="0"/>
                <w:sz w:val="15"/>
                <w:szCs w:val="15"/>
              </w:rPr>
            </w:pP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35%</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45%</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44</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"https://grconnect.com/tox100wt/ry2020/index.php?search=yes&amp;company2=317"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Exxon Mobil</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283,394,911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2.35</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77%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27%</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45</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"https://grconnect.com/tox100wt/ry2020/index.php?search=yes&amp;company2=678"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PTT Group</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270,730,712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1.95</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99%</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46</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"https://grconnect.com/tox100wt/ry2020/index.php?search=yes&amp;company2=341"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Ashland Global Holdings</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268,927,296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13.73</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80%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47</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"https://grconnect.com/tox100wt/ry2020/index.php?search=yes&amp;company2=1166"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Olin Corp.</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259,844,691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48</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"https://grconnect.com/tox100wt/ry2020/index.php?search=yes&amp;company2=612"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Saputo</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254,283,554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0.10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2.71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86%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69%</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49</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"https://grconnect.com/tox100wt/ry2020/index.php?search=yes&amp;company2=830"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Alcoa</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253,600,052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&lt;0.01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29%</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99%</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50</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"https://grconnect.com/tox100wt/ry2020/index.php?search=yes&amp;company2=4080"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NiSource</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251,460,407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0.03</w:t>
            </w:r>
          </w:p>
        </w:tc>
        <w:tc>
          <w:tcPr>
            <w:tcW w:w="0" w:type="auto"/>
            <w:shd w:val="clear" w:color="auto" w:fill="CFDFEF"/>
            <w:vAlign w:val="center"/>
          </w:tcPr>
          <w:p>
            <w:pPr>
              <w:jc w:val="right"/>
              <w:rPr>
                <w:rFonts w:hint="default" w:ascii="Arial" w:hAnsi="Arial" w:eastAsia="微软雅黑" w:cs="Arial"/>
                <w:i w:val="0"/>
                <w:iCs w:val="0"/>
                <w:caps w:val="0"/>
                <w:color w:val="000000"/>
                <w:spacing w:val="0"/>
                <w:sz w:val="15"/>
                <w:szCs w:val="15"/>
              </w:rPr>
            </w:pP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18%</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51</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"https://grconnect.com/tox100wt/ry2020/index.php?search=yes&amp;company2=752"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Phillips 66</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249,389,802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5.62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0.21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52%</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52</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"https://grconnect.com/tox100wt/ry2020/index.php?search=yes&amp;company2=36"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DuPont de Nemours</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232,495,041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2.39</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14.96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49%</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74%</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53</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"https://grconnect.com/tox100wt/ry2020/index.php?search=yes&amp;company2=2086"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FirstEnergy</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228,335,170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0.02</w:t>
            </w:r>
          </w:p>
        </w:tc>
        <w:tc>
          <w:tcPr>
            <w:tcW w:w="0" w:type="auto"/>
            <w:shd w:val="clear" w:color="auto" w:fill="CFDFEF"/>
            <w:vAlign w:val="center"/>
          </w:tcPr>
          <w:p>
            <w:pPr>
              <w:jc w:val="right"/>
              <w:rPr>
                <w:rFonts w:hint="default" w:ascii="Arial" w:hAnsi="Arial" w:eastAsia="微软雅黑" w:cs="Arial"/>
                <w:i w:val="0"/>
                <w:iCs w:val="0"/>
                <w:caps w:val="0"/>
                <w:color w:val="000000"/>
                <w:spacing w:val="0"/>
                <w:sz w:val="15"/>
                <w:szCs w:val="15"/>
              </w:rPr>
            </w:pP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54</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"https://grconnect.com/tox100wt/ry2020/index.php?search=yes&amp;company2=3254"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Valero Energy</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223,871,085</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4.27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0.20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55</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"https://grconnect.com/tox100wt/ry2020/index.php?search=yes&amp;company2=1340"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Paper Excellence</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218,436,434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0.64</w:t>
            </w:r>
          </w:p>
        </w:tc>
        <w:tc>
          <w:tcPr>
            <w:tcW w:w="0" w:type="auto"/>
            <w:shd w:val="clear" w:color="auto" w:fill="CFDFEF"/>
            <w:vAlign w:val="center"/>
          </w:tcPr>
          <w:p>
            <w:pPr>
              <w:jc w:val="right"/>
              <w:rPr>
                <w:rFonts w:hint="default" w:ascii="Arial" w:hAnsi="Arial" w:eastAsia="微软雅黑" w:cs="Arial"/>
                <w:i w:val="0"/>
                <w:iCs w:val="0"/>
                <w:caps w:val="0"/>
                <w:color w:val="000000"/>
                <w:spacing w:val="0"/>
                <w:sz w:val="15"/>
                <w:szCs w:val="15"/>
              </w:rPr>
            </w:pP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15%</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38%</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56</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"https://grconnect.com/tox100wt/ry2020/index.php?search=yes&amp;company2=4523"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Renco</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211,083,255</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0.01</w:t>
            </w:r>
          </w:p>
        </w:tc>
        <w:tc>
          <w:tcPr>
            <w:tcW w:w="0" w:type="auto"/>
            <w:shd w:val="clear" w:color="auto" w:fill="CFDFEF"/>
            <w:vAlign w:val="center"/>
          </w:tcPr>
          <w:p>
            <w:pPr>
              <w:jc w:val="right"/>
              <w:rPr>
                <w:rFonts w:hint="default" w:ascii="Arial" w:hAnsi="Arial" w:eastAsia="微软雅黑" w:cs="Arial"/>
                <w:i w:val="0"/>
                <w:iCs w:val="0"/>
                <w:caps w:val="0"/>
                <w:color w:val="000000"/>
                <w:spacing w:val="0"/>
                <w:sz w:val="15"/>
                <w:szCs w:val="15"/>
              </w:rPr>
            </w:pP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93%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57</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"https://grconnect.com/tox100wt/ry2020/index.php?search=yes&amp;company2=1007"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Evonik Industries</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190,311,167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0.30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0.49</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77%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52%</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58</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"https://grconnect.com/tox100wt/ry2020/index.php?search=yes&amp;company2=26"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Coca-Cola Co.</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181,551,179</w:t>
            </w:r>
          </w:p>
        </w:tc>
        <w:tc>
          <w:tcPr>
            <w:tcW w:w="0" w:type="auto"/>
            <w:shd w:val="clear" w:color="auto" w:fill="CFDFEF"/>
            <w:vAlign w:val="center"/>
          </w:tcPr>
          <w:p>
            <w:pPr>
              <w:jc w:val="right"/>
              <w:rPr>
                <w:rFonts w:hint="default" w:ascii="Arial" w:hAnsi="Arial" w:eastAsia="微软雅黑" w:cs="Arial"/>
                <w:i w:val="0"/>
                <w:iCs w:val="0"/>
                <w:caps w:val="0"/>
                <w:color w:val="000000"/>
                <w:spacing w:val="0"/>
                <w:sz w:val="15"/>
                <w:szCs w:val="15"/>
              </w:rPr>
            </w:pP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0.26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59</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"https://grconnect.com/tox100wt/ry2020/index.php?search=yes&amp;company2=1176"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Compass Group</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181,480,644</w:t>
            </w:r>
          </w:p>
        </w:tc>
        <w:tc>
          <w:tcPr>
            <w:tcW w:w="0" w:type="auto"/>
            <w:shd w:val="clear" w:color="auto" w:fill="CFDFEF"/>
            <w:vAlign w:val="center"/>
          </w:tcPr>
          <w:p>
            <w:pPr>
              <w:jc w:val="right"/>
              <w:rPr>
                <w:rFonts w:hint="default" w:ascii="Arial" w:hAnsi="Arial" w:eastAsia="微软雅黑" w:cs="Arial"/>
                <w:i w:val="0"/>
                <w:iCs w:val="0"/>
                <w:caps w:val="0"/>
                <w:color w:val="000000"/>
                <w:spacing w:val="0"/>
                <w:sz w:val="15"/>
                <w:szCs w:val="15"/>
              </w:rPr>
            </w:pP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&lt;0.01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29%</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60</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"https://grconnect.com/tox100wt/ry2020/index.php?search=yes&amp;company2=1250"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United States Steel</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172,436,438</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2.61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&lt;0.01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39%</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80%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61</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"https://grconnect.com/tox100wt/ry2020/index.php?search=yes&amp;company2=1115"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Blackstone</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153,313,239</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0.03</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&lt;0.01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25%</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15%</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75%</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62</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"https://grconnect.com/tox100wt/ry2020/index.php?search=yes&amp;company2=874"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Danone</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145,468,043</w:t>
            </w:r>
          </w:p>
        </w:tc>
        <w:tc>
          <w:tcPr>
            <w:tcW w:w="0" w:type="auto"/>
            <w:shd w:val="clear" w:color="auto" w:fill="CFDFEF"/>
            <w:vAlign w:val="center"/>
          </w:tcPr>
          <w:p>
            <w:pPr>
              <w:jc w:val="right"/>
              <w:rPr>
                <w:rFonts w:hint="default" w:ascii="Arial" w:hAnsi="Arial" w:eastAsia="微软雅黑" w:cs="Arial"/>
                <w:i w:val="0"/>
                <w:iCs w:val="0"/>
                <w:caps w:val="0"/>
                <w:color w:val="000000"/>
                <w:spacing w:val="0"/>
                <w:sz w:val="15"/>
                <w:szCs w:val="15"/>
              </w:rPr>
            </w:pP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2.64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94%</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63</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"https://grconnect.com/tox100wt/ry2020/index.php?search=yes&amp;company2=213"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Clean Harbors Inc.</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136,431,525</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79%</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98%</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64</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"https://grconnect.com/tox100wt/ry2020/index.php?search=yes&amp;company2=1261"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Cleveland-Cliffs</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136,216,950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17.32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0.15</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28%</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65</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"https://grconnect.com/tox100wt/ry2020/index.php?search=yes&amp;company2=1776"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Graham Holdings</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133,184,035</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&lt;0.01</w:t>
            </w:r>
          </w:p>
        </w:tc>
        <w:tc>
          <w:tcPr>
            <w:tcW w:w="0" w:type="auto"/>
            <w:shd w:val="clear" w:color="auto" w:fill="CFDFEF"/>
            <w:vAlign w:val="center"/>
          </w:tcPr>
          <w:p>
            <w:pPr>
              <w:jc w:val="right"/>
              <w:rPr>
                <w:rFonts w:hint="default" w:ascii="Arial" w:hAnsi="Arial" w:eastAsia="微软雅黑" w:cs="Arial"/>
                <w:i w:val="0"/>
                <w:iCs w:val="0"/>
                <w:caps w:val="0"/>
                <w:color w:val="000000"/>
                <w:spacing w:val="0"/>
                <w:sz w:val="15"/>
                <w:szCs w:val="15"/>
              </w:rPr>
            </w:pP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18%</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53%</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86%</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66</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"https://grconnect.com/tox100wt/ry2020/index.php?search=yes&amp;company2=676"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Nucor</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120,422,482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0.38</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0.12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15%</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76%</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67</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"https://grconnect.com/tox100wt/ry2020/index.php?search=yes&amp;company2=6249"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OGE Energy</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119,693,118</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0.01</w:t>
            </w:r>
          </w:p>
        </w:tc>
        <w:tc>
          <w:tcPr>
            <w:tcW w:w="0" w:type="auto"/>
            <w:shd w:val="clear" w:color="auto" w:fill="CFDFEF"/>
            <w:vAlign w:val="center"/>
          </w:tcPr>
          <w:p>
            <w:pPr>
              <w:jc w:val="right"/>
              <w:rPr>
                <w:rFonts w:hint="default" w:ascii="Arial" w:hAnsi="Arial" w:eastAsia="微软雅黑" w:cs="Arial"/>
                <w:i w:val="0"/>
                <w:iCs w:val="0"/>
                <w:caps w:val="0"/>
                <w:color w:val="000000"/>
                <w:spacing w:val="0"/>
                <w:sz w:val="15"/>
                <w:szCs w:val="15"/>
              </w:rPr>
            </w:pP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48%</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68</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"https://grconnect.com/tox100wt/ry2020/index.php?search=yes&amp;company2=2687"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Graphic Packaging</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115,515,623</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0.43</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0.08</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64%</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69</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"https://grconnect.com/tox100wt/ry2020/index.php?search=yes&amp;company2=1937"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WH Group</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111,795,907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10.98</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1.49</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29%</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84%</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70</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"https://grconnect.com/tox100wt/ry2020/index.php?search=yes&amp;company2=2048"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Covestro</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108,561,216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0.31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&lt;0.01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38%</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99%</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71</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"https://grconnect.com/tox100wt/ry2020/index.php?search=yes&amp;company2=176"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Berkshire Hathaway</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103,475,893</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0.14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1.93</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48%</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44%</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72</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"https://grconnect.com/tox100wt/ry2020/index.php?search=yes&amp;company2=1032"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Michelin</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103,465,367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&lt;0.01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&lt;0.01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98%</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73</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"https://grconnect.com/tox100wt/ry2020/index.php?search=yes&amp;company2=388"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Toray Industries</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102,075,959</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&lt;0.01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&lt;0.01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95%</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74</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"https://grconnect.com/tox100wt/ry2020/index.php?search=yes&amp;company2=3876"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Pfizer</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101,376,247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&lt;0.01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75</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"https://grconnect.com/tox100wt/ry2020/index.php?search=yes&amp;company2=61"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AES Corp.</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101,164,122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0.01</w:t>
            </w:r>
          </w:p>
        </w:tc>
        <w:tc>
          <w:tcPr>
            <w:tcW w:w="0" w:type="auto"/>
            <w:shd w:val="clear" w:color="auto" w:fill="CFDFEF"/>
            <w:vAlign w:val="center"/>
          </w:tcPr>
          <w:p>
            <w:pPr>
              <w:jc w:val="right"/>
              <w:rPr>
                <w:rFonts w:hint="default" w:ascii="Arial" w:hAnsi="Arial" w:eastAsia="微软雅黑" w:cs="Arial"/>
                <w:i w:val="0"/>
                <w:iCs w:val="0"/>
                <w:caps w:val="0"/>
                <w:color w:val="000000"/>
                <w:spacing w:val="0"/>
                <w:sz w:val="15"/>
                <w:szCs w:val="15"/>
              </w:rPr>
            </w:pP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76</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"https://grconnect.com/tox100wt/ry2020/index.php?search=yes&amp;company2=2484"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BMW</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84,887,106</w:t>
            </w:r>
          </w:p>
        </w:tc>
        <w:tc>
          <w:tcPr>
            <w:tcW w:w="0" w:type="auto"/>
            <w:shd w:val="clear" w:color="auto" w:fill="CFDFEF"/>
            <w:vAlign w:val="center"/>
          </w:tcPr>
          <w:p>
            <w:pPr>
              <w:jc w:val="right"/>
              <w:rPr>
                <w:rFonts w:hint="default" w:ascii="Arial" w:hAnsi="Arial" w:eastAsia="微软雅黑" w:cs="Arial"/>
                <w:i w:val="0"/>
                <w:iCs w:val="0"/>
                <w:caps w:val="0"/>
                <w:color w:val="000000"/>
                <w:spacing w:val="0"/>
                <w:sz w:val="15"/>
                <w:szCs w:val="15"/>
              </w:rPr>
            </w:pP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0.68</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77</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"https://grconnect.com/tox100wt/ry2020/index.php?search=yes&amp;company2=6846"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Barrick Gold</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84,365,442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&lt;0.01</w:t>
            </w:r>
          </w:p>
        </w:tc>
        <w:tc>
          <w:tcPr>
            <w:tcW w:w="0" w:type="auto"/>
            <w:shd w:val="clear" w:color="auto" w:fill="CFDFEF"/>
            <w:vAlign w:val="center"/>
          </w:tcPr>
          <w:p>
            <w:pPr>
              <w:jc w:val="right"/>
              <w:rPr>
                <w:rFonts w:hint="default" w:ascii="Arial" w:hAnsi="Arial" w:eastAsia="微软雅黑" w:cs="Arial"/>
                <w:i w:val="0"/>
                <w:iCs w:val="0"/>
                <w:caps w:val="0"/>
                <w:color w:val="000000"/>
                <w:spacing w:val="0"/>
                <w:sz w:val="15"/>
                <w:szCs w:val="15"/>
              </w:rPr>
            </w:pP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78</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"https://grconnect.com/tox100wt/ry2020/index.php?search=yes&amp;company2=277"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Carlyle Group</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73,199,098</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0.27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28%</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79</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"https://grconnect.com/tox100wt/ry2020/index.php?search=yes&amp;company2=91"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Cardinal Health</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66,000,000</w:t>
            </w:r>
          </w:p>
        </w:tc>
        <w:tc>
          <w:tcPr>
            <w:tcW w:w="0" w:type="auto"/>
            <w:shd w:val="clear" w:color="auto" w:fill="CFDFEF"/>
            <w:vAlign w:val="center"/>
          </w:tcPr>
          <w:p>
            <w:pPr>
              <w:jc w:val="right"/>
              <w:rPr>
                <w:rFonts w:hint="default" w:ascii="Arial" w:hAnsi="Arial" w:eastAsia="微软雅黑" w:cs="Arial"/>
                <w:i w:val="0"/>
                <w:iCs w:val="0"/>
                <w:caps w:val="0"/>
                <w:color w:val="000000"/>
                <w:spacing w:val="0"/>
                <w:sz w:val="15"/>
                <w:szCs w:val="15"/>
              </w:rPr>
            </w:pP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&lt;0.01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35%</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80</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"https://grconnect.com/tox100wt/ry2020/index.php?search=yes&amp;company2=855"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Occidental Petroleum</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65,013,073</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0.13</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0.15</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76%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81</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"https://grconnect.com/tox100wt/ry2020/index.php?search=yes&amp;company2=675"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PPG Industries</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61,652,088</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&lt;0.01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0.40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28%</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83%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82</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"https://grconnect.com/tox100wt/ry2020/index.php?search=yes&amp;company2=286"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Roper Technologies</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56,315,314</w:t>
            </w:r>
          </w:p>
        </w:tc>
        <w:tc>
          <w:tcPr>
            <w:tcW w:w="0" w:type="auto"/>
            <w:shd w:val="clear" w:color="auto" w:fill="CFDFEF"/>
            <w:vAlign w:val="center"/>
          </w:tcPr>
          <w:p>
            <w:pPr>
              <w:jc w:val="right"/>
              <w:rPr>
                <w:rFonts w:hint="default" w:ascii="Arial" w:hAnsi="Arial" w:eastAsia="微软雅黑" w:cs="Arial"/>
                <w:i w:val="0"/>
                <w:iCs w:val="0"/>
                <w:caps w:val="0"/>
                <w:color w:val="000000"/>
                <w:spacing w:val="0"/>
                <w:sz w:val="15"/>
                <w:szCs w:val="15"/>
              </w:rPr>
            </w:pP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53%</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83</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"https://grconnect.com/tox100wt/ry2020/index.php?search=yes&amp;company2=1740"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Delta Air Lines</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54,496,174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0.22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84</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"https://grconnect.com/tox100wt/ry2020/index.php?search=yes&amp;company2=1295"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Halliburton</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52,247,128</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&lt;0.01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86%</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85</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"https://grconnect.com/tox100wt/ry2020/index.php?search=yes&amp;company2=2491"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Abbott Laboratories</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52,058,214</w:t>
            </w:r>
          </w:p>
        </w:tc>
        <w:tc>
          <w:tcPr>
            <w:tcW w:w="0" w:type="auto"/>
            <w:shd w:val="clear" w:color="auto" w:fill="CFDFEF"/>
            <w:vAlign w:val="center"/>
          </w:tcPr>
          <w:p>
            <w:pPr>
              <w:jc w:val="right"/>
              <w:rPr>
                <w:rFonts w:hint="default" w:ascii="Arial" w:hAnsi="Arial" w:eastAsia="微软雅黑" w:cs="Arial"/>
                <w:i w:val="0"/>
                <w:iCs w:val="0"/>
                <w:caps w:val="0"/>
                <w:color w:val="000000"/>
                <w:spacing w:val="0"/>
                <w:sz w:val="15"/>
                <w:szCs w:val="15"/>
              </w:rPr>
            </w:pP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0.03</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45%</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33%</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86</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"https://grconnect.com/tox100wt/ry2020/index.php?search=yes&amp;company2=827"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Masco</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50,788,704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&lt;0.01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&lt;0.01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87</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"https://grconnect.com/tox100wt/ry2020/index.php?search=yes&amp;company2=151"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KKR &amp; Co.</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50,701,970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&lt;0.01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0.64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83%</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96%</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88</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"https://grconnect.com/tox100wt/ry2020/index.php?search=yes&amp;company2=3133"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General Mills</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46,382,998</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&lt;0.01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0.11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89</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"https://grconnect.com/tox100wt/ry2020/index.php?search=yes&amp;company2=3448"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Cabot Corp.</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41,702,111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&lt;0.01</w:t>
            </w:r>
          </w:p>
        </w:tc>
        <w:tc>
          <w:tcPr>
            <w:tcW w:w="0" w:type="auto"/>
            <w:shd w:val="clear" w:color="auto" w:fill="CFDFEF"/>
            <w:vAlign w:val="center"/>
          </w:tcPr>
          <w:p>
            <w:pPr>
              <w:jc w:val="right"/>
              <w:rPr>
                <w:rFonts w:hint="default" w:ascii="Arial" w:hAnsi="Arial" w:eastAsia="微软雅黑" w:cs="Arial"/>
                <w:i w:val="0"/>
                <w:iCs w:val="0"/>
                <w:caps w:val="0"/>
                <w:color w:val="000000"/>
                <w:spacing w:val="0"/>
                <w:sz w:val="15"/>
                <w:szCs w:val="15"/>
              </w:rPr>
            </w:pP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90</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"https://grconnect.com/tox100wt/ry2020/index.php?search=yes&amp;company2=2102"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Continental Grain</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41,486,953</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1.13</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24%</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91</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"https://grconnect.com/tox100wt/ry2020/index.php?search=yes&amp;company2=3274"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ConAgra Brands</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40,226,796</w:t>
            </w:r>
          </w:p>
        </w:tc>
        <w:tc>
          <w:tcPr>
            <w:tcW w:w="0" w:type="auto"/>
            <w:shd w:val="clear" w:color="auto" w:fill="CFDFEF"/>
            <w:vAlign w:val="center"/>
          </w:tcPr>
          <w:p>
            <w:pPr>
              <w:jc w:val="right"/>
              <w:rPr>
                <w:rFonts w:hint="default" w:ascii="Arial" w:hAnsi="Arial" w:eastAsia="微软雅黑" w:cs="Arial"/>
                <w:i w:val="0"/>
                <w:iCs w:val="0"/>
                <w:caps w:val="0"/>
                <w:color w:val="000000"/>
                <w:spacing w:val="0"/>
                <w:sz w:val="15"/>
                <w:szCs w:val="15"/>
              </w:rPr>
            </w:pP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0.49</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82%</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92</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"https://grconnect.com/tox100wt/ry2020/index.php?search=yes&amp;company2=228"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3M Company</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38,977,503</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0.75</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0.18</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23%</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64%</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93</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"https://grconnect.com/tox100wt/ry2020/index.php?search=yes&amp;company2=2180"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Deere</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38,309,760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0.09</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29%</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88%</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94</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"https://grconnect.com/tox100wt/ry2020/index.php?search=yes&amp;company2=816"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Nestle</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38,209,386</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0.11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0.62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35%</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18%</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81%</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95</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"https://grconnect.com/tox100wt/ry2020/index.php?search=yes&amp;company2=1610"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Textron</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33,542,695</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&lt;0.01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38%</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96</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"https://grconnect.com/tox100wt/ry2020/index.php?search=yes&amp;company2=5818"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HF Sinclair Corporation</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33,539,698</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0.05</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44%</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97</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"https://grconnect.com/tox100wt/ry2020/index.php?search=yes&amp;company2=748"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Harsco</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31,792,124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&lt;0.01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28%</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57%</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98</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"https://grconnect.com/tox100wt/ry2020/index.php?search=yes&amp;company2=1639"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Post Holdings</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30,609,417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0.22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0.02</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FFFFF"/>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99</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"https://grconnect.com/tox100wt/ry2020/index.php?search=yes&amp;company2=628"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NRG Energy</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29,096,625</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0.02</w:t>
            </w:r>
          </w:p>
        </w:tc>
        <w:tc>
          <w:tcPr>
            <w:tcW w:w="0" w:type="auto"/>
            <w:shd w:val="clear" w:color="auto" w:fill="CFDFEF"/>
            <w:vAlign w:val="center"/>
          </w:tcPr>
          <w:p>
            <w:pPr>
              <w:jc w:val="right"/>
              <w:rPr>
                <w:rFonts w:hint="default" w:ascii="Arial" w:hAnsi="Arial" w:eastAsia="微软雅黑" w:cs="Arial"/>
                <w:i w:val="0"/>
                <w:iCs w:val="0"/>
                <w:caps w:val="0"/>
                <w:color w:val="000000"/>
                <w:spacing w:val="0"/>
                <w:sz w:val="15"/>
                <w:szCs w:val="15"/>
              </w:rPr>
            </w:pP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30%</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77%</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75" w:type="dxa"/>
            <w:left w:w="75" w:type="dxa"/>
            <w:bottom w:w="75" w:type="dxa"/>
            <w:right w:w="75" w:type="dxa"/>
          </w:tblCellMar>
        </w:tblPrEx>
        <w:trPr>
          <w:tblCellSpacing w:w="7" w:type="dxa"/>
        </w:trPr>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100</w:t>
            </w:r>
          </w:p>
        </w:tc>
        <w:tc>
          <w:tcPr>
            <w:tcW w:w="0" w:type="auto"/>
            <w:shd w:val="clear" w:color="auto" w:fill="CFDFEF"/>
            <w:vAlign w:val="center"/>
          </w:tcPr>
          <w:p>
            <w:pPr>
              <w:keepNext w:val="0"/>
              <w:keepLines w:val="0"/>
              <w:widowControl/>
              <w:suppressLineNumbers w:val="0"/>
              <w:jc w:val="lef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990000"/>
                <w:spacing w:val="0"/>
                <w:kern w:val="0"/>
                <w:sz w:val="15"/>
                <w:szCs w:val="15"/>
                <w:u w:val="none"/>
                <w:lang w:val="en-US" w:eastAsia="zh-CN" w:bidi="ar"/>
              </w:rPr>
              <w:fldChar w:fldCharType="begin"/>
            </w:r>
            <w:r>
              <w:rPr>
                <w:rFonts w:hint="default" w:ascii="Arial" w:hAnsi="Arial" w:eastAsia="微软雅黑" w:cs="Arial"/>
                <w:i w:val="0"/>
                <w:iCs w:val="0"/>
                <w:caps w:val="0"/>
                <w:color w:val="990000"/>
                <w:spacing w:val="0"/>
                <w:kern w:val="0"/>
                <w:sz w:val="15"/>
                <w:szCs w:val="15"/>
                <w:u w:val="none"/>
                <w:lang w:val="en-US" w:eastAsia="zh-CN" w:bidi="ar"/>
              </w:rPr>
              <w:instrText xml:space="preserve"> HYPERLINK "https://grconnect.com/tox100wt/ry2020/index.php?search=yes&amp;company2=338" \t "https://www.grconnect.com/tox100wt/ry2020/_blank" </w:instrText>
            </w:r>
            <w:r>
              <w:rPr>
                <w:rFonts w:hint="default" w:ascii="Arial" w:hAnsi="Arial" w:eastAsia="微软雅黑" w:cs="Arial"/>
                <w:i w:val="0"/>
                <w:iCs w:val="0"/>
                <w:caps w:val="0"/>
                <w:color w:val="990000"/>
                <w:spacing w:val="0"/>
                <w:kern w:val="0"/>
                <w:sz w:val="15"/>
                <w:szCs w:val="15"/>
                <w:u w:val="none"/>
                <w:lang w:val="en-US" w:eastAsia="zh-CN" w:bidi="ar"/>
              </w:rPr>
              <w:fldChar w:fldCharType="separate"/>
            </w:r>
            <w:r>
              <w:rPr>
                <w:rStyle w:val="15"/>
                <w:rFonts w:hint="default" w:ascii="Arial" w:hAnsi="Arial" w:eastAsia="微软雅黑" w:cs="Arial"/>
                <w:i w:val="0"/>
                <w:iCs w:val="0"/>
                <w:caps w:val="0"/>
                <w:color w:val="990000"/>
                <w:spacing w:val="0"/>
                <w:sz w:val="15"/>
                <w:szCs w:val="15"/>
                <w:u w:val="none"/>
              </w:rPr>
              <w:t>Veolia Group</w:t>
            </w:r>
            <w:r>
              <w:rPr>
                <w:rFonts w:hint="default" w:ascii="Arial" w:hAnsi="Arial" w:eastAsia="微软雅黑" w:cs="Arial"/>
                <w:i w:val="0"/>
                <w:iCs w:val="0"/>
                <w:caps w:val="0"/>
                <w:color w:val="990000"/>
                <w:spacing w:val="0"/>
                <w:kern w:val="0"/>
                <w:sz w:val="15"/>
                <w:szCs w:val="15"/>
                <w:u w:val="none"/>
                <w:lang w:val="en-US" w:eastAsia="zh-CN" w:bidi="ar"/>
              </w:rPr>
              <w:fldChar w:fldCharType="end"/>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27,664,397</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&lt;0.01</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2.29</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24%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84%</w:t>
            </w:r>
          </w:p>
        </w:tc>
        <w:tc>
          <w:tcPr>
            <w:tcW w:w="0" w:type="auto"/>
            <w:shd w:val="clear" w:color="auto" w:fill="CFDFEF"/>
            <w:vAlign w:val="center"/>
          </w:tcPr>
          <w:p>
            <w:pPr>
              <w:keepNext w:val="0"/>
              <w:keepLines w:val="0"/>
              <w:widowControl/>
              <w:suppressLineNumbers w:val="0"/>
              <w:jc w:val="right"/>
              <w:rPr>
                <w:rFonts w:hint="default" w:ascii="Arial" w:hAnsi="Arial" w:eastAsia="微软雅黑" w:cs="Arial"/>
                <w:i w:val="0"/>
                <w:iCs w:val="0"/>
                <w:caps w:val="0"/>
                <w:color w:val="000000"/>
                <w:spacing w:val="0"/>
                <w:sz w:val="15"/>
                <w:szCs w:val="15"/>
              </w:rPr>
            </w:pPr>
            <w:r>
              <w:rPr>
                <w:rFonts w:hint="default" w:ascii="Arial" w:hAnsi="Arial" w:eastAsia="微软雅黑" w:cs="Arial"/>
                <w:i w:val="0"/>
                <w:iCs w:val="0"/>
                <w:caps w:val="0"/>
                <w:color w:val="000000"/>
                <w:spacing w:val="0"/>
                <w:kern w:val="0"/>
                <w:sz w:val="15"/>
                <w:szCs w:val="15"/>
                <w:lang w:val="en-US" w:eastAsia="zh-CN" w:bidi="ar"/>
              </w:rPr>
              <w:t>95%</w:t>
            </w:r>
          </w:p>
        </w:tc>
      </w:tr>
    </w:tbl>
    <w:p>
      <w:pPr>
        <w:pageBreakBefore w:val="0"/>
        <w:kinsoku/>
        <w:wordWrap/>
        <w:overflowPunct/>
        <w:topLinePunct w:val="0"/>
        <w:autoSpaceDE/>
        <w:autoSpaceDN/>
        <w:bidi w:val="0"/>
        <w:adjustRightInd/>
        <w:snapToGrid/>
        <w:spacing w:line="240" w:lineRule="auto"/>
        <w:jc w:val="both"/>
        <w:textAlignment w:val="auto"/>
        <w:rPr>
          <w:rFonts w:hint="default" w:ascii="Arial" w:hAnsi="Arial" w:cs="Arial"/>
          <w:bCs/>
          <w:sz w:val="24"/>
          <w:szCs w:val="24"/>
          <w:highlight w:val="none"/>
          <w:lang w:val="en-US" w:eastAsia="zh-CN"/>
        </w:rPr>
      </w:pPr>
    </w:p>
    <w:p>
      <w:pPr>
        <w:pStyle w:val="3"/>
        <w:pageBreakBefore w:val="0"/>
        <w:kinsoku/>
        <w:wordWrap/>
        <w:overflowPunct/>
        <w:topLinePunct w:val="0"/>
        <w:autoSpaceDE/>
        <w:autoSpaceDN/>
        <w:bidi w:val="0"/>
        <w:adjustRightInd/>
        <w:snapToGrid/>
        <w:spacing w:line="480" w:lineRule="auto"/>
        <w:jc w:val="both"/>
        <w:textAlignment w:val="auto"/>
        <w:rPr>
          <w:rFonts w:hint="default"/>
          <w:sz w:val="28"/>
          <w:szCs w:val="22"/>
          <w:lang w:val="en-US" w:eastAsia="zh-CN"/>
        </w:rPr>
      </w:pPr>
      <w:bookmarkStart w:id="20" w:name="_Toc3139"/>
      <w:r>
        <w:rPr>
          <w:rFonts w:hint="eastAsia"/>
          <w:sz w:val="28"/>
          <w:szCs w:val="22"/>
          <w:lang w:val="en-US" w:eastAsia="zh-CN"/>
        </w:rPr>
        <w:t xml:space="preserve">4.0 </w:t>
      </w:r>
      <w:r>
        <w:rPr>
          <w:rFonts w:hint="default"/>
          <w:sz w:val="28"/>
          <w:szCs w:val="22"/>
          <w:lang w:val="en-US" w:eastAsia="zh-CN"/>
        </w:rPr>
        <w:t>Religious groups' stand on abortion</w:t>
      </w:r>
      <w:bookmarkEnd w:id="20"/>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Some religious groups have little or no ambivalence about abortion. For instance, the nation’s largest denomination – the Roman Catholic Church – opposes abortion in all circumstances. The second-largest church, the Southern Baptist Convention, also opposes abortion, although it does allow an exception in cases where the mother’s life is in danger</w:t>
      </w:r>
      <w:r>
        <w:rPr>
          <w:rFonts w:hint="eastAsia" w:ascii="Arial" w:hAnsi="Arial" w:cs="Arial"/>
          <w:sz w:val="24"/>
          <w:szCs w:val="24"/>
          <w:lang w:val="en-US" w:eastAsia="zh-CN"/>
        </w:rPr>
        <w:t xml:space="preserve"> </w:t>
      </w:r>
      <w:r>
        <w:rPr>
          <w:rFonts w:hint="default" w:ascii="Arial" w:hAnsi="Arial" w:cs="Arial"/>
          <w:sz w:val="24"/>
          <w:szCs w:val="24"/>
          <w:lang w:val="en-US" w:eastAsia="zh-CN"/>
        </w:rPr>
        <w:t>(Masci, 2016).</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Many of the nation’s largest mainline Protestant denominations – including the Episcopal Church, the Presbyterian Church (U.S.A.) and the Methodists – also support abortion rights, although several of these churches temper this support with the call for some limits on when a woman can terminate her pregnancy. For instance, while the Episcopal Church opposes statutory limits on abortion, it teaches that “it should be used only in extreme situations</w:t>
      </w:r>
      <w:r>
        <w:rPr>
          <w:rFonts w:hint="eastAsia" w:ascii="Arial" w:hAnsi="Arial" w:cs="Arial"/>
          <w:sz w:val="24"/>
          <w:szCs w:val="24"/>
          <w:lang w:val="en-US" w:eastAsia="zh-CN"/>
        </w:rPr>
        <w:t xml:space="preserve"> </w:t>
      </w:r>
      <w:r>
        <w:rPr>
          <w:rFonts w:hint="default" w:ascii="Arial" w:hAnsi="Arial" w:cs="Arial"/>
          <w:sz w:val="24"/>
          <w:szCs w:val="24"/>
          <w:lang w:val="en-US" w:eastAsia="zh-CN"/>
        </w:rPr>
        <w:t>(Masci, 2016).”</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There are several religious groups that have no public position on abortion. For instance, in Islam, which lacks a single organizational authority, there are a range of views among scholars about when life begins and thus when abortion is morally acceptable. Similarly, in Orthodox Judaism there is disagreement among rabbis and scholars about the issue. And for the National Baptist Convention, a historically black Protestant denomination in the U.S., church policy is to allow each individual congregation to determine its views on abortion</w:t>
      </w:r>
      <w:r>
        <w:rPr>
          <w:rFonts w:hint="eastAsia" w:ascii="Arial" w:hAnsi="Arial" w:cs="Arial"/>
          <w:sz w:val="24"/>
          <w:szCs w:val="24"/>
          <w:lang w:val="en-US" w:eastAsia="zh-CN"/>
        </w:rPr>
        <w:t xml:space="preserve"> </w:t>
      </w:r>
      <w:r>
        <w:rPr>
          <w:rFonts w:hint="default" w:ascii="Arial" w:hAnsi="Arial" w:cs="Arial"/>
          <w:sz w:val="24"/>
          <w:szCs w:val="24"/>
          <w:lang w:val="en-US" w:eastAsia="zh-CN"/>
        </w:rPr>
        <w:t>(Masci, 2016).</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Even when a religious institution has a clearly stated policy on abortion, church members may not always agree. For instance, roughly half of all U.S. Catholics (48%) say abortion should be legal in all or most cases, in spite of the Catholic Church’s strong opposition</w:t>
      </w:r>
      <w:r>
        <w:rPr>
          <w:rFonts w:hint="eastAsia" w:ascii="Arial" w:hAnsi="Arial" w:cs="Arial"/>
          <w:sz w:val="24"/>
          <w:szCs w:val="24"/>
          <w:lang w:val="en-US" w:eastAsia="zh-CN"/>
        </w:rPr>
        <w:t xml:space="preserve"> </w:t>
      </w:r>
      <w:r>
        <w:rPr>
          <w:rFonts w:hint="default" w:ascii="Arial" w:hAnsi="Arial" w:cs="Arial"/>
          <w:sz w:val="24"/>
          <w:szCs w:val="24"/>
          <w:lang w:val="en-US" w:eastAsia="zh-CN"/>
        </w:rPr>
        <w:t>(Masci, 2016).</w:t>
      </w:r>
    </w:p>
    <w:p>
      <w:pPr>
        <w:pageBreakBefore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highlight w:val="none"/>
          <w:lang w:val="en-US" w:eastAsia="zh-CN"/>
        </w:rPr>
      </w:pPr>
    </w:p>
    <w:p>
      <w:pPr>
        <w:pStyle w:val="3"/>
        <w:pageBreakBefore w:val="0"/>
        <w:kinsoku/>
        <w:wordWrap/>
        <w:overflowPunct/>
        <w:topLinePunct w:val="0"/>
        <w:autoSpaceDE/>
        <w:autoSpaceDN/>
        <w:bidi w:val="0"/>
        <w:adjustRightInd/>
        <w:snapToGrid/>
        <w:spacing w:line="480" w:lineRule="auto"/>
        <w:jc w:val="both"/>
        <w:textAlignment w:val="auto"/>
        <w:rPr>
          <w:rFonts w:hint="default"/>
          <w:sz w:val="28"/>
          <w:szCs w:val="22"/>
          <w:lang w:val="en-US" w:eastAsia="zh-CN"/>
        </w:rPr>
      </w:pPr>
      <w:bookmarkStart w:id="21" w:name="_Toc18446"/>
      <w:r>
        <w:rPr>
          <w:rFonts w:hint="eastAsia"/>
          <w:sz w:val="28"/>
          <w:szCs w:val="22"/>
          <w:lang w:val="en-US" w:eastAsia="zh-CN"/>
        </w:rPr>
        <w:t>5.0 ESG</w:t>
      </w:r>
      <w:bookmarkEnd w:id="21"/>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eastAsia" w:ascii="Arial" w:hAnsi="Arial" w:cs="Arial"/>
          <w:sz w:val="24"/>
          <w:szCs w:val="24"/>
          <w:highlight w:val="none"/>
          <w:lang w:val="en-US" w:eastAsia="zh-CN"/>
        </w:rPr>
      </w:pPr>
      <w:r>
        <w:rPr>
          <w:rFonts w:hint="default" w:ascii="Arial" w:hAnsi="Arial" w:cs="Arial"/>
          <w:sz w:val="24"/>
          <w:szCs w:val="24"/>
          <w:highlight w:val="none"/>
          <w:lang w:val="en-US" w:eastAsia="zh-CN"/>
        </w:rPr>
        <w:t>ESG is a framework that helps </w:t>
      </w:r>
      <w:r>
        <w:rPr>
          <w:rFonts w:hint="default" w:ascii="Arial" w:hAnsi="Arial" w:cs="Arial"/>
          <w:sz w:val="24"/>
          <w:szCs w:val="24"/>
          <w:highlight w:val="none"/>
          <w:lang w:val="en-US" w:eastAsia="zh-CN"/>
        </w:rPr>
        <w:fldChar w:fldCharType="begin"/>
      </w:r>
      <w:r>
        <w:rPr>
          <w:rFonts w:hint="default" w:ascii="Arial" w:hAnsi="Arial" w:cs="Arial"/>
          <w:sz w:val="24"/>
          <w:szCs w:val="24"/>
          <w:highlight w:val="none"/>
          <w:lang w:val="en-US" w:eastAsia="zh-CN"/>
        </w:rPr>
        <w:instrText xml:space="preserve"> HYPERLINK "https://corporatefinanceinstitute.com/resources/accounting/stakeholder/" </w:instrText>
      </w:r>
      <w:r>
        <w:rPr>
          <w:rFonts w:hint="default" w:ascii="Arial" w:hAnsi="Arial" w:cs="Arial"/>
          <w:sz w:val="24"/>
          <w:szCs w:val="24"/>
          <w:highlight w:val="none"/>
          <w:lang w:val="en-US" w:eastAsia="zh-CN"/>
        </w:rPr>
        <w:fldChar w:fldCharType="separate"/>
      </w:r>
      <w:r>
        <w:rPr>
          <w:rFonts w:hint="default" w:ascii="Arial" w:hAnsi="Arial" w:cs="Arial"/>
          <w:sz w:val="24"/>
          <w:szCs w:val="24"/>
          <w:highlight w:val="none"/>
          <w:lang w:val="en-US" w:eastAsia="zh-CN"/>
        </w:rPr>
        <w:t>stakeholders</w:t>
      </w:r>
      <w:r>
        <w:rPr>
          <w:rFonts w:hint="default" w:ascii="Arial" w:hAnsi="Arial" w:cs="Arial"/>
          <w:sz w:val="24"/>
          <w:szCs w:val="24"/>
          <w:highlight w:val="none"/>
          <w:lang w:val="en-US" w:eastAsia="zh-CN"/>
        </w:rPr>
        <w:fldChar w:fldCharType="end"/>
      </w:r>
      <w:r>
        <w:rPr>
          <w:rFonts w:hint="default" w:ascii="Arial" w:hAnsi="Arial" w:cs="Arial"/>
          <w:sz w:val="24"/>
          <w:szCs w:val="24"/>
          <w:highlight w:val="none"/>
          <w:lang w:val="en-US" w:eastAsia="zh-CN"/>
        </w:rPr>
        <w:t> understand how an organization is managing risks and opportunities related to environmental, social, and governance criteria (sometimes called ESG factors). ESG takes the holistic view that sustainability extends beyond just environmental issues</w:t>
      </w:r>
      <w:r>
        <w:rPr>
          <w:rFonts w:hint="eastAsia" w:ascii="Arial" w:hAnsi="Arial" w:cs="Arial"/>
          <w:sz w:val="24"/>
          <w:szCs w:val="24"/>
          <w:highlight w:val="none"/>
          <w:lang w:val="en-US" w:eastAsia="zh-CN"/>
        </w:rPr>
        <w:t xml:space="preserve"> (Peterdy and Miller, 2022).</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w:t>
      </w:r>
    </w:p>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eastAsia="宋体" w:cs="Arial"/>
          <w:sz w:val="24"/>
          <w:szCs w:val="24"/>
        </w:rPr>
        <w:drawing>
          <wp:inline distT="0" distB="0" distL="114300" distR="114300">
            <wp:extent cx="2868295" cy="2068830"/>
            <wp:effectExtent l="0" t="0" r="12065" b="3810"/>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6"/>
                    <a:stretch>
                      <a:fillRect/>
                    </a:stretch>
                  </pic:blipFill>
                  <pic:spPr>
                    <a:xfrm>
                      <a:off x="0" y="0"/>
                      <a:ext cx="2868295" cy="2068830"/>
                    </a:xfrm>
                    <a:prstGeom prst="rect">
                      <a:avLst/>
                    </a:prstGeom>
                    <a:noFill/>
                    <a:ln w="9525">
                      <a:noFill/>
                    </a:ln>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1. Environmental</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Environmental factors refer to an organization’s environmental impact(s) and risk management practices. These include direct and indirect greenhouse gas emissions, management’s stewardship over natural resources, and the firm’s overall resiliency against physical climate risks (like climate change, flooding, and fires).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2. Social</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The social pillar refers to an organization’s relationships with stakeholders. Examples of factors that a firm may be measured against include </w:t>
      </w:r>
      <w:r>
        <w:rPr>
          <w:rFonts w:hint="default" w:ascii="Arial" w:hAnsi="Arial" w:cs="Arial"/>
          <w:sz w:val="24"/>
          <w:szCs w:val="24"/>
          <w:highlight w:val="none"/>
          <w:lang w:val="en-US" w:eastAsia="zh-CN"/>
        </w:rPr>
        <w:fldChar w:fldCharType="begin"/>
      </w:r>
      <w:r>
        <w:rPr>
          <w:rFonts w:hint="default" w:ascii="Arial" w:hAnsi="Arial" w:cs="Arial"/>
          <w:sz w:val="24"/>
          <w:szCs w:val="24"/>
          <w:highlight w:val="none"/>
          <w:lang w:val="en-US" w:eastAsia="zh-CN"/>
        </w:rPr>
        <w:instrText xml:space="preserve"> HYPERLINK "https://corporatefinanceinstitute.com/resources/esg/human-capital-management-hcm/" </w:instrText>
      </w:r>
      <w:r>
        <w:rPr>
          <w:rFonts w:hint="default" w:ascii="Arial" w:hAnsi="Arial" w:cs="Arial"/>
          <w:sz w:val="24"/>
          <w:szCs w:val="24"/>
          <w:highlight w:val="none"/>
          <w:lang w:val="en-US" w:eastAsia="zh-CN"/>
        </w:rPr>
        <w:fldChar w:fldCharType="separate"/>
      </w:r>
      <w:r>
        <w:rPr>
          <w:rFonts w:hint="default" w:ascii="Arial" w:hAnsi="Arial" w:cs="Arial"/>
          <w:sz w:val="24"/>
          <w:szCs w:val="24"/>
          <w:highlight w:val="none"/>
          <w:lang w:val="en-US" w:eastAsia="zh-CN"/>
        </w:rPr>
        <w:t>human capital management (HCM)</w:t>
      </w:r>
      <w:r>
        <w:rPr>
          <w:rFonts w:hint="default" w:ascii="Arial" w:hAnsi="Arial" w:cs="Arial"/>
          <w:sz w:val="24"/>
          <w:szCs w:val="24"/>
          <w:highlight w:val="none"/>
          <w:lang w:val="en-US" w:eastAsia="zh-CN"/>
        </w:rPr>
        <w:fldChar w:fldCharType="end"/>
      </w:r>
      <w:r>
        <w:rPr>
          <w:rFonts w:hint="default" w:ascii="Arial" w:hAnsi="Arial" w:cs="Arial"/>
          <w:sz w:val="24"/>
          <w:szCs w:val="24"/>
          <w:highlight w:val="none"/>
          <w:lang w:val="en-US" w:eastAsia="zh-CN"/>
        </w:rPr>
        <w:t> metrics (like fair wages and employee engagement) but also an organization’s impact on the communities in which it operates.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A hallmark of ESG is how social impact expectations have extended outside the walls of the company and to supply chain partners, particularly those in developing economies where environmental and labor standards may be less robust.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3. Governance</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fldChar w:fldCharType="begin"/>
      </w:r>
      <w:r>
        <w:rPr>
          <w:rFonts w:hint="default" w:ascii="Arial" w:hAnsi="Arial" w:cs="Arial"/>
          <w:sz w:val="24"/>
          <w:szCs w:val="24"/>
          <w:highlight w:val="none"/>
          <w:lang w:val="en-US" w:eastAsia="zh-CN"/>
        </w:rPr>
        <w:instrText xml:space="preserve"> HYPERLINK "https://corporatefinanceinstitute.com/course/corporate-governance/" </w:instrText>
      </w:r>
      <w:r>
        <w:rPr>
          <w:rFonts w:hint="default" w:ascii="Arial" w:hAnsi="Arial" w:cs="Arial"/>
          <w:sz w:val="24"/>
          <w:szCs w:val="24"/>
          <w:highlight w:val="none"/>
          <w:lang w:val="en-US" w:eastAsia="zh-CN"/>
        </w:rPr>
        <w:fldChar w:fldCharType="separate"/>
      </w:r>
      <w:r>
        <w:rPr>
          <w:rFonts w:hint="default" w:ascii="Arial" w:hAnsi="Arial" w:cs="Arial"/>
          <w:sz w:val="24"/>
          <w:szCs w:val="24"/>
          <w:highlight w:val="none"/>
          <w:lang w:val="en-US" w:eastAsia="zh-CN"/>
        </w:rPr>
        <w:t>Corporate governance</w:t>
      </w:r>
      <w:r>
        <w:rPr>
          <w:rFonts w:hint="default" w:ascii="Arial" w:hAnsi="Arial" w:cs="Arial"/>
          <w:sz w:val="24"/>
          <w:szCs w:val="24"/>
          <w:highlight w:val="none"/>
          <w:lang w:val="en-US" w:eastAsia="zh-CN"/>
        </w:rPr>
        <w:fldChar w:fldCharType="end"/>
      </w:r>
      <w:r>
        <w:rPr>
          <w:rFonts w:hint="default" w:ascii="Arial" w:hAnsi="Arial" w:cs="Arial"/>
          <w:sz w:val="24"/>
          <w:szCs w:val="24"/>
          <w:highlight w:val="none"/>
          <w:lang w:val="en-US" w:eastAsia="zh-CN"/>
        </w:rPr>
        <w:t> refers to how an organization is led and managed. ESG analysts will seek to understand better how leadership’s incentives are aligned with stakeholder expectations, how shareholder rights are viewed and honored, and what types of internal controls exist to promote transparency and accountability on the part of leadership.</w:t>
      </w:r>
    </w:p>
    <w:p>
      <w:pPr>
        <w:pageBreakBefore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highlight w:val="none"/>
          <w:lang w:val="en-US" w:eastAsia="zh-CN"/>
        </w:rPr>
      </w:pPr>
    </w:p>
    <w:p>
      <w:pPr>
        <w:pStyle w:val="3"/>
        <w:pageBreakBefore w:val="0"/>
        <w:kinsoku/>
        <w:wordWrap/>
        <w:overflowPunct/>
        <w:topLinePunct w:val="0"/>
        <w:autoSpaceDE/>
        <w:autoSpaceDN/>
        <w:bidi w:val="0"/>
        <w:adjustRightInd/>
        <w:snapToGrid/>
        <w:spacing w:line="480" w:lineRule="auto"/>
        <w:jc w:val="both"/>
        <w:textAlignment w:val="auto"/>
        <w:rPr>
          <w:rFonts w:hint="default"/>
          <w:sz w:val="28"/>
          <w:szCs w:val="22"/>
          <w:lang w:val="en-US" w:eastAsia="zh-CN"/>
        </w:rPr>
      </w:pPr>
      <w:bookmarkStart w:id="22" w:name="_Toc23907"/>
      <w:r>
        <w:rPr>
          <w:rFonts w:hint="eastAsia"/>
          <w:sz w:val="28"/>
          <w:szCs w:val="22"/>
          <w:lang w:val="en-US" w:eastAsia="zh-CN"/>
        </w:rPr>
        <w:t>6.0 CSR</w:t>
      </w:r>
      <w:bookmarkEnd w:id="22"/>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lang w:val="en-US" w:eastAsia="zh-CN"/>
        </w:rPr>
      </w:pPr>
      <w:r>
        <w:rPr>
          <w:rFonts w:hint="default" w:ascii="Arial" w:hAnsi="Arial" w:cs="Arial"/>
          <w:bCs/>
          <w:sz w:val="24"/>
          <w:szCs w:val="24"/>
          <w:lang w:val="en-US" w:eastAsia="zh-CN"/>
        </w:rPr>
        <w:t>Corporate social responsibility (CSR) is a </w:t>
      </w: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"https://www.investopedia.com/b-corp-7488828"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self-regulating business model</w:t>
      </w:r>
      <w:r>
        <w:rPr>
          <w:rFonts w:hint="default" w:ascii="Arial" w:hAnsi="Arial" w:cs="Arial"/>
          <w:bCs/>
          <w:sz w:val="24"/>
          <w:szCs w:val="24"/>
          <w:lang w:val="en-US" w:eastAsia="zh-CN"/>
        </w:rPr>
        <w:fldChar w:fldCharType="end"/>
      </w:r>
      <w:r>
        <w:rPr>
          <w:rFonts w:hint="default" w:ascii="Arial" w:hAnsi="Arial" w:cs="Arial"/>
          <w:bCs/>
          <w:sz w:val="24"/>
          <w:szCs w:val="24"/>
          <w:lang w:val="en-US" w:eastAsia="zh-CN"/>
        </w:rPr>
        <w:t> that helps a company be socially accountable to itself, its stakeholders, and the public. By practicing corporate social responsibility, also called </w:t>
      </w: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"https://www.investopedia.com/terms/c/corporatecitizenship.asp"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corporate citizenship</w:t>
      </w:r>
      <w:r>
        <w:rPr>
          <w:rFonts w:hint="default" w:ascii="Arial" w:hAnsi="Arial" w:cs="Arial"/>
          <w:bCs/>
          <w:sz w:val="24"/>
          <w:szCs w:val="24"/>
          <w:lang w:val="en-US" w:eastAsia="zh-CN"/>
        </w:rPr>
        <w:fldChar w:fldCharType="end"/>
      </w:r>
      <w:r>
        <w:rPr>
          <w:rFonts w:hint="default" w:ascii="Arial" w:hAnsi="Arial" w:cs="Arial"/>
          <w:bCs/>
          <w:sz w:val="24"/>
          <w:szCs w:val="24"/>
          <w:lang w:val="en-US" w:eastAsia="zh-CN"/>
        </w:rPr>
        <w:t>, companies can be conscious of the kind of impact they are having on all aspects of society, including economic, social, and environmental</w:t>
      </w:r>
      <w:r>
        <w:rPr>
          <w:rFonts w:hint="eastAsia" w:ascii="Arial" w:hAnsi="Arial" w:cs="Arial"/>
          <w:bCs/>
          <w:sz w:val="24"/>
          <w:szCs w:val="24"/>
          <w:lang w:val="en-US" w:eastAsia="zh-CN"/>
        </w:rPr>
        <w:t xml:space="preserve"> </w:t>
      </w:r>
      <w:r>
        <w:rPr>
          <w:rFonts w:hint="default" w:ascii="Arial" w:hAnsi="Arial" w:eastAsia="宋体" w:cs="Arial"/>
          <w:i w:val="0"/>
          <w:iCs w:val="0"/>
          <w:caps w:val="0"/>
          <w:color w:val="202124"/>
          <w:spacing w:val="0"/>
          <w:sz w:val="24"/>
          <w:szCs w:val="24"/>
          <w:highlight w:val="none"/>
          <w:shd w:val="clear" w:fill="FFFFFF"/>
          <w:lang w:val="en-US" w:eastAsia="zh-CN"/>
        </w:rPr>
        <w:t>(Reckmann, 2023)</w:t>
      </w:r>
      <w:r>
        <w:rPr>
          <w:rFonts w:hint="default" w:ascii="Arial" w:hAnsi="Arial" w:cs="Arial"/>
          <w:bCs/>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lang w:val="en-US" w:eastAsia="zh-CN"/>
        </w:rPr>
      </w:pPr>
      <w:r>
        <w:rPr>
          <w:rFonts w:hint="default" w:ascii="Arial" w:hAnsi="Arial" w:cs="Arial"/>
          <w:bCs/>
          <w:sz w:val="24"/>
          <w:szCs w:val="24"/>
          <w:lang w:val="en-US" w:eastAsia="zh-CN"/>
        </w:rPr>
        <w:t>Engaging in CSR means that, in the ordinary course of business, a company is operating in ways that </w:t>
      </w: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"https://www.investopedia.com/terms/c/conscious-capitalism.asp"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enhance society and the environment</w:t>
      </w:r>
      <w:r>
        <w:rPr>
          <w:rFonts w:hint="default" w:ascii="Arial" w:hAnsi="Arial" w:cs="Arial"/>
          <w:bCs/>
          <w:sz w:val="24"/>
          <w:szCs w:val="24"/>
          <w:lang w:val="en-US" w:eastAsia="zh-CN"/>
        </w:rPr>
        <w:fldChar w:fldCharType="end"/>
      </w:r>
      <w:r>
        <w:rPr>
          <w:rFonts w:hint="default" w:ascii="Arial" w:hAnsi="Arial" w:cs="Arial"/>
          <w:bCs/>
          <w:sz w:val="24"/>
          <w:szCs w:val="24"/>
          <w:lang w:val="en-US" w:eastAsia="zh-CN"/>
        </w:rPr>
        <w:t> instead of contributing negatively to them.</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rPr>
      </w:pPr>
      <w:r>
        <w:rPr>
          <w:rFonts w:hint="default" w:ascii="Arial" w:hAnsi="Arial" w:eastAsia="宋体" w:cs="Arial"/>
          <w:sz w:val="24"/>
          <w:szCs w:val="24"/>
        </w:rPr>
        <w:drawing>
          <wp:inline distT="0" distB="0" distL="114300" distR="114300">
            <wp:extent cx="3514090" cy="1978025"/>
            <wp:effectExtent l="0" t="0" r="6350" b="3175"/>
            <wp:docPr id="5" name="图片 5"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IMG_256"/>
                    <pic:cNvPicPr>
                      <a:picLocks noChangeAspect="1"/>
                    </pic:cNvPicPr>
                  </pic:nvPicPr>
                  <pic:blipFill>
                    <a:blip r:embed="rId7"/>
                    <a:stretch>
                      <a:fillRect/>
                    </a:stretch>
                  </pic:blipFill>
                  <pic:spPr>
                    <a:xfrm>
                      <a:off x="0" y="0"/>
                      <a:ext cx="3514090" cy="1978025"/>
                    </a:xfrm>
                    <a:prstGeom prst="rect">
                      <a:avLst/>
                    </a:prstGeom>
                    <a:noFill/>
                    <a:ln w="9525">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ind w:left="420" w:leftChars="0" w:hanging="420" w:firstLineChars="0"/>
        <w:jc w:val="both"/>
        <w:textAlignment w:val="auto"/>
        <w:rPr>
          <w:rFonts w:hint="default" w:ascii="Arial" w:hAnsi="Arial" w:cs="Arial"/>
          <w:bCs/>
          <w:sz w:val="24"/>
          <w:szCs w:val="24"/>
          <w:lang w:val="en-US" w:eastAsia="zh-CN"/>
        </w:rPr>
      </w:pPr>
      <w:r>
        <w:rPr>
          <w:rFonts w:hint="default" w:ascii="Arial" w:hAnsi="Arial" w:cs="Arial"/>
          <w:bCs/>
          <w:sz w:val="24"/>
          <w:szCs w:val="24"/>
          <w:lang w:val="en-US" w:eastAsia="zh-CN"/>
        </w:rPr>
        <w:t>Corporate social responsibility is a business model by which companies make a concerted effort to operate in ways that enhance rather than degrade society and the environment.</w:t>
      </w: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ind w:left="420" w:leftChars="0" w:hanging="420" w:firstLineChars="0"/>
        <w:jc w:val="both"/>
        <w:textAlignment w:val="auto"/>
        <w:rPr>
          <w:rFonts w:hint="default" w:ascii="Arial" w:hAnsi="Arial" w:cs="Arial"/>
          <w:bCs/>
          <w:sz w:val="24"/>
          <w:szCs w:val="24"/>
          <w:lang w:val="en-US" w:eastAsia="zh-CN"/>
        </w:rPr>
      </w:pPr>
      <w:r>
        <w:rPr>
          <w:rFonts w:hint="default" w:ascii="Arial" w:hAnsi="Arial" w:cs="Arial"/>
          <w:bCs/>
          <w:sz w:val="24"/>
          <w:szCs w:val="24"/>
          <w:lang w:val="en-US" w:eastAsia="zh-CN"/>
        </w:rPr>
        <w:t>CSR can help improve various aspects of society as well as promote a positive brand image for companies.</w:t>
      </w: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ind w:left="420" w:leftChars="0" w:hanging="420" w:firstLineChars="0"/>
        <w:jc w:val="both"/>
        <w:textAlignment w:val="auto"/>
        <w:rPr>
          <w:rFonts w:hint="default" w:ascii="Arial" w:hAnsi="Arial" w:cs="Arial"/>
          <w:bCs/>
          <w:sz w:val="24"/>
          <w:szCs w:val="24"/>
          <w:lang w:val="en-US" w:eastAsia="zh-CN"/>
        </w:rPr>
      </w:pPr>
      <w:r>
        <w:rPr>
          <w:rFonts w:hint="default" w:ascii="Arial" w:hAnsi="Arial" w:cs="Arial"/>
          <w:bCs/>
          <w:sz w:val="24"/>
          <w:szCs w:val="24"/>
          <w:lang w:val="en-US" w:eastAsia="zh-CN"/>
        </w:rPr>
        <w:t>Corporate responsibility programs can also raise morale in the workplace.</w:t>
      </w: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ind w:left="420" w:leftChars="0" w:hanging="420" w:firstLineChars="0"/>
        <w:jc w:val="both"/>
        <w:textAlignment w:val="auto"/>
        <w:rPr>
          <w:rFonts w:hint="default" w:ascii="Arial" w:hAnsi="Arial" w:cs="Arial"/>
          <w:bCs/>
          <w:sz w:val="24"/>
          <w:szCs w:val="24"/>
          <w:lang w:val="en-US" w:eastAsia="zh-CN"/>
        </w:rPr>
      </w:pPr>
      <w:r>
        <w:rPr>
          <w:rFonts w:hint="default" w:ascii="Arial" w:hAnsi="Arial" w:cs="Arial"/>
          <w:bCs/>
          <w:sz w:val="24"/>
          <w:szCs w:val="24"/>
          <w:lang w:val="en-US" w:eastAsia="zh-CN"/>
        </w:rPr>
        <w:t>CSR is often broken into four categories: environmental impacts, ethical responsibility, philanthropic endeavors, and financial responsibilities.</w:t>
      </w:r>
    </w:p>
    <w:p>
      <w:pPr>
        <w:pageBreakBefore w:val="0"/>
        <w:kinsoku/>
        <w:wordWrap/>
        <w:overflowPunct/>
        <w:topLinePunct w:val="0"/>
        <w:autoSpaceDE/>
        <w:autoSpaceDN/>
        <w:bidi w:val="0"/>
        <w:adjustRightInd/>
        <w:snapToGrid/>
        <w:spacing w:line="480" w:lineRule="auto"/>
        <w:jc w:val="both"/>
        <w:textAlignment w:val="auto"/>
        <w:rPr>
          <w:rFonts w:hint="default" w:ascii="Arial" w:hAnsi="Arial" w:cs="Arial"/>
          <w:bCs/>
          <w:sz w:val="24"/>
          <w:szCs w:val="24"/>
          <w:highlight w:val="none"/>
          <w:lang w:val="en-US" w:eastAsia="zh-CN"/>
        </w:rPr>
      </w:pPr>
    </w:p>
    <w:sectPr>
      <w:footerReference r:id="rId3"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pPr>
                          <w:r>
                            <w:rPr>
                              <w:rFonts w:hint="default" w:ascii="Arial" w:hAnsi="Arial" w:cs="Arial"/>
                              <w:sz w:val="24"/>
                              <w:szCs w:val="24"/>
                            </w:rPr>
                            <w:fldChar w:fldCharType="begin"/>
                          </w:r>
                          <w:r>
                            <w:rPr>
                              <w:rFonts w:hint="default" w:ascii="Arial" w:hAnsi="Arial" w:cs="Arial"/>
                              <w:sz w:val="24"/>
                              <w:szCs w:val="24"/>
                            </w:rPr>
                            <w:instrText xml:space="preserve"> PAGE  \* MERGEFORMAT </w:instrText>
                          </w:r>
                          <w:r>
                            <w:rPr>
                              <w:rFonts w:hint="default" w:ascii="Arial" w:hAnsi="Arial" w:cs="Arial"/>
                              <w:sz w:val="24"/>
                              <w:szCs w:val="24"/>
                            </w:rPr>
                            <w:fldChar w:fldCharType="separate"/>
                          </w:r>
                          <w:r>
                            <w:rPr>
                              <w:rFonts w:hint="default" w:ascii="Arial" w:hAnsi="Arial" w:cs="Arial"/>
                              <w:sz w:val="24"/>
                              <w:szCs w:val="24"/>
                            </w:rPr>
                            <w:t>1</w:t>
                          </w:r>
                          <w:r>
                            <w:rPr>
                              <w:rFonts w:hint="default" w:ascii="Arial" w:hAnsi="Arial" w:cs="Arial"/>
                              <w:sz w:val="24"/>
                              <w:szCs w:val="24"/>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6"/>
                    </w:pPr>
                    <w:r>
                      <w:rPr>
                        <w:rFonts w:hint="default" w:ascii="Arial" w:hAnsi="Arial" w:cs="Arial"/>
                        <w:sz w:val="24"/>
                        <w:szCs w:val="24"/>
                      </w:rPr>
                      <w:fldChar w:fldCharType="begin"/>
                    </w:r>
                    <w:r>
                      <w:rPr>
                        <w:rFonts w:hint="default" w:ascii="Arial" w:hAnsi="Arial" w:cs="Arial"/>
                        <w:sz w:val="24"/>
                        <w:szCs w:val="24"/>
                      </w:rPr>
                      <w:instrText xml:space="preserve"> PAGE  \* MERGEFORMAT </w:instrText>
                    </w:r>
                    <w:r>
                      <w:rPr>
                        <w:rFonts w:hint="default" w:ascii="Arial" w:hAnsi="Arial" w:cs="Arial"/>
                        <w:sz w:val="24"/>
                        <w:szCs w:val="24"/>
                      </w:rPr>
                      <w:fldChar w:fldCharType="separate"/>
                    </w:r>
                    <w:r>
                      <w:rPr>
                        <w:rFonts w:hint="default" w:ascii="Arial" w:hAnsi="Arial" w:cs="Arial"/>
                        <w:sz w:val="24"/>
                        <w:szCs w:val="24"/>
                      </w:rPr>
                      <w:t>1</w:t>
                    </w:r>
                    <w:r>
                      <w:rPr>
                        <w:rFonts w:hint="default" w:ascii="Arial" w:hAnsi="Arial" w:cs="Arial"/>
                        <w:sz w:val="24"/>
                        <w:szCs w:val="24"/>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D16C0A7"/>
    <w:multiLevelType w:val="singleLevel"/>
    <w:tmpl w:val="ED16C0A7"/>
    <w:lvl w:ilvl="0" w:tentative="0">
      <w:start w:val="1"/>
      <w:numFmt w:val="bullet"/>
      <w:lvlText w:val=""/>
      <w:lvlJc w:val="left"/>
      <w:pPr>
        <w:ind w:left="420" w:hanging="42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ThlYzEzM2I0NTgzMzcxYTRmZTAxODkxZjRkNWU1YmEifQ=="/>
  </w:docVars>
  <w:rsids>
    <w:rsidRoot w:val="00000000"/>
    <w:rsid w:val="003E1086"/>
    <w:rsid w:val="004C32AB"/>
    <w:rsid w:val="017165B7"/>
    <w:rsid w:val="01C91C50"/>
    <w:rsid w:val="01FA3738"/>
    <w:rsid w:val="02587777"/>
    <w:rsid w:val="028E4F47"/>
    <w:rsid w:val="02B620EE"/>
    <w:rsid w:val="02CB5630"/>
    <w:rsid w:val="02F36294"/>
    <w:rsid w:val="030650AC"/>
    <w:rsid w:val="04C30305"/>
    <w:rsid w:val="04E60003"/>
    <w:rsid w:val="04F67CEF"/>
    <w:rsid w:val="05E337FC"/>
    <w:rsid w:val="0616597F"/>
    <w:rsid w:val="062E6C7E"/>
    <w:rsid w:val="0659586C"/>
    <w:rsid w:val="06BD229F"/>
    <w:rsid w:val="08C472C7"/>
    <w:rsid w:val="0924522B"/>
    <w:rsid w:val="09CC4292"/>
    <w:rsid w:val="09D45935"/>
    <w:rsid w:val="0A79028B"/>
    <w:rsid w:val="0B3568A8"/>
    <w:rsid w:val="0BB955EE"/>
    <w:rsid w:val="0BFE6C9A"/>
    <w:rsid w:val="0CCC76D6"/>
    <w:rsid w:val="0CF45440"/>
    <w:rsid w:val="0D9F1D1E"/>
    <w:rsid w:val="0DDA3736"/>
    <w:rsid w:val="0E4F7C80"/>
    <w:rsid w:val="0E567261"/>
    <w:rsid w:val="0E8C77EE"/>
    <w:rsid w:val="0FD022BE"/>
    <w:rsid w:val="10DD2E64"/>
    <w:rsid w:val="126F08F1"/>
    <w:rsid w:val="12852989"/>
    <w:rsid w:val="141B7AF2"/>
    <w:rsid w:val="1517701E"/>
    <w:rsid w:val="1560320A"/>
    <w:rsid w:val="167F131F"/>
    <w:rsid w:val="16B7083A"/>
    <w:rsid w:val="178A5C9F"/>
    <w:rsid w:val="17CE4EF3"/>
    <w:rsid w:val="185A0A79"/>
    <w:rsid w:val="186E2497"/>
    <w:rsid w:val="1968609A"/>
    <w:rsid w:val="198527A8"/>
    <w:rsid w:val="1A2E722C"/>
    <w:rsid w:val="1A910102"/>
    <w:rsid w:val="1C0F0E85"/>
    <w:rsid w:val="1C183DA8"/>
    <w:rsid w:val="1C3B7A96"/>
    <w:rsid w:val="1CA942C3"/>
    <w:rsid w:val="1CBD3E12"/>
    <w:rsid w:val="1D1E53EE"/>
    <w:rsid w:val="1DCF4F7F"/>
    <w:rsid w:val="1DDC7260"/>
    <w:rsid w:val="1DE95F6A"/>
    <w:rsid w:val="1E5D1F46"/>
    <w:rsid w:val="1EB340E3"/>
    <w:rsid w:val="1EDF0BAD"/>
    <w:rsid w:val="1F282554"/>
    <w:rsid w:val="1F3C7576"/>
    <w:rsid w:val="1FC57DA2"/>
    <w:rsid w:val="201725C8"/>
    <w:rsid w:val="20A43E5C"/>
    <w:rsid w:val="20D01495"/>
    <w:rsid w:val="221F7512"/>
    <w:rsid w:val="22816A0A"/>
    <w:rsid w:val="22AC349C"/>
    <w:rsid w:val="2378337E"/>
    <w:rsid w:val="23C12F77"/>
    <w:rsid w:val="240C5CDF"/>
    <w:rsid w:val="24534C43"/>
    <w:rsid w:val="24A00DDE"/>
    <w:rsid w:val="253C04AE"/>
    <w:rsid w:val="257E07DB"/>
    <w:rsid w:val="266E6C0D"/>
    <w:rsid w:val="28865857"/>
    <w:rsid w:val="28F21D90"/>
    <w:rsid w:val="29030C50"/>
    <w:rsid w:val="292526A2"/>
    <w:rsid w:val="295E4DC4"/>
    <w:rsid w:val="2BB32FB1"/>
    <w:rsid w:val="2BEE242F"/>
    <w:rsid w:val="2C092CED"/>
    <w:rsid w:val="2C532F64"/>
    <w:rsid w:val="2C6B33A7"/>
    <w:rsid w:val="2CC15B72"/>
    <w:rsid w:val="2D266979"/>
    <w:rsid w:val="2D430559"/>
    <w:rsid w:val="2D7D3948"/>
    <w:rsid w:val="2D8A60D3"/>
    <w:rsid w:val="2DF4595A"/>
    <w:rsid w:val="2E701821"/>
    <w:rsid w:val="2EE900B1"/>
    <w:rsid w:val="2FB971F8"/>
    <w:rsid w:val="302F7EC5"/>
    <w:rsid w:val="306126B4"/>
    <w:rsid w:val="306453B6"/>
    <w:rsid w:val="30C85944"/>
    <w:rsid w:val="31464ABB"/>
    <w:rsid w:val="318A6EAB"/>
    <w:rsid w:val="3193270D"/>
    <w:rsid w:val="32DB76EC"/>
    <w:rsid w:val="32DD144F"/>
    <w:rsid w:val="333541C2"/>
    <w:rsid w:val="335845EA"/>
    <w:rsid w:val="344A2FE1"/>
    <w:rsid w:val="34806536"/>
    <w:rsid w:val="36976607"/>
    <w:rsid w:val="3699743B"/>
    <w:rsid w:val="36D6068F"/>
    <w:rsid w:val="37707153"/>
    <w:rsid w:val="37DA41AF"/>
    <w:rsid w:val="383545F2"/>
    <w:rsid w:val="38F6617B"/>
    <w:rsid w:val="39567866"/>
    <w:rsid w:val="3A36183C"/>
    <w:rsid w:val="3A3F17E8"/>
    <w:rsid w:val="3B820DE6"/>
    <w:rsid w:val="3C377EA0"/>
    <w:rsid w:val="3C826F3B"/>
    <w:rsid w:val="3CD43D23"/>
    <w:rsid w:val="3D0777F5"/>
    <w:rsid w:val="3D1952B6"/>
    <w:rsid w:val="3D2D4593"/>
    <w:rsid w:val="3E956A4B"/>
    <w:rsid w:val="3F6902F3"/>
    <w:rsid w:val="3F8769CB"/>
    <w:rsid w:val="40087E6C"/>
    <w:rsid w:val="40480434"/>
    <w:rsid w:val="407C4694"/>
    <w:rsid w:val="41AC096A"/>
    <w:rsid w:val="41CF4659"/>
    <w:rsid w:val="421D53C4"/>
    <w:rsid w:val="4286539F"/>
    <w:rsid w:val="4290203A"/>
    <w:rsid w:val="430F7403"/>
    <w:rsid w:val="43525043"/>
    <w:rsid w:val="438178C5"/>
    <w:rsid w:val="43D40C28"/>
    <w:rsid w:val="43F43C36"/>
    <w:rsid w:val="443D7154"/>
    <w:rsid w:val="45165EC9"/>
    <w:rsid w:val="452A22D2"/>
    <w:rsid w:val="457C68A6"/>
    <w:rsid w:val="458B464A"/>
    <w:rsid w:val="45AF27D7"/>
    <w:rsid w:val="46DD15C6"/>
    <w:rsid w:val="46E621AE"/>
    <w:rsid w:val="49333953"/>
    <w:rsid w:val="4A3459A1"/>
    <w:rsid w:val="4AFF1B0B"/>
    <w:rsid w:val="4B4C5232"/>
    <w:rsid w:val="4B7C3077"/>
    <w:rsid w:val="4BB42A32"/>
    <w:rsid w:val="4BD276E7"/>
    <w:rsid w:val="4BDA2AC4"/>
    <w:rsid w:val="4C12586E"/>
    <w:rsid w:val="4F5224CB"/>
    <w:rsid w:val="4F766D7B"/>
    <w:rsid w:val="4F950C90"/>
    <w:rsid w:val="4FAF0406"/>
    <w:rsid w:val="4FB506BD"/>
    <w:rsid w:val="51583AFC"/>
    <w:rsid w:val="517B499B"/>
    <w:rsid w:val="522956BF"/>
    <w:rsid w:val="52614E59"/>
    <w:rsid w:val="53BA6F17"/>
    <w:rsid w:val="5458228C"/>
    <w:rsid w:val="54EC75A4"/>
    <w:rsid w:val="55FA3ECB"/>
    <w:rsid w:val="56065881"/>
    <w:rsid w:val="566E4606"/>
    <w:rsid w:val="577359F8"/>
    <w:rsid w:val="578D7812"/>
    <w:rsid w:val="57E02CC4"/>
    <w:rsid w:val="58B01CDE"/>
    <w:rsid w:val="58D5133F"/>
    <w:rsid w:val="58DC790F"/>
    <w:rsid w:val="59D25EEA"/>
    <w:rsid w:val="5B5574AD"/>
    <w:rsid w:val="5BBD57F6"/>
    <w:rsid w:val="5C8332BB"/>
    <w:rsid w:val="5CE179D5"/>
    <w:rsid w:val="5DA528BA"/>
    <w:rsid w:val="5DE15EB8"/>
    <w:rsid w:val="5E015239"/>
    <w:rsid w:val="5F636816"/>
    <w:rsid w:val="60314496"/>
    <w:rsid w:val="610E7639"/>
    <w:rsid w:val="61B52ACC"/>
    <w:rsid w:val="61F33084"/>
    <w:rsid w:val="62B86D17"/>
    <w:rsid w:val="6300421A"/>
    <w:rsid w:val="6326326D"/>
    <w:rsid w:val="633B09A7"/>
    <w:rsid w:val="63500C1D"/>
    <w:rsid w:val="640D3093"/>
    <w:rsid w:val="64EF4547"/>
    <w:rsid w:val="658E1FB1"/>
    <w:rsid w:val="65E52AA5"/>
    <w:rsid w:val="669E6224"/>
    <w:rsid w:val="6716225F"/>
    <w:rsid w:val="677B47B7"/>
    <w:rsid w:val="678E1B0C"/>
    <w:rsid w:val="67A41555"/>
    <w:rsid w:val="68AA7102"/>
    <w:rsid w:val="68B43ADD"/>
    <w:rsid w:val="68C77CB4"/>
    <w:rsid w:val="68D93544"/>
    <w:rsid w:val="696C260A"/>
    <w:rsid w:val="69735949"/>
    <w:rsid w:val="6AA61B4B"/>
    <w:rsid w:val="6AAA1BAD"/>
    <w:rsid w:val="6AF6692C"/>
    <w:rsid w:val="6B8C2AEF"/>
    <w:rsid w:val="6B972C80"/>
    <w:rsid w:val="6CC56897"/>
    <w:rsid w:val="6E7855AD"/>
    <w:rsid w:val="6E9C72B7"/>
    <w:rsid w:val="6EF72C36"/>
    <w:rsid w:val="6F301C85"/>
    <w:rsid w:val="71C72AD3"/>
    <w:rsid w:val="71CA4371"/>
    <w:rsid w:val="72655E48"/>
    <w:rsid w:val="72842772"/>
    <w:rsid w:val="72DF0473"/>
    <w:rsid w:val="73BA13E2"/>
    <w:rsid w:val="73EF00BF"/>
    <w:rsid w:val="74DB6895"/>
    <w:rsid w:val="75590963"/>
    <w:rsid w:val="755D54FC"/>
    <w:rsid w:val="75F94BCF"/>
    <w:rsid w:val="76E80FFA"/>
    <w:rsid w:val="772B3B04"/>
    <w:rsid w:val="77426C24"/>
    <w:rsid w:val="775B077E"/>
    <w:rsid w:val="78216763"/>
    <w:rsid w:val="782729A0"/>
    <w:rsid w:val="784E4822"/>
    <w:rsid w:val="7871747F"/>
    <w:rsid w:val="787D6BB1"/>
    <w:rsid w:val="78AC0D2E"/>
    <w:rsid w:val="78D36201"/>
    <w:rsid w:val="78F31539"/>
    <w:rsid w:val="78F63854"/>
    <w:rsid w:val="794E5B10"/>
    <w:rsid w:val="79BE63C8"/>
    <w:rsid w:val="7A777F86"/>
    <w:rsid w:val="7AB21E46"/>
    <w:rsid w:val="7ABE5D7A"/>
    <w:rsid w:val="7C0D2E69"/>
    <w:rsid w:val="7D4551F4"/>
    <w:rsid w:val="7D592214"/>
    <w:rsid w:val="7DE762AB"/>
    <w:rsid w:val="7F667434"/>
    <w:rsid w:val="7FD4460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3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jc w:val="left"/>
    </w:pPr>
    <w:rPr>
      <w:rFonts w:asciiTheme="minorHAnsi" w:hAnsiTheme="minorHAnsi" w:eastAsiaTheme="minorEastAsia" w:cstheme="minorBidi"/>
      <w:kern w:val="0"/>
      <w:sz w:val="24"/>
      <w:szCs w:val="24"/>
      <w:lang w:val="en-US" w:eastAsia="zh-CN" w:bidi="ar"/>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13">
    <w:name w:val="Default Paragraph Font"/>
    <w:semiHidden/>
    <w:qFormat/>
    <w:uiPriority w:val="0"/>
  </w:style>
  <w:style w:type="table" w:default="1" w:styleId="11">
    <w:name w:val="Normal Table"/>
    <w:semiHidden/>
    <w:qFormat/>
    <w:uiPriority w:val="0"/>
    <w:tblPr>
      <w:tblCellMar>
        <w:top w:w="0" w:type="dxa"/>
        <w:left w:w="108" w:type="dxa"/>
        <w:bottom w:w="0" w:type="dxa"/>
        <w:right w:w="108" w:type="dxa"/>
      </w:tblCellMar>
    </w:tblPr>
  </w:style>
  <w:style w:type="paragraph" w:styleId="5">
    <w:name w:val="toc 3"/>
    <w:basedOn w:val="1"/>
    <w:next w:val="1"/>
    <w:uiPriority w:val="0"/>
    <w:pPr>
      <w:ind w:left="840" w:leftChars="400"/>
    </w:pPr>
  </w:style>
  <w:style w:type="paragraph" w:styleId="6">
    <w:name w:val="footer"/>
    <w:basedOn w:val="1"/>
    <w:uiPriority w:val="0"/>
    <w:pPr>
      <w:tabs>
        <w:tab w:val="center" w:pos="4153"/>
        <w:tab w:val="right" w:pos="8306"/>
      </w:tabs>
      <w:snapToGrid w:val="0"/>
      <w:jc w:val="left"/>
    </w:pPr>
    <w:rPr>
      <w:sz w:val="18"/>
    </w:rPr>
  </w:style>
  <w:style w:type="paragraph" w:styleId="7">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uiPriority w:val="0"/>
  </w:style>
  <w:style w:type="paragraph" w:styleId="9">
    <w:name w:val="toc 2"/>
    <w:basedOn w:val="1"/>
    <w:next w:val="1"/>
    <w:uiPriority w:val="0"/>
    <w:pPr>
      <w:ind w:left="420" w:leftChars="200"/>
    </w:pPr>
  </w:style>
  <w:style w:type="paragraph" w:styleId="10">
    <w:name w:val="Normal (Web)"/>
    <w:basedOn w:val="1"/>
    <w:qFormat/>
    <w:uiPriority w:val="0"/>
    <w:pPr>
      <w:spacing w:before="0" w:beforeAutospacing="1" w:after="0" w:afterAutospacing="1"/>
      <w:ind w:left="0" w:right="0"/>
      <w:jc w:val="left"/>
    </w:pPr>
    <w:rPr>
      <w:kern w:val="0"/>
      <w:sz w:val="24"/>
      <w:lang w:val="en-US" w:eastAsia="zh-CN" w:bidi="ar"/>
    </w:rPr>
  </w:style>
  <w:style w:type="table" w:styleId="12">
    <w:name w:val="Table Grid"/>
    <w:basedOn w:val="11"/>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basedOn w:val="13"/>
    <w:qFormat/>
    <w:uiPriority w:val="0"/>
    <w:rPr>
      <w:b/>
    </w:rPr>
  </w:style>
  <w:style w:type="character" w:styleId="15">
    <w:name w:val="Hyperlink"/>
    <w:basedOn w:val="13"/>
    <w:uiPriority w:val="0"/>
    <w:rPr>
      <w:color w:val="0000FF"/>
      <w:u w:val="single"/>
    </w:rPr>
  </w:style>
  <w:style w:type="paragraph" w:styleId="16">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3.png"/><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6</Pages>
  <Words>3902</Words>
  <Characters>6532</Characters>
  <Lines>0</Lines>
  <Paragraphs>0</Paragraphs>
  <TotalTime>10</TotalTime>
  <ScaleCrop>false</ScaleCrop>
  <LinksUpToDate>false</LinksUpToDate>
  <CharactersWithSpaces>7062</CharactersWithSpaces>
  <Application>WPS Office_12.1.0.15712_F1E327BC-269C-435d-A152-05C5408002CA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2023-10-25T16:47:00Z</dcterms:created>
  <dc:creator>MeiFeng</dc:creator>
  <cp:lastModifiedBy>凤</cp:lastModifiedBy>
  <dcterms:modified xsi:type="dcterms:W3CDTF">2023-11-03T11:55:38Z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2052-12.1.0.15712</vt:lpwstr>
  </property>
  <property fmtid="{D5CDD505-2E9C-101B-9397-08002B2CF9AE}" pid="3" name="ICV">
    <vt:lpwstr>14091EB4BEC548B0A6AFB219C57BB96D_12</vt:lpwstr>
  </property>
</Properties>
</file>