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44F0F" w14:textId="390F87E5" w:rsidR="00324E7C" w:rsidRDefault="00324E7C" w:rsidP="00324E7C">
      <w:pPr>
        <w:pStyle w:val="Title"/>
        <w:jc w:val="center"/>
      </w:pPr>
      <w:r>
        <w:t>Reviewing the Project Progress of Hinkley Point C</w:t>
      </w:r>
    </w:p>
    <w:p w14:paraId="23DD349C" w14:textId="78380508" w:rsidR="00324E7C" w:rsidRDefault="00324E7C" w:rsidP="00324E7C"/>
    <w:p w14:paraId="1826053C" w14:textId="7EFBF83D" w:rsidR="00324E7C" w:rsidRDefault="00421FBC" w:rsidP="00324E7C">
      <w:r>
        <w:t>Module code:LCBB5005</w:t>
      </w:r>
    </w:p>
    <w:p w14:paraId="7E124607" w14:textId="53618542" w:rsidR="00421FBC" w:rsidRDefault="005E522D" w:rsidP="00324E7C">
      <w:r w:rsidRPr="00524632">
        <w:rPr>
          <w:b/>
          <w:bCs/>
          <w:sz w:val="32"/>
          <w:szCs w:val="32"/>
        </w:rPr>
        <w:t>Lecturer</w:t>
      </w:r>
      <w:r>
        <w:t>:</w:t>
      </w:r>
      <w:r w:rsidRPr="00524632">
        <w:rPr>
          <w:sz w:val="32"/>
          <w:szCs w:val="32"/>
        </w:rPr>
        <w:t>Xavier</w:t>
      </w:r>
      <w:r>
        <w:t xml:space="preserve"> </w:t>
      </w:r>
      <w:r w:rsidRPr="00CD4CFB">
        <w:rPr>
          <w:sz w:val="32"/>
          <w:szCs w:val="32"/>
        </w:rPr>
        <w:t>Matieni</w:t>
      </w:r>
    </w:p>
    <w:p w14:paraId="04701767" w14:textId="1A148CDA" w:rsidR="005E522D" w:rsidRDefault="00EA17F1" w:rsidP="00324E7C">
      <w:r>
        <w:t xml:space="preserve">Student name:Mihail Roussev </w:t>
      </w:r>
    </w:p>
    <w:p w14:paraId="3E8A2C93" w14:textId="00A53B0E" w:rsidR="00324E7C" w:rsidRDefault="00CD4CFB" w:rsidP="00324E7C">
      <w:r>
        <w:t>Student number:</w:t>
      </w:r>
      <w:r w:rsidR="006D5DAE">
        <w:t>2115133</w:t>
      </w:r>
    </w:p>
    <w:p w14:paraId="11B64929" w14:textId="192173DA" w:rsidR="00324E7C" w:rsidRDefault="00324E7C" w:rsidP="00324E7C"/>
    <w:p w14:paraId="33663063" w14:textId="77777777" w:rsidR="00324E7C" w:rsidRPr="00324E7C" w:rsidRDefault="00324E7C" w:rsidP="00324E7C"/>
    <w:p w14:paraId="66BF3506" w14:textId="4F0E273E" w:rsidR="00DF47CE" w:rsidRDefault="00DF47CE" w:rsidP="00324E7C">
      <w:pPr>
        <w:pStyle w:val="Heading1"/>
      </w:pPr>
      <w:r>
        <w:lastRenderedPageBreak/>
        <w:t>Introduction and Approach</w:t>
      </w:r>
    </w:p>
    <w:p w14:paraId="50620E48" w14:textId="77777777" w:rsidR="00DF47CE" w:rsidRDefault="00DF47CE" w:rsidP="00DF47CE">
      <w:r>
        <w:t>Our primary goal in this detailed report is to assess the ongoing success of the Hinkley Point C Project, an ambitious initiative at the heart of UK efforts towards renewable energy sources. By carefully considering its development path, challenges encountered and accomplishments realized thus far, our overarching objective is to ascertain whether this endeavor can be classified as a triumph or potential setback with lasting consequences for UK's energy sector.</w:t>
      </w:r>
    </w:p>
    <w:p w14:paraId="5CCAB799" w14:textId="77777777" w:rsidR="00DF47CE" w:rsidRDefault="00DF47CE" w:rsidP="00DF47CE">
      <w:r>
        <w:t>At the core of our analysis is an examination of various project management principles, methodologies and tools used in projects - this gives us access to informed insights that lead to deeper assessments. To do this effectively we focus on dissecting various key elements of your project such as defined objectives, stakeholders involved, budgetary constraints, time management considerations, quality assessment strategies adopted for stakeholder engagement strategies as well as any risk factors encountered throughout its duration.</w:t>
      </w:r>
    </w:p>
    <w:p w14:paraId="67F24172" w14:textId="77777777" w:rsidR="00DF47CE" w:rsidRDefault="00DF47CE" w:rsidP="00DF47CE">
      <w:r>
        <w:t>Noteworthy is the fact that our analysis will be supported by multiple academic resources, guaranteeing credibility and reliability of our findings. Synthesis between theoretical underpinnings and practical implications forms a core aspect of our approach, providing a holistic and nuanced look at Hinkley Point C Project journey as well as wider implications.</w:t>
      </w:r>
    </w:p>
    <w:p w14:paraId="53C59C96" w14:textId="77777777" w:rsidR="00DF47CE" w:rsidRDefault="00DF47CE" w:rsidP="00324E7C">
      <w:pPr>
        <w:pStyle w:val="Heading1"/>
      </w:pPr>
      <w:r>
        <w:t>Project Background and Significance</w:t>
      </w:r>
    </w:p>
    <w:p w14:paraId="5F150F17" w14:textId="77777777" w:rsidR="00DF47CE" w:rsidRDefault="00DF47CE" w:rsidP="00DF47CE">
      <w:r>
        <w:t>At the heart of Britain's pursuit of sustainable energy sources lies Hinkley Point C Project - an innovative partnership between industry giants EDF Energy and China General Nuclear Power Corporation (CGN). Launched in 2016, this groundbreaking endeavor marked Britain's return into nuclear energy after an extended hiatus (Smyth, Lecoeuvre &amp; Vaesken, 2018). It holds great symbolic value because it marked their reentry after more than forty years away.</w:t>
      </w:r>
    </w:p>
    <w:p w14:paraId="45F0D513" w14:textId="77777777" w:rsidR="00DF47CE" w:rsidRDefault="00DF47CE" w:rsidP="00DF47CE">
      <w:r>
        <w:t>This project transcends its domestic borders in significance; it will house two cutting-edge European Pressurized Reactors (EPRs), each boasting an approximate capacity of approximately 2.6 GW - enough energy for over half the UK population, making this an important contributor to our nation's energy security.</w:t>
      </w:r>
    </w:p>
    <w:p w14:paraId="432B0D13" w14:textId="77777777" w:rsidR="00DF47CE" w:rsidRDefault="00DF47CE" w:rsidP="00DF47CE">
      <w:r>
        <w:t>However, due to its massive scale, this project comes with an enormous price tag. Projected costs range between $25-30 billion (Daniel, 2019). Balancing its transformative potential against economic feasibility has become paramount; prompting an in-depth analysis of both long-term benefits and financial sustainability of our endeavor. This interplay between promise and expenditure forms a critical element of our analysis.</w:t>
      </w:r>
    </w:p>
    <w:p w14:paraId="65A15D34" w14:textId="77777777" w:rsidR="00DF47CE" w:rsidRDefault="00DF47CE" w:rsidP="00DF47CE">
      <w:r>
        <w:t>The subsequent chapters of this report will explore the nitty-gritty details of Hinkley Point C Project's progress, critically analyzing its various dimensions, incorporating insights from project management, energy policy, and sustainability fields, while weaving them with real world observations to provide a holistic assessment of its journey, implications and lessons for sustainable energy endeavors in future endeavors.</w:t>
      </w:r>
    </w:p>
    <w:p w14:paraId="20FC79C2" w14:textId="77777777" w:rsidR="00324E7C" w:rsidRDefault="00DF47CE" w:rsidP="00324E7C">
      <w:pPr>
        <w:pStyle w:val="Heading1"/>
      </w:pPr>
      <w:r>
        <w:t xml:space="preserve">Project Objectives and Deliverables </w:t>
      </w:r>
    </w:p>
    <w:p w14:paraId="7A8182C8" w14:textId="41E2484D" w:rsidR="00DF47CE" w:rsidRDefault="00DF47CE" w:rsidP="00DF47CE">
      <w:r>
        <w:t>The Hinkley Point C Project has two ambitious aims that reflect both its energy-related and socio-economic dimensions. One primary aim is to meet the energy demands of the UK by providing electricity for an estimated 6 million homes - this goal highlights its capacity to alleviate energy scarcity while contributing significantly towards energy security for Britain as a nation.</w:t>
      </w:r>
    </w:p>
    <w:p w14:paraId="55832C44" w14:textId="77777777" w:rsidR="00DF47CE" w:rsidRDefault="00DF47CE" w:rsidP="00DF47CE">
      <w:r>
        <w:lastRenderedPageBreak/>
        <w:t>Hinkley Point C stands out beyond just power generation. At its core, Hinkley Point C aspires to become a driving force of change within the wider economy - creating up to 25,000 job openings and offering 1000 apprenticeships as indicators of this goal. By creating employment opportunities in nuclear energy sectors as a catalyst for skill development and competence building. Through job opportunities that promote economic growth while developing workforce specialized expertise. It's this dual function - energy production alongside socioeconomic advancement - which amplifies its significance within national contexts.</w:t>
      </w:r>
    </w:p>
    <w:p w14:paraId="2445FF0D" w14:textId="77777777" w:rsidR="00DF47CE" w:rsidRDefault="00DF47CE" w:rsidP="00324E7C">
      <w:pPr>
        <w:pStyle w:val="Heading1"/>
      </w:pPr>
      <w:r>
        <w:t>Stakeholders and Their Roles</w:t>
      </w:r>
    </w:p>
    <w:p w14:paraId="2C56611A" w14:textId="77777777" w:rsidR="00DF47CE" w:rsidRDefault="00DF47CE" w:rsidP="00DF47CE">
      <w:r>
        <w:t>The Hinkley Point C Project relies heavily on its network of stakeholders, all contributing an essential role towards its completion. Key players in this collaborative endeavour include EDF Energy, China General Nuclear Power Corporation (CGN), and the UK government - with EDF Energy playing an essential part as one.</w:t>
      </w:r>
    </w:p>
    <w:p w14:paraId="08D7F1F3" w14:textId="77777777" w:rsidR="00DF47CE" w:rsidRDefault="00DF47CE" w:rsidP="00DF47CE">
      <w:r>
        <w:t>EDF Energy and CGN emerge as key forces driving the project's development and financing, serving as principal developers and financiers with technical expertise, financial resources, strategic direction and oversight of development activities. Their centrality highlights their key roles as primary financiers who are instrumental in providing technical resources while also managing complex financing processes for project viability. These key stakeholders hold responsibility not only to guarantee its technical viability but also navigate through project financing's complex nuances.</w:t>
      </w:r>
    </w:p>
    <w:p w14:paraId="5F69A009" w14:textId="77777777" w:rsidR="00DF47CE" w:rsidRDefault="00DF47CE" w:rsidP="00DF47CE">
      <w:r>
        <w:t>The UK government plays an essential regulatory and supportive role, such as through long-term Contracts for Difference (CfDs) and financial incentives that help ensure project feasibility and sustainability (Glasson 2021). Furthermore, its engagement in regulatory approval processes and alignment with national energy policies facilitate the project's advancement (Yu 2016).</w:t>
      </w:r>
    </w:p>
    <w:p w14:paraId="722D7247" w14:textId="77777777" w:rsidR="00DF47CE" w:rsidRDefault="00DF47CE" w:rsidP="00DF47CE">
      <w:r>
        <w:t>Hinkley Point C Project stakeholders come together in concert to fuel its momentum, with EDF Energy and CGN providing technical and financial underpinning, while UK government providing the regulatory and policy framework necessary for success. Their intricate web of roles and responsibilities highlights its collaborative nature, necessitating effective coordination and communication among them to ensure its successful execution.</w:t>
      </w:r>
    </w:p>
    <w:p w14:paraId="5485F50B" w14:textId="77777777" w:rsidR="00DF47CE" w:rsidRDefault="00DF47CE" w:rsidP="00324E7C">
      <w:pPr>
        <w:pStyle w:val="Heading1"/>
      </w:pPr>
      <w:r>
        <w:t>Budget Analysis and Causes of Cost Overruns</w:t>
      </w:r>
    </w:p>
    <w:p w14:paraId="32168C86" w14:textId="77777777" w:rsidR="00DF47CE" w:rsidRDefault="00DF47CE" w:rsidP="00DF47CE">
      <w:r>
        <w:t>Assessing the Hinkley Point C Project's financial dimension requires an in-depth assessment of budget dynamics and subsequent cost escalations. Initial cost estimates, between PS25 to PS26 billion, projected an optimistic view of financial feasibility (Daniel, 2019). But as the project moved through various phases, numerous factors led to substantial cost increases which necessitated further investigation of their source(s).</w:t>
      </w:r>
    </w:p>
    <w:p w14:paraId="2619CF3E" w14:textId="77777777" w:rsidR="00DF47CE" w:rsidRDefault="00DF47CE" w:rsidP="00DF47CE">
      <w:r>
        <w:t>Hinkley Point C's complex nature was one of the major contributors to its cost overruns, not least of which its status as one of the world's largest and most advanced nuclear power plants was exposed to unanticipated engineering challenges that weren't fully anticipated during initial planning stages, leading to unexpected engineering complications that increased construction expenses exponentially while timelines extended and had financial ramifications (Li, 2020).</w:t>
      </w:r>
    </w:p>
    <w:p w14:paraId="473039D7" w14:textId="77777777" w:rsidR="00DF47CE" w:rsidRDefault="00DF47CE" w:rsidP="00DF47CE">
      <w:r>
        <w:t xml:space="preserve">Adopting European Pressurized Reactor (EPR) technology was one of the main causes of cost escalation, as this decision brought with it uncertainties and potential delays that made project costs rise (Lebas, 2016). Furthermore, regulatory updates required by UK's nuclear regulator Office for </w:t>
      </w:r>
      <w:r>
        <w:lastRenderedPageBreak/>
        <w:t>Nuclear Regulation (ONR) added layers of complexity; although essential to safety and compliance purposes they created higher costs and extended schedules (Artto, 2019).</w:t>
      </w:r>
    </w:p>
    <w:p w14:paraId="2027CF6A" w14:textId="77777777" w:rsidR="00DF47CE" w:rsidRDefault="00DF47CE" w:rsidP="00DF47CE">
      <w:r>
        <w:t>International collaboration with CGN introduced additional complications in terms of funding and international relations that added further complexity to this project's finances (Lebas, 2016). Comparative analysis with similar projects sheds further light on EPR technology initiatives' inherent financial complexities as well as cost overruns (Artto, 2019).</w:t>
      </w:r>
    </w:p>
    <w:p w14:paraId="324CD4F9" w14:textId="77777777" w:rsidR="00DF47CE" w:rsidRDefault="00DF47CE" w:rsidP="00324E7C">
      <w:pPr>
        <w:pStyle w:val="Heading1"/>
      </w:pPr>
      <w:r>
        <w:t>Time Management and Project Delays</w:t>
      </w:r>
    </w:p>
    <w:p w14:paraId="48932887" w14:textId="77777777" w:rsidR="00DF47CE" w:rsidRDefault="00DF47CE" w:rsidP="00DF47CE">
      <w:r>
        <w:t>The Hinkley Point C Project's temporal dimension encompasses ambition, benchmarks, and the challenges it encountered while adhering to initial timelines. Although embarking on this ambitious schedule and with an aim of operationalizing its first reactor by mid-2024 (V., 2016), many setbacks arised that caused significant delays requiring extensive analysis of these setbacks (V. 2016).</w:t>
      </w:r>
    </w:p>
    <w:p w14:paraId="5086953D" w14:textId="77777777" w:rsidR="00DF47CE" w:rsidRDefault="00DF47CE" w:rsidP="00DF47CE">
      <w:r>
        <w:t>Initial timeline milestones included obtaining necessary governmental clearances, formalizing financial contracts, preparing the construction site and commencing activities before reaching full operational capacity (V., 2016). While ambitious, these benchmarks were indicative of the ambitious nature of the project.</w:t>
      </w:r>
    </w:p>
    <w:p w14:paraId="561828F7" w14:textId="77777777" w:rsidR="00DF47CE" w:rsidRDefault="00DF47CE" w:rsidP="00DF47CE">
      <w:r>
        <w:t>Regulative reviews conducted by the UK's Office for Nuclear Regulation (ONR) were an unexpected double-edged sword; while they ensured safety compliance while simultaneously creating clearance delays (Wintle, 2017). Procurement delays due to limited supply chains and materials proved particularly detrimental (Wintle, 2017).</w:t>
      </w:r>
    </w:p>
    <w:p w14:paraId="77E86378" w14:textId="77777777" w:rsidR="00DF47CE" w:rsidRDefault="00DF47CE" w:rsidP="00DF47CE">
      <w:r>
        <w:t>Technical challenges were present as well, with EPR technology's complexity being an ongoing theme. While EPR seemed promising initially, its use presented unexpected engineering hurdles such as welding issues, quality control challenges and concrete-related difficulties (Wintle 2017).</w:t>
      </w:r>
    </w:p>
    <w:p w14:paraId="293CE755" w14:textId="77777777" w:rsidR="00DF47CE" w:rsidRDefault="00DF47CE" w:rsidP="00DF47CE">
      <w:r>
        <w:t>Temporal complications were further compounded by the limited supply of qualified personnel within the nuclear industry, making assembling an effective workforce even more challenging (Wintle 2017).</w:t>
      </w:r>
    </w:p>
    <w:p w14:paraId="208381B8" w14:textId="77777777" w:rsidR="00DF47CE" w:rsidRDefault="00DF47CE" w:rsidP="00DF47CE">
      <w:r>
        <w:t>Overall, Hinkley Point C's time management narrative is marked by optimism, challenges and complexity. Regulatory reviews, supply chain vulnerabilities and technical intricacies combined to impede its initial timeline and complicate matters further. Through an examination of these events we gain a multidimensional view of time as an essential aspect of project completion.</w:t>
      </w:r>
    </w:p>
    <w:p w14:paraId="70144183" w14:textId="77777777" w:rsidR="00DF47CE" w:rsidRDefault="00DF47CE" w:rsidP="00324E7C">
      <w:pPr>
        <w:pStyle w:val="Heading1"/>
      </w:pPr>
      <w:r>
        <w:t>Quality Assessment and Management Processes</w:t>
      </w:r>
    </w:p>
    <w:p w14:paraId="54223E57" w14:textId="77777777" w:rsidR="00DF47CE" w:rsidRDefault="00DF47CE" w:rsidP="00DF47CE">
      <w:r>
        <w:t>The Hinkley Point C Project is built upon an unwavering dedication to quality management that is closely interwoven with safety and compliance objectives. A key tenet of this commitment lies within adhering strictly to nuclear safety regulations while applying best practices; such efforts demonstrate its dedication towards creating an atmosphere of safety and reliability during operation (Abdmouleh et al., 2015).</w:t>
      </w:r>
    </w:p>
    <w:p w14:paraId="40BE8445" w14:textId="77777777" w:rsidR="00DF47CE" w:rsidRDefault="00DF47CE" w:rsidP="00DF47CE">
      <w:r>
        <w:t xml:space="preserve">However, this journey has not been without its share of quality challenges. A notable one arose during construction of "nuclear island", the concrete base for the nuclear reactor. When flaws in concrete integrity occurred due to inadequate pouring practices and insufficient drying during initial stages, remediation efforts became necessary (A. 2017). In response to these flaws in integrity surfacing due to inadequate pouring practices and drying times during early stages, swift </w:t>
      </w:r>
      <w:r>
        <w:lastRenderedPageBreak/>
        <w:t>remediation efforts were implemented immediately in partnership with third-party research initiatives (Anderson &amp; Kovach 2018).</w:t>
      </w:r>
    </w:p>
    <w:p w14:paraId="67E51DC9" w14:textId="77777777" w:rsidR="00DF47CE" w:rsidRDefault="00DF47CE" w:rsidP="00DF47CE">
      <w:r>
        <w:t>Welding, an integral element of nuclear facility integrity, presented another dimension of quality inspection. Nuclear installations rely on high-quality welds for their structural soundness. Unexpected errors were identified across various components, leading to further inspections and corrections (Anderson &amp; Kovach, 2018). As part of its comprehensive response strategy, modern nondestructive testing techniques were utilized to strengthen welding quality assurance (Anderson &amp; Kovach, 2018), with increased interaction between suppliers and contractors providing strategic leverage in early identification and resolution of quality issues (Anderson &amp; Kovach 2018).</w:t>
      </w:r>
    </w:p>
    <w:p w14:paraId="5BB4963D" w14:textId="77777777" w:rsidR="00DF47CE" w:rsidRDefault="00DF47CE" w:rsidP="00DF47CE">
      <w:r>
        <w:t>Engagement and Impact The Hinkley Point C Project represents a remarkable innovation in stakeholder engagement, surpassing traditional boundaries to take an integrative approach to stakeholder interaction. Developers EDF Energy and CGN implemented an in-depth stakeholder engagement plan which established partnerships with local communities, environmental organizations, and governmental bodies alike.</w:t>
      </w:r>
    </w:p>
    <w:p w14:paraId="39F4836B" w14:textId="77777777" w:rsidR="00DF47CE" w:rsidRDefault="00DF47CE" w:rsidP="00DF47CE">
      <w:r>
        <w:t>Regular interactions with local communities and environmental organizations provided a forum for communicating concerns, soliciting feedback, and identifying potential challenges. This engagement resulted in tangible changes to project design and execution - such as adjustments made to mitigate traffic congestion issues, noise pollution issues, and environmental preservation (Marshall &amp; Cowell 2016).</w:t>
      </w:r>
    </w:p>
    <w:p w14:paraId="746270DE" w14:textId="77777777" w:rsidR="00DF47CE" w:rsidRDefault="00DF47CE" w:rsidP="00DF47CE">
      <w:r>
        <w:t>Notably, stakeholders had a significant effect in both planning and permitting stages. Cooperation with UK government resulted in regulatory approvals and financial incentives which stabilized project viability (Barkatullah &amp; Ahmad 2017). Not only have these engagements had an immediate effect on project progression but have also laid down roots for long-term relationships that transcend its duration.</w:t>
      </w:r>
    </w:p>
    <w:p w14:paraId="7F90DC0C" w14:textId="77777777" w:rsidR="00DF47CE" w:rsidRDefault="00DF47CE" w:rsidP="00DF47CE">
      <w:r>
        <w:t>Hinkley Point C Project stands as a shining example of stakeholder engagement as an evolving process that incorporates local communities, environmental advocates, and government officials into its fabric. By welcoming stakeholder perspectives into its planning processes, this collaborative endeavor has not only evolved to meet local community needs but has become one of national significance.</w:t>
      </w:r>
    </w:p>
    <w:p w14:paraId="7356ABAC" w14:textId="77777777" w:rsidR="00DF47CE" w:rsidRDefault="00DF47CE" w:rsidP="00324E7C">
      <w:pPr>
        <w:pStyle w:val="Heading1"/>
      </w:pPr>
      <w:r>
        <w:t>Risk Analysis and Mitigation Plans</w:t>
      </w:r>
    </w:p>
    <w:p w14:paraId="5F04D44D" w14:textId="77777777" w:rsidR="00DF47CE" w:rsidRDefault="00DF47CE" w:rsidP="00DF47CE">
      <w:r>
        <w:t>The Hinkley Point C Project represents a complex web of risk, necessitating an in-depth evaluation and mitigation plans. EPR technology remains uncertain due to limited operational experience within the UK (Sagar &amp; Van der Zwaan, 2006) while regulatory compliance must also be strictly observed under UK's Office for Nuclear Regulation's stringent safety and environmental standards that must be adhered to (Wintle 2017).</w:t>
      </w:r>
    </w:p>
    <w:p w14:paraId="575180B0" w14:textId="77777777" w:rsidR="00DF47CE" w:rsidRDefault="00DF47CE" w:rsidP="00DF47CE">
      <w:r>
        <w:t>Financial challenges pose a considerable threat, given the ambitious project costs and the potential for cost overruns. A large capital outlay exposes it to budget deviations that threaten its financial feasibility (Barkatullah &amp; Ahmad, 2017).</w:t>
      </w:r>
    </w:p>
    <w:p w14:paraId="6CC2BD4C" w14:textId="77777777" w:rsidR="00DF47CE" w:rsidRDefault="00DF47CE" w:rsidP="00DF47CE">
      <w:r>
        <w:t xml:space="preserve">Mitigation strategies for EPR projects are multifaceted and comprehensive, designed to effectively address any risks. Collaborative engagement between nuclear engineering teams seasoned enough to work on other EPR projects around the world leverages their experience and insights for refining design and construction methods (Smyth et al., 2018). Rigorous risk assessments carried out from </w:t>
      </w:r>
      <w:r>
        <w:lastRenderedPageBreak/>
        <w:t>inception can serve as proactive safeguards to anticipate and preempt challenges ahead (Sheng et al., 2020) before formulating timely mitigation measures that address them efficiently.</w:t>
      </w:r>
    </w:p>
    <w:p w14:paraId="05E4F2E4" w14:textId="77777777" w:rsidR="00DF47CE" w:rsidRDefault="00DF47CE" w:rsidP="00DF47CE">
      <w:r>
        <w:t>Unforeseen Challenges and Their Consequences The Hinkley Point C Project experienced unanticipated hurdles that tested its resilience and adaptability. Welding quality was identified as one such hurdle, impacting structural integrity and necessitating extensive rework (Anderson &amp; Kovach, 2018). Furthermore, COVID-19 Pandemic disrupted established norms, straining supply chains, labor availability, and construction schedules (Marshall &amp; Cowell 2016).</w:t>
      </w:r>
    </w:p>
    <w:p w14:paraId="3B46C60E" w14:textId="77777777" w:rsidR="00DF47CE" w:rsidRDefault="00DF47CE" w:rsidP="00DF47CE">
      <w:r>
        <w:t>As the project management team navigated these hurdles, they demonstrated agility and resourcefulness. For example, during a welding issue they employed modern non-destructive testing techniques to ensure weld quality and integrity (Anderson &amp; Kovach 2018). Also during COVID-19 pandemic they implemented stringent health and safety protocols which altered work processes while encouraging close cooperation among suppliers and contractors in navigating disruptions (Marshall &amp; Cowell 2016).</w:t>
      </w:r>
    </w:p>
    <w:p w14:paraId="2528EDE4" w14:textId="77777777" w:rsidR="00DF47CE" w:rsidRDefault="00DF47CE" w:rsidP="00DF47CE">
      <w:r>
        <w:t>No matter how unexpected, these challenges show the project management team's resolve in facing down adversity head-on. Their inventive and collaborative responses prove their dedication to project success even in face of unexpected setbacks.</w:t>
      </w:r>
    </w:p>
    <w:p w14:paraId="2E3AFF66" w14:textId="77777777" w:rsidR="00DF47CE" w:rsidRDefault="00DF47CE" w:rsidP="00DF47CE">
      <w:r>
        <w:t>Conclusion The Hinkley Point C Project has handled unexpected challenges with resilience and strategic acum. The lessons drawn from these difficulties demonstrate how it has managed to adapt and thrive despite any obstacles, thanks to its commitments of quality, collaboration, and innovation.</w:t>
      </w:r>
    </w:p>
    <w:p w14:paraId="2864AF0B" w14:textId="77777777" w:rsidR="00DF47CE" w:rsidRDefault="00DF47CE" w:rsidP="00324E7C">
      <w:pPr>
        <w:pStyle w:val="Heading1"/>
      </w:pPr>
      <w:r>
        <w:t>Conclusions and Future Recommendations</w:t>
      </w:r>
    </w:p>
    <w:p w14:paraId="399BFB4F" w14:textId="77777777" w:rsidR="00DF47CE" w:rsidRDefault="00DF47CE" w:rsidP="00DF47CE">
      <w:r>
        <w:t>In conclusion, Hinkley Point C Project marks an historic moment in Britain's effort to transition towards renewable and low-carbon energy solutions. Its ambitious goals and potential to power millions of households via sustainable means is commendable; however, its journey has been marred by major obstacles which led to cost overruns and delays that attracted much media coverage.</w:t>
      </w:r>
    </w:p>
    <w:p w14:paraId="3004D606" w14:textId="77777777" w:rsidR="00DF47CE" w:rsidRDefault="00DF47CE" w:rsidP="00DF47CE">
      <w:r>
        <w:t>Hinkley Point C Project highlights the value of careful planning, commitment to quality, and developing a rigorous risk management framework. As with any new technology such as EPR, its use necessitates in-depth understanding of its complexities and potential pitfalls; regulatory compliance must also be managed carefully to avoid unexpected setbacks; finally, engaging stakeholders from local communities to government bodies provides invaluable opportunities for open communication and iterative collaboration that shapes outcomes to better suit broader societal needs.</w:t>
      </w:r>
    </w:p>
    <w:p w14:paraId="4493733B" w14:textId="77777777" w:rsidR="00DF47CE" w:rsidRDefault="00DF47CE" w:rsidP="00DF47CE">
      <w:r>
        <w:t>As the United Kingdom embarks upon its journey toward a sustainable energy future, lessons from Hinkley Point C Project carry great significance. Their success in managing risks like welding quality issues and disruptions such as COVID-19 pandemic demonstrate their vital role as tools in guaranteeing project resilience.</w:t>
      </w:r>
    </w:p>
    <w:p w14:paraId="67B86A1C" w14:textId="77777777" w:rsidR="00DF47CE" w:rsidRDefault="00DF47CE" w:rsidP="00DF47CE">
      <w:r>
        <w:t>Looking ahead, the UK must draw upon these lessons to bolster future nuclear initiatives. By drawing upon insights gained from Hinkley Point C, they can build resilient large-scale infrastructure projects by adopting strategic risk mitigation and proactive stakeholder engagement as crucial success factors.</w:t>
      </w:r>
    </w:p>
    <w:p w14:paraId="28CB9F8C" w14:textId="77777777" w:rsidR="00DF47CE" w:rsidRDefault="00DF47CE" w:rsidP="00DF47CE">
      <w:r>
        <w:t>Future recommendations arising from these insights for similar projects are multidimensional. Enhancing collaboration with experienced nuclear engineering teams through global partnerships can improve design and construction practices. Implementation of thorough risk analyses at project inception must become part of project management methodologies to anticipate any obstacles and address them immediately.</w:t>
      </w:r>
    </w:p>
    <w:p w14:paraId="349D760C" w14:textId="26B47C80" w:rsidR="0084686B" w:rsidRDefault="00DF47CE" w:rsidP="00DF47CE">
      <w:r>
        <w:lastRenderedPageBreak/>
        <w:t>Hinkley Point C Project will leave its mark not just through physical infrastructure but also in terms of lessons it imparts. By carefully applying what has been learned at Hinkley Point C, Britain can transform its energy landscape through experience, innovation and collaboration - driving its energy sector towards one that balances security with environmental sustainability and economic vitality.</w:t>
      </w:r>
    </w:p>
    <w:p w14:paraId="5D8C2A69" w14:textId="7D6D0F74" w:rsidR="00324E7C" w:rsidRDefault="00324E7C" w:rsidP="0084686B"/>
    <w:p w14:paraId="5BF6C6A8" w14:textId="252FFC11" w:rsidR="00324E7C" w:rsidRDefault="00324E7C" w:rsidP="0084686B"/>
    <w:p w14:paraId="3CE5D445" w14:textId="580D2877" w:rsidR="00324E7C" w:rsidRDefault="00324E7C" w:rsidP="0084686B"/>
    <w:p w14:paraId="0BD64F6D" w14:textId="37B1B52E" w:rsidR="00324E7C" w:rsidRDefault="00324E7C" w:rsidP="0084686B"/>
    <w:p w14:paraId="37808279" w14:textId="581A30DA" w:rsidR="00324E7C" w:rsidRDefault="00324E7C" w:rsidP="0084686B"/>
    <w:p w14:paraId="7FD0ED50" w14:textId="0D2D1944" w:rsidR="00324E7C" w:rsidRDefault="00324E7C" w:rsidP="0084686B"/>
    <w:p w14:paraId="162EFB48" w14:textId="236AA7C4" w:rsidR="00324E7C" w:rsidRDefault="00324E7C" w:rsidP="0084686B"/>
    <w:p w14:paraId="4DB2BCEE" w14:textId="5D06CF2D" w:rsidR="00324E7C" w:rsidRDefault="00324E7C" w:rsidP="0084686B"/>
    <w:p w14:paraId="6946CD95" w14:textId="5C49BDF8" w:rsidR="00324E7C" w:rsidRDefault="00324E7C" w:rsidP="0084686B"/>
    <w:p w14:paraId="1409C211" w14:textId="5566BA06" w:rsidR="00324E7C" w:rsidRDefault="00324E7C" w:rsidP="0084686B"/>
    <w:p w14:paraId="60FB6CB1" w14:textId="2885AD73" w:rsidR="00324E7C" w:rsidRDefault="00324E7C" w:rsidP="0084686B"/>
    <w:p w14:paraId="2B5BE4E1" w14:textId="7F6845E1" w:rsidR="00324E7C" w:rsidRDefault="00324E7C" w:rsidP="0084686B"/>
    <w:p w14:paraId="5E4DC724" w14:textId="68DD9A66" w:rsidR="00324E7C" w:rsidRDefault="00324E7C" w:rsidP="0084686B"/>
    <w:p w14:paraId="18793198" w14:textId="7C705554" w:rsidR="00324E7C" w:rsidRDefault="00324E7C" w:rsidP="0084686B"/>
    <w:p w14:paraId="7C8671CC" w14:textId="4CC889BB" w:rsidR="00324E7C" w:rsidRDefault="00324E7C" w:rsidP="0084686B"/>
    <w:p w14:paraId="4458B70E" w14:textId="1A73720C" w:rsidR="00324E7C" w:rsidRDefault="00324E7C" w:rsidP="0084686B"/>
    <w:p w14:paraId="59EB07A8" w14:textId="289194F2" w:rsidR="00324E7C" w:rsidRDefault="00324E7C" w:rsidP="0084686B"/>
    <w:p w14:paraId="740BC461" w14:textId="0279AD7C" w:rsidR="00324E7C" w:rsidRDefault="00324E7C" w:rsidP="0084686B"/>
    <w:p w14:paraId="1101256C" w14:textId="74055CA0" w:rsidR="00324E7C" w:rsidRDefault="00324E7C" w:rsidP="0084686B"/>
    <w:p w14:paraId="0CBF6668" w14:textId="25C8560F" w:rsidR="00324E7C" w:rsidRDefault="00324E7C" w:rsidP="0084686B"/>
    <w:p w14:paraId="119A52B9" w14:textId="68642B71" w:rsidR="00324E7C" w:rsidRDefault="00324E7C" w:rsidP="0084686B"/>
    <w:p w14:paraId="65E37CA5" w14:textId="6331A3AD" w:rsidR="00324E7C" w:rsidRDefault="00324E7C" w:rsidP="0084686B"/>
    <w:p w14:paraId="0261069B" w14:textId="5F472B38" w:rsidR="00324E7C" w:rsidRDefault="00324E7C" w:rsidP="0084686B"/>
    <w:p w14:paraId="4851E50D" w14:textId="08CD0F2C" w:rsidR="00324E7C" w:rsidRDefault="00324E7C" w:rsidP="0084686B"/>
    <w:p w14:paraId="3DCBD098" w14:textId="77777777" w:rsidR="00324E7C" w:rsidRDefault="00324E7C" w:rsidP="0084686B"/>
    <w:p w14:paraId="3B3D53F0" w14:textId="77777777" w:rsidR="0084686B" w:rsidRPr="0084686B" w:rsidRDefault="0084686B" w:rsidP="0084686B"/>
    <w:p w14:paraId="14F0F401" w14:textId="42A1C579" w:rsidR="0084686B" w:rsidRDefault="0084686B" w:rsidP="0084686B">
      <w:pPr>
        <w:pStyle w:val="Heading1"/>
      </w:pPr>
      <w:r>
        <w:t>References</w:t>
      </w:r>
    </w:p>
    <w:tbl>
      <w:tblPr>
        <w:tblW w:w="9360" w:type="dxa"/>
        <w:tblLook w:val="04A0" w:firstRow="1" w:lastRow="0" w:firstColumn="1" w:lastColumn="0" w:noHBand="0" w:noVBand="1"/>
      </w:tblPr>
      <w:tblGrid>
        <w:gridCol w:w="9360"/>
      </w:tblGrid>
      <w:tr w:rsidR="0084686B" w:rsidRPr="001A410C" w14:paraId="3AB19823" w14:textId="77777777" w:rsidTr="00417EF2">
        <w:trPr>
          <w:trHeight w:val="300"/>
        </w:trPr>
        <w:tc>
          <w:tcPr>
            <w:tcW w:w="9360" w:type="dxa"/>
            <w:tcBorders>
              <w:top w:val="nil"/>
              <w:left w:val="nil"/>
              <w:bottom w:val="nil"/>
              <w:right w:val="nil"/>
            </w:tcBorders>
            <w:shd w:val="clear" w:color="auto" w:fill="auto"/>
            <w:noWrap/>
            <w:vAlign w:val="bottom"/>
            <w:hideMark/>
          </w:tcPr>
          <w:p w14:paraId="7ACD8D45"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eastAsia="en-GB"/>
                <w14:ligatures w14:val="none"/>
              </w:rPr>
              <w:t>Farrell, A.E., Zerriffi, H. and Dowlatabadi, H., 2004. Energy infrastructure and security. Annu. Rev. Environ. Resour., 29, pp.421-469.</w:t>
            </w:r>
          </w:p>
        </w:tc>
      </w:tr>
      <w:tr w:rsidR="0084686B" w:rsidRPr="001A410C" w14:paraId="3A1E3292" w14:textId="77777777" w:rsidTr="00417EF2">
        <w:trPr>
          <w:trHeight w:val="300"/>
        </w:trPr>
        <w:tc>
          <w:tcPr>
            <w:tcW w:w="9360" w:type="dxa"/>
            <w:tcBorders>
              <w:top w:val="nil"/>
              <w:left w:val="nil"/>
              <w:bottom w:val="nil"/>
              <w:right w:val="nil"/>
            </w:tcBorders>
            <w:shd w:val="clear" w:color="auto" w:fill="auto"/>
            <w:noWrap/>
            <w:vAlign w:val="bottom"/>
            <w:hideMark/>
          </w:tcPr>
          <w:p w14:paraId="4A264B29"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eastAsia="en-GB"/>
                <w14:ligatures w14:val="none"/>
              </w:rPr>
              <w:t>Findlay, T., 2010. Nuclear energy and global governance: ensuring safety, security and non-proliferation. Routledge.</w:t>
            </w:r>
          </w:p>
        </w:tc>
      </w:tr>
      <w:tr w:rsidR="0084686B" w:rsidRPr="001A410C" w14:paraId="576F2FC6" w14:textId="77777777" w:rsidTr="00417EF2">
        <w:trPr>
          <w:trHeight w:val="300"/>
        </w:trPr>
        <w:tc>
          <w:tcPr>
            <w:tcW w:w="9360" w:type="dxa"/>
            <w:tcBorders>
              <w:top w:val="nil"/>
              <w:left w:val="nil"/>
              <w:bottom w:val="nil"/>
              <w:right w:val="nil"/>
            </w:tcBorders>
            <w:shd w:val="clear" w:color="auto" w:fill="auto"/>
            <w:noWrap/>
            <w:vAlign w:val="bottom"/>
            <w:hideMark/>
          </w:tcPr>
          <w:p w14:paraId="3386DA3D" w14:textId="77777777" w:rsidR="0084686B" w:rsidRPr="0084686B" w:rsidRDefault="0084686B" w:rsidP="0084686B">
            <w:pPr>
              <w:pStyle w:val="ListParagraph"/>
              <w:numPr>
                <w:ilvl w:val="0"/>
                <w:numId w:val="2"/>
              </w:numPr>
              <w:rPr>
                <w:rFonts w:ascii="Calibri" w:eastAsia="Times New Roman" w:hAnsi="Calibri" w:cs="Calibri"/>
                <w:kern w:val="0"/>
                <w:lang w:eastAsia="en-GB"/>
                <w14:ligatures w14:val="none"/>
              </w:rPr>
            </w:pPr>
            <w:r w:rsidRPr="0084686B">
              <w:rPr>
                <w:rFonts w:ascii="Calibri" w:eastAsia="Times New Roman" w:hAnsi="Calibri" w:cs="Calibri"/>
                <w:kern w:val="0"/>
                <w:lang w:eastAsia="en-GB"/>
                <w14:ligatures w14:val="none"/>
              </w:rPr>
              <w:t>Abdmouleh, Z., Alammari, R.A. and Gastli, A., 2015. Review of policies encouraging renewable energy integration &amp; best practices. Renewable and Sustainable Energy Reviews, 45, pp.249-262.</w:t>
            </w:r>
          </w:p>
        </w:tc>
      </w:tr>
      <w:tr w:rsidR="0084686B" w:rsidRPr="001A410C" w14:paraId="17BDFF34" w14:textId="77777777" w:rsidTr="00417EF2">
        <w:trPr>
          <w:trHeight w:val="300"/>
        </w:trPr>
        <w:tc>
          <w:tcPr>
            <w:tcW w:w="9360" w:type="dxa"/>
            <w:tcBorders>
              <w:top w:val="nil"/>
              <w:left w:val="nil"/>
              <w:bottom w:val="nil"/>
              <w:right w:val="nil"/>
            </w:tcBorders>
            <w:shd w:val="clear" w:color="auto" w:fill="auto"/>
            <w:noWrap/>
            <w:vAlign w:val="bottom"/>
            <w:hideMark/>
          </w:tcPr>
          <w:p w14:paraId="5F88A20F" w14:textId="77777777" w:rsidR="0084686B" w:rsidRPr="0084686B" w:rsidRDefault="0084686B" w:rsidP="0084686B">
            <w:pPr>
              <w:pStyle w:val="ListParagraph"/>
              <w:numPr>
                <w:ilvl w:val="0"/>
                <w:numId w:val="2"/>
              </w:numPr>
              <w:rPr>
                <w:rFonts w:ascii="Calibri" w:eastAsia="Times New Roman" w:hAnsi="Calibri" w:cs="Calibri"/>
                <w:kern w:val="0"/>
                <w:lang w:eastAsia="en-GB"/>
                <w14:ligatures w14:val="none"/>
              </w:rPr>
            </w:pPr>
            <w:r w:rsidRPr="0084686B">
              <w:rPr>
                <w:rFonts w:ascii="Calibri" w:eastAsia="Times New Roman" w:hAnsi="Calibri" w:cs="Calibri"/>
                <w:kern w:val="0"/>
                <w:lang w:eastAsia="en-GB"/>
                <w14:ligatures w14:val="none"/>
              </w:rPr>
              <w:t>Clift, R., 2007. Climate change and energy policy: The importance of sustainability arguments. Energy, 32(4), pp.262-268.</w:t>
            </w:r>
          </w:p>
        </w:tc>
      </w:tr>
      <w:tr w:rsidR="0084686B" w:rsidRPr="001A410C" w14:paraId="2A87F898" w14:textId="77777777" w:rsidTr="00417EF2">
        <w:trPr>
          <w:trHeight w:val="300"/>
        </w:trPr>
        <w:tc>
          <w:tcPr>
            <w:tcW w:w="9360" w:type="dxa"/>
            <w:tcBorders>
              <w:top w:val="nil"/>
              <w:left w:val="nil"/>
              <w:bottom w:val="nil"/>
              <w:right w:val="nil"/>
            </w:tcBorders>
            <w:shd w:val="clear" w:color="auto" w:fill="auto"/>
            <w:noWrap/>
            <w:vAlign w:val="bottom"/>
            <w:hideMark/>
          </w:tcPr>
          <w:p w14:paraId="6EF43AFD"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eastAsia="en-GB"/>
                <w14:ligatures w14:val="none"/>
              </w:rPr>
              <w:t>Sheng, K., Li, Y., Li, J., Chen, Y., Zou, J., Zhang, Y. and He, Y., 2020. A survey on post-evaluation indicator system for multi-energy infrastructure investments. IEEE Access, 8, pp.158875-158882.</w:t>
            </w:r>
          </w:p>
        </w:tc>
      </w:tr>
      <w:tr w:rsidR="0084686B" w:rsidRPr="001A410C" w14:paraId="0B7077C9" w14:textId="77777777" w:rsidTr="00417EF2">
        <w:trPr>
          <w:trHeight w:val="300"/>
        </w:trPr>
        <w:tc>
          <w:tcPr>
            <w:tcW w:w="9360" w:type="dxa"/>
            <w:tcBorders>
              <w:top w:val="nil"/>
              <w:left w:val="nil"/>
              <w:bottom w:val="nil"/>
              <w:right w:val="nil"/>
            </w:tcBorders>
            <w:shd w:val="clear" w:color="auto" w:fill="auto"/>
            <w:noWrap/>
            <w:vAlign w:val="bottom"/>
            <w:hideMark/>
          </w:tcPr>
          <w:p w14:paraId="3D589C49"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eastAsia="en-GB"/>
                <w14:ligatures w14:val="none"/>
              </w:rPr>
              <w:t>Sagar, A.D. and Van der Zwaan, B., 2006. Technological innovation in the energy sector: R&amp;D, deployment, and learning-by-doing. Energy policy, 34(17), pp.2601-2608.</w:t>
            </w:r>
          </w:p>
        </w:tc>
      </w:tr>
      <w:tr w:rsidR="0084686B" w:rsidRPr="001A410C" w14:paraId="22614308" w14:textId="77777777" w:rsidTr="00417EF2">
        <w:trPr>
          <w:trHeight w:val="300"/>
        </w:trPr>
        <w:tc>
          <w:tcPr>
            <w:tcW w:w="9360" w:type="dxa"/>
            <w:tcBorders>
              <w:top w:val="nil"/>
              <w:left w:val="nil"/>
              <w:bottom w:val="nil"/>
              <w:right w:val="nil"/>
            </w:tcBorders>
            <w:shd w:val="clear" w:color="auto" w:fill="auto"/>
            <w:noWrap/>
            <w:vAlign w:val="bottom"/>
            <w:hideMark/>
          </w:tcPr>
          <w:p w14:paraId="74B016A2" w14:textId="77777777" w:rsidR="0084686B" w:rsidRPr="0084686B" w:rsidRDefault="0084686B" w:rsidP="0084686B">
            <w:pPr>
              <w:pStyle w:val="ListParagraph"/>
              <w:numPr>
                <w:ilvl w:val="0"/>
                <w:numId w:val="2"/>
              </w:numPr>
              <w:rPr>
                <w:rFonts w:ascii="Arial" w:eastAsia="Times New Roman" w:hAnsi="Arial" w:cs="Arial"/>
                <w:kern w:val="0"/>
                <w:sz w:val="20"/>
                <w:szCs w:val="20"/>
                <w:lang w:eastAsia="en-GB"/>
                <w14:ligatures w14:val="none"/>
              </w:rPr>
            </w:pPr>
            <w:r w:rsidRPr="0084686B">
              <w:rPr>
                <w:rFonts w:ascii="Arial" w:eastAsia="Times New Roman" w:hAnsi="Arial" w:cs="Arial"/>
                <w:kern w:val="0"/>
                <w:sz w:val="20"/>
                <w:szCs w:val="20"/>
                <w:lang w:eastAsia="en-GB"/>
                <w14:ligatures w14:val="none"/>
              </w:rPr>
              <w:t>Smyth, H., Lecoeuvre, L. and Vaesken, P., 2018. Co-creation of value and the project context: Towards application on the case of Hinkley Point C Nuclear Power Station. </w:t>
            </w:r>
            <w:r w:rsidRPr="0084686B">
              <w:rPr>
                <w:rFonts w:ascii="Arial" w:eastAsia="Times New Roman" w:hAnsi="Arial" w:cs="Arial"/>
                <w:i/>
                <w:iCs/>
                <w:kern w:val="0"/>
                <w:sz w:val="20"/>
                <w:szCs w:val="20"/>
                <w:lang w:eastAsia="en-GB"/>
                <w14:ligatures w14:val="none"/>
              </w:rPr>
              <w:t>International journal of project management</w:t>
            </w:r>
            <w:r w:rsidRPr="0084686B">
              <w:rPr>
                <w:rFonts w:ascii="Arial" w:eastAsia="Times New Roman" w:hAnsi="Arial" w:cs="Arial"/>
                <w:kern w:val="0"/>
                <w:sz w:val="20"/>
                <w:szCs w:val="20"/>
                <w:lang w:eastAsia="en-GB"/>
                <w14:ligatures w14:val="none"/>
              </w:rPr>
              <w:t>, </w:t>
            </w:r>
            <w:r w:rsidRPr="0084686B">
              <w:rPr>
                <w:rFonts w:ascii="Arial" w:eastAsia="Times New Roman" w:hAnsi="Arial" w:cs="Arial"/>
                <w:i/>
                <w:iCs/>
                <w:kern w:val="0"/>
                <w:sz w:val="20"/>
                <w:szCs w:val="20"/>
                <w:lang w:eastAsia="en-GB"/>
                <w14:ligatures w14:val="none"/>
              </w:rPr>
              <w:t>36</w:t>
            </w:r>
            <w:r w:rsidRPr="0084686B">
              <w:rPr>
                <w:rFonts w:ascii="Arial" w:eastAsia="Times New Roman" w:hAnsi="Arial" w:cs="Arial"/>
                <w:kern w:val="0"/>
                <w:sz w:val="20"/>
                <w:szCs w:val="20"/>
                <w:lang w:eastAsia="en-GB"/>
                <w14:ligatures w14:val="none"/>
              </w:rPr>
              <w:t>(1), pp.170-183.</w:t>
            </w:r>
          </w:p>
        </w:tc>
      </w:tr>
      <w:tr w:rsidR="0084686B" w:rsidRPr="001A410C" w14:paraId="4E33EFD1" w14:textId="77777777" w:rsidTr="00417EF2">
        <w:trPr>
          <w:trHeight w:val="300"/>
        </w:trPr>
        <w:tc>
          <w:tcPr>
            <w:tcW w:w="9360" w:type="dxa"/>
            <w:tcBorders>
              <w:top w:val="nil"/>
              <w:left w:val="nil"/>
              <w:bottom w:val="nil"/>
              <w:right w:val="nil"/>
            </w:tcBorders>
            <w:shd w:val="clear" w:color="auto" w:fill="auto"/>
            <w:noWrap/>
            <w:vAlign w:val="bottom"/>
            <w:hideMark/>
          </w:tcPr>
          <w:p w14:paraId="08555F41"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Anderson, N.C. and Kovach, J.V., 2018. Reducing welding defects in turnaround projects: A lean six sigma case study. Quality Engineering, 26(2), pp.168-181.</w:t>
            </w:r>
          </w:p>
        </w:tc>
      </w:tr>
      <w:tr w:rsidR="0084686B" w:rsidRPr="001A410C" w14:paraId="1A4F9A2B" w14:textId="77777777" w:rsidTr="00417EF2">
        <w:trPr>
          <w:trHeight w:val="300"/>
        </w:trPr>
        <w:tc>
          <w:tcPr>
            <w:tcW w:w="9360" w:type="dxa"/>
            <w:tcBorders>
              <w:top w:val="nil"/>
              <w:left w:val="nil"/>
              <w:bottom w:val="nil"/>
              <w:right w:val="nil"/>
            </w:tcBorders>
            <w:shd w:val="clear" w:color="auto" w:fill="auto"/>
            <w:noWrap/>
            <w:vAlign w:val="bottom"/>
            <w:hideMark/>
          </w:tcPr>
          <w:p w14:paraId="39840F66" w14:textId="77777777" w:rsidR="0084686B" w:rsidRPr="0084686B" w:rsidRDefault="0084686B" w:rsidP="0084686B">
            <w:pPr>
              <w:pStyle w:val="ListParagraph"/>
              <w:numPr>
                <w:ilvl w:val="0"/>
                <w:numId w:val="2"/>
              </w:numPr>
              <w:rPr>
                <w:rFonts w:ascii="Calibri" w:eastAsia="Times New Roman" w:hAnsi="Calibri" w:cs="Calibri"/>
                <w:kern w:val="0"/>
                <w:lang w:eastAsia="en-GB"/>
                <w14:ligatures w14:val="none"/>
              </w:rPr>
            </w:pPr>
            <w:r w:rsidRPr="0084686B">
              <w:rPr>
                <w:rFonts w:ascii="Calibri" w:eastAsia="Times New Roman" w:hAnsi="Calibri" w:cs="Calibri"/>
                <w:kern w:val="0"/>
                <w:lang w:val="en-US" w:eastAsia="en-GB"/>
                <w14:ligatures w14:val="none"/>
              </w:rPr>
              <w:t>Barkatullah, N. and Ahmad, A., 2017. Current status and emerging trends in financing nuclear power projects. Energy Strategy Reviews, 18, pp.127-140.</w:t>
            </w:r>
          </w:p>
        </w:tc>
      </w:tr>
      <w:tr w:rsidR="0084686B" w:rsidRPr="001A410C" w14:paraId="1C83E272" w14:textId="77777777" w:rsidTr="00417EF2">
        <w:trPr>
          <w:trHeight w:val="300"/>
        </w:trPr>
        <w:tc>
          <w:tcPr>
            <w:tcW w:w="9360" w:type="dxa"/>
            <w:tcBorders>
              <w:top w:val="nil"/>
              <w:left w:val="nil"/>
              <w:bottom w:val="nil"/>
              <w:right w:val="nil"/>
            </w:tcBorders>
            <w:shd w:val="clear" w:color="auto" w:fill="auto"/>
            <w:noWrap/>
            <w:vAlign w:val="bottom"/>
            <w:hideMark/>
          </w:tcPr>
          <w:p w14:paraId="7ADA1C7D" w14:textId="77777777" w:rsidR="0084686B" w:rsidRPr="0084686B" w:rsidRDefault="0084686B" w:rsidP="0084686B">
            <w:pPr>
              <w:pStyle w:val="ListParagraph"/>
              <w:numPr>
                <w:ilvl w:val="0"/>
                <w:numId w:val="2"/>
              </w:numPr>
              <w:rPr>
                <w:rFonts w:ascii="Calibri" w:eastAsia="Times New Roman" w:hAnsi="Calibri" w:cs="Calibri"/>
                <w:kern w:val="0"/>
                <w:lang w:eastAsia="en-GB"/>
                <w14:ligatures w14:val="none"/>
              </w:rPr>
            </w:pPr>
            <w:r w:rsidRPr="0084686B">
              <w:rPr>
                <w:rFonts w:ascii="Calibri" w:eastAsia="Times New Roman" w:hAnsi="Calibri" w:cs="Calibri"/>
                <w:kern w:val="0"/>
                <w:lang w:val="en-US" w:eastAsia="en-GB"/>
                <w14:ligatures w14:val="none"/>
              </w:rPr>
              <w:t>Carpenter, A. and Energy, M.N., 2019. Investigating surface deformation surrounding Hinkley Point C using InSAR.</w:t>
            </w:r>
          </w:p>
        </w:tc>
      </w:tr>
      <w:tr w:rsidR="0084686B" w:rsidRPr="001A410C" w14:paraId="4192856E" w14:textId="77777777" w:rsidTr="00417EF2">
        <w:trPr>
          <w:trHeight w:val="300"/>
        </w:trPr>
        <w:tc>
          <w:tcPr>
            <w:tcW w:w="9360" w:type="dxa"/>
            <w:tcBorders>
              <w:top w:val="nil"/>
              <w:left w:val="nil"/>
              <w:bottom w:val="nil"/>
              <w:right w:val="nil"/>
            </w:tcBorders>
            <w:shd w:val="clear" w:color="auto" w:fill="auto"/>
            <w:noWrap/>
            <w:vAlign w:val="bottom"/>
            <w:hideMark/>
          </w:tcPr>
          <w:p w14:paraId="0A92ECC9"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Černoch, F. and Zapletalová, V., 2016. Hinkley point C: A new chance for nuclear power plant construction in central Europe?. </w:t>
            </w:r>
          </w:p>
        </w:tc>
      </w:tr>
      <w:tr w:rsidR="0084686B" w:rsidRPr="001A410C" w14:paraId="319324D2" w14:textId="77777777" w:rsidTr="00417EF2">
        <w:trPr>
          <w:trHeight w:val="300"/>
        </w:trPr>
        <w:tc>
          <w:tcPr>
            <w:tcW w:w="9360" w:type="dxa"/>
            <w:tcBorders>
              <w:top w:val="nil"/>
              <w:left w:val="nil"/>
              <w:bottom w:val="nil"/>
              <w:right w:val="nil"/>
            </w:tcBorders>
            <w:shd w:val="clear" w:color="auto" w:fill="auto"/>
            <w:noWrap/>
            <w:vAlign w:val="bottom"/>
            <w:hideMark/>
          </w:tcPr>
          <w:p w14:paraId="2D159F75"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Lebas, E., 2016. Analysis of fire risk aspects and development of the fire protection strategy for the European Pressurized Reactor at Hinkley Point C, United Kingdom.</w:t>
            </w:r>
          </w:p>
        </w:tc>
      </w:tr>
      <w:tr w:rsidR="0084686B" w:rsidRPr="001A410C" w14:paraId="75A9F1BB" w14:textId="77777777" w:rsidTr="00417EF2">
        <w:trPr>
          <w:trHeight w:val="300"/>
        </w:trPr>
        <w:tc>
          <w:tcPr>
            <w:tcW w:w="9360" w:type="dxa"/>
            <w:tcBorders>
              <w:top w:val="nil"/>
              <w:left w:val="nil"/>
              <w:bottom w:val="nil"/>
              <w:right w:val="nil"/>
            </w:tcBorders>
            <w:shd w:val="clear" w:color="auto" w:fill="auto"/>
            <w:noWrap/>
            <w:vAlign w:val="bottom"/>
            <w:hideMark/>
          </w:tcPr>
          <w:p w14:paraId="74F8538B"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Li, J., 2020, December. Power Peaking, Critical Boron, and Shutdown Margin Benchmark of the UK Hinkley Point C EPR using WIMS-PANTHER Deterministic Codes. In 2020 International Conference on Computing, Networking, Telecommunications &amp; Engineering Sciences Applications (CoNTESA) (pp. 1-4). IEEE.</w:t>
            </w:r>
          </w:p>
        </w:tc>
      </w:tr>
      <w:tr w:rsidR="0084686B" w:rsidRPr="001A410C" w14:paraId="361C0FC7" w14:textId="77777777" w:rsidTr="00417EF2">
        <w:trPr>
          <w:trHeight w:val="300"/>
        </w:trPr>
        <w:tc>
          <w:tcPr>
            <w:tcW w:w="9360" w:type="dxa"/>
            <w:tcBorders>
              <w:top w:val="nil"/>
              <w:left w:val="nil"/>
              <w:bottom w:val="nil"/>
              <w:right w:val="nil"/>
            </w:tcBorders>
            <w:shd w:val="clear" w:color="auto" w:fill="auto"/>
            <w:noWrap/>
            <w:vAlign w:val="bottom"/>
            <w:hideMark/>
          </w:tcPr>
          <w:p w14:paraId="13AB850D"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Marshall, T. and Cowell, R., 2016. Infrastructure, planning and the command of time. Environment and Planning C: Government and Policy, 34(8), pp.1843-1866.</w:t>
            </w:r>
          </w:p>
        </w:tc>
      </w:tr>
      <w:tr w:rsidR="0084686B" w:rsidRPr="001A410C" w14:paraId="2F8EF70E" w14:textId="77777777" w:rsidTr="00417EF2">
        <w:trPr>
          <w:trHeight w:val="300"/>
        </w:trPr>
        <w:tc>
          <w:tcPr>
            <w:tcW w:w="9360" w:type="dxa"/>
            <w:tcBorders>
              <w:top w:val="nil"/>
              <w:left w:val="nil"/>
              <w:bottom w:val="nil"/>
              <w:right w:val="nil"/>
            </w:tcBorders>
            <w:shd w:val="clear" w:color="auto" w:fill="auto"/>
            <w:noWrap/>
            <w:vAlign w:val="bottom"/>
            <w:hideMark/>
          </w:tcPr>
          <w:p w14:paraId="6D9606C7"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Wintle, J., Carpentier, C., Janin, Y.J., Bunting, P. and Malouines, P., 2017. Adoption of the RCC-M Code by the UK Supply Chain for EPR New Build Reactors.</w:t>
            </w:r>
          </w:p>
        </w:tc>
      </w:tr>
      <w:tr w:rsidR="0084686B" w:rsidRPr="001A410C" w14:paraId="5395753C" w14:textId="77777777" w:rsidTr="00417EF2">
        <w:trPr>
          <w:trHeight w:val="300"/>
        </w:trPr>
        <w:tc>
          <w:tcPr>
            <w:tcW w:w="9360" w:type="dxa"/>
            <w:tcBorders>
              <w:top w:val="nil"/>
              <w:left w:val="nil"/>
              <w:bottom w:val="nil"/>
              <w:right w:val="nil"/>
            </w:tcBorders>
            <w:shd w:val="clear" w:color="auto" w:fill="auto"/>
            <w:noWrap/>
            <w:vAlign w:val="bottom"/>
            <w:hideMark/>
          </w:tcPr>
          <w:p w14:paraId="1AA8AA2E" w14:textId="77777777" w:rsidR="0084686B" w:rsidRPr="0084686B" w:rsidRDefault="0084686B" w:rsidP="0084686B">
            <w:pPr>
              <w:pStyle w:val="ListParagraph"/>
              <w:numPr>
                <w:ilvl w:val="0"/>
                <w:numId w:val="2"/>
              </w:numPr>
              <w:rPr>
                <w:rFonts w:ascii="Calibri" w:eastAsia="Times New Roman" w:hAnsi="Calibri" w:cs="Calibri"/>
                <w:color w:val="000000"/>
                <w:kern w:val="0"/>
                <w:lang w:eastAsia="en-GB"/>
                <w14:ligatures w14:val="none"/>
              </w:rPr>
            </w:pPr>
            <w:r w:rsidRPr="0084686B">
              <w:rPr>
                <w:rFonts w:ascii="Calibri" w:eastAsia="Times New Roman" w:hAnsi="Calibri" w:cs="Calibri"/>
                <w:color w:val="000000"/>
                <w:kern w:val="0"/>
                <w:lang w:val="en-US" w:eastAsia="en-GB"/>
                <w14:ligatures w14:val="none"/>
              </w:rPr>
              <w:t>Yu, J., 2016. Don’t let the Hinkley C delay sour Sino-British relations post-Brexit. LSE Brexit.</w:t>
            </w:r>
          </w:p>
        </w:tc>
      </w:tr>
    </w:tbl>
    <w:p w14:paraId="27BF666D" w14:textId="77777777" w:rsidR="0084686B" w:rsidRDefault="0084686B" w:rsidP="0084686B"/>
    <w:p w14:paraId="74D4CCAE" w14:textId="5895CEDF" w:rsidR="00DA6566" w:rsidRPr="0084686B" w:rsidRDefault="00DA6566" w:rsidP="0084686B"/>
    <w:sectPr w:rsidR="00DA6566" w:rsidRPr="0084686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3C73"/>
    <w:multiLevelType w:val="hybridMultilevel"/>
    <w:tmpl w:val="8DDCB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534DF8"/>
    <w:multiLevelType w:val="hybridMultilevel"/>
    <w:tmpl w:val="D4823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609771">
    <w:abstractNumId w:val="0"/>
  </w:num>
  <w:num w:numId="2" w16cid:durableId="736784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AA"/>
    <w:rsid w:val="001765AA"/>
    <w:rsid w:val="003217B8"/>
    <w:rsid w:val="00324E7C"/>
    <w:rsid w:val="00421FBC"/>
    <w:rsid w:val="00524632"/>
    <w:rsid w:val="005E522D"/>
    <w:rsid w:val="006D5DAE"/>
    <w:rsid w:val="007E5E3D"/>
    <w:rsid w:val="008244FF"/>
    <w:rsid w:val="0084686B"/>
    <w:rsid w:val="00932DF1"/>
    <w:rsid w:val="00CD4CFB"/>
    <w:rsid w:val="00DA6566"/>
    <w:rsid w:val="00DE6D74"/>
    <w:rsid w:val="00DF47CE"/>
    <w:rsid w:val="00EA17F1"/>
    <w:rsid w:val="00EA7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5E88"/>
  <w15:chartTrackingRefBased/>
  <w15:docId w15:val="{DB0EBA73-6B9C-4582-AA21-01DC08962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86B"/>
  </w:style>
  <w:style w:type="paragraph" w:styleId="Heading1">
    <w:name w:val="heading 1"/>
    <w:basedOn w:val="Normal"/>
    <w:next w:val="Normal"/>
    <w:link w:val="Heading1Char"/>
    <w:uiPriority w:val="9"/>
    <w:qFormat/>
    <w:rsid w:val="008468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86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4686B"/>
    <w:pPr>
      <w:ind w:left="720"/>
      <w:contextualSpacing/>
    </w:pPr>
  </w:style>
  <w:style w:type="paragraph" w:styleId="Title">
    <w:name w:val="Title"/>
    <w:basedOn w:val="Normal"/>
    <w:next w:val="Normal"/>
    <w:link w:val="TitleChar"/>
    <w:uiPriority w:val="10"/>
    <w:qFormat/>
    <w:rsid w:val="00324E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E7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4430">
      <w:bodyDiv w:val="1"/>
      <w:marLeft w:val="0"/>
      <w:marRight w:val="0"/>
      <w:marTop w:val="0"/>
      <w:marBottom w:val="0"/>
      <w:divBdr>
        <w:top w:val="none" w:sz="0" w:space="0" w:color="auto"/>
        <w:left w:val="none" w:sz="0" w:space="0" w:color="auto"/>
        <w:bottom w:val="none" w:sz="0" w:space="0" w:color="auto"/>
        <w:right w:val="none" w:sz="0" w:space="0" w:color="auto"/>
      </w:divBdr>
    </w:div>
    <w:div w:id="94910470">
      <w:bodyDiv w:val="1"/>
      <w:marLeft w:val="0"/>
      <w:marRight w:val="0"/>
      <w:marTop w:val="0"/>
      <w:marBottom w:val="0"/>
      <w:divBdr>
        <w:top w:val="none" w:sz="0" w:space="0" w:color="auto"/>
        <w:left w:val="none" w:sz="0" w:space="0" w:color="auto"/>
        <w:bottom w:val="none" w:sz="0" w:space="0" w:color="auto"/>
        <w:right w:val="none" w:sz="0" w:space="0" w:color="auto"/>
      </w:divBdr>
    </w:div>
    <w:div w:id="229312553">
      <w:bodyDiv w:val="1"/>
      <w:marLeft w:val="0"/>
      <w:marRight w:val="0"/>
      <w:marTop w:val="0"/>
      <w:marBottom w:val="0"/>
      <w:divBdr>
        <w:top w:val="none" w:sz="0" w:space="0" w:color="auto"/>
        <w:left w:val="none" w:sz="0" w:space="0" w:color="auto"/>
        <w:bottom w:val="none" w:sz="0" w:space="0" w:color="auto"/>
        <w:right w:val="none" w:sz="0" w:space="0" w:color="auto"/>
      </w:divBdr>
    </w:div>
    <w:div w:id="395473602">
      <w:bodyDiv w:val="1"/>
      <w:marLeft w:val="0"/>
      <w:marRight w:val="0"/>
      <w:marTop w:val="0"/>
      <w:marBottom w:val="0"/>
      <w:divBdr>
        <w:top w:val="none" w:sz="0" w:space="0" w:color="auto"/>
        <w:left w:val="none" w:sz="0" w:space="0" w:color="auto"/>
        <w:bottom w:val="none" w:sz="0" w:space="0" w:color="auto"/>
        <w:right w:val="none" w:sz="0" w:space="0" w:color="auto"/>
      </w:divBdr>
    </w:div>
    <w:div w:id="518010344">
      <w:bodyDiv w:val="1"/>
      <w:marLeft w:val="0"/>
      <w:marRight w:val="0"/>
      <w:marTop w:val="0"/>
      <w:marBottom w:val="0"/>
      <w:divBdr>
        <w:top w:val="none" w:sz="0" w:space="0" w:color="auto"/>
        <w:left w:val="none" w:sz="0" w:space="0" w:color="auto"/>
        <w:bottom w:val="none" w:sz="0" w:space="0" w:color="auto"/>
        <w:right w:val="none" w:sz="0" w:space="0" w:color="auto"/>
      </w:divBdr>
      <w:divsChild>
        <w:div w:id="1134836842">
          <w:marLeft w:val="0"/>
          <w:marRight w:val="0"/>
          <w:marTop w:val="0"/>
          <w:marBottom w:val="0"/>
          <w:divBdr>
            <w:top w:val="single" w:sz="2" w:space="0" w:color="393E40"/>
            <w:left w:val="single" w:sz="2" w:space="0" w:color="393E40"/>
            <w:bottom w:val="single" w:sz="2" w:space="0" w:color="393E40"/>
            <w:right w:val="single" w:sz="2" w:space="0" w:color="393E40"/>
          </w:divBdr>
          <w:divsChild>
            <w:div w:id="1222326384">
              <w:marLeft w:val="0"/>
              <w:marRight w:val="0"/>
              <w:marTop w:val="0"/>
              <w:marBottom w:val="0"/>
              <w:divBdr>
                <w:top w:val="single" w:sz="2" w:space="0" w:color="393E40"/>
                <w:left w:val="single" w:sz="2" w:space="0" w:color="393E40"/>
                <w:bottom w:val="single" w:sz="2" w:space="0" w:color="393E40"/>
                <w:right w:val="single" w:sz="2" w:space="0" w:color="393E40"/>
              </w:divBdr>
              <w:divsChild>
                <w:div w:id="467866067">
                  <w:marLeft w:val="0"/>
                  <w:marRight w:val="0"/>
                  <w:marTop w:val="0"/>
                  <w:marBottom w:val="0"/>
                  <w:divBdr>
                    <w:top w:val="single" w:sz="2" w:space="0" w:color="393E40"/>
                    <w:left w:val="single" w:sz="2" w:space="0" w:color="393E40"/>
                    <w:bottom w:val="single" w:sz="2" w:space="0" w:color="393E40"/>
                    <w:right w:val="single" w:sz="2" w:space="0" w:color="393E40"/>
                  </w:divBdr>
                  <w:divsChild>
                    <w:div w:id="1783643348">
                      <w:marLeft w:val="0"/>
                      <w:marRight w:val="0"/>
                      <w:marTop w:val="0"/>
                      <w:marBottom w:val="0"/>
                      <w:divBdr>
                        <w:top w:val="single" w:sz="2" w:space="0" w:color="393E40"/>
                        <w:left w:val="single" w:sz="2" w:space="0" w:color="393E40"/>
                        <w:bottom w:val="single" w:sz="2" w:space="0" w:color="393E40"/>
                        <w:right w:val="single" w:sz="2" w:space="0" w:color="393E40"/>
                      </w:divBdr>
                      <w:divsChild>
                        <w:div w:id="1424032637">
                          <w:marLeft w:val="0"/>
                          <w:marRight w:val="0"/>
                          <w:marTop w:val="0"/>
                          <w:marBottom w:val="0"/>
                          <w:divBdr>
                            <w:top w:val="single" w:sz="2" w:space="0" w:color="auto"/>
                            <w:left w:val="single" w:sz="2" w:space="0" w:color="auto"/>
                            <w:bottom w:val="single" w:sz="6" w:space="0" w:color="auto"/>
                            <w:right w:val="single" w:sz="2" w:space="0" w:color="auto"/>
                          </w:divBdr>
                          <w:divsChild>
                            <w:div w:id="1917125311">
                              <w:marLeft w:val="0"/>
                              <w:marRight w:val="0"/>
                              <w:marTop w:val="100"/>
                              <w:marBottom w:val="100"/>
                              <w:divBdr>
                                <w:top w:val="single" w:sz="2" w:space="0" w:color="393E40"/>
                                <w:left w:val="single" w:sz="2" w:space="0" w:color="393E40"/>
                                <w:bottom w:val="single" w:sz="2" w:space="0" w:color="393E40"/>
                                <w:right w:val="single" w:sz="2" w:space="0" w:color="393E40"/>
                              </w:divBdr>
                              <w:divsChild>
                                <w:div w:id="1777366941">
                                  <w:marLeft w:val="0"/>
                                  <w:marRight w:val="0"/>
                                  <w:marTop w:val="0"/>
                                  <w:marBottom w:val="0"/>
                                  <w:divBdr>
                                    <w:top w:val="single" w:sz="2" w:space="0" w:color="393E40"/>
                                    <w:left w:val="single" w:sz="2" w:space="0" w:color="393E40"/>
                                    <w:bottom w:val="single" w:sz="2" w:space="0" w:color="393E40"/>
                                    <w:right w:val="single" w:sz="2" w:space="0" w:color="393E40"/>
                                  </w:divBdr>
                                  <w:divsChild>
                                    <w:div w:id="255403150">
                                      <w:marLeft w:val="0"/>
                                      <w:marRight w:val="0"/>
                                      <w:marTop w:val="0"/>
                                      <w:marBottom w:val="0"/>
                                      <w:divBdr>
                                        <w:top w:val="single" w:sz="2" w:space="0" w:color="393E40"/>
                                        <w:left w:val="single" w:sz="2" w:space="0" w:color="393E40"/>
                                        <w:bottom w:val="single" w:sz="2" w:space="0" w:color="393E40"/>
                                        <w:right w:val="single" w:sz="2" w:space="0" w:color="393E40"/>
                                      </w:divBdr>
                                      <w:divsChild>
                                        <w:div w:id="640965105">
                                          <w:marLeft w:val="0"/>
                                          <w:marRight w:val="0"/>
                                          <w:marTop w:val="0"/>
                                          <w:marBottom w:val="0"/>
                                          <w:divBdr>
                                            <w:top w:val="single" w:sz="2" w:space="0" w:color="393E40"/>
                                            <w:left w:val="single" w:sz="2" w:space="0" w:color="393E40"/>
                                            <w:bottom w:val="single" w:sz="2" w:space="0" w:color="393E40"/>
                                            <w:right w:val="single" w:sz="2" w:space="0" w:color="393E40"/>
                                          </w:divBdr>
                                          <w:divsChild>
                                            <w:div w:id="1612976277">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sChild>
                </w:div>
              </w:divsChild>
            </w:div>
          </w:divsChild>
        </w:div>
        <w:div w:id="199711474">
          <w:marLeft w:val="0"/>
          <w:marRight w:val="0"/>
          <w:marTop w:val="0"/>
          <w:marBottom w:val="0"/>
          <w:divBdr>
            <w:top w:val="none" w:sz="0" w:space="0" w:color="auto"/>
            <w:left w:val="none" w:sz="0" w:space="0" w:color="auto"/>
            <w:bottom w:val="none" w:sz="0" w:space="0" w:color="auto"/>
            <w:right w:val="none" w:sz="0" w:space="0" w:color="auto"/>
          </w:divBdr>
        </w:div>
      </w:divsChild>
    </w:div>
    <w:div w:id="581185617">
      <w:bodyDiv w:val="1"/>
      <w:marLeft w:val="0"/>
      <w:marRight w:val="0"/>
      <w:marTop w:val="0"/>
      <w:marBottom w:val="0"/>
      <w:divBdr>
        <w:top w:val="none" w:sz="0" w:space="0" w:color="auto"/>
        <w:left w:val="none" w:sz="0" w:space="0" w:color="auto"/>
        <w:bottom w:val="none" w:sz="0" w:space="0" w:color="auto"/>
        <w:right w:val="none" w:sz="0" w:space="0" w:color="auto"/>
      </w:divBdr>
    </w:div>
    <w:div w:id="1038236125">
      <w:bodyDiv w:val="1"/>
      <w:marLeft w:val="0"/>
      <w:marRight w:val="0"/>
      <w:marTop w:val="0"/>
      <w:marBottom w:val="0"/>
      <w:divBdr>
        <w:top w:val="none" w:sz="0" w:space="0" w:color="auto"/>
        <w:left w:val="none" w:sz="0" w:space="0" w:color="auto"/>
        <w:bottom w:val="none" w:sz="0" w:space="0" w:color="auto"/>
        <w:right w:val="none" w:sz="0" w:space="0" w:color="auto"/>
      </w:divBdr>
    </w:div>
    <w:div w:id="1351762190">
      <w:bodyDiv w:val="1"/>
      <w:marLeft w:val="0"/>
      <w:marRight w:val="0"/>
      <w:marTop w:val="0"/>
      <w:marBottom w:val="0"/>
      <w:divBdr>
        <w:top w:val="none" w:sz="0" w:space="0" w:color="auto"/>
        <w:left w:val="none" w:sz="0" w:space="0" w:color="auto"/>
        <w:bottom w:val="none" w:sz="0" w:space="0" w:color="auto"/>
        <w:right w:val="none" w:sz="0" w:space="0" w:color="auto"/>
      </w:divBdr>
    </w:div>
    <w:div w:id="1355499112">
      <w:bodyDiv w:val="1"/>
      <w:marLeft w:val="0"/>
      <w:marRight w:val="0"/>
      <w:marTop w:val="0"/>
      <w:marBottom w:val="0"/>
      <w:divBdr>
        <w:top w:val="none" w:sz="0" w:space="0" w:color="auto"/>
        <w:left w:val="none" w:sz="0" w:space="0" w:color="auto"/>
        <w:bottom w:val="none" w:sz="0" w:space="0" w:color="auto"/>
        <w:right w:val="none" w:sz="0" w:space="0" w:color="auto"/>
      </w:divBdr>
    </w:div>
    <w:div w:id="1405879645">
      <w:bodyDiv w:val="1"/>
      <w:marLeft w:val="0"/>
      <w:marRight w:val="0"/>
      <w:marTop w:val="0"/>
      <w:marBottom w:val="0"/>
      <w:divBdr>
        <w:top w:val="none" w:sz="0" w:space="0" w:color="auto"/>
        <w:left w:val="none" w:sz="0" w:space="0" w:color="auto"/>
        <w:bottom w:val="none" w:sz="0" w:space="0" w:color="auto"/>
        <w:right w:val="none" w:sz="0" w:space="0" w:color="auto"/>
      </w:divBdr>
    </w:div>
    <w:div w:id="1523200480">
      <w:bodyDiv w:val="1"/>
      <w:marLeft w:val="0"/>
      <w:marRight w:val="0"/>
      <w:marTop w:val="0"/>
      <w:marBottom w:val="0"/>
      <w:divBdr>
        <w:top w:val="none" w:sz="0" w:space="0" w:color="auto"/>
        <w:left w:val="none" w:sz="0" w:space="0" w:color="auto"/>
        <w:bottom w:val="none" w:sz="0" w:space="0" w:color="auto"/>
        <w:right w:val="none" w:sz="0" w:space="0" w:color="auto"/>
      </w:divBdr>
    </w:div>
    <w:div w:id="1719159359">
      <w:bodyDiv w:val="1"/>
      <w:marLeft w:val="0"/>
      <w:marRight w:val="0"/>
      <w:marTop w:val="0"/>
      <w:marBottom w:val="0"/>
      <w:divBdr>
        <w:top w:val="none" w:sz="0" w:space="0" w:color="auto"/>
        <w:left w:val="none" w:sz="0" w:space="0" w:color="auto"/>
        <w:bottom w:val="none" w:sz="0" w:space="0" w:color="auto"/>
        <w:right w:val="none" w:sz="0" w:space="0" w:color="auto"/>
      </w:divBdr>
      <w:divsChild>
        <w:div w:id="121846848">
          <w:marLeft w:val="0"/>
          <w:marRight w:val="0"/>
          <w:marTop w:val="0"/>
          <w:marBottom w:val="0"/>
          <w:divBdr>
            <w:top w:val="single" w:sz="2" w:space="0" w:color="393E40"/>
            <w:left w:val="single" w:sz="2" w:space="0" w:color="393E40"/>
            <w:bottom w:val="single" w:sz="2" w:space="0" w:color="393E40"/>
            <w:right w:val="single" w:sz="2" w:space="0" w:color="393E40"/>
          </w:divBdr>
          <w:divsChild>
            <w:div w:id="1429765119">
              <w:marLeft w:val="0"/>
              <w:marRight w:val="0"/>
              <w:marTop w:val="0"/>
              <w:marBottom w:val="0"/>
              <w:divBdr>
                <w:top w:val="single" w:sz="2" w:space="0" w:color="393E40"/>
                <w:left w:val="single" w:sz="2" w:space="0" w:color="393E40"/>
                <w:bottom w:val="single" w:sz="2" w:space="0" w:color="393E40"/>
                <w:right w:val="single" w:sz="2" w:space="0" w:color="393E40"/>
              </w:divBdr>
              <w:divsChild>
                <w:div w:id="964584644">
                  <w:marLeft w:val="0"/>
                  <w:marRight w:val="0"/>
                  <w:marTop w:val="0"/>
                  <w:marBottom w:val="0"/>
                  <w:divBdr>
                    <w:top w:val="single" w:sz="2" w:space="0" w:color="393E40"/>
                    <w:left w:val="single" w:sz="2" w:space="0" w:color="393E40"/>
                    <w:bottom w:val="single" w:sz="2" w:space="0" w:color="393E40"/>
                    <w:right w:val="single" w:sz="2" w:space="0" w:color="393E40"/>
                  </w:divBdr>
                  <w:divsChild>
                    <w:div w:id="970405606">
                      <w:marLeft w:val="0"/>
                      <w:marRight w:val="0"/>
                      <w:marTop w:val="0"/>
                      <w:marBottom w:val="0"/>
                      <w:divBdr>
                        <w:top w:val="single" w:sz="2" w:space="0" w:color="393E40"/>
                        <w:left w:val="single" w:sz="2" w:space="0" w:color="393E40"/>
                        <w:bottom w:val="single" w:sz="2" w:space="0" w:color="393E40"/>
                        <w:right w:val="single" w:sz="2" w:space="0" w:color="393E40"/>
                      </w:divBdr>
                      <w:divsChild>
                        <w:div w:id="1147671381">
                          <w:marLeft w:val="0"/>
                          <w:marRight w:val="0"/>
                          <w:marTop w:val="0"/>
                          <w:marBottom w:val="0"/>
                          <w:divBdr>
                            <w:top w:val="single" w:sz="2" w:space="0" w:color="auto"/>
                            <w:left w:val="single" w:sz="2" w:space="0" w:color="auto"/>
                            <w:bottom w:val="single" w:sz="6" w:space="0" w:color="auto"/>
                            <w:right w:val="single" w:sz="2" w:space="0" w:color="auto"/>
                          </w:divBdr>
                          <w:divsChild>
                            <w:div w:id="1881361058">
                              <w:marLeft w:val="0"/>
                              <w:marRight w:val="0"/>
                              <w:marTop w:val="100"/>
                              <w:marBottom w:val="100"/>
                              <w:divBdr>
                                <w:top w:val="single" w:sz="2" w:space="0" w:color="393E40"/>
                                <w:left w:val="single" w:sz="2" w:space="0" w:color="393E40"/>
                                <w:bottom w:val="single" w:sz="2" w:space="0" w:color="393E40"/>
                                <w:right w:val="single" w:sz="2" w:space="0" w:color="393E40"/>
                              </w:divBdr>
                              <w:divsChild>
                                <w:div w:id="361982773">
                                  <w:marLeft w:val="0"/>
                                  <w:marRight w:val="0"/>
                                  <w:marTop w:val="0"/>
                                  <w:marBottom w:val="0"/>
                                  <w:divBdr>
                                    <w:top w:val="single" w:sz="2" w:space="0" w:color="393E40"/>
                                    <w:left w:val="single" w:sz="2" w:space="0" w:color="393E40"/>
                                    <w:bottom w:val="single" w:sz="2" w:space="0" w:color="393E40"/>
                                    <w:right w:val="single" w:sz="2" w:space="0" w:color="393E40"/>
                                  </w:divBdr>
                                  <w:divsChild>
                                    <w:div w:id="906306666">
                                      <w:marLeft w:val="0"/>
                                      <w:marRight w:val="0"/>
                                      <w:marTop w:val="0"/>
                                      <w:marBottom w:val="0"/>
                                      <w:divBdr>
                                        <w:top w:val="single" w:sz="2" w:space="0" w:color="393E40"/>
                                        <w:left w:val="single" w:sz="2" w:space="0" w:color="393E40"/>
                                        <w:bottom w:val="single" w:sz="2" w:space="0" w:color="393E40"/>
                                        <w:right w:val="single" w:sz="2" w:space="0" w:color="393E40"/>
                                      </w:divBdr>
                                      <w:divsChild>
                                        <w:div w:id="323895125">
                                          <w:marLeft w:val="0"/>
                                          <w:marRight w:val="0"/>
                                          <w:marTop w:val="0"/>
                                          <w:marBottom w:val="0"/>
                                          <w:divBdr>
                                            <w:top w:val="single" w:sz="2" w:space="0" w:color="393E40"/>
                                            <w:left w:val="single" w:sz="2" w:space="0" w:color="393E40"/>
                                            <w:bottom w:val="single" w:sz="2" w:space="0" w:color="393E40"/>
                                            <w:right w:val="single" w:sz="2" w:space="0" w:color="393E40"/>
                                          </w:divBdr>
                                          <w:divsChild>
                                            <w:div w:id="1769426256">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sChild>
                </w:div>
              </w:divsChild>
            </w:div>
          </w:divsChild>
        </w:div>
        <w:div w:id="518009689">
          <w:marLeft w:val="0"/>
          <w:marRight w:val="0"/>
          <w:marTop w:val="0"/>
          <w:marBottom w:val="0"/>
          <w:divBdr>
            <w:top w:val="none" w:sz="0" w:space="0" w:color="auto"/>
            <w:left w:val="none" w:sz="0" w:space="0" w:color="auto"/>
            <w:bottom w:val="none" w:sz="0" w:space="0" w:color="auto"/>
            <w:right w:val="none" w:sz="0" w:space="0" w:color="auto"/>
          </w:divBdr>
        </w:div>
      </w:divsChild>
    </w:div>
    <w:div w:id="1744184346">
      <w:bodyDiv w:val="1"/>
      <w:marLeft w:val="0"/>
      <w:marRight w:val="0"/>
      <w:marTop w:val="0"/>
      <w:marBottom w:val="0"/>
      <w:divBdr>
        <w:top w:val="none" w:sz="0" w:space="0" w:color="auto"/>
        <w:left w:val="none" w:sz="0" w:space="0" w:color="auto"/>
        <w:bottom w:val="none" w:sz="0" w:space="0" w:color="auto"/>
        <w:right w:val="none" w:sz="0" w:space="0" w:color="auto"/>
      </w:divBdr>
    </w:div>
    <w:div w:id="200049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3112</Words>
  <Characters>17741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Mihail Roussev</cp:lastModifiedBy>
  <cp:revision>2</cp:revision>
  <dcterms:created xsi:type="dcterms:W3CDTF">2023-08-26T09:00:00Z</dcterms:created>
  <dcterms:modified xsi:type="dcterms:W3CDTF">2023-08-26T09:00:00Z</dcterms:modified>
</cp:coreProperties>
</file>