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D8D9B5" wp14:paraId="7736D4CA" wp14:textId="4646847E">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Nutritional Analysis</w:t>
      </w:r>
    </w:p>
    <w:p xmlns:wp14="http://schemas.microsoft.com/office/word/2010/wordml" w:rsidP="39D8D9B5" wp14:paraId="660FD855" wp14:textId="095ADBDA">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39D8D9B5" wp14:paraId="60E269AF" wp14:textId="7539CA78">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Introduction: </w:t>
      </w:r>
    </w:p>
    <w:p xmlns:wp14="http://schemas.microsoft.com/office/word/2010/wordml" w:rsidP="39D8D9B5" wp14:paraId="393804D6" wp14:textId="5629A041">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37501DB" wp14:paraId="3C1F5519" wp14:textId="0AF3BB25">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Nutritional analysis is a fundamental tool used to analyse and assess an individual's dietary intake in comparison to dietary guidelines and health requirements such as the Scientific Advisory Committee on Nutrition (SACN) (SACN, 2015) and The Dietary Reference Values (DRV) (DRV, 1991). Finding possible nutrient inaccuracies or deficiencies and developing high evidence-based recommendations that promote and support health and well-being are the main goals of a nutritional analysis. Food diaries are a commonly used method when assessing nutrition in individuals as they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detailed insight into a specific period of an individual's eating habits. Food diaries are specifically useful due to their low cost and realistic expectations from individual due to its simplicity.</w:t>
      </w:r>
    </w:p>
    <w:p xmlns:wp14="http://schemas.microsoft.com/office/word/2010/wordml" w:rsidP="39D8D9B5" wp14:paraId="11C8636A" wp14:textId="60ADE704">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37501DB" wp14:paraId="0AE4764B" wp14:textId="46E8342F">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Client A is a 21-year-old female who is 154cm tall and weighs 56kg. According to NHS (2023) Client A is within a healthy body mass index (BMI) range,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indicating</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is physiologically healthy. Client A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regular physical activity and enjoys being active. Client A is also a full-time university student which consumes most of her time. Client A has many personal goals she would like to achieve including eating an overall healthier diet, increase vegetable intake daily, start taking relevant supplements and increase fibre consumption. All these personal goals could help with the health concerns that were presented. Some of the health concerns included slight irritable bowls as Client A often feel</w:t>
      </w:r>
      <w:r w:rsidRPr="537501DB" w:rsidR="74A9F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uncomfortable after eating and low energy throughout the day.</w:t>
      </w:r>
    </w:p>
    <w:p xmlns:wp14="http://schemas.microsoft.com/office/word/2010/wordml" w:rsidP="39D8D9B5" wp14:paraId="2BC54A55" wp14:textId="78E65C1C">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76D241FF" wp14:textId="7E1272D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Informed consent has been provided to Client A and been approved and accepted </w:t>
      </w:r>
      <w:bookmarkStart w:name="_Int_DCRkQ3LZ" w:id="2131526976"/>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bookmarkEnd w:id="2131526976"/>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continue with the nutritional analysis. Ethical standards will be followed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accordance with</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AfN</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Admin (2021) and UWTSD (2022) to ensure Client A is aware of the nutritional analysis and all potential outcomes.</w:t>
      </w:r>
    </w:p>
    <w:p xmlns:wp14="http://schemas.microsoft.com/office/word/2010/wordml" w:rsidP="39D8D9B5" wp14:paraId="09BFB9B6" wp14:textId="6C9C2A0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6AF18992" wp14:textId="4DF484A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7D04C807" wp14:textId="5300738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1FC653" w:rsidP="537501DB" w:rsidRDefault="661FC653" w14:paraId="6E1BE74E" w14:textId="2D9E0B3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Client Anthropometric and background information:</w:t>
      </w:r>
    </w:p>
    <w:p w:rsidR="569C3DD1" w:rsidP="537501DB" w:rsidRDefault="569C3DD1" w14:paraId="2624C5F3" w14:textId="6647197C">
      <w:pPr>
        <w:pStyle w:val="Normal"/>
        <w:spacing w:line="360" w:lineRule="auto"/>
      </w:pPr>
      <w:r w:rsidR="569C3DD1">
        <w:rPr/>
        <w:t>Table 1: Client A’s anthropometric data</w:t>
      </w:r>
    </w:p>
    <w:p w:rsidR="67C799F6" w:rsidP="537501DB" w:rsidRDefault="67C799F6" w14:paraId="2223936A" w14:textId="1CD09C4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7C799F6">
        <w:drawing>
          <wp:inline wp14:editId="512F6C07" wp14:anchorId="447E05EB">
            <wp:extent cx="5724525" cy="3448050"/>
            <wp:effectExtent l="0" t="0" r="0" b="0"/>
            <wp:docPr id="1236999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6999635" name="Picture 1236999635"/>
                    <pic:cNvPicPr/>
                  </pic:nvPicPr>
                  <pic:blipFill>
                    <a:blip xmlns:r="http://schemas.openxmlformats.org/officeDocument/2006/relationships" r:embed="rId1125346022">
                      <a:extLst>
                        <a:ext uri="{28A0092B-C50C-407E-A947-70E740481C1C}">
                          <a14:useLocalDpi xmlns:a14="http://schemas.microsoft.com/office/drawing/2010/main"/>
                        </a:ext>
                      </a:extLst>
                    </a:blip>
                    <a:stretch>
                      <a:fillRect/>
                    </a:stretch>
                  </pic:blipFill>
                  <pic:spPr>
                    <a:xfrm>
                      <a:off x="0" y="0"/>
                      <a:ext cx="5724525" cy="3448050"/>
                    </a:xfrm>
                    <a:prstGeom prst="rect">
                      <a:avLst/>
                    </a:prstGeom>
                  </pic:spPr>
                </pic:pic>
              </a:graphicData>
            </a:graphic>
          </wp:inline>
        </w:drawing>
      </w:r>
    </w:p>
    <w:p w:rsidR="537501DB" w:rsidP="537501DB" w:rsidRDefault="537501DB" w14:paraId="6CC48FDB" w14:textId="1E5B1A80">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0B60313F" wp14:textId="40111A32">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Anthropometric data provides a foundation of information for professionals to work with. Although it may appear to be limited information it provides details of an individual's lifestyle and habits. </w:t>
      </w:r>
    </w:p>
    <w:p xmlns:wp14="http://schemas.microsoft.com/office/word/2010/wordml" w:rsidP="39D8D9B5" wp14:paraId="37C815BD" wp14:textId="0A61F9CB">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26AE913B" wp14:textId="7B9689D6">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Analysis of Nutritics:</w:t>
      </w:r>
    </w:p>
    <w:p xmlns:wp14="http://schemas.microsoft.com/office/word/2010/wordml" w:rsidP="39D8D9B5" wp14:paraId="4224B68E" wp14:textId="33306EC6">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Collecting data in the form of a food diary can show a lot of information that can be further analysed through a </w:t>
      </w:r>
      <w:r w:rsidRPr="39D8D9B5" w:rsidR="1B68EE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soft wear</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known as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provides a detailed analyse of nutrition, which is why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analyse Client A’s 5-day food diary through the </w:t>
      </w:r>
      <w:r w:rsidRPr="39D8D9B5" w:rsidR="3A3E06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soft wear</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39D8D9B5" wp14:paraId="71FEC2A9" wp14:textId="33D70C85">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4347B37C" wp14:textId="3A76756F">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5-day food diary included 4 weekdays and 1 weekend day, specifically Tuesday-Saturday. This was analysed through Nutritics to provide and demonstrate a detailed breakdown of Client A’s food diary to provide Client A’s average nutrient intake. Including a weekday was vital to demonstrate the variation in Client A’s eating behaviours. As research through Esposito et al., (2022) demonstrates that typical ‘healthy eating’ is most common in the week compared to the weekend, it is important to include both weekdays and weekend days. After receiving Client A’s food diary, each food in every meal was applied to nutritics specifically, each day and what time. I categorised the days from Tuesday to Saturday and allocated groups for breakfast, lunch, dinner and snacks for each day. This was to remain organised throughout the analysis.</w:t>
      </w:r>
    </w:p>
    <w:p xmlns:wp14="http://schemas.microsoft.com/office/word/2010/wordml" w:rsidP="39D8D9B5" wp14:paraId="69AD36EA" wp14:textId="4E8D80F5">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37501DB" wp14:paraId="270C0D57" wp14:textId="4E63072E">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537501DB" w:rsidR="5532F5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soft wear</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allows for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accurate</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calculations of macronutrients and micronutrients, which allows for further analyses when comparing Client A’s results to the Dietary Reference Values (DRV). This will provide reassurance on the results provided by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if there is a comparison. However, the accuracy of the results will also be defined by the accuracy of the self-reported data, through Client A and the analysis when data loading onto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Portion</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sizers were estimated using an average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portion</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size provided through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a personal estimate had to be made when exact weights were not provided by Client A. This could introduce the element of error as measurements may not be correct, reflecting poor on the results provided. Where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possible reflecting</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brands of foods was vital, yet not all were provided through the food diary and not found on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therefore a similar brand was chosen to allow for consistency to remove the chance of any major inaccuracies. There is a possibility the method chosen for cooking could cause for changes in the results. If Client A chose the method of frying compared to baking, it could cause there to be a difference in the nutrients consumed, therefore not having any awareness of the cooking method, an estimation on what is the most popular method for that specific food was chosen. As most of the cooking methods were provided it ensured that nutrient profiles reflected the preparation methods and this can significantly alter the fat and other macronutrient measurements.</w:t>
      </w:r>
    </w:p>
    <w:p xmlns:wp14="http://schemas.microsoft.com/office/word/2010/wordml" w:rsidP="39D8D9B5" wp14:paraId="086E3EBC" wp14:textId="4A747CD4">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61FC653">
        <w:drawing>
          <wp:inline xmlns:wp14="http://schemas.microsoft.com/office/word/2010/wordprocessingDrawing" wp14:editId="78DC62C2" wp14:anchorId="1B5F42D0">
            <wp:extent cx="5102874" cy="2717732"/>
            <wp:effectExtent l="0" t="0" r="0" b="0"/>
            <wp:docPr id="8306584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0658467" name="Picture 830658467"/>
                    <pic:cNvPicPr/>
                  </pic:nvPicPr>
                  <pic:blipFill>
                    <a:blip xmlns:r="http://schemas.openxmlformats.org/officeDocument/2006/relationships" r:embed="rId292234124">
                      <a:extLst>
                        <a:ext uri="{28A0092B-C50C-407E-A947-70E740481C1C}">
                          <a14:useLocalDpi xmlns:a14="http://schemas.microsoft.com/office/drawing/2010/main"/>
                        </a:ext>
                      </a:extLst>
                    </a:blip>
                    <a:stretch>
                      <a:fillRect/>
                    </a:stretch>
                  </pic:blipFill>
                  <pic:spPr>
                    <a:xfrm rot="0">
                      <a:off x="0" y="0"/>
                      <a:ext cx="5102874" cy="2717732"/>
                    </a:xfrm>
                    <a:prstGeom prst="rect">
                      <a:avLst/>
                    </a:prstGeom>
                  </pic:spPr>
                </pic:pic>
              </a:graphicData>
            </a:graphic>
          </wp:inline>
        </w:drawing>
      </w:r>
    </w:p>
    <w:p xmlns:wp14="http://schemas.microsoft.com/office/word/2010/wordml" w:rsidP="39D8D9B5" wp14:paraId="01E35DB3" wp14:textId="0B31F616">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P="39D8D9B5" wp14:paraId="0A3217E0" wp14:textId="25741B68">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Comparison against Dietary Reference Values: </w:t>
      </w:r>
    </w:p>
    <w:p xmlns:wp14="http://schemas.microsoft.com/office/word/2010/wordml" w:rsidP="39D8D9B5" wp14:paraId="7DF0E7A1" wp14:textId="7F77F0C6">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Table 3 presents a comparison between Client A’s average nutrient intake and the current DRVs. Client A’s report demonstrates an energy intake of 1680kcal. This is considerably lower than the DRV of 2715 kcal. This could show a potential energy deficit. If Client A is to maintain a low energy deficit over a long period of time it could affect cognitive function and cause for memory loss and poor attention (Gutierrez et al., 2021). Comparing Client A’s average energy intake to the target on Nutritics, it is closer than the DRV results. Nutritics believes that Client A’s energy target is 2010kcal, this is remarkably more close to Client A’s average intake. This demonstrates a lack of clarity due to the difference in both highly recognisable nutritional sources. </w:t>
      </w:r>
    </w:p>
    <w:p xmlns:wp14="http://schemas.microsoft.com/office/word/2010/wordml" w:rsidP="39D8D9B5" wp14:paraId="7D800549" wp14:textId="2688D987">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3AA4099F" wp14:textId="17745318">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Client A’s average protein intake of 94g is a fair amount higher than the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target and the DRVs. This is not necessarily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bad thing</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it will ensure Client A has suffi</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39D8D9B5" w:rsidR="1F5751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ent availability for muscle repair and growth. This is supported by Papadopoulou (2020) who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demonstrated</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importance of protein intake for muscle repair and tissue maintenance. As Client A is a healthy individual who partakes in regular physical activity, the high protein intake is not inherently harmful. </w:t>
      </w:r>
    </w:p>
    <w:p xmlns:wp14="http://schemas.microsoft.com/office/word/2010/wordml" w:rsidP="39D8D9B5" wp14:paraId="7D4BFD76" wp14:textId="6C6B2DE8">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23D44065" wp14:textId="02D50D49">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Carbohydrate intake supports energy levels throughout the day as they are burned the quickest in the body therefore, the first choice to use within the body (Chandel, 2021). Client A is slightly under the recommended amount through both the DRVs and the target from Nutritics. Client A’s average intake is 192g, whereas Client A needs to meet 285g according to Nutritics. The DRV levels for working out carbohydrate intake is different to other forms. The DRV work out a percentage depending on daily energy intake. The DRV recommended no more than 50% of daily energy intake should come from carbohydrates, Client A has 45.7%, therefore Client A is under the recommend amount from the DRVs as well. </w:t>
      </w:r>
    </w:p>
    <w:p xmlns:wp14="http://schemas.microsoft.com/office/word/2010/wordml" w:rsidP="39D8D9B5" wp14:paraId="3272EF53" wp14:textId="1EBB6787">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610878BA" wp14:textId="6BF07F26">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Client A’s fibre intake is only just over half of the recommended amount according to Nutritics and the DRV. According to Rao and Quartarone (2019) this could cause digestive problems if it continues. Client A consumes around 60g of fat a day which according to nutritics is under the target with 78g, yet according to the DRV Client A is doubling the fat intake. This could put a stress of the arteries of the body and could cause cardiovascular disease, if not reviewed and changed (Schwinhshackl et al., 2021).</w:t>
      </w:r>
    </w:p>
    <w:p xmlns:wp14="http://schemas.microsoft.com/office/word/2010/wordml" w:rsidP="39D8D9B5" wp14:paraId="1F3DD368" wp14:textId="6F9A6FFC">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37501DB" wp14:paraId="573DEC4F" wp14:textId="24991812">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Client A’s iron intake of 6.1mg is much lower than the recommended amount of 14.8mg a day. This could cause for an iron deficiency and associated symptoms of fatigue. This will have a further stress on the body to Client A being a female as the recommended amount of iron for females i</w:t>
      </w:r>
      <w:r w:rsidRPr="537501DB" w:rsidR="0746B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higher than males d</w:t>
      </w:r>
      <w:r w:rsidRPr="537501DB" w:rsidR="3696B4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ue to</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reproduction, specifically the age Client A is at. This is further supported by Milman (2019) who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importance of reaching iron intakes, especially young females. Consuming 690 mg of calcium is slightly less than the required 700 mg, which could have long-term effects on bone health if it is persistently low. Client As calcium intake is slightly lower than the recommended amount according to the DRVs and the target on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Nutritics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700mg</w:t>
      </w:r>
      <w:r w:rsidRPr="537501DB" w:rsidR="68BF77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t</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 could cause long-term effects on bone health, increasing to the 700mg will solve that problem.</w:t>
      </w:r>
    </w:p>
    <w:p xmlns:wp14="http://schemas.microsoft.com/office/word/2010/wordml" w:rsidP="39D8D9B5" wp14:paraId="5C08E0C5" wp14:textId="4423E310">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61FC653">
        <w:drawing>
          <wp:inline xmlns:wp14="http://schemas.microsoft.com/office/word/2010/wordprocessingDrawing" wp14:editId="435E707F" wp14:anchorId="14DB9948">
            <wp:extent cx="5781675" cy="6057900"/>
            <wp:effectExtent l="0" t="0" r="0" b="0"/>
            <wp:docPr id="907850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7850255" name="Picture 907850255"/>
                    <pic:cNvPicPr/>
                  </pic:nvPicPr>
                  <pic:blipFill>
                    <a:blip xmlns:r="http://schemas.openxmlformats.org/officeDocument/2006/relationships" r:embed="rId1070626670">
                      <a:extLst>
                        <a:ext uri="{28A0092B-C50C-407E-A947-70E740481C1C}">
                          <a14:useLocalDpi xmlns:a14="http://schemas.microsoft.com/office/drawing/2010/main"/>
                        </a:ext>
                      </a:extLst>
                    </a:blip>
                    <a:stretch>
                      <a:fillRect/>
                    </a:stretch>
                  </pic:blipFill>
                  <pic:spPr>
                    <a:xfrm>
                      <a:off x="0" y="0"/>
                      <a:ext cx="5781675" cy="6057900"/>
                    </a:xfrm>
                    <a:prstGeom prst="rect">
                      <a:avLst/>
                    </a:prstGeom>
                  </pic:spPr>
                </pic:pic>
              </a:graphicData>
            </a:graphic>
          </wp:inline>
        </w:drawing>
      </w:r>
    </w:p>
    <w:p xmlns:wp14="http://schemas.microsoft.com/office/word/2010/wordml" w:rsidP="39D8D9B5" wp14:paraId="3191A653" wp14:textId="17EAD3C8">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13414153" wp14:textId="69550119">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Nutritional analysis role: </w:t>
      </w:r>
    </w:p>
    <w:p xmlns:wp14="http://schemas.microsoft.com/office/word/2010/wordml" w:rsidP="39D8D9B5" wp14:paraId="3C6286A6" wp14:textId="2773C187">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37501DB" wp14:paraId="6DC25FB1" wp14:textId="3E63E573">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Nutritional analysis is a detrimental factor in nutritional studies as it holds a great foundation for professionals to work with when working with a client. Nutritional analys</w:t>
      </w:r>
      <w:r w:rsidRPr="537501DB" w:rsidR="75B98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provide information on an individual's health and understanding and defining food-based guidelines (</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Elmadfa</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Meyer, 2010). Nutritional analysis can be measured in many ways including, food diaries, food frequency questionnaires (FFQ) and 24-hour recalls (Bailey, 2021). </w:t>
      </w:r>
    </w:p>
    <w:p xmlns:wp14="http://schemas.microsoft.com/office/word/2010/wordml" w:rsidP="39D8D9B5" wp14:paraId="5306A116" wp14:textId="478F3271">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551B5D02" wp14:textId="622F3AD2">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Nutritional analysis can be undertaken through many different methods all containing their strengths and weaknesses that back their importance and validity through society. Food diaries are undertaken by the participants who oversee keeping track of every food and drink they consume in real time. The food diary can provide comprehensive, quantitative data and reduce recall bias; however, they also place a heavy burden on participants and may change their eating habits due to their enhanced awareness (Murakami et al., 2025). According to Tanweer et al., (2022) having technology advancements in dietary assessments can offer more promising outcomes in research as well as clinical settings. Tanweer et al., (2022) also stated that food diaries provide an easier and more feasible outcome in comparison to other methods of nutritional assessments, however adding in too many technological factors with the food diary specifically could cause disruption with the validity of and accurate of results.</w:t>
      </w:r>
    </w:p>
    <w:p xmlns:wp14="http://schemas.microsoft.com/office/word/2010/wordml" w:rsidP="39D8D9B5" wp14:paraId="295C9FFE" wp14:textId="7C1AA80E">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Cui et al (2023) FFQ’s are the most used method for nutritional analysis and after conducting a study on the validity of FFQ’s, the results showed the suitability of these methods across all nutritional analysis. Although FFQ’s are cost effective for large cohorts and evaluate habitual diet over weeks or months, retrospective assessment sometimes results in under reporting or over reporting and provide little food detail (Wennberg et al., 2024). </w:t>
      </w:r>
    </w:p>
    <w:p xmlns:wp14="http://schemas.microsoft.com/office/word/2010/wordml" w:rsidP="39D8D9B5" wp14:paraId="448C4FD8" wp14:textId="165BA1ED">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24-hour recall is a widely used nutritional analysis that depends on participant memory and interviewer expertise. This may not accurately reflect typical intake with a single recall due to the lack of time and memory with both the participant and the interviewer. Allowing for multiple 24-hour recalls can offer accurate short-term intake estimates with moderate burden and can be repeated to estimate the ordinary intake (Okada et al., 2023). According to McLean et al., (2018) the 24-hour recall method is often used in larger nutritional surveys completed through an interview either through face-to-face or through a telephone call. McLean., et al (2018) also stated recall bias may be reduced through multiple pass questioning methods including specific questions frequently to minimise ‘forgotten foods. Yet 24 hour recalls according to McLean., et al (2018) are often found to be under-reported, particularly overweight participants due to the realisation of them overconsuming foods.</w:t>
      </w:r>
    </w:p>
    <w:p xmlns:wp14="http://schemas.microsoft.com/office/word/2010/wordml" w:rsidP="39D8D9B5" wp14:paraId="6CDECC3D" wp14:textId="5B91844E">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Overall, all methods have supporting evidence to demonstrate the wide use and validity of them, yet all have factors that negatively effect this.</w:t>
      </w:r>
    </w:p>
    <w:p xmlns:wp14="http://schemas.microsoft.com/office/word/2010/wordml" w:rsidP="39D8D9B5" wp14:paraId="2821C163" wp14:textId="7B6DFCE9">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9D8D9B5" wp14:paraId="548F4150" wp14:textId="6B1DBC04">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t xml:space="preserve">Client Report: </w:t>
      </w:r>
    </w:p>
    <w:p xmlns:wp14="http://schemas.microsoft.com/office/word/2010/wordml" w:rsidP="39D8D9B5" wp14:paraId="64B4C30A" wp14:textId="3DF20A24">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Report on Dietary Analysis for Client A</w:t>
      </w:r>
    </w:p>
    <w:p xmlns:wp14="http://schemas.microsoft.com/office/word/2010/wordml" w:rsidP="39D8D9B5" wp14:paraId="6ED8F3BC" wp14:textId="35E77183">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have now had the opportunity to analyse your food diary using Nutritics Dietary Analysis Package. I have attached a copy of the analysis which also shows the required intake of nutrients for each nutrient – known as Dietary Reference Values.</w:t>
      </w:r>
    </w:p>
    <w:p xmlns:wp14="http://schemas.microsoft.com/office/word/2010/wordml" w:rsidP="39D8D9B5" wp14:paraId="1AB9A86F" wp14:textId="7ECE2294">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aim of the consultation was to help you to understand your diet and how you can improve, in a way that would fit in with your busy lifestyle from work and studying.</w:t>
      </w:r>
    </w:p>
    <w:p xmlns:wp14="http://schemas.microsoft.com/office/word/2010/wordml" w:rsidP="39D8D9B5" wp14:paraId="63066741" wp14:textId="0339D0C1">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Overall, </w:t>
      </w:r>
      <w:bookmarkStart w:name="_Int_o61NDrnV" w:id="1292931793"/>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 clear that your</w:t>
      </w:r>
      <w:bookmarkEnd w:id="1292931793"/>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busy life is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impacting</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some of your targets including fibre, </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iron</w:t>
      </w: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your overall energy intake from calories. During our conversation you had suggested that you found it difficult to prepare meals at home for the long days you have out, therefore rely on easy meals that only take minutes to make.</w:t>
      </w:r>
    </w:p>
    <w:p xmlns:wp14="http://schemas.microsoft.com/office/word/2010/wordml" w:rsidP="39D8D9B5" wp14:paraId="6750469D" wp14:textId="47CF4B75">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Calories/Energy</w:t>
      </w:r>
    </w:p>
    <w:p xmlns:wp14="http://schemas.microsoft.com/office/word/2010/wordml" w:rsidP="39D8D9B5" wp14:paraId="7A9734DC" wp14:textId="557CEF06">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assessment has found that your intake of calories was much lower than your requirements. Over the 5 days you consumed an average of 1680 calories per day – you daily requirement is estimated at 2010. The lack of calories can be made up through increase your carbohydrate intake, as these are higher in calories and would support your fibre too.</w:t>
      </w:r>
    </w:p>
    <w:p xmlns:wp14="http://schemas.microsoft.com/office/word/2010/wordml" w:rsidP="39D8D9B5" wp14:paraId="6E7B2892" wp14:textId="12114FE0">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Protein</w:t>
      </w:r>
    </w:p>
    <w:p xmlns:wp14="http://schemas.microsoft.com/office/word/2010/wordml" w:rsidP="39D8D9B5" wp14:paraId="6749E811" wp14:textId="743E81D1">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 are exceeding your protein intake, which will support the amount of physical activity you do.</w:t>
      </w:r>
    </w:p>
    <w:p xmlns:wp14="http://schemas.microsoft.com/office/word/2010/wordml" w:rsidP="39D8D9B5" wp14:paraId="71F10008" wp14:textId="114FAF6A">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Other nutrients of note</w:t>
      </w:r>
    </w:p>
    <w:p xmlns:wp14="http://schemas.microsoft.com/office/word/2010/wordml" w:rsidP="537501DB" wp14:paraId="6DBC350C" wp14:textId="1E7DC6F9">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Your intake of Iron is more than 50% lower than recommended. Your calcium intake is slightly below the recommend</w:t>
      </w:r>
      <w:r w:rsidRPr="537501DB" w:rsidR="58736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amount. Increase iron through eating greener vegetables such as broccoli will help support your iron intake and increase dairy products such as a glass of milk will help to reach your calcium intake.</w:t>
      </w:r>
    </w:p>
    <w:p xmlns:wp14="http://schemas.microsoft.com/office/word/2010/wordml" w:rsidP="39D8D9B5" wp14:paraId="138390A3" wp14:textId="177D36E2">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other major vitamins and minerals are within the Dietary guidelines and not of concern </w:t>
      </w:r>
      <w:bookmarkStart w:name="_Int_axubR8oX" w:id="9792839"/>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the moment</w:t>
      </w:r>
      <w:bookmarkEnd w:id="9792839"/>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39D8D9B5" wp14:paraId="50B10D5B" wp14:textId="45E2A357">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Recommendations</w:t>
      </w:r>
    </w:p>
    <w:p xmlns:wp14="http://schemas.microsoft.com/office/word/2010/wordml" w:rsidP="39D8D9B5" wp14:paraId="24C02BFF" wp14:textId="22964483">
      <w:pPr>
        <w:pStyle w:val="ListParagraph"/>
        <w:numPr>
          <w:ilvl w:val="0"/>
          <w:numId w:val="1"/>
        </w:num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Aim to have a meal plan for the week ahead, therefore you won't rely on simple more unhealthy foods.</w:t>
      </w:r>
    </w:p>
    <w:p xmlns:wp14="http://schemas.microsoft.com/office/word/2010/wordml" w:rsidP="39D8D9B5" wp14:paraId="06ED4F9E" wp14:textId="0C8CE093">
      <w:pPr>
        <w:pStyle w:val="ListParagraph"/>
        <w:numPr>
          <w:ilvl w:val="0"/>
          <w:numId w:val="1"/>
        </w:num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Plan a day in the week to go shopping and meal prep for the week</w:t>
      </w:r>
    </w:p>
    <w:p xmlns:wp14="http://schemas.microsoft.com/office/word/2010/wordml" w:rsidP="39D8D9B5" wp14:paraId="08D26246" wp14:textId="5F8B16D4">
      <w:pPr>
        <w:pStyle w:val="ListParagraph"/>
        <w:numPr>
          <w:ilvl w:val="0"/>
          <w:numId w:val="1"/>
        </w:num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 iron and calcium intake through the methods I suggested above</w:t>
      </w:r>
    </w:p>
    <w:p xmlns:wp14="http://schemas.microsoft.com/office/word/2010/wordml" w:rsidP="39D8D9B5" wp14:paraId="68A64337" wp14:textId="7F907024">
      <w:pPr>
        <w:pStyle w:val="ListParagraph"/>
        <w:numPr>
          <w:ilvl w:val="0"/>
          <w:numId w:val="1"/>
        </w:num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our next consultation we can discuss how to put all of these into operation</w:t>
      </w:r>
    </w:p>
    <w:p xmlns:wp14="http://schemas.microsoft.com/office/word/2010/wordml" w:rsidP="39D8D9B5" wp14:paraId="3D78DA7D" wp14:textId="5A1DF31D">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Amelie Preece</w:t>
      </w:r>
    </w:p>
    <w:p xmlns:wp14="http://schemas.microsoft.com/office/word/2010/wordml" w:rsidP="39D8D9B5" wp14:paraId="06446664" wp14:textId="4BC0EC9D">
      <w:pPr>
        <w:spacing w:before="0" w:beforeAutospacing="off" w:after="20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D8D9B5"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January 2026</w:t>
      </w:r>
    </w:p>
    <w:p xmlns:wp14="http://schemas.microsoft.com/office/word/2010/wordml" w:rsidP="537501DB" wp14:paraId="5E5787A5" wp14:textId="79B30F6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7501DB" w:rsidR="661FC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Word count: 2,1</w:t>
      </w:r>
      <w:r w:rsidRPr="537501DB" w:rsidR="31139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25</w:t>
      </w:r>
    </w:p>
    <w:p w:rsidR="39D8D9B5" w:rsidP="39D8D9B5" w:rsidRDefault="39D8D9B5" w14:paraId="3C550889" w14:textId="18D5DB7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39D8D9B5" w:rsidTr="39D8D9B5" w14:paraId="29DB941A">
        <w:trPr>
          <w:trHeight w:val="300"/>
        </w:trPr>
        <w:tc>
          <w:tcPr>
            <w:tcW w:w="2250" w:type="dxa"/>
            <w:tcBorders>
              <w:top w:val="single" w:sz="6"/>
              <w:left w:val="single" w:sz="6"/>
            </w:tcBorders>
            <w:tcMar>
              <w:left w:w="105" w:type="dxa"/>
              <w:right w:w="105" w:type="dxa"/>
            </w:tcMar>
            <w:vAlign w:val="top"/>
          </w:tcPr>
          <w:p w:rsidR="39D8D9B5" w:rsidP="39D8D9B5" w:rsidRDefault="39D8D9B5" w14:paraId="05F48014" w14:textId="7219D015">
            <w:pPr>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39D8D9B5" w:rsidR="39D8D9B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AI tool (with URL)</w:t>
            </w:r>
          </w:p>
        </w:tc>
        <w:tc>
          <w:tcPr>
            <w:tcW w:w="2250" w:type="dxa"/>
            <w:tcBorders>
              <w:top w:val="single" w:sz="6"/>
            </w:tcBorders>
            <w:tcMar>
              <w:left w:w="105" w:type="dxa"/>
              <w:right w:w="105" w:type="dxa"/>
            </w:tcMar>
            <w:vAlign w:val="top"/>
          </w:tcPr>
          <w:p w:rsidR="39D8D9B5" w:rsidP="39D8D9B5" w:rsidRDefault="39D8D9B5" w14:paraId="51F2539F" w14:textId="39927AD2">
            <w:pPr>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39D8D9B5" w:rsidR="39D8D9B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Date used </w:t>
            </w:r>
          </w:p>
        </w:tc>
        <w:tc>
          <w:tcPr>
            <w:tcW w:w="2250" w:type="dxa"/>
            <w:tcBorders>
              <w:top w:val="single" w:sz="6"/>
            </w:tcBorders>
            <w:tcMar>
              <w:left w:w="105" w:type="dxa"/>
              <w:right w:w="105" w:type="dxa"/>
            </w:tcMar>
            <w:vAlign w:val="top"/>
          </w:tcPr>
          <w:p w:rsidR="39D8D9B5" w:rsidP="39D8D9B5" w:rsidRDefault="39D8D9B5" w14:paraId="44538AC1" w14:textId="5C619800">
            <w:pPr>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39D8D9B5" w:rsidR="39D8D9B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Why did you use this tool?</w:t>
            </w:r>
          </w:p>
        </w:tc>
        <w:tc>
          <w:tcPr>
            <w:tcW w:w="2250" w:type="dxa"/>
            <w:tcBorders>
              <w:top w:val="single" w:sz="6"/>
              <w:right w:val="single" w:sz="6"/>
            </w:tcBorders>
            <w:tcMar>
              <w:left w:w="105" w:type="dxa"/>
              <w:right w:w="105" w:type="dxa"/>
            </w:tcMar>
            <w:vAlign w:val="top"/>
          </w:tcPr>
          <w:p w:rsidR="39D8D9B5" w:rsidP="39D8D9B5" w:rsidRDefault="39D8D9B5" w14:paraId="7F867C50" w14:textId="1369D970">
            <w:pPr>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39D8D9B5" w:rsidR="39D8D9B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Example prompt(s)</w:t>
            </w:r>
          </w:p>
        </w:tc>
      </w:tr>
      <w:tr w:rsidR="39D8D9B5" w:rsidTr="39D8D9B5" w14:paraId="4687ECFA">
        <w:trPr>
          <w:trHeight w:val="300"/>
        </w:trPr>
        <w:tc>
          <w:tcPr>
            <w:tcW w:w="2250" w:type="dxa"/>
            <w:tcBorders>
              <w:left w:val="single" w:sz="6"/>
              <w:bottom w:val="single" w:sz="6"/>
            </w:tcBorders>
            <w:tcMar>
              <w:left w:w="105" w:type="dxa"/>
              <w:right w:w="105" w:type="dxa"/>
            </w:tcMar>
            <w:vAlign w:val="top"/>
          </w:tcPr>
          <w:p w:rsidR="39D8D9B5" w:rsidP="39D8D9B5" w:rsidRDefault="39D8D9B5" w14:paraId="05AC28EB" w14:textId="6E2C50F0">
            <w:pPr>
              <w:spacing w:line="360" w:lineRule="auto"/>
              <w:rPr>
                <w:rFonts w:ascii="Times New Roman" w:hAnsi="Times New Roman" w:eastAsia="Times New Roman" w:cs="Times New Roman"/>
                <w:b w:val="0"/>
                <w:bCs w:val="0"/>
                <w:i w:val="0"/>
                <w:iCs w:val="0"/>
                <w:caps w:val="0"/>
                <w:smallCaps w:val="0"/>
                <w:color w:val="467886"/>
                <w:sz w:val="24"/>
                <w:szCs w:val="24"/>
                <w:lang w:val="en-GB"/>
              </w:rPr>
            </w:pPr>
            <w:hyperlink r:id="R81348d19e701429a">
              <w:r w:rsidRPr="39D8D9B5" w:rsidR="39D8D9B5">
                <w:rPr>
                  <w:rStyle w:val="Hyperlink"/>
                  <w:rFonts w:ascii="Times New Roman" w:hAnsi="Times New Roman" w:eastAsia="Times New Roman" w:cs="Times New Roman"/>
                  <w:b w:val="0"/>
                  <w:bCs w:val="0"/>
                  <w:i w:val="0"/>
                  <w:iCs w:val="0"/>
                  <w:caps w:val="0"/>
                  <w:smallCaps w:val="0"/>
                  <w:strike w:val="0"/>
                  <w:dstrike w:val="0"/>
                  <w:color w:val="467886"/>
                  <w:sz w:val="24"/>
                  <w:szCs w:val="24"/>
                  <w:lang w:val="en-GB"/>
                </w:rPr>
                <w:t>https://chatgpt.com/</w:t>
              </w:r>
            </w:hyperlink>
          </w:p>
        </w:tc>
        <w:tc>
          <w:tcPr>
            <w:tcW w:w="2250" w:type="dxa"/>
            <w:tcBorders>
              <w:bottom w:val="single" w:sz="6"/>
            </w:tcBorders>
            <w:tcMar>
              <w:left w:w="105" w:type="dxa"/>
              <w:right w:w="105" w:type="dxa"/>
            </w:tcMar>
            <w:vAlign w:val="top"/>
          </w:tcPr>
          <w:p w:rsidR="39D8D9B5" w:rsidP="39D8D9B5" w:rsidRDefault="39D8D9B5" w14:paraId="4C391060" w14:textId="5E8BAAA8">
            <w:pPr>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39D8D9B5" w:rsidR="39D8D9B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20.01.2026</w:t>
            </w:r>
          </w:p>
        </w:tc>
        <w:tc>
          <w:tcPr>
            <w:tcW w:w="2250" w:type="dxa"/>
            <w:tcBorders>
              <w:bottom w:val="single" w:sz="6"/>
            </w:tcBorders>
            <w:tcMar>
              <w:left w:w="105" w:type="dxa"/>
              <w:right w:w="105" w:type="dxa"/>
            </w:tcMar>
            <w:vAlign w:val="top"/>
          </w:tcPr>
          <w:p w:rsidR="39D8D9B5" w:rsidP="39D8D9B5" w:rsidRDefault="39D8D9B5" w14:paraId="35EED0BD" w14:textId="4FB3F7AE">
            <w:pPr>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39D8D9B5" w:rsidR="39D8D9B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Help structuring my assignment.</w:t>
            </w:r>
          </w:p>
        </w:tc>
        <w:tc>
          <w:tcPr>
            <w:tcW w:w="2250" w:type="dxa"/>
            <w:tcBorders>
              <w:bottom w:val="single" w:sz="6"/>
              <w:right w:val="single" w:sz="6"/>
            </w:tcBorders>
            <w:tcMar>
              <w:left w:w="105" w:type="dxa"/>
              <w:right w:w="105" w:type="dxa"/>
            </w:tcMar>
            <w:vAlign w:val="top"/>
          </w:tcPr>
          <w:p w:rsidR="39D8D9B5" w:rsidP="39D8D9B5" w:rsidRDefault="39D8D9B5" w14:paraId="3A5CD3B4" w14:textId="596BCEE6">
            <w:pPr>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39D8D9B5" w:rsidR="39D8D9B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Can you create a structure for an assignment on a nutritional analysis?</w:t>
            </w:r>
          </w:p>
        </w:tc>
      </w:tr>
    </w:tbl>
    <w:p w:rsidR="39D8D9B5" w:rsidP="39D8D9B5" w:rsidRDefault="39D8D9B5" w14:paraId="0C46DB1C" w14:textId="6BEFA38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3C99C0BD" w14:textId="271EDC0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12079957" w14:textId="69FE741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7B91B086" w14:textId="1A13094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3C7F144C" w14:textId="0371B7F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0278089D" w14:textId="0A9BE32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3407A2B5" w14:textId="60D7847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729D3B1D" w14:textId="4037E6D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7DD9DD21" w14:textId="4205BA1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537501DB" w:rsidRDefault="39D8D9B5" w14:paraId="7AC53E6C" w14:textId="12DFB9C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4EE5CF98" w14:textId="58ADAB0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27261ABC" w14:textId="168CCFA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1566C459" w14:textId="08CA95C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71F440C1" w14:textId="5B1E0A0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C46C0F5" w:rsidP="39D8D9B5" w:rsidRDefault="2C46C0F5" w14:paraId="2CB01272" w14:textId="77CC9F94">
      <w:pPr>
        <w:spacing w:before="0" w:beforeAutospacing="off" w:after="160" w:afterAutospacing="off" w:line="257" w:lineRule="auto"/>
        <w:rPr>
          <w:rFonts w:ascii="Times New Roman" w:hAnsi="Times New Roman" w:eastAsia="Times New Roman" w:cs="Times New Roman" w:asciiTheme="minorAscii" w:hAnsiTheme="minorAscii" w:eastAsiaTheme="minorAscii" w:cstheme="minorAscii"/>
          <w:noProof w:val="0"/>
          <w:sz w:val="24"/>
          <w:szCs w:val="24"/>
          <w:lang w:val="en-GB"/>
        </w:rPr>
      </w:pPr>
      <w:r w:rsidRPr="39D8D9B5" w:rsidR="2C46C0F5">
        <w:rPr>
          <w:rFonts w:ascii="Times New Roman" w:hAnsi="Times New Roman" w:eastAsia="Times New Roman" w:cs="Times New Roman" w:asciiTheme="minorAscii" w:hAnsiTheme="minorAscii" w:eastAsiaTheme="minorAscii" w:cstheme="minorAscii"/>
          <w:noProof w:val="0"/>
          <w:sz w:val="24"/>
          <w:szCs w:val="24"/>
          <w:lang w:val="en-GB"/>
        </w:rPr>
        <w:t>Reference list:</w:t>
      </w:r>
    </w:p>
    <w:p w:rsidR="2C46C0F5" w:rsidP="537501DB" w:rsidRDefault="2C46C0F5" w14:paraId="6246FD43" w14:textId="3108E2FB">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Association of Nutrition (2021) ‘Standards of ethics, conduct and performance’,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UK Voluntary Register of Nutritionists</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Available at:</w:t>
      </w:r>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hyperlink r:id="Rf6d8b6eba7044f40">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https://www.associationfornutrition.org/wp-content/uploads/2021/11/2021-AfN-Standards-of-Ethics-Conduct-and-Performance-Approved.pdf</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(Accessed: 22 January 2026) </w:t>
      </w:r>
    </w:p>
    <w:p w:rsidR="2C46C0F5" w:rsidP="537501DB" w:rsidRDefault="2C46C0F5" w14:paraId="6B41339A" w14:textId="433215FA">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Bailys, R.L (2021) ‘Overview of dietary assessment methods for measuring intakes of foods, beverages and dietary supplements inn research studies’,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Current opinion in biotechnology</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Vol 70, pp. 91-96. DOI: </w:t>
      </w:r>
      <w:hyperlink r:id="Red0fcbe7f40149ef">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10.1016/j.copbio.2021.02.007</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1E0DD41A" w14:textId="56950A95">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British Nutrition Foundation (2021) ‘Nutrition </w:t>
      </w:r>
      <w:bookmarkStart w:name="_Int_1J9ef8Jy" w:id="1030442227"/>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requirements’</w:t>
      </w:r>
      <w:bookmarkEnd w:id="1030442227"/>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Available at: </w:t>
      </w:r>
      <w:hyperlink r:id="Rb0599b0bf7274f5f">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https://www.nutrition.org.uk/media/nmmewdug/nutrition-requirements.pdf</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(Accessed: 26 January 2026) </w:t>
      </w:r>
    </w:p>
    <w:p w:rsidR="2C46C0F5" w:rsidP="537501DB" w:rsidRDefault="2C46C0F5" w14:paraId="3AE9ED02" w14:textId="63EF5DF2">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Chandel, N.S (2021) ‘Carbohydrate Metabolism’,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Cold Springs Harbour Perspectives in Biology</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Vol 13(1). Available at: </w:t>
      </w:r>
      <w:hyperlink r:id="Rac6b851266f5433b">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https://cshperspectives.cshlp.org/content/13/1/a040568.short</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(Accessed: 28 January 2026) </w:t>
      </w:r>
    </w:p>
    <w:p w:rsidR="2C46C0F5" w:rsidP="537501DB" w:rsidRDefault="2C46C0F5" w14:paraId="08AD60B6" w14:textId="52008916">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color w:val="467886"/>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Cui, Q et al. (2023) ‘Validity of the food frequency questionnaire for adults in nutritional epidemiology studies: A systematic review and meta-analysis’, Critical reviews in Food Science and Nutrition, Vol 63(12), pp. 1670-1688. DOI: </w:t>
      </w:r>
      <w:hyperlink r:id="R3dabff3baad746f0">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https://doi.org/10.1080/10408398.2021.1966737</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05A8AE47" w14:textId="7A5E21C1">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Dietary Reference Vales (1991)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Dietary Reference Vales A Guide</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Available at:</w:t>
      </w:r>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hyperlink r:id="R124b1294a7544d7a">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https://assets.publishing.service.gov.uk/media/5bab995240f0b607130bd49d/Dietary_Reference_Values_-_A_Guide__1991_.pdf</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(Accessed: 22 January 2026) </w:t>
      </w:r>
    </w:p>
    <w:p w:rsidR="2C46C0F5" w:rsidP="537501DB" w:rsidRDefault="2C46C0F5" w14:paraId="1BBEDCEB" w14:textId="29D3874E">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Elmadfa</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I and Meyer, A.L (2010) ‘Importance of food composition data to nutrition and public health’,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European Journal of Clinical Nutrition</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Vol 64(S4-S7), p.1. DOI: </w:t>
      </w:r>
      <w:hyperlink r:id="R55d318db23d24996">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https://doi.org/10.1038/ejcn.2010.202</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35064C54" w14:textId="3284193D">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 xml:space="preserve">Esposito, F et al.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(2022) ‘Weekday and weekend differences in eating habits, physical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activity</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and screen time behaviour among a sample of primary school children: The “seven days for my health” project’,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International Journal of Environmental Research and Public Health,</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Vol 19(7), p. 4215. DOI: </w:t>
      </w:r>
      <w:hyperlink r:id="Rabc65106f5fa4f81">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https://doi.org/10.3390/ijerph19074215</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077604F9" w14:textId="534BB547">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Gutierrez, L et al. (2021) ‘Effects of nutrition on cognitive function in adults with or without cognitive impairment: A systematic review of randomised controlled clinical trials’,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Nutrient</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s, Vol 13(11), p. 3728. DOI: </w:t>
      </w:r>
      <w:hyperlink r:id="R6aa40e9046074dc5">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https://doi.org/10.3390/nu13113728</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7E3B1C2B" w14:textId="5B85F3BB">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 xml:space="preserve">McLean. R.M et al.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(2019) ‘Twenty-four-hour diet recall and diet records compared with 24-hour urinary excretion to predict an individual's sodium consumption: A systematic review’, The Journal of Clinical Hypertension, Vol 20(10), pp. 1360-1376. DOI: </w:t>
      </w:r>
      <w:hyperlink r:id="R7c48cb9c870a43a8">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https://doi.org/10.1111/jch.13391</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15CC3445" w14:textId="3C584AFB">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Milman, N.T (2019) ‘Dietary iron intake on women of reproductive age in Europe: A review of 49 studies from 29 countries in the period 1993-2015', Journal of Nutrition and Metabolism, Vol 2019(1), pp. 1-13. DOI: </w:t>
      </w:r>
      <w:hyperlink r:id="R1df92d0a049b4ddc">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https://doi.org/10.1155/2019/7631306</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447CB2F7" w14:textId="41B2905A">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Murakami, K et al. (2025)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Chrononutrition</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behaviours in relation to diet quality and obesity: do dietary assessment methods and energy intake misreporting matter?’, Springer Nature Link, Vol 24(67). DOI: </w:t>
      </w:r>
      <w:hyperlink r:id="R4df6b4ff74dc4bce">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https://doi.org/10.1186/s12937-025-01129-1</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293CB0AA" w14:textId="34A12897">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fr"/>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Okada. E et al. (2023) ‘National nutrition surveys applying dietary records or 24-h dietary recalls with questionnaires: A scoping review’,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Nutrients</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Vol 15(22), p. 4739. </w:t>
      </w:r>
      <w:bookmarkStart w:name="_Int_mVowQaIW" w:id="1661069451"/>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DOI:</w:t>
      </w:r>
      <w:bookmarkEnd w:id="1661069451"/>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 xml:space="preserve"> </w:t>
      </w:r>
      <w:hyperlink r:id="R8aaf09e467d34727">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fr"/>
          </w:rPr>
          <w:t>https://doi.org/10.3390/nu15224739</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fr"/>
        </w:rPr>
        <w:t xml:space="preserve"> </w:t>
      </w:r>
    </w:p>
    <w:p w:rsidR="2C46C0F5" w:rsidP="537501DB" w:rsidRDefault="2C46C0F5" w14:paraId="55F73C9C" w14:textId="70849B36">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Papadopoulou, S.K (2020) ‘Rehabilitation nutrition for injury recovery of athletes: the role of macronutrient intake’,</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 Nutrients</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Vol 12(8), p. 2448. DOI: </w:t>
      </w:r>
      <w:hyperlink r:id="R15f79efa38294dab">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https://doi.org/10.3390/nu12082449</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737AC36B" w14:textId="3839BF70">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color w:val="467886"/>
          <w:sz w:val="24"/>
          <w:szCs w:val="24"/>
          <w:lang w:val="fr"/>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Rao, T.P and Quartarone, G (2019) ‘Role of guar fibre in improving digestive health and function’,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Nutrition</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Vol 59, pp. 158-169. </w:t>
      </w:r>
      <w:bookmarkStart w:name="_Int_7RXvp9ma" w:id="1431324644"/>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DOI:</w:t>
      </w:r>
      <w:bookmarkEnd w:id="1431324644"/>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 xml:space="preserve"> </w:t>
      </w:r>
      <w:hyperlink r:id="R9c8c179a3e014f34">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fr"/>
          </w:rPr>
          <w:t>https://doi.org/10.1016/j.nut.2018.07.109</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fr"/>
        </w:rPr>
        <w:t xml:space="preserve"> </w:t>
      </w:r>
    </w:p>
    <w:p w:rsidR="2C46C0F5" w:rsidP="537501DB" w:rsidRDefault="2C46C0F5" w14:paraId="62061048" w14:textId="2FDB4FB0">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SACN (2015)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Expert nutritionists recommend halving sugar in diet.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Available at: </w:t>
      </w:r>
      <w:hyperlink r:id="R19bb34bd55f444d2">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https://assets.publishing.service.gov.uk/government/uploads/system/uploads/attachment_data/file/446188/SACN_Carbohydrates_Press_Release_July_2015.PDF</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(Accessed: 22 January 2026) </w:t>
      </w:r>
    </w:p>
    <w:p w:rsidR="2C46C0F5" w:rsidP="537501DB" w:rsidRDefault="2C46C0F5" w14:paraId="246A2D2C" w14:textId="041F1F37">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color w:val="467886"/>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Schwingsackl</w:t>
      </w:r>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 xml:space="preserve">, L et al.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(2021) ‘Total dietary fat intake, fat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quality</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 and health outcomes: A scoping review of systematic reviews of prospective studies’,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Annnals</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 of Nutrition and Metabolism</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77(1), pp. 1-12. DOI:</w:t>
      </w:r>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hyperlink r:id="R4f8c59c3f7684aa3">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https://doi.org/10.1159/000515058</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p>
    <w:p w:rsidR="2C46C0F5" w:rsidP="537501DB" w:rsidRDefault="2C46C0F5" w14:paraId="77A4B7FC" w14:textId="76B34AAA">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color w:val="467886"/>
          <w:sz w:val="24"/>
          <w:szCs w:val="24"/>
          <w:lang w:val="fr"/>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Tanweer, A et al. (2022) ‘Improving dietary data collection tools for better nutritional assessment: A systematic review’, Computer methods and Programs in Biomedicine Update, Vol 2(1), pp. 100067. </w:t>
      </w:r>
      <w:bookmarkStart w:name="_Int_b7tXBuyF" w:id="169607622"/>
      <w:r w:rsidRPr="537501DB" w:rsidR="2C46C0F5">
        <w:rPr>
          <w:rFonts w:ascii="Times New Roman" w:hAnsi="Times New Roman" w:eastAsia="Times New Roman" w:cs="Times New Roman" w:asciiTheme="minorAscii" w:hAnsiTheme="minorAscii" w:eastAsiaTheme="minorAscii" w:cstheme="minorAscii"/>
          <w:noProof w:val="0"/>
          <w:sz w:val="24"/>
          <w:szCs w:val="24"/>
          <w:lang w:val="fr"/>
        </w:rPr>
        <w:t>DOI:</w:t>
      </w:r>
      <w:bookmarkEnd w:id="169607622"/>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fr"/>
        </w:rPr>
        <w:t xml:space="preserve"> </w:t>
      </w:r>
      <w:hyperlink r:id="R26ede6996b3e4469">
        <w:r w:rsidRPr="537501DB" w:rsidR="2C46C0F5">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fr"/>
          </w:rPr>
          <w:t>https://doi.org/10.1016/j.cmpbup.2022.100067</w:t>
        </w:r>
      </w:hyperlink>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fr"/>
        </w:rPr>
        <w:t xml:space="preserve"> </w:t>
      </w:r>
    </w:p>
    <w:p w:rsidR="2C46C0F5" w:rsidP="537501DB" w:rsidRDefault="2C46C0F5" w14:paraId="126B6F28" w14:textId="36EFD6E0">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University of Wales Trinity Saint David (2022) ‘UWTSD ethical guidelines’, </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UWTSD</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Available at:</w:t>
      </w:r>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u w:val="single"/>
          <w:lang w:val="en-GB"/>
        </w:rPr>
        <w:t>UWTSD ethics guidelines</w:t>
      </w:r>
      <w:r w:rsidRPr="537501DB" w:rsidR="2C46C0F5">
        <w:rPr>
          <w:rFonts w:ascii="Times New Roman" w:hAnsi="Times New Roman" w:eastAsia="Times New Roman" w:cs="Times New Roman" w:asciiTheme="minorAscii" w:hAnsiTheme="minorAscii" w:eastAsiaTheme="minorAscii" w:cstheme="minorAscii"/>
          <w:noProof w:val="0"/>
          <w:color w:val="467886"/>
          <w:sz w:val="24"/>
          <w:szCs w:val="24"/>
          <w:lang w:val="en-GB"/>
        </w:rPr>
        <w:t xml:space="preserve"> </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xml:space="preserve">(Accessed: 22 January 2026) </w:t>
      </w:r>
    </w:p>
    <w:p w:rsidR="2C46C0F5" w:rsidP="537501DB" w:rsidRDefault="2C46C0F5" w14:paraId="546EE7B5" w14:textId="7A7561DF">
      <w:pPr>
        <w:spacing w:before="0" w:beforeAutospacing="off" w:after="160" w:afterAutospacing="off" w:line="360" w:lineRule="auto"/>
        <w:rPr>
          <w:rFonts w:ascii="Times New Roman" w:hAnsi="Times New Roman" w:eastAsia="Times New Roman" w:cs="Times New Roman" w:asciiTheme="minorAscii" w:hAnsiTheme="minorAscii" w:eastAsiaTheme="minorAscii" w:cstheme="minorAscii"/>
          <w:strike w:val="0"/>
          <w:dstrike w:val="0"/>
          <w:noProof w:val="0"/>
          <w:color w:val="0563C1"/>
          <w:sz w:val="24"/>
          <w:szCs w:val="24"/>
          <w:u w:val="single"/>
          <w:lang w:val="en-GB"/>
        </w:rPr>
      </w:pP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Wennberg, M et al. (2024) ‘Validation of digital food frequency questionnaire for the Northern Sweden diet database’,</w:t>
      </w:r>
      <w:r w:rsidRPr="537501DB" w:rsidR="2C46C0F5">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 Springer Nature Link</w:t>
      </w:r>
      <w:r w:rsidRPr="537501DB" w:rsidR="2C46C0F5">
        <w:rPr>
          <w:rFonts w:ascii="Times New Roman" w:hAnsi="Times New Roman" w:eastAsia="Times New Roman" w:cs="Times New Roman" w:asciiTheme="minorAscii" w:hAnsiTheme="minorAscii" w:eastAsiaTheme="minorAscii" w:cstheme="minorAscii"/>
          <w:noProof w:val="0"/>
          <w:sz w:val="24"/>
          <w:szCs w:val="24"/>
          <w:lang w:val="en-GB"/>
        </w:rPr>
        <w:t>, Vole 23(83). DOI:</w:t>
      </w:r>
    </w:p>
    <w:p w:rsidR="619B5761" w:rsidP="537501DB" w:rsidRDefault="619B5761" w14:paraId="59682C76" w14:textId="01D2DD46">
      <w:pPr>
        <w:pStyle w:val="Normal"/>
        <w:spacing w:line="360" w:lineRule="auto"/>
        <w:rPr>
          <w:rFonts w:ascii="Times New Roman" w:hAnsi="Times New Roman" w:eastAsia="Times New Roman" w:cs="Times New Roman" w:asciiTheme="minorAscii" w:hAnsiTheme="minorAscii" w:eastAsiaTheme="minorAscii" w:cstheme="minorAscii"/>
          <w:noProof w:val="0"/>
          <w:color w:val="467886"/>
          <w:sz w:val="24"/>
          <w:szCs w:val="24"/>
          <w:lang w:val="en-GB"/>
        </w:rPr>
      </w:pPr>
      <w:hyperlink r:id="R2dda44409f684f29">
        <w:r w:rsidRPr="537501DB" w:rsidR="619B5761">
          <w:rPr>
            <w:rStyle w:val="Hyperlink"/>
            <w:rFonts w:ascii="Times New Roman" w:hAnsi="Times New Roman" w:eastAsia="Times New Roman" w:cs="Times New Roman" w:asciiTheme="minorAscii" w:hAnsiTheme="minorAscii" w:eastAsiaTheme="minorAscii" w:cstheme="minorAscii"/>
            <w:strike w:val="0"/>
            <w:dstrike w:val="0"/>
            <w:noProof w:val="0"/>
            <w:color w:val="467886"/>
            <w:sz w:val="24"/>
            <w:szCs w:val="24"/>
            <w:u w:val="single"/>
            <w:lang w:val="en-GB"/>
          </w:rPr>
          <w:t>https://doi.org/10.1186/s12937-024-00984-8</w:t>
        </w:r>
      </w:hyperlink>
    </w:p>
    <w:p w:rsidR="39D8D9B5" w:rsidP="39D8D9B5" w:rsidRDefault="39D8D9B5" w14:paraId="4194BED4" w14:textId="6D600B6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421CACBF" w14:textId="66459BC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357A5702" w14:textId="2AF711C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058679E7" w14:textId="6E1727C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0E8175FE" w14:textId="668829F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537501DB" w:rsidRDefault="39D8D9B5" w14:paraId="122E4943" w14:textId="54FEBA3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39012A08" w14:textId="7E3367E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136BD17B" w14:textId="42F702B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0A0E66D7" w14:textId="302F502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49A4122F" w14:textId="580A0F1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537501DB" w:rsidRDefault="39D8D9B5" w14:paraId="7AAC525C" w14:textId="5ACB3A5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55FB06B1" w14:textId="6076244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6682819A" w14:textId="3AFCD44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6E5E0170" w14:textId="5941294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0509E372" w14:textId="3848137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1780582E" w14:textId="12DF0C9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22D042F9" w14:textId="4C3EC6C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2B036317" w14:textId="5219D89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55818135" w14:textId="30830C5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D8D9B5" w:rsidP="39D8D9B5" w:rsidRDefault="39D8D9B5" w14:paraId="14C27D0D" w14:textId="2167DFF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EF6D5C" w:rsidP="39D8D9B5" w:rsidRDefault="71EF6D5C" w14:paraId="7544A6D7" w14:textId="54F2EA00">
      <w:pPr>
        <w:spacing w:before="0" w:beforeAutospacing="off" w:after="160" w:afterAutospacing="off" w:line="257" w:lineRule="auto"/>
        <w:rPr>
          <w:rFonts w:ascii="Times New Roman" w:hAnsi="Times New Roman" w:eastAsia="Times New Roman" w:cs="Times New Roman" w:asciiTheme="minorAscii" w:hAnsiTheme="minorAscii" w:eastAsiaTheme="minorAscii" w:cstheme="minorAscii"/>
          <w:noProof w:val="0"/>
          <w:sz w:val="26"/>
          <w:szCs w:val="26"/>
          <w:lang w:val="en-GB"/>
        </w:rPr>
      </w:pPr>
      <w:r w:rsidRPr="39D8D9B5" w:rsidR="71EF6D5C">
        <w:rPr>
          <w:rFonts w:ascii="Times New Roman" w:hAnsi="Times New Roman" w:eastAsia="Times New Roman" w:cs="Times New Roman" w:asciiTheme="minorAscii" w:hAnsiTheme="minorAscii" w:eastAsiaTheme="minorAscii" w:cstheme="minorAscii"/>
          <w:noProof w:val="0"/>
          <w:sz w:val="26"/>
          <w:szCs w:val="26"/>
          <w:lang w:val="en-GB"/>
        </w:rPr>
        <w:t xml:space="preserve">Appendix:  </w:t>
      </w:r>
    </w:p>
    <w:p w:rsidR="71EF6D5C" w:rsidP="39D8D9B5" w:rsidRDefault="71EF6D5C" w14:paraId="72EBB291" w14:textId="0060F8B1">
      <w:pPr>
        <w:spacing w:before="0" w:beforeAutospacing="off" w:after="160" w:afterAutospacing="off" w:line="257" w:lineRule="auto"/>
        <w:rPr>
          <w:rFonts w:ascii="Times New Roman" w:hAnsi="Times New Roman" w:eastAsia="Times New Roman" w:cs="Times New Roman" w:asciiTheme="minorAscii" w:hAnsiTheme="minorAscii" w:eastAsiaTheme="minorAscii" w:cstheme="minorAscii"/>
          <w:noProof w:val="0"/>
          <w:sz w:val="24"/>
          <w:szCs w:val="24"/>
          <w:lang w:val="en-GB"/>
        </w:rPr>
      </w:pPr>
      <w:r w:rsidRPr="39D8D9B5" w:rsidR="71EF6D5C">
        <w:rPr>
          <w:rFonts w:ascii="Times New Roman" w:hAnsi="Times New Roman" w:eastAsia="Times New Roman" w:cs="Times New Roman" w:asciiTheme="minorAscii" w:hAnsiTheme="minorAscii" w:eastAsiaTheme="minorAscii" w:cstheme="minorAscii"/>
          <w:noProof w:val="0"/>
          <w:sz w:val="24"/>
          <w:szCs w:val="24"/>
          <w:lang w:val="en-GB"/>
        </w:rPr>
        <w:t xml:space="preserve">Report analysis </w:t>
      </w:r>
    </w:p>
    <w:p w:rsidR="71EF6D5C" w:rsidP="39D8D9B5" w:rsidRDefault="71EF6D5C" w14:paraId="032B4985" w14:textId="761184F4">
      <w:pPr>
        <w:spacing w:before="0" w:beforeAutospacing="off" w:after="160" w:afterAutospacing="off" w:line="257" w:lineRule="auto"/>
        <w:rPr>
          <w:rFonts w:ascii="Calibri" w:hAnsi="Calibri" w:eastAsia="Calibri" w:cs="Calibri"/>
          <w:noProof w:val="0"/>
          <w:sz w:val="22"/>
          <w:szCs w:val="22"/>
          <w:lang w:val="en-GB"/>
        </w:rPr>
      </w:pPr>
      <w:r w:rsidR="71EF6D5C">
        <w:drawing>
          <wp:inline wp14:editId="612E4F6C" wp14:anchorId="5086FE55">
            <wp:extent cx="5724525" cy="2600325"/>
            <wp:effectExtent l="0" t="0" r="0" b="0"/>
            <wp:docPr id="1053291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3291989" name="Picture 1053291989"/>
                    <pic:cNvPicPr/>
                  </pic:nvPicPr>
                  <pic:blipFill>
                    <a:blip xmlns:r="http://schemas.openxmlformats.org/officeDocument/2006/relationships" r:embed="rId57862899">
                      <a:extLst>
                        <a:ext uri="{28A0092B-C50C-407E-A947-70E740481C1C}">
                          <a14:useLocalDpi xmlns:a14="http://schemas.microsoft.com/office/drawing/2010/main"/>
                        </a:ext>
                      </a:extLst>
                    </a:blip>
                    <a:stretch>
                      <a:fillRect/>
                    </a:stretch>
                  </pic:blipFill>
                  <pic:spPr>
                    <a:xfrm>
                      <a:off x="0" y="0"/>
                      <a:ext cx="5724525" cy="2600325"/>
                    </a:xfrm>
                    <a:prstGeom prst="rect">
                      <a:avLst/>
                    </a:prstGeom>
                  </pic:spPr>
                </pic:pic>
              </a:graphicData>
            </a:graphic>
          </wp:inline>
        </w:drawing>
      </w:r>
      <w:r w:rsidR="71EF6D5C">
        <w:drawing>
          <wp:inline wp14:editId="19D1238A" wp14:anchorId="6BC786AB">
            <wp:extent cx="5724525" cy="5419725"/>
            <wp:effectExtent l="0" t="0" r="0" b="0"/>
            <wp:docPr id="11488949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8894988" name="Picture 1148894988"/>
                    <pic:cNvPicPr/>
                  </pic:nvPicPr>
                  <pic:blipFill>
                    <a:blip xmlns:r="http://schemas.openxmlformats.org/officeDocument/2006/relationships" r:embed="rId1943021268">
                      <a:extLst>
                        <a:ext uri="{28A0092B-C50C-407E-A947-70E740481C1C}">
                          <a14:useLocalDpi xmlns:a14="http://schemas.microsoft.com/office/drawing/2010/main"/>
                        </a:ext>
                      </a:extLst>
                    </a:blip>
                    <a:stretch>
                      <a:fillRect/>
                    </a:stretch>
                  </pic:blipFill>
                  <pic:spPr>
                    <a:xfrm>
                      <a:off x="0" y="0"/>
                      <a:ext cx="5724525" cy="5419725"/>
                    </a:xfrm>
                    <a:prstGeom prst="rect">
                      <a:avLst/>
                    </a:prstGeom>
                  </pic:spPr>
                </pic:pic>
              </a:graphicData>
            </a:graphic>
          </wp:inline>
        </w:drawing>
      </w:r>
      <w:r w:rsidR="71EF6D5C">
        <w:drawing>
          <wp:inline wp14:editId="28680393" wp14:anchorId="04117933">
            <wp:extent cx="5724525" cy="3076575"/>
            <wp:effectExtent l="0" t="0" r="0" b="0"/>
            <wp:docPr id="1679167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916756" name="Picture 167916756"/>
                    <pic:cNvPicPr/>
                  </pic:nvPicPr>
                  <pic:blipFill>
                    <a:blip xmlns:r="http://schemas.openxmlformats.org/officeDocument/2006/relationships" r:embed="rId528655529">
                      <a:extLst>
                        <a:ext uri="{28A0092B-C50C-407E-A947-70E740481C1C}">
                          <a14:useLocalDpi xmlns:a14="http://schemas.microsoft.com/office/drawing/2010/main"/>
                        </a:ext>
                      </a:extLst>
                    </a:blip>
                    <a:stretch>
                      <a:fillRect/>
                    </a:stretch>
                  </pic:blipFill>
                  <pic:spPr>
                    <a:xfrm>
                      <a:off x="0" y="0"/>
                      <a:ext cx="5724525" cy="3076575"/>
                    </a:xfrm>
                    <a:prstGeom prst="rect">
                      <a:avLst/>
                    </a:prstGeom>
                  </pic:spPr>
                </pic:pic>
              </a:graphicData>
            </a:graphic>
          </wp:inline>
        </w:drawing>
      </w:r>
      <w:r w:rsidR="71EF6D5C">
        <w:drawing>
          <wp:inline wp14:editId="4B687D2E" wp14:anchorId="4BCCBD0B">
            <wp:extent cx="5724525" cy="4962525"/>
            <wp:effectExtent l="0" t="0" r="0" b="0"/>
            <wp:docPr id="4112635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1263574" name="Picture 411263574"/>
                    <pic:cNvPicPr/>
                  </pic:nvPicPr>
                  <pic:blipFill>
                    <a:blip xmlns:r="http://schemas.openxmlformats.org/officeDocument/2006/relationships" r:embed="rId273067840">
                      <a:extLst>
                        <a:ext uri="{28A0092B-C50C-407E-A947-70E740481C1C}">
                          <a14:useLocalDpi xmlns:a14="http://schemas.microsoft.com/office/drawing/2010/main"/>
                        </a:ext>
                      </a:extLst>
                    </a:blip>
                    <a:stretch>
                      <a:fillRect/>
                    </a:stretch>
                  </pic:blipFill>
                  <pic:spPr>
                    <a:xfrm>
                      <a:off x="0" y="0"/>
                      <a:ext cx="5724525" cy="4962525"/>
                    </a:xfrm>
                    <a:prstGeom prst="rect">
                      <a:avLst/>
                    </a:prstGeom>
                  </pic:spPr>
                </pic:pic>
              </a:graphicData>
            </a:graphic>
          </wp:inline>
        </w:drawing>
      </w:r>
      <w:r w:rsidR="71EF6D5C">
        <w:drawing>
          <wp:inline wp14:editId="5CD16B08" wp14:anchorId="7EC53A4F">
            <wp:extent cx="5724525" cy="3667125"/>
            <wp:effectExtent l="0" t="0" r="0" b="0"/>
            <wp:docPr id="11534766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3476638" name="Picture 1153476638"/>
                    <pic:cNvPicPr/>
                  </pic:nvPicPr>
                  <pic:blipFill>
                    <a:blip xmlns:r="http://schemas.openxmlformats.org/officeDocument/2006/relationships" r:embed="rId916587297">
                      <a:extLst>
                        <a:ext uri="{28A0092B-C50C-407E-A947-70E740481C1C}">
                          <a14:useLocalDpi xmlns:a14="http://schemas.microsoft.com/office/drawing/2010/main"/>
                        </a:ext>
                      </a:extLst>
                    </a:blip>
                    <a:stretch>
                      <a:fillRect/>
                    </a:stretch>
                  </pic:blipFill>
                  <pic:spPr>
                    <a:xfrm>
                      <a:off x="0" y="0"/>
                      <a:ext cx="5724525" cy="3667125"/>
                    </a:xfrm>
                    <a:prstGeom prst="rect">
                      <a:avLst/>
                    </a:prstGeom>
                  </pic:spPr>
                </pic:pic>
              </a:graphicData>
            </a:graphic>
          </wp:inline>
        </w:drawing>
      </w:r>
      <w:r w:rsidR="71EF6D5C">
        <w:drawing>
          <wp:inline wp14:editId="7F03B20B" wp14:anchorId="5748B7FA">
            <wp:extent cx="5724525" cy="5543550"/>
            <wp:effectExtent l="0" t="0" r="0" b="0"/>
            <wp:docPr id="375025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5025564" name="Picture 375025564"/>
                    <pic:cNvPicPr/>
                  </pic:nvPicPr>
                  <pic:blipFill>
                    <a:blip xmlns:r="http://schemas.openxmlformats.org/officeDocument/2006/relationships" r:embed="rId1463241816">
                      <a:extLst>
                        <a:ext uri="{28A0092B-C50C-407E-A947-70E740481C1C}">
                          <a14:useLocalDpi xmlns:a14="http://schemas.microsoft.com/office/drawing/2010/main"/>
                        </a:ext>
                      </a:extLst>
                    </a:blip>
                    <a:stretch>
                      <a:fillRect/>
                    </a:stretch>
                  </pic:blipFill>
                  <pic:spPr>
                    <a:xfrm>
                      <a:off x="0" y="0"/>
                      <a:ext cx="5724525" cy="5543550"/>
                    </a:xfrm>
                    <a:prstGeom prst="rect">
                      <a:avLst/>
                    </a:prstGeom>
                  </pic:spPr>
                </pic:pic>
              </a:graphicData>
            </a:graphic>
          </wp:inline>
        </w:drawing>
      </w:r>
      <w:r w:rsidR="71EF6D5C">
        <w:drawing>
          <wp:inline wp14:editId="6E820324" wp14:anchorId="5D18DED1">
            <wp:extent cx="2857500" cy="1952625"/>
            <wp:effectExtent l="0" t="0" r="0" b="0"/>
            <wp:docPr id="15337646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3764626" name="Picture 1533764626"/>
                    <pic:cNvPicPr/>
                  </pic:nvPicPr>
                  <pic:blipFill>
                    <a:blip xmlns:r="http://schemas.openxmlformats.org/officeDocument/2006/relationships" r:embed="rId1496004340">
                      <a:extLst>
                        <a:ext uri="{28A0092B-C50C-407E-A947-70E740481C1C}">
                          <a14:useLocalDpi xmlns:a14="http://schemas.microsoft.com/office/drawing/2010/main"/>
                        </a:ext>
                      </a:extLst>
                    </a:blip>
                    <a:stretch>
                      <a:fillRect/>
                    </a:stretch>
                  </pic:blipFill>
                  <pic:spPr>
                    <a:xfrm>
                      <a:off x="0" y="0"/>
                      <a:ext cx="2857500" cy="1952625"/>
                    </a:xfrm>
                    <a:prstGeom prst="rect">
                      <a:avLst/>
                    </a:prstGeom>
                  </pic:spPr>
                </pic:pic>
              </a:graphicData>
            </a:graphic>
          </wp:inline>
        </w:drawing>
      </w:r>
    </w:p>
    <w:p w:rsidR="39D8D9B5" w:rsidP="537501DB" w:rsidRDefault="39D8D9B5" w14:paraId="3F0FE1B4" w14:textId="4791E2E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72A51F38" w14:textId="32F08A8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7501DB" w:rsidP="537501DB" w:rsidRDefault="537501DB" w14:paraId="60BAF899" w14:textId="44A76A0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7F8571" w:rsidP="537501DB" w:rsidRDefault="267F8571" w14:paraId="5E6D684D" w14:textId="4BC680A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7501DB" w:rsidR="267F85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Consent form:</w:t>
      </w:r>
    </w:p>
    <w:p w:rsidR="630A35FF" w:rsidP="537501DB" w:rsidRDefault="630A35FF" w14:paraId="317DEB90" w14:textId="0DD18756">
      <w:pPr>
        <w:pStyle w:val="Normal"/>
      </w:pPr>
      <w:r w:rsidR="630A35FF">
        <w:drawing>
          <wp:inline wp14:editId="36DADFEF" wp14:anchorId="4F9421F6">
            <wp:extent cx="4486275" cy="5724525"/>
            <wp:effectExtent l="0" t="0" r="0" b="0"/>
            <wp:docPr id="19796826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9682651" name="Picture 1979682651"/>
                    <pic:cNvPicPr/>
                  </pic:nvPicPr>
                  <pic:blipFill>
                    <a:blip xmlns:r="http://schemas.openxmlformats.org/officeDocument/2006/relationships" r:embed="rId971830477">
                      <a:extLst>
                        <a:ext uri="{28A0092B-C50C-407E-A947-70E740481C1C}">
                          <a14:useLocalDpi xmlns:a14="http://schemas.microsoft.com/office/drawing/2010/main"/>
                        </a:ext>
                      </a:extLst>
                    </a:blip>
                    <a:stretch>
                      <a:fillRect/>
                    </a:stretch>
                  </pic:blipFill>
                  <pic:spPr>
                    <a:xfrm>
                      <a:off x="0" y="0"/>
                      <a:ext cx="4486275" cy="5724525"/>
                    </a:xfrm>
                    <a:prstGeom prst="rect">
                      <a:avLst/>
                    </a:prstGeom>
                  </pic:spPr>
                </pic:pic>
              </a:graphicData>
            </a:graphic>
          </wp:inline>
        </w:drawing>
      </w:r>
    </w:p>
    <w:p w:rsidR="537501DB" w:rsidP="537501DB" w:rsidRDefault="537501DB" w14:paraId="66F5FE55" w14:textId="2E0CF037">
      <w:pPr>
        <w:pStyle w:val="Normal"/>
      </w:pPr>
    </w:p>
    <w:p w:rsidR="39D8D9B5" w:rsidP="39D8D9B5" w:rsidRDefault="39D8D9B5" w14:paraId="2ACD1C2A" w14:textId="118560C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6694df308b914b9e"/>
      <w:footerReference w:type="default" r:id="Re40c5a30f68a45e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D8D9B5" w:rsidTr="39D8D9B5" w14:paraId="50EFE0E2">
      <w:trPr>
        <w:trHeight w:val="300"/>
      </w:trPr>
      <w:tc>
        <w:tcPr>
          <w:tcW w:w="3005" w:type="dxa"/>
          <w:tcMar/>
        </w:tcPr>
        <w:p w:rsidR="39D8D9B5" w:rsidP="39D8D9B5" w:rsidRDefault="39D8D9B5" w14:paraId="413D4F16" w14:textId="4A14E953">
          <w:pPr>
            <w:pStyle w:val="Header"/>
            <w:bidi w:val="0"/>
            <w:ind w:left="-115"/>
            <w:jc w:val="left"/>
          </w:pPr>
        </w:p>
      </w:tc>
      <w:tc>
        <w:tcPr>
          <w:tcW w:w="3005" w:type="dxa"/>
          <w:tcMar/>
        </w:tcPr>
        <w:p w:rsidR="39D8D9B5" w:rsidP="39D8D9B5" w:rsidRDefault="39D8D9B5" w14:paraId="3992BD80" w14:textId="70400DE1">
          <w:pPr>
            <w:pStyle w:val="Header"/>
            <w:bidi w:val="0"/>
            <w:jc w:val="center"/>
          </w:pPr>
        </w:p>
      </w:tc>
      <w:tc>
        <w:tcPr>
          <w:tcW w:w="3005" w:type="dxa"/>
          <w:tcMar/>
        </w:tcPr>
        <w:p w:rsidR="39D8D9B5" w:rsidP="39D8D9B5" w:rsidRDefault="39D8D9B5" w14:paraId="45E1216B" w14:textId="07714F3E">
          <w:pPr>
            <w:pStyle w:val="Header"/>
            <w:bidi w:val="0"/>
            <w:ind w:right="-115"/>
            <w:jc w:val="right"/>
          </w:pPr>
        </w:p>
      </w:tc>
    </w:tr>
  </w:tbl>
  <w:p w:rsidR="39D8D9B5" w:rsidP="39D8D9B5" w:rsidRDefault="39D8D9B5" w14:paraId="55FA2272" w14:textId="560EC40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135"/>
    </w:tblGrid>
    <w:tr w:rsidR="39D8D9B5" w:rsidTr="39D8D9B5" w14:paraId="2DF5A64E">
      <w:trPr>
        <w:trHeight w:val="300"/>
      </w:trPr>
      <w:tc>
        <w:tcPr>
          <w:tcW w:w="3005" w:type="dxa"/>
          <w:tcMar/>
        </w:tcPr>
        <w:p w:rsidR="39D8D9B5" w:rsidP="39D8D9B5" w:rsidRDefault="39D8D9B5" w14:paraId="28EE6B9A" w14:textId="7DC58BD6">
          <w:pPr>
            <w:pStyle w:val="Header"/>
            <w:bidi w:val="0"/>
            <w:ind w:left="-115"/>
            <w:jc w:val="left"/>
          </w:pPr>
        </w:p>
      </w:tc>
      <w:tc>
        <w:tcPr>
          <w:tcW w:w="3005" w:type="dxa"/>
          <w:tcMar/>
        </w:tcPr>
        <w:p w:rsidR="39D8D9B5" w:rsidP="39D8D9B5" w:rsidRDefault="39D8D9B5" w14:paraId="5CA639F2" w14:textId="196F9641">
          <w:pPr>
            <w:pStyle w:val="Header"/>
            <w:bidi w:val="0"/>
            <w:jc w:val="center"/>
          </w:pPr>
        </w:p>
      </w:tc>
      <w:tc>
        <w:tcPr>
          <w:tcW w:w="3135" w:type="dxa"/>
          <w:tcMar/>
        </w:tcPr>
        <w:p w:rsidR="39D8D9B5" w:rsidP="39D8D9B5" w:rsidRDefault="39D8D9B5" w14:paraId="21B0D241" w14:textId="64F9F4F9">
          <w:pPr>
            <w:pStyle w:val="Header"/>
            <w:bidi w:val="0"/>
            <w:ind w:right="-115"/>
            <w:jc w:val="right"/>
            <w:rPr>
              <w:color w:val="auto"/>
              <w:sz w:val="20"/>
              <w:szCs w:val="20"/>
            </w:rPr>
          </w:pPr>
          <w:r w:rsidRPr="39D8D9B5" w:rsidR="39D8D9B5">
            <w:rPr>
              <w:color w:val="auto"/>
              <w:sz w:val="20"/>
              <w:szCs w:val="20"/>
            </w:rPr>
            <w:t>Amelie Preece</w:t>
          </w:r>
        </w:p>
        <w:p w:rsidR="39D8D9B5" w:rsidP="39D8D9B5" w:rsidRDefault="39D8D9B5" w14:paraId="4D4A58EB" w14:textId="74FF8F92">
          <w:pPr>
            <w:pStyle w:val="Header"/>
            <w:bidi w:val="0"/>
            <w:ind w:right="-115"/>
            <w:jc w:val="right"/>
            <w:rPr>
              <w:color w:val="auto"/>
              <w:sz w:val="20"/>
              <w:szCs w:val="20"/>
            </w:rPr>
          </w:pPr>
          <w:r w:rsidRPr="39D8D9B5" w:rsidR="39D8D9B5">
            <w:rPr>
              <w:color w:val="auto"/>
              <w:sz w:val="20"/>
              <w:szCs w:val="20"/>
            </w:rPr>
            <w:t>2400928</w:t>
          </w:r>
        </w:p>
        <w:p w:rsidR="39D8D9B5" w:rsidP="39D8D9B5" w:rsidRDefault="39D8D9B5" w14:paraId="4273D063" w14:textId="0170E2A3">
          <w:pPr>
            <w:pStyle w:val="Header"/>
            <w:bidi w:val="0"/>
            <w:ind w:right="-115"/>
            <w:jc w:val="right"/>
            <w:rPr>
              <w:color w:val="auto"/>
              <w:sz w:val="20"/>
              <w:szCs w:val="20"/>
            </w:rPr>
          </w:pPr>
          <w:r w:rsidRPr="39D8D9B5" w:rsidR="39D8D9B5">
            <w:rPr>
              <w:color w:val="auto"/>
              <w:sz w:val="20"/>
              <w:szCs w:val="20"/>
            </w:rPr>
            <w:t>Health, Nutrition and Lifestyle</w:t>
          </w:r>
        </w:p>
      </w:tc>
    </w:tr>
  </w:tbl>
  <w:p w:rsidR="39D8D9B5" w:rsidP="39D8D9B5" w:rsidRDefault="39D8D9B5" w14:paraId="52C7CE99" w14:textId="26CC5E57">
    <w:pPr>
      <w:pStyle w:val="Header"/>
      <w:bidi w:val="0"/>
    </w:pPr>
  </w:p>
</w:hdr>
</file>

<file path=word/intelligence2.xml><?xml version="1.0" encoding="utf-8"?>
<int2:intelligence xmlns:int2="http://schemas.microsoft.com/office/intelligence/2020/intelligence">
  <int2:observations>
    <int2:textHash int2:hashCode="ZXUOkaMztIbFHw" int2:id="73DQHpgw">
      <int2:state int2:type="spell" int2:value="Rejected"/>
    </int2:textHash>
    <int2:textHash int2:hashCode="jX7K+yBWUswQlx" int2:id="0GRRwZ8G">
      <int2:state int2:type="spell" int2:value="Rejected"/>
    </int2:textHash>
    <int2:textHash int2:hashCode="s0nAcnS0a1KmAL" int2:id="Eqr55lm3">
      <int2:state int2:type="spell" int2:value="Rejected"/>
    </int2:textHash>
    <int2:textHash int2:hashCode="NPAQv33lbISn0X" int2:id="205zt6rq">
      <int2:state int2:type="spell" int2:value="Rejected"/>
    </int2:textHash>
    <int2:textHash int2:hashCode="JVGNbzkWIbgd1r" int2:id="LZFMmozl">
      <int2:state int2:type="spell" int2:value="Rejected"/>
    </int2:textHash>
    <int2:textHash int2:hashCode="dmSNgNh4RvIYqx" int2:id="AIhOeEou">
      <int2:state int2:type="spell" int2:value="Rejected"/>
    </int2:textHash>
    <int2:textHash int2:hashCode="fiqsiyV1I27bU6" int2:id="BadgbhJZ">
      <int2:state int2:type="spell" int2:value="Rejected"/>
    </int2:textHash>
    <int2:textHash int2:hashCode="Tv3b+FDs/mGiRL" int2:id="Oiuu1I7u">
      <int2:state int2:type="spell" int2:value="Rejected"/>
    </int2:textHash>
    <int2:bookmark int2:bookmarkName="_Int_DCRkQ3LZ" int2:invalidationBookmarkName="" int2:hashCode="e0dMsLOcF3PXGS" int2:id="ylsvLdXF">
      <int2:state int2:type="style" int2:value="Rejected"/>
    </int2:bookmark>
    <int2:bookmark int2:bookmarkName="_Int_o61NDrnV" int2:invalidationBookmarkName="" int2:hashCode="Rl66b4nLZOOitC" int2:id="4jkQQfGI">
      <int2:state int2:type="style" int2:value="Rejected"/>
    </int2:bookmark>
    <int2:bookmark int2:bookmarkName="_Int_axubR8oX" int2:invalidationBookmarkName="" int2:hashCode="p+UFE+s9FqxPO6" int2:id="6Sc53XDh">
      <int2:state int2:type="style" int2:value="Rejected"/>
    </int2:bookmark>
    <int2:bookmark int2:bookmarkName="_Int_1J9ef8Jy" int2:invalidationBookmarkName="" int2:hashCode="2RrWemVePvuMsq" int2:id="PhVrUddR">
      <int2:state int2:type="gram" int2:value="Rejected"/>
    </int2:bookmark>
    <int2:bookmark int2:bookmarkName="_Int_mVowQaIW" int2:invalidationBookmarkName="" int2:hashCode="K1b9A4FCUpSuij" int2:id="TT23iZU9">
      <int2:state int2:type="gram" int2:value="Rejected"/>
    </int2:bookmark>
    <int2:bookmark int2:bookmarkName="_Int_7RXvp9ma" int2:invalidationBookmarkName="" int2:hashCode="K1b9A4FCUpSuij" int2:id="PtXot9Y2">
      <int2:state int2:type="gram" int2:value="Rejected"/>
    </int2:bookmark>
    <int2:bookmark int2:bookmarkName="_Int_b7tXBuyF" int2:invalidationBookmarkName="" int2:hashCode="K1b9A4FCUpSuij" int2:id="wxUK5YS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a6c9e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8d6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ff9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89EFDA"/>
    <w:rsid w:val="000EF8C4"/>
    <w:rsid w:val="003B7887"/>
    <w:rsid w:val="039248C7"/>
    <w:rsid w:val="0746BE1E"/>
    <w:rsid w:val="07A7F606"/>
    <w:rsid w:val="117F5703"/>
    <w:rsid w:val="12A2E40A"/>
    <w:rsid w:val="1B68EED5"/>
    <w:rsid w:val="1F575193"/>
    <w:rsid w:val="1F7AEF1E"/>
    <w:rsid w:val="25BEC15B"/>
    <w:rsid w:val="267F8571"/>
    <w:rsid w:val="271B1A2A"/>
    <w:rsid w:val="2A07CB1C"/>
    <w:rsid w:val="2B4CE240"/>
    <w:rsid w:val="2C46C0F5"/>
    <w:rsid w:val="31139E7F"/>
    <w:rsid w:val="3696B49A"/>
    <w:rsid w:val="380864FB"/>
    <w:rsid w:val="39480893"/>
    <w:rsid w:val="39D8D9B5"/>
    <w:rsid w:val="3A3E0666"/>
    <w:rsid w:val="3FD04819"/>
    <w:rsid w:val="465763FF"/>
    <w:rsid w:val="52D952D5"/>
    <w:rsid w:val="537501DB"/>
    <w:rsid w:val="5532F5FB"/>
    <w:rsid w:val="560C00BC"/>
    <w:rsid w:val="569C3DD1"/>
    <w:rsid w:val="58736F3B"/>
    <w:rsid w:val="619B5761"/>
    <w:rsid w:val="630A35FF"/>
    <w:rsid w:val="63EF1390"/>
    <w:rsid w:val="6461F5BD"/>
    <w:rsid w:val="6461F5BD"/>
    <w:rsid w:val="661FC653"/>
    <w:rsid w:val="67C799F6"/>
    <w:rsid w:val="68BF7733"/>
    <w:rsid w:val="71EF6D5C"/>
    <w:rsid w:val="74A9F5B2"/>
    <w:rsid w:val="7589EFDA"/>
    <w:rsid w:val="75B98677"/>
    <w:rsid w:val="7A1BAD28"/>
    <w:rsid w:val="7CB2D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9EFDA"/>
  <w15:chartTrackingRefBased/>
  <w15:docId w15:val="{D7C44A98-E83C-4163-9C52-5AA753BE72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9D8D9B5"/>
    <w:pPr>
      <w:spacing/>
      <w:ind w:left="720"/>
      <w:contextualSpacing/>
    </w:pPr>
  </w:style>
  <w:style w:type="character" w:styleId="Hyperlink">
    <w:uiPriority w:val="99"/>
    <w:name w:val="Hyperlink"/>
    <w:basedOn w:val="DefaultParagraphFont"/>
    <w:unhideWhenUsed/>
    <w:rsid w:val="39D8D9B5"/>
    <w:rPr>
      <w:color w:val="467886"/>
      <w:u w:val="single"/>
    </w:rPr>
  </w:style>
  <w:style w:type="paragraph" w:styleId="Header">
    <w:uiPriority w:val="99"/>
    <w:name w:val="header"/>
    <w:basedOn w:val="Normal"/>
    <w:unhideWhenUsed/>
    <w:rsid w:val="39D8D9B5"/>
    <w:pPr>
      <w:tabs>
        <w:tab w:val="center" w:leader="none" w:pos="4680"/>
        <w:tab w:val="right" w:leader="none" w:pos="9360"/>
      </w:tabs>
      <w:spacing w:after="0" w:line="240" w:lineRule="auto"/>
    </w:pPr>
  </w:style>
  <w:style w:type="paragraph" w:styleId="Footer">
    <w:uiPriority w:val="99"/>
    <w:name w:val="footer"/>
    <w:basedOn w:val="Normal"/>
    <w:unhideWhenUsed/>
    <w:rsid w:val="39D8D9B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Id292234124" /><Relationship Type="http://schemas.openxmlformats.org/officeDocument/2006/relationships/image" Target="/media/image3.png" Id="rId1070626670" /><Relationship Type="http://schemas.openxmlformats.org/officeDocument/2006/relationships/hyperlink" Target="https://chatgpt.com/" TargetMode="External" Id="R81348d19e701429a" /><Relationship Type="http://schemas.openxmlformats.org/officeDocument/2006/relationships/image" Target="/media/image4.png" Id="rId57862899" /><Relationship Type="http://schemas.openxmlformats.org/officeDocument/2006/relationships/image" Target="/media/image5.png" Id="rId1943021268" /><Relationship Type="http://schemas.openxmlformats.org/officeDocument/2006/relationships/image" Target="/media/image6.png" Id="rId528655529" /><Relationship Type="http://schemas.openxmlformats.org/officeDocument/2006/relationships/image" Target="/media/image7.png" Id="rId273067840" /><Relationship Type="http://schemas.openxmlformats.org/officeDocument/2006/relationships/image" Target="/media/image8.png" Id="rId916587297" /><Relationship Type="http://schemas.openxmlformats.org/officeDocument/2006/relationships/image" Target="/media/image9.png" Id="rId1463241816" /><Relationship Type="http://schemas.openxmlformats.org/officeDocument/2006/relationships/image" Target="/media/imagea.png" Id="rId1496004340" /><Relationship Type="http://schemas.openxmlformats.org/officeDocument/2006/relationships/header" Target="/word/header.xml" Id="R6694df308b914b9e" /><Relationship Type="http://schemas.openxmlformats.org/officeDocument/2006/relationships/footer" Target="/word/footer.xml" Id="Re40c5a30f68a45ed" /><Relationship Type="http://schemas.microsoft.com/office/2020/10/relationships/intelligence" Target="/word/intelligence2.xml" Id="R8fc654d7305b42c0" /><Relationship Type="http://schemas.openxmlformats.org/officeDocument/2006/relationships/numbering" Target="/word/numbering.xml" Id="R5dc2008333da4f92" /><Relationship Type="http://schemas.openxmlformats.org/officeDocument/2006/relationships/image" Target="/media/imageb.png" Id="rId1125346022" /><Relationship Type="http://schemas.openxmlformats.org/officeDocument/2006/relationships/hyperlink" Target="https://www.associationfornutrition.org/wp-content/uploads/2021/11/2021-AfN-Standards-of-Ethics-Conduct-and-Performance-Approved.pdf" TargetMode="External" Id="Rf6d8b6eba7044f40" /><Relationship Type="http://schemas.openxmlformats.org/officeDocument/2006/relationships/hyperlink" Target="https://10.0.3.248/j.copbio.2021.02.007." TargetMode="External" Id="Red0fcbe7f40149ef" /><Relationship Type="http://schemas.openxmlformats.org/officeDocument/2006/relationships/hyperlink" Target="https://www.nutrition.org.uk/media/nmmewdug/nutrition-requirements.pdf" TargetMode="External" Id="Rb0599b0bf7274f5f" /><Relationship Type="http://schemas.openxmlformats.org/officeDocument/2006/relationships/hyperlink" Target="https://cshperspectives.cshlp.org/content/13/1/a040568.short" TargetMode="External" Id="Rac6b851266f5433b" /><Relationship Type="http://schemas.openxmlformats.org/officeDocument/2006/relationships/hyperlink" Target="https://doi.org/10.1080/10408398.2021.1966737" TargetMode="External" Id="R3dabff3baad746f0" /><Relationship Type="http://schemas.openxmlformats.org/officeDocument/2006/relationships/hyperlink" Target="https://assets.publishing.service.gov.uk/media/5bab995240f0b607130bd49d/Dietary_Reference_Values_-_A_Guide__1991_.pdf" TargetMode="External" Id="R124b1294a7544d7a" /><Relationship Type="http://schemas.openxmlformats.org/officeDocument/2006/relationships/hyperlink" Target="https://doi.org/10.1038/ejcn.2010.202" TargetMode="External" Id="R55d318db23d24996" /><Relationship Type="http://schemas.openxmlformats.org/officeDocument/2006/relationships/hyperlink" Target="https://doi.org/10.3390/ijerph19074215" TargetMode="External" Id="Rabc65106f5fa4f81" /><Relationship Type="http://schemas.openxmlformats.org/officeDocument/2006/relationships/hyperlink" Target="https://doi.org/10.3390/nu13113728" TargetMode="External" Id="R6aa40e9046074dc5" /><Relationship Type="http://schemas.openxmlformats.org/officeDocument/2006/relationships/hyperlink" Target="https://doi.org/10.1111/jch.13391" TargetMode="External" Id="R7c48cb9c870a43a8" /><Relationship Type="http://schemas.openxmlformats.org/officeDocument/2006/relationships/hyperlink" Target="https://doi.org/10.1155/2019/7631306" TargetMode="External" Id="R1df92d0a049b4ddc" /><Relationship Type="http://schemas.openxmlformats.org/officeDocument/2006/relationships/hyperlink" Target="https://doi.org/10.1186/s12937-025-01129-1" TargetMode="External" Id="R4df6b4ff74dc4bce" /><Relationship Type="http://schemas.openxmlformats.org/officeDocument/2006/relationships/hyperlink" Target="https://doi.org/10.3390/nu15224739" TargetMode="External" Id="R8aaf09e467d34727" /><Relationship Type="http://schemas.openxmlformats.org/officeDocument/2006/relationships/hyperlink" Target="https://doi.org/10.3390/nu12082449" TargetMode="External" Id="R15f79efa38294dab" /><Relationship Type="http://schemas.openxmlformats.org/officeDocument/2006/relationships/hyperlink" Target="https://doi.org/10.1016/j.nut.2018.07.109" TargetMode="External" Id="R9c8c179a3e014f34" /><Relationship Type="http://schemas.openxmlformats.org/officeDocument/2006/relationships/hyperlink" Target="https://assets.publishing.service.gov.uk/government/uploads/system/uploads/attachment_data/file/446188/SACN_Carbohydrates_Press_Release_July_2015.PDF" TargetMode="External" Id="R19bb34bd55f444d2" /><Relationship Type="http://schemas.openxmlformats.org/officeDocument/2006/relationships/hyperlink" Target="https://doi.org/10.1159/000515058" TargetMode="External" Id="R4f8c59c3f7684aa3" /><Relationship Type="http://schemas.openxmlformats.org/officeDocument/2006/relationships/hyperlink" Target="https://doi.org/10.1016/j.cmpbup.2022.100067" TargetMode="External" Id="R26ede6996b3e4469" /><Relationship Type="http://schemas.openxmlformats.org/officeDocument/2006/relationships/hyperlink" Target="https://doi.org/10.1186/s12937-024-00984-8" TargetMode="External" Id="R2dda44409f684f29" /><Relationship Type="http://schemas.openxmlformats.org/officeDocument/2006/relationships/image" Target="/media/imagec.png" Id="rId9718304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Amelie Preece (2400928)</dc:creator>
  <keywords/>
  <dc:description/>
  <lastModifiedBy>Amelie Preece (2400928)</lastModifiedBy>
  <revision>3</revision>
  <dcterms:created xsi:type="dcterms:W3CDTF">2026-01-28T12:07:21.3979737Z</dcterms:created>
  <dcterms:modified xsi:type="dcterms:W3CDTF">2026-01-29T18:21:05.6472837Z</dcterms:modified>
</coreProperties>
</file>