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2DEAC" w14:textId="77777777" w:rsidR="00542976" w:rsidRDefault="00542976"/>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89"/>
        <w:gridCol w:w="6817"/>
      </w:tblGrid>
      <w:tr w:rsidR="00542976" w14:paraId="525BA83B" w14:textId="77777777" w:rsidTr="00462718">
        <w:trPr>
          <w:cantSplit/>
          <w:jc w:val="center"/>
        </w:trPr>
        <w:tc>
          <w:tcPr>
            <w:tcW w:w="3189" w:type="dxa"/>
            <w:shd w:val="clear" w:color="auto" w:fill="auto"/>
            <w:tcMar>
              <w:top w:w="70" w:type="dxa"/>
              <w:left w:w="70" w:type="dxa"/>
              <w:bottom w:w="70" w:type="dxa"/>
              <w:right w:w="70" w:type="dxa"/>
            </w:tcMar>
            <w:vAlign w:val="center"/>
          </w:tcPr>
          <w:p w14:paraId="61B528BA" w14:textId="77777777" w:rsidR="00542976" w:rsidRPr="00B219CE" w:rsidRDefault="00000000">
            <w:pPr>
              <w:rPr>
                <w:sz w:val="32"/>
                <w:szCs w:val="32"/>
              </w:rPr>
            </w:pPr>
            <w:r w:rsidRPr="00B219CE">
              <w:rPr>
                <w:rFonts w:eastAsia="Arial" w:cs="Arial"/>
                <w:b/>
                <w:szCs w:val="32"/>
              </w:rPr>
              <w:t>Student name</w:t>
            </w:r>
            <w:r w:rsidR="00B219CE" w:rsidRPr="00B219CE">
              <w:rPr>
                <w:rFonts w:eastAsia="Arial" w:cs="Arial"/>
                <w:b/>
                <w:szCs w:val="32"/>
              </w:rPr>
              <w:t>:</w:t>
            </w:r>
          </w:p>
        </w:tc>
        <w:tc>
          <w:tcPr>
            <w:tcW w:w="6817" w:type="dxa"/>
            <w:shd w:val="clear" w:color="auto" w:fill="auto"/>
            <w:tcMar>
              <w:top w:w="70" w:type="dxa"/>
              <w:left w:w="70" w:type="dxa"/>
              <w:bottom w:w="70" w:type="dxa"/>
              <w:right w:w="70" w:type="dxa"/>
            </w:tcMar>
            <w:vAlign w:val="center"/>
          </w:tcPr>
          <w:p w14:paraId="7DE842E8" w14:textId="77777777" w:rsidR="00542976" w:rsidRPr="00B219CE" w:rsidRDefault="00B219CE">
            <w:pPr>
              <w:rPr>
                <w:sz w:val="32"/>
                <w:szCs w:val="32"/>
              </w:rPr>
            </w:pPr>
            <w:r w:rsidRPr="00B219CE">
              <w:rPr>
                <w:rFonts w:eastAsia="Arial" w:cs="Arial"/>
                <w:b/>
                <w:szCs w:val="32"/>
              </w:rPr>
              <w:t>Gabriela Alina Barza</w:t>
            </w:r>
          </w:p>
        </w:tc>
      </w:tr>
      <w:tr w:rsidR="00542976" w14:paraId="78009B94" w14:textId="77777777" w:rsidTr="00462718">
        <w:trPr>
          <w:cantSplit/>
          <w:jc w:val="center"/>
        </w:trPr>
        <w:tc>
          <w:tcPr>
            <w:tcW w:w="3189" w:type="dxa"/>
            <w:shd w:val="clear" w:color="auto" w:fill="auto"/>
            <w:tcMar>
              <w:top w:w="70" w:type="dxa"/>
              <w:left w:w="70" w:type="dxa"/>
              <w:bottom w:w="70" w:type="dxa"/>
              <w:right w:w="70" w:type="dxa"/>
            </w:tcMar>
            <w:vAlign w:val="center"/>
          </w:tcPr>
          <w:p w14:paraId="2151B348" w14:textId="77777777" w:rsidR="00542976" w:rsidRPr="00B219CE" w:rsidRDefault="00000000">
            <w:pPr>
              <w:rPr>
                <w:b/>
                <w:bCs/>
                <w:sz w:val="32"/>
                <w:szCs w:val="32"/>
              </w:rPr>
            </w:pPr>
            <w:r w:rsidRPr="00B219CE">
              <w:rPr>
                <w:rFonts w:eastAsia="Arial" w:cs="Arial"/>
                <w:b/>
                <w:bCs/>
                <w:szCs w:val="32"/>
              </w:rPr>
              <w:t>Student ID</w:t>
            </w:r>
            <w:r w:rsidR="00B219CE" w:rsidRPr="00B219CE">
              <w:rPr>
                <w:rFonts w:eastAsia="Arial" w:cs="Arial"/>
                <w:b/>
                <w:bCs/>
                <w:szCs w:val="32"/>
              </w:rPr>
              <w:t>:</w:t>
            </w:r>
          </w:p>
        </w:tc>
        <w:tc>
          <w:tcPr>
            <w:tcW w:w="6817" w:type="dxa"/>
            <w:shd w:val="clear" w:color="auto" w:fill="auto"/>
            <w:tcMar>
              <w:top w:w="70" w:type="dxa"/>
              <w:left w:w="70" w:type="dxa"/>
              <w:bottom w:w="70" w:type="dxa"/>
              <w:right w:w="70" w:type="dxa"/>
            </w:tcMar>
            <w:vAlign w:val="center"/>
          </w:tcPr>
          <w:p w14:paraId="56578E72" w14:textId="77777777" w:rsidR="00542976" w:rsidRPr="00B219CE" w:rsidRDefault="00B219CE">
            <w:pPr>
              <w:rPr>
                <w:b/>
                <w:bCs/>
                <w:sz w:val="32"/>
                <w:szCs w:val="32"/>
              </w:rPr>
            </w:pPr>
            <w:r w:rsidRPr="00B219CE">
              <w:rPr>
                <w:rFonts w:eastAsia="Arial" w:cs="Arial"/>
                <w:b/>
                <w:bCs/>
                <w:szCs w:val="32"/>
              </w:rPr>
              <w:t>2332746</w:t>
            </w:r>
          </w:p>
        </w:tc>
      </w:tr>
      <w:tr w:rsidR="00542976" w14:paraId="4DB2FA4B" w14:textId="77777777" w:rsidTr="00462718">
        <w:trPr>
          <w:cantSplit/>
          <w:jc w:val="center"/>
        </w:trPr>
        <w:tc>
          <w:tcPr>
            <w:tcW w:w="3189" w:type="dxa"/>
            <w:shd w:val="clear" w:color="auto" w:fill="auto"/>
            <w:tcMar>
              <w:top w:w="70" w:type="dxa"/>
              <w:left w:w="70" w:type="dxa"/>
              <w:bottom w:w="70" w:type="dxa"/>
              <w:right w:w="70" w:type="dxa"/>
            </w:tcMar>
            <w:vAlign w:val="center"/>
          </w:tcPr>
          <w:p w14:paraId="4A5D79BF" w14:textId="77777777" w:rsidR="00542976" w:rsidRPr="00B219CE" w:rsidRDefault="00000000">
            <w:pPr>
              <w:rPr>
                <w:b/>
                <w:bCs/>
                <w:sz w:val="32"/>
                <w:szCs w:val="32"/>
              </w:rPr>
            </w:pPr>
            <w:r w:rsidRPr="00B219CE">
              <w:rPr>
                <w:rFonts w:eastAsia="Arial" w:cs="Arial"/>
                <w:b/>
                <w:bCs/>
                <w:szCs w:val="32"/>
              </w:rPr>
              <w:t>Module</w:t>
            </w:r>
            <w:r w:rsidR="00B219CE" w:rsidRPr="00B219CE">
              <w:rPr>
                <w:rFonts w:eastAsia="Arial" w:cs="Arial"/>
                <w:b/>
                <w:bCs/>
                <w:szCs w:val="32"/>
              </w:rPr>
              <w:t>:</w:t>
            </w:r>
          </w:p>
        </w:tc>
        <w:tc>
          <w:tcPr>
            <w:tcW w:w="6817" w:type="dxa"/>
            <w:shd w:val="clear" w:color="auto" w:fill="auto"/>
            <w:tcMar>
              <w:top w:w="70" w:type="dxa"/>
              <w:left w:w="70" w:type="dxa"/>
              <w:bottom w:w="70" w:type="dxa"/>
              <w:right w:w="70" w:type="dxa"/>
            </w:tcMar>
            <w:vAlign w:val="center"/>
          </w:tcPr>
          <w:p w14:paraId="7F146D53" w14:textId="77777777" w:rsidR="00542976" w:rsidRPr="00B219CE" w:rsidRDefault="00B219CE">
            <w:pPr>
              <w:rPr>
                <w:rFonts w:cs="Arial"/>
                <w:b/>
                <w:bCs/>
                <w:sz w:val="32"/>
                <w:szCs w:val="32"/>
              </w:rPr>
            </w:pPr>
            <w:r w:rsidRPr="00B219CE">
              <w:rPr>
                <w:rFonts w:eastAsia="Arial" w:cs="Arial"/>
                <w:b/>
                <w:bCs/>
                <w:szCs w:val="32"/>
              </w:rPr>
              <w:t>Design Thinking and Innovation LCLM6002</w:t>
            </w:r>
          </w:p>
        </w:tc>
      </w:tr>
      <w:tr w:rsidR="00542976" w14:paraId="799E5D66" w14:textId="77777777" w:rsidTr="00462718">
        <w:trPr>
          <w:cantSplit/>
          <w:jc w:val="center"/>
        </w:trPr>
        <w:tc>
          <w:tcPr>
            <w:tcW w:w="3189" w:type="dxa"/>
            <w:shd w:val="clear" w:color="auto" w:fill="auto"/>
            <w:tcMar>
              <w:top w:w="70" w:type="dxa"/>
              <w:left w:w="70" w:type="dxa"/>
              <w:bottom w:w="70" w:type="dxa"/>
              <w:right w:w="70" w:type="dxa"/>
            </w:tcMar>
            <w:vAlign w:val="center"/>
          </w:tcPr>
          <w:p w14:paraId="6638F3DF" w14:textId="77777777" w:rsidR="00542976" w:rsidRPr="00B219CE" w:rsidRDefault="00000000">
            <w:pPr>
              <w:rPr>
                <w:b/>
                <w:bCs/>
                <w:sz w:val="32"/>
                <w:szCs w:val="32"/>
              </w:rPr>
            </w:pPr>
            <w:r w:rsidRPr="00B219CE">
              <w:rPr>
                <w:rFonts w:eastAsia="Arial" w:cs="Arial"/>
                <w:b/>
                <w:bCs/>
                <w:szCs w:val="32"/>
              </w:rPr>
              <w:t>Lecturer</w:t>
            </w:r>
            <w:r w:rsidR="00B219CE" w:rsidRPr="00B219CE">
              <w:rPr>
                <w:rFonts w:eastAsia="Arial" w:cs="Arial"/>
                <w:b/>
                <w:bCs/>
                <w:szCs w:val="32"/>
              </w:rPr>
              <w:t>:</w:t>
            </w:r>
          </w:p>
        </w:tc>
        <w:tc>
          <w:tcPr>
            <w:tcW w:w="6817" w:type="dxa"/>
            <w:shd w:val="clear" w:color="auto" w:fill="auto"/>
            <w:tcMar>
              <w:top w:w="70" w:type="dxa"/>
              <w:left w:w="70" w:type="dxa"/>
              <w:bottom w:w="70" w:type="dxa"/>
              <w:right w:w="70" w:type="dxa"/>
            </w:tcMar>
            <w:vAlign w:val="center"/>
          </w:tcPr>
          <w:p w14:paraId="31F0B00B" w14:textId="77777777" w:rsidR="00542976" w:rsidRPr="00B219CE" w:rsidRDefault="00B219CE" w:rsidP="00B219CE">
            <w:pPr>
              <w:jc w:val="both"/>
              <w:rPr>
                <w:rFonts w:cs="Arial"/>
                <w:b/>
                <w:bCs/>
                <w:color w:val="auto"/>
                <w:sz w:val="32"/>
                <w:szCs w:val="32"/>
              </w:rPr>
            </w:pPr>
            <w:r w:rsidRPr="00B219CE">
              <w:rPr>
                <w:rFonts w:eastAsia="Arial" w:cs="Arial"/>
                <w:b/>
                <w:bCs/>
                <w:szCs w:val="32"/>
              </w:rPr>
              <w:t xml:space="preserve">Seyed </w:t>
            </w:r>
            <w:proofErr w:type="spellStart"/>
            <w:r w:rsidRPr="00B219CE">
              <w:rPr>
                <w:rFonts w:eastAsia="Arial" w:cs="Arial"/>
                <w:b/>
                <w:bCs/>
                <w:szCs w:val="32"/>
              </w:rPr>
              <w:t>Nasirpourosgoei</w:t>
            </w:r>
            <w:proofErr w:type="spellEnd"/>
          </w:p>
        </w:tc>
      </w:tr>
    </w:tbl>
    <w:p w14:paraId="4B72163A" w14:textId="77777777" w:rsidR="0017307A" w:rsidRPr="0017307A" w:rsidRDefault="0017307A" w:rsidP="0017307A">
      <w:pPr>
        <w:rPr>
          <w:b/>
          <w:bCs/>
          <w:sz w:val="32"/>
          <w:szCs w:val="32"/>
        </w:rPr>
      </w:pPr>
      <w:r w:rsidRPr="0017307A">
        <w:rPr>
          <w:rFonts w:eastAsia="Arial" w:cs="Arial"/>
          <w:b/>
          <w:bCs/>
          <w:szCs w:val="32"/>
        </w:rPr>
        <w:t>Assignment Title</w:t>
      </w:r>
      <w:r>
        <w:rPr>
          <w:rFonts w:eastAsia="Arial" w:cs="Arial"/>
          <w:b/>
          <w:bCs/>
          <w:szCs w:val="32"/>
        </w:rPr>
        <w:t>:</w:t>
      </w:r>
      <w:r w:rsidR="00462718">
        <w:rPr>
          <w:rFonts w:eastAsia="Arial" w:cs="Arial"/>
          <w:b/>
          <w:bCs/>
          <w:szCs w:val="32"/>
        </w:rPr>
        <w:t xml:space="preserve"> </w:t>
      </w:r>
      <w:r>
        <w:rPr>
          <w:rFonts w:eastAsia="Arial" w:cs="Arial"/>
          <w:b/>
          <w:bCs/>
          <w:szCs w:val="32"/>
        </w:rPr>
        <w:t xml:space="preserve"> </w:t>
      </w:r>
      <w:r w:rsidRPr="0017307A">
        <w:rPr>
          <w:rFonts w:eastAsia="Arial" w:cs="Arial"/>
          <w:b/>
          <w:bCs/>
          <w:szCs w:val="32"/>
        </w:rPr>
        <w:t xml:space="preserve">Design Thinking and Innovation through </w:t>
      </w:r>
      <w:r>
        <w:rPr>
          <w:rFonts w:eastAsia="Arial" w:cs="Arial"/>
          <w:b/>
          <w:bCs/>
          <w:szCs w:val="32"/>
        </w:rPr>
        <w:t xml:space="preserve"> </w:t>
      </w:r>
      <w:r w:rsidRPr="0017307A">
        <w:rPr>
          <w:rFonts w:eastAsia="Arial" w:cs="Arial"/>
          <w:b/>
          <w:bCs/>
          <w:szCs w:val="32"/>
        </w:rPr>
        <w:t>Digital Transformation</w:t>
      </w:r>
    </w:p>
    <w:p w14:paraId="72CB98CB" w14:textId="77777777" w:rsidR="00542976" w:rsidRPr="0017307A" w:rsidRDefault="00542976" w:rsidP="0017307A">
      <w:pPr>
        <w:ind w:firstLine="720"/>
        <w:rPr>
          <w:rFonts w:cs="Arial"/>
          <w:b/>
          <w:bCs/>
          <w:sz w:val="32"/>
          <w:szCs w:val="32"/>
        </w:rPr>
      </w:pPr>
    </w:p>
    <w:p w14:paraId="07B188E7" w14:textId="77777777" w:rsidR="00542976" w:rsidRDefault="00000000">
      <w:pPr>
        <w:pStyle w:val="Heading1"/>
        <w:pageBreakBefore/>
      </w:pPr>
      <w:bookmarkStart w:id="0" w:name="toc"/>
      <w:r>
        <w:rPr>
          <w:rFonts w:ascii="Arial" w:eastAsia="Arial" w:hAnsi="Arial" w:cs="Arial"/>
        </w:rPr>
        <w:lastRenderedPageBreak/>
        <w:t>Table of Contents</w:t>
      </w:r>
      <w:bookmarkEnd w:id="0"/>
    </w:p>
    <w:p w14:paraId="40DDC1C9" w14:textId="77777777" w:rsidR="00542976" w:rsidRPr="003A68B6" w:rsidRDefault="00000000">
      <w:pPr>
        <w:tabs>
          <w:tab w:val="right" w:leader="dot" w:pos="9144"/>
        </w:tabs>
      </w:pPr>
      <w:hyperlink w:anchor="h1_intro" w:history="1">
        <w:r w:rsidRPr="003A68B6">
          <w:rPr>
            <w:rFonts w:eastAsia="Arial" w:cs="Arial"/>
          </w:rPr>
          <w:t>1. Introduction</w:t>
        </w:r>
      </w:hyperlink>
      <w:r w:rsidRPr="003A68B6">
        <w:rPr>
          <w:rFonts w:eastAsia="Arial" w:cs="Arial"/>
        </w:rPr>
        <w:tab/>
      </w:r>
      <w:hyperlink w:anchor="h1_intro" w:history="1">
        <w:r w:rsidRPr="003A68B6">
          <w:rPr>
            <w:rFonts w:eastAsia="Arial" w:cs="Arial"/>
          </w:rPr>
          <w:t>3</w:t>
        </w:r>
      </w:hyperlink>
    </w:p>
    <w:p w14:paraId="16601AE2" w14:textId="77777777" w:rsidR="00542976" w:rsidRPr="003A68B6" w:rsidRDefault="00000000">
      <w:pPr>
        <w:keepNext/>
        <w:tabs>
          <w:tab w:val="right" w:leader="dot" w:pos="9144"/>
        </w:tabs>
      </w:pPr>
      <w:hyperlink w:anchor="h2_task1" w:history="1">
        <w:r w:rsidRPr="003A68B6">
          <w:rPr>
            <w:rFonts w:eastAsia="Arial" w:cs="Arial"/>
          </w:rPr>
          <w:t>2. Task 1: Opportunity areas in the UK market</w:t>
        </w:r>
      </w:hyperlink>
      <w:r w:rsidRPr="003A68B6">
        <w:rPr>
          <w:rFonts w:eastAsia="Arial" w:cs="Arial"/>
        </w:rPr>
        <w:tab/>
      </w:r>
      <w:hyperlink w:anchor="h2_task1" w:history="1">
        <w:r w:rsidRPr="003A68B6">
          <w:rPr>
            <w:rFonts w:eastAsia="Arial" w:cs="Arial"/>
          </w:rPr>
          <w:t>3</w:t>
        </w:r>
      </w:hyperlink>
    </w:p>
    <w:p w14:paraId="7FF401ED" w14:textId="77777777" w:rsidR="00542976" w:rsidRPr="003A68B6" w:rsidRDefault="00000000">
      <w:pPr>
        <w:tabs>
          <w:tab w:val="right" w:leader="dot" w:pos="9144"/>
        </w:tabs>
        <w:ind w:left="360"/>
      </w:pPr>
      <w:hyperlink w:anchor="h21" w:history="1">
        <w:r w:rsidRPr="003A68B6">
          <w:rPr>
            <w:rFonts w:eastAsia="Arial" w:cs="Arial"/>
          </w:rPr>
          <w:t>2.1 Consolidated rural and suburban last-mile delivery</w:t>
        </w:r>
      </w:hyperlink>
      <w:r w:rsidRPr="003A68B6">
        <w:rPr>
          <w:rFonts w:eastAsia="Arial" w:cs="Arial"/>
        </w:rPr>
        <w:tab/>
      </w:r>
      <w:hyperlink w:anchor="h21" w:history="1">
        <w:r w:rsidRPr="003A68B6">
          <w:rPr>
            <w:rFonts w:eastAsia="Arial" w:cs="Arial"/>
          </w:rPr>
          <w:t>4</w:t>
        </w:r>
      </w:hyperlink>
    </w:p>
    <w:p w14:paraId="4EFAD948" w14:textId="77777777" w:rsidR="00542976" w:rsidRPr="003A68B6" w:rsidRDefault="00000000">
      <w:pPr>
        <w:tabs>
          <w:tab w:val="right" w:leader="dot" w:pos="9144"/>
        </w:tabs>
        <w:ind w:left="360"/>
      </w:pPr>
      <w:hyperlink w:anchor="h22" w:history="1">
        <w:r w:rsidRPr="003A68B6">
          <w:rPr>
            <w:rFonts w:eastAsia="Arial" w:cs="Arial"/>
          </w:rPr>
          <w:t>2.2 A simple digital operating layer for independent merchants</w:t>
        </w:r>
      </w:hyperlink>
      <w:r w:rsidRPr="003A68B6">
        <w:rPr>
          <w:rFonts w:eastAsia="Arial" w:cs="Arial"/>
        </w:rPr>
        <w:tab/>
      </w:r>
      <w:hyperlink w:anchor="h22" w:history="1">
        <w:r w:rsidRPr="003A68B6">
          <w:rPr>
            <w:rFonts w:eastAsia="Arial" w:cs="Arial"/>
          </w:rPr>
          <w:t>5</w:t>
        </w:r>
      </w:hyperlink>
    </w:p>
    <w:p w14:paraId="086E867C" w14:textId="77777777" w:rsidR="00542976" w:rsidRPr="003A68B6" w:rsidRDefault="00000000">
      <w:pPr>
        <w:tabs>
          <w:tab w:val="right" w:leader="dot" w:pos="9144"/>
        </w:tabs>
        <w:ind w:left="360"/>
      </w:pPr>
      <w:hyperlink w:anchor="h23" w:history="1">
        <w:r w:rsidRPr="003A68B6">
          <w:rPr>
            <w:rFonts w:eastAsia="Arial" w:cs="Arial"/>
          </w:rPr>
          <w:t xml:space="preserve">2.3 A local-producer and </w:t>
        </w:r>
        <w:proofErr w:type="spellStart"/>
        <w:r w:rsidRPr="003A68B6">
          <w:rPr>
            <w:rFonts w:eastAsia="Arial" w:cs="Arial"/>
          </w:rPr>
          <w:t>neighbourhood</w:t>
        </w:r>
        <w:proofErr w:type="spellEnd"/>
        <w:r w:rsidRPr="003A68B6">
          <w:rPr>
            <w:rFonts w:eastAsia="Arial" w:cs="Arial"/>
          </w:rPr>
          <w:t xml:space="preserve"> marketplace</w:t>
        </w:r>
      </w:hyperlink>
      <w:r w:rsidRPr="003A68B6">
        <w:rPr>
          <w:rFonts w:eastAsia="Arial" w:cs="Arial"/>
        </w:rPr>
        <w:tab/>
      </w:r>
      <w:hyperlink w:anchor="h23" w:history="1">
        <w:r w:rsidRPr="003A68B6">
          <w:rPr>
            <w:rFonts w:eastAsia="Arial" w:cs="Arial"/>
          </w:rPr>
          <w:t>5</w:t>
        </w:r>
      </w:hyperlink>
    </w:p>
    <w:p w14:paraId="132A0908" w14:textId="77777777" w:rsidR="00542976" w:rsidRPr="003A68B6" w:rsidRDefault="00000000">
      <w:pPr>
        <w:tabs>
          <w:tab w:val="right" w:leader="dot" w:pos="9144"/>
        </w:tabs>
        <w:ind w:left="360"/>
      </w:pPr>
      <w:hyperlink w:anchor="h24" w:history="1">
        <w:r w:rsidRPr="003A68B6">
          <w:rPr>
            <w:rFonts w:eastAsia="Arial" w:cs="Arial"/>
          </w:rPr>
          <w:t xml:space="preserve">2.4 Community collection hubs and </w:t>
        </w:r>
        <w:proofErr w:type="gramStart"/>
        <w:r w:rsidRPr="003A68B6">
          <w:rPr>
            <w:rFonts w:eastAsia="Arial" w:cs="Arial"/>
          </w:rPr>
          <w:t>low-friction</w:t>
        </w:r>
        <w:proofErr w:type="gramEnd"/>
        <w:r w:rsidRPr="003A68B6">
          <w:rPr>
            <w:rFonts w:eastAsia="Arial" w:cs="Arial"/>
          </w:rPr>
          <w:t xml:space="preserve"> returns</w:t>
        </w:r>
      </w:hyperlink>
      <w:r w:rsidRPr="003A68B6">
        <w:rPr>
          <w:rFonts w:eastAsia="Arial" w:cs="Arial"/>
        </w:rPr>
        <w:tab/>
      </w:r>
      <w:hyperlink w:anchor="h24" w:history="1">
        <w:r w:rsidRPr="003A68B6">
          <w:rPr>
            <w:rFonts w:eastAsia="Arial" w:cs="Arial"/>
          </w:rPr>
          <w:t>6</w:t>
        </w:r>
      </w:hyperlink>
    </w:p>
    <w:p w14:paraId="4EA94468" w14:textId="77777777" w:rsidR="00542976" w:rsidRPr="003A68B6" w:rsidRDefault="00000000">
      <w:pPr>
        <w:tabs>
          <w:tab w:val="right" w:leader="dot" w:pos="9144"/>
        </w:tabs>
        <w:ind w:left="360"/>
      </w:pPr>
      <w:hyperlink w:anchor="h25" w:history="1">
        <w:r w:rsidRPr="003A68B6">
          <w:rPr>
            <w:rFonts w:eastAsia="Arial" w:cs="Arial"/>
          </w:rPr>
          <w:t xml:space="preserve">2.5 </w:t>
        </w:r>
        <w:proofErr w:type="spellStart"/>
        <w:r w:rsidRPr="003A68B6">
          <w:rPr>
            <w:rFonts w:eastAsia="Arial" w:cs="Arial"/>
          </w:rPr>
          <w:t>Prioritisation</w:t>
        </w:r>
        <w:proofErr w:type="spellEnd"/>
      </w:hyperlink>
      <w:r w:rsidRPr="003A68B6">
        <w:rPr>
          <w:rFonts w:eastAsia="Arial" w:cs="Arial"/>
        </w:rPr>
        <w:tab/>
      </w:r>
      <w:hyperlink w:anchor="h25" w:history="1">
        <w:r w:rsidRPr="003A68B6">
          <w:rPr>
            <w:rFonts w:eastAsia="Arial" w:cs="Arial"/>
          </w:rPr>
          <w:t>6</w:t>
        </w:r>
      </w:hyperlink>
    </w:p>
    <w:p w14:paraId="4EB23514" w14:textId="77777777" w:rsidR="00542976" w:rsidRPr="003A68B6" w:rsidRDefault="00000000">
      <w:pPr>
        <w:keepNext/>
        <w:tabs>
          <w:tab w:val="right" w:leader="dot" w:pos="9144"/>
        </w:tabs>
      </w:pPr>
      <w:hyperlink w:anchor="h3_task2" w:history="1">
        <w:r w:rsidRPr="003A68B6">
          <w:rPr>
            <w:rFonts w:eastAsia="Arial" w:cs="Arial"/>
          </w:rPr>
          <w:t xml:space="preserve">3. Task 2: Applying Design Thinking to Deliveroo </w:t>
        </w:r>
        <w:proofErr w:type="spellStart"/>
        <w:r w:rsidRPr="003A68B6">
          <w:rPr>
            <w:rFonts w:eastAsia="Arial" w:cs="Arial"/>
          </w:rPr>
          <w:t>LocalLink</w:t>
        </w:r>
        <w:proofErr w:type="spellEnd"/>
      </w:hyperlink>
      <w:r w:rsidRPr="003A68B6">
        <w:rPr>
          <w:rFonts w:eastAsia="Arial" w:cs="Arial"/>
        </w:rPr>
        <w:tab/>
      </w:r>
      <w:hyperlink w:anchor="h3_task2" w:history="1">
        <w:r w:rsidRPr="003A68B6">
          <w:rPr>
            <w:rFonts w:eastAsia="Arial" w:cs="Arial"/>
          </w:rPr>
          <w:t>8</w:t>
        </w:r>
      </w:hyperlink>
    </w:p>
    <w:p w14:paraId="25AB1E4D" w14:textId="77777777" w:rsidR="00542976" w:rsidRPr="003A68B6" w:rsidRDefault="00000000">
      <w:pPr>
        <w:tabs>
          <w:tab w:val="right" w:leader="dot" w:pos="9144"/>
        </w:tabs>
        <w:ind w:left="360"/>
      </w:pPr>
      <w:hyperlink w:anchor="h31" w:history="1">
        <w:r w:rsidRPr="003A68B6">
          <w:rPr>
            <w:rFonts w:eastAsia="Arial" w:cs="Arial"/>
          </w:rPr>
          <w:t>3.1 Venture concept and goals</w:t>
        </w:r>
      </w:hyperlink>
      <w:r w:rsidRPr="003A68B6">
        <w:rPr>
          <w:rFonts w:eastAsia="Arial" w:cs="Arial"/>
        </w:rPr>
        <w:tab/>
      </w:r>
      <w:hyperlink w:anchor="h31" w:history="1">
        <w:r w:rsidRPr="003A68B6">
          <w:rPr>
            <w:rFonts w:eastAsia="Arial" w:cs="Arial"/>
          </w:rPr>
          <w:t>8</w:t>
        </w:r>
      </w:hyperlink>
    </w:p>
    <w:p w14:paraId="30B6483D" w14:textId="77777777" w:rsidR="00542976" w:rsidRPr="003A68B6" w:rsidRDefault="00000000">
      <w:pPr>
        <w:tabs>
          <w:tab w:val="right" w:leader="dot" w:pos="9144"/>
        </w:tabs>
        <w:ind w:left="360"/>
      </w:pPr>
      <w:hyperlink w:anchor="h32" w:history="1">
        <w:r w:rsidRPr="003A68B6">
          <w:rPr>
            <w:rFonts w:eastAsia="Arial" w:cs="Arial"/>
          </w:rPr>
          <w:t xml:space="preserve">3.2 </w:t>
        </w:r>
        <w:proofErr w:type="spellStart"/>
        <w:r w:rsidRPr="003A68B6">
          <w:rPr>
            <w:rFonts w:eastAsia="Arial" w:cs="Arial"/>
          </w:rPr>
          <w:t>Empathise</w:t>
        </w:r>
        <w:proofErr w:type="spellEnd"/>
      </w:hyperlink>
      <w:r w:rsidRPr="003A68B6">
        <w:rPr>
          <w:rFonts w:eastAsia="Arial" w:cs="Arial"/>
        </w:rPr>
        <w:tab/>
      </w:r>
      <w:hyperlink w:anchor="h32" w:history="1">
        <w:r w:rsidRPr="003A68B6">
          <w:rPr>
            <w:rFonts w:eastAsia="Arial" w:cs="Arial"/>
          </w:rPr>
          <w:t>8</w:t>
        </w:r>
      </w:hyperlink>
    </w:p>
    <w:p w14:paraId="5BFE24F3" w14:textId="77777777" w:rsidR="00542976" w:rsidRPr="003A68B6" w:rsidRDefault="00000000">
      <w:pPr>
        <w:tabs>
          <w:tab w:val="right" w:leader="dot" w:pos="9144"/>
        </w:tabs>
        <w:ind w:left="360"/>
      </w:pPr>
      <w:hyperlink w:anchor="h33" w:history="1">
        <w:r w:rsidRPr="003A68B6">
          <w:rPr>
            <w:rFonts w:eastAsia="Arial" w:cs="Arial"/>
          </w:rPr>
          <w:t>3.3 Define</w:t>
        </w:r>
      </w:hyperlink>
      <w:r w:rsidRPr="003A68B6">
        <w:rPr>
          <w:rFonts w:eastAsia="Arial" w:cs="Arial"/>
        </w:rPr>
        <w:tab/>
      </w:r>
      <w:hyperlink w:anchor="h33" w:history="1">
        <w:r w:rsidRPr="003A68B6">
          <w:rPr>
            <w:rFonts w:eastAsia="Arial" w:cs="Arial"/>
          </w:rPr>
          <w:t>9</w:t>
        </w:r>
      </w:hyperlink>
    </w:p>
    <w:p w14:paraId="3FDC617C" w14:textId="77777777" w:rsidR="00542976" w:rsidRPr="003A68B6" w:rsidRDefault="00000000">
      <w:pPr>
        <w:tabs>
          <w:tab w:val="right" w:leader="dot" w:pos="9144"/>
        </w:tabs>
        <w:ind w:left="360"/>
      </w:pPr>
      <w:hyperlink w:anchor="h34" w:history="1">
        <w:r w:rsidRPr="003A68B6">
          <w:rPr>
            <w:rFonts w:eastAsia="Arial" w:cs="Arial"/>
          </w:rPr>
          <w:t>3.4 Ideate</w:t>
        </w:r>
      </w:hyperlink>
      <w:r w:rsidRPr="003A68B6">
        <w:rPr>
          <w:rFonts w:eastAsia="Arial" w:cs="Arial"/>
        </w:rPr>
        <w:tab/>
      </w:r>
      <w:hyperlink w:anchor="h34" w:history="1">
        <w:r w:rsidRPr="003A68B6">
          <w:rPr>
            <w:rFonts w:eastAsia="Arial" w:cs="Arial"/>
          </w:rPr>
          <w:t>10</w:t>
        </w:r>
      </w:hyperlink>
    </w:p>
    <w:p w14:paraId="04949869" w14:textId="77777777" w:rsidR="00542976" w:rsidRPr="003A68B6" w:rsidRDefault="00000000">
      <w:pPr>
        <w:tabs>
          <w:tab w:val="right" w:leader="dot" w:pos="9144"/>
        </w:tabs>
        <w:ind w:left="360"/>
      </w:pPr>
      <w:hyperlink w:anchor="h35" w:history="1">
        <w:r w:rsidRPr="003A68B6">
          <w:rPr>
            <w:rFonts w:eastAsia="Arial" w:cs="Arial"/>
          </w:rPr>
          <w:t>3.5 Prototype and minimum viable product</w:t>
        </w:r>
      </w:hyperlink>
      <w:r w:rsidRPr="003A68B6">
        <w:rPr>
          <w:rFonts w:eastAsia="Arial" w:cs="Arial"/>
        </w:rPr>
        <w:tab/>
      </w:r>
      <w:hyperlink w:anchor="h35" w:history="1">
        <w:r w:rsidRPr="003A68B6">
          <w:rPr>
            <w:rFonts w:eastAsia="Arial" w:cs="Arial"/>
          </w:rPr>
          <w:t>11</w:t>
        </w:r>
      </w:hyperlink>
    </w:p>
    <w:p w14:paraId="53A796C3" w14:textId="77777777" w:rsidR="00542976" w:rsidRPr="003A68B6" w:rsidRDefault="00000000">
      <w:pPr>
        <w:tabs>
          <w:tab w:val="right" w:leader="dot" w:pos="9144"/>
        </w:tabs>
        <w:ind w:left="360"/>
      </w:pPr>
      <w:hyperlink w:anchor="h36" w:history="1">
        <w:r w:rsidRPr="003A68B6">
          <w:rPr>
            <w:rFonts w:eastAsia="Arial" w:cs="Arial"/>
          </w:rPr>
          <w:t>3.6 Test and refine</w:t>
        </w:r>
      </w:hyperlink>
      <w:r w:rsidRPr="003A68B6">
        <w:rPr>
          <w:rFonts w:eastAsia="Arial" w:cs="Arial"/>
        </w:rPr>
        <w:tab/>
      </w:r>
      <w:hyperlink w:anchor="h36" w:history="1">
        <w:r w:rsidRPr="003A68B6">
          <w:rPr>
            <w:rFonts w:eastAsia="Arial" w:cs="Arial"/>
          </w:rPr>
          <w:t>12</w:t>
        </w:r>
      </w:hyperlink>
    </w:p>
    <w:p w14:paraId="5F4F8D88" w14:textId="77777777" w:rsidR="00542976" w:rsidRPr="003A68B6" w:rsidRDefault="00000000">
      <w:pPr>
        <w:tabs>
          <w:tab w:val="right" w:leader="dot" w:pos="9144"/>
        </w:tabs>
        <w:ind w:left="360"/>
      </w:pPr>
      <w:hyperlink w:anchor="h37" w:history="1">
        <w:r w:rsidRPr="003A68B6">
          <w:rPr>
            <w:rFonts w:eastAsia="Arial" w:cs="Arial"/>
          </w:rPr>
          <w:t xml:space="preserve">3.7 Scalability, </w:t>
        </w:r>
        <w:proofErr w:type="gramStart"/>
        <w:r w:rsidRPr="003A68B6">
          <w:rPr>
            <w:rFonts w:eastAsia="Arial" w:cs="Arial"/>
          </w:rPr>
          <w:t>sustainability</w:t>
        </w:r>
        <w:proofErr w:type="gramEnd"/>
        <w:r w:rsidRPr="003A68B6">
          <w:rPr>
            <w:rFonts w:eastAsia="Arial" w:cs="Arial"/>
          </w:rPr>
          <w:t xml:space="preserve"> and risks</w:t>
        </w:r>
      </w:hyperlink>
      <w:r w:rsidRPr="003A68B6">
        <w:rPr>
          <w:rFonts w:eastAsia="Arial" w:cs="Arial"/>
        </w:rPr>
        <w:tab/>
      </w:r>
      <w:hyperlink w:anchor="h37" w:history="1">
        <w:r w:rsidRPr="003A68B6">
          <w:rPr>
            <w:rFonts w:eastAsia="Arial" w:cs="Arial"/>
          </w:rPr>
          <w:t>13</w:t>
        </w:r>
      </w:hyperlink>
    </w:p>
    <w:p w14:paraId="09F57A51" w14:textId="77777777" w:rsidR="00542976" w:rsidRPr="003A68B6" w:rsidRDefault="00000000">
      <w:pPr>
        <w:tabs>
          <w:tab w:val="right" w:leader="dot" w:pos="9144"/>
        </w:tabs>
      </w:pPr>
      <w:hyperlink w:anchor="h4_conclusion" w:history="1">
        <w:r w:rsidRPr="003A68B6">
          <w:rPr>
            <w:rFonts w:eastAsia="Arial" w:cs="Arial"/>
          </w:rPr>
          <w:t>4. Conclusion</w:t>
        </w:r>
      </w:hyperlink>
      <w:r w:rsidRPr="003A68B6">
        <w:rPr>
          <w:rFonts w:eastAsia="Arial" w:cs="Arial"/>
        </w:rPr>
        <w:tab/>
      </w:r>
      <w:hyperlink w:anchor="h4_conclusion" w:history="1">
        <w:r w:rsidRPr="003A68B6">
          <w:rPr>
            <w:rFonts w:eastAsia="Arial" w:cs="Arial"/>
          </w:rPr>
          <w:t>14</w:t>
        </w:r>
      </w:hyperlink>
    </w:p>
    <w:p w14:paraId="29623C16" w14:textId="03087A97" w:rsidR="00542976" w:rsidRPr="003A68B6" w:rsidRDefault="003A68B6">
      <w:pPr>
        <w:tabs>
          <w:tab w:val="right" w:leader="dot" w:pos="9144"/>
        </w:tabs>
      </w:pPr>
      <w:r>
        <w:t xml:space="preserve">5. </w:t>
      </w:r>
      <w:hyperlink w:anchor="h_refs" w:history="1">
        <w:r w:rsidR="00000000" w:rsidRPr="003A68B6">
          <w:rPr>
            <w:rFonts w:eastAsia="Arial" w:cs="Arial"/>
          </w:rPr>
          <w:t>Reference List</w:t>
        </w:r>
      </w:hyperlink>
      <w:r w:rsidR="00000000" w:rsidRPr="003A68B6">
        <w:rPr>
          <w:rFonts w:eastAsia="Arial" w:cs="Arial"/>
        </w:rPr>
        <w:tab/>
      </w:r>
      <w:hyperlink w:anchor="h_refs" w:history="1">
        <w:r w:rsidR="00000000" w:rsidRPr="003A68B6">
          <w:rPr>
            <w:rFonts w:eastAsia="Arial" w:cs="Arial"/>
          </w:rPr>
          <w:t>15</w:t>
        </w:r>
      </w:hyperlink>
    </w:p>
    <w:p w14:paraId="38A7D67C" w14:textId="77777777" w:rsidR="00542976" w:rsidRPr="003A68B6" w:rsidRDefault="00542976"/>
    <w:p w14:paraId="19DC1942" w14:textId="77777777" w:rsidR="00542976" w:rsidRDefault="00000000">
      <w:pPr>
        <w:pStyle w:val="Heading1"/>
        <w:pageBreakBefore/>
      </w:pPr>
      <w:bookmarkStart w:id="1" w:name="h1_intro"/>
      <w:r>
        <w:rPr>
          <w:rFonts w:ascii="Arial" w:eastAsia="Arial" w:hAnsi="Arial" w:cs="Arial"/>
        </w:rPr>
        <w:lastRenderedPageBreak/>
        <w:t>1. Introduction</w:t>
      </w:r>
      <w:bookmarkEnd w:id="1"/>
    </w:p>
    <w:p w14:paraId="2BC1B406" w14:textId="77777777" w:rsidR="00542976" w:rsidRDefault="00000000">
      <w:r>
        <w:rPr>
          <w:rFonts w:eastAsia="Arial" w:cs="Arial"/>
        </w:rPr>
        <w:t>Post-pandemic digital adoption created a large UK market, but the headline figures should not be treated as proof that every digital venture is attractive. Online sales represented 28.1% of retail spending in Great Britain in April 2026, and the UK had about 5.7 million private-sector businesses at the start of 2025, of which 99.85% were SMEs (Office for National Statistics, 2026; Department for Business and Trade, 2025a). These aggregates conceal important differences in digital capability, population density and purchasing power. Rural demand may be real, yet delivery costs can remain uneconomic because orders are geographically dispersed. The strategic problem is therefore not a general shortage of e-commerce. It is the mismatch between city-based platform economics and lower-density local markets.</w:t>
      </w:r>
    </w:p>
    <w:p w14:paraId="412402C0" w14:textId="77777777" w:rsidR="00542976" w:rsidRDefault="00000000">
      <w:r>
        <w:rPr>
          <w:rFonts w:eastAsia="Arial" w:cs="Arial"/>
        </w:rPr>
        <w:t xml:space="preserve">Deliveroo is an appropriate focal company because its marketplace already coordinates consumers, </w:t>
      </w:r>
      <w:proofErr w:type="gramStart"/>
      <w:r>
        <w:rPr>
          <w:rFonts w:eastAsia="Arial" w:cs="Arial"/>
        </w:rPr>
        <w:t>merchants</w:t>
      </w:r>
      <w:proofErr w:type="gramEnd"/>
      <w:r>
        <w:rPr>
          <w:rFonts w:eastAsia="Arial" w:cs="Arial"/>
        </w:rPr>
        <w:t xml:space="preserve"> and riders. </w:t>
      </w:r>
      <w:proofErr w:type="spellStart"/>
      <w:r>
        <w:rPr>
          <w:rFonts w:eastAsia="Arial" w:cs="Arial"/>
        </w:rPr>
        <w:t>DoorDash</w:t>
      </w:r>
      <w:proofErr w:type="spellEnd"/>
      <w:r>
        <w:rPr>
          <w:rFonts w:eastAsia="Arial" w:cs="Arial"/>
        </w:rPr>
        <w:t xml:space="preserve"> completed its acquisition of Deliveroo in October 2025, although Deliveroo continues to operate as a </w:t>
      </w:r>
      <w:proofErr w:type="spellStart"/>
      <w:r>
        <w:rPr>
          <w:rFonts w:eastAsia="Arial" w:cs="Arial"/>
        </w:rPr>
        <w:t>recognised</w:t>
      </w:r>
      <w:proofErr w:type="spellEnd"/>
      <w:r>
        <w:rPr>
          <w:rFonts w:eastAsia="Arial" w:cs="Arial"/>
        </w:rPr>
        <w:t xml:space="preserve"> platform and brand (</w:t>
      </w:r>
      <w:proofErr w:type="spellStart"/>
      <w:r>
        <w:rPr>
          <w:rFonts w:eastAsia="Arial" w:cs="Arial"/>
        </w:rPr>
        <w:t>DoorDash</w:t>
      </w:r>
      <w:proofErr w:type="spellEnd"/>
      <w:r>
        <w:rPr>
          <w:rFonts w:eastAsia="Arial" w:cs="Arial"/>
        </w:rPr>
        <w:t xml:space="preserve">, 2025). Deliveroo </w:t>
      </w:r>
      <w:proofErr w:type="spellStart"/>
      <w:r>
        <w:rPr>
          <w:rFonts w:eastAsia="Arial" w:cs="Arial"/>
        </w:rPr>
        <w:t>LocalLink</w:t>
      </w:r>
      <w:proofErr w:type="spellEnd"/>
      <w:r>
        <w:rPr>
          <w:rFonts w:eastAsia="Arial" w:cs="Arial"/>
        </w:rPr>
        <w:t xml:space="preserve"> is a proposed venture, not an existing service. It would combine scheduled local delivery with simple merchant tools rather than copy the urban promise of rapid restaurant delivery. The report applies </w:t>
      </w:r>
      <w:proofErr w:type="spellStart"/>
      <w:r>
        <w:rPr>
          <w:rFonts w:eastAsia="Arial" w:cs="Arial"/>
        </w:rPr>
        <w:t>Empathise</w:t>
      </w:r>
      <w:proofErr w:type="spellEnd"/>
      <w:r>
        <w:rPr>
          <w:rFonts w:eastAsia="Arial" w:cs="Arial"/>
        </w:rPr>
        <w:t xml:space="preserve">, Define, Ideate, Prototype and Test, but does not assume that Design Thinking alone is sufficient. Because the framework can understate power differences, platform economics and operational constraints, it is combined with the Double Diamond, systems thinking, Five Whys, lean </w:t>
      </w:r>
      <w:proofErr w:type="gramStart"/>
      <w:r>
        <w:rPr>
          <w:rFonts w:eastAsia="Arial" w:cs="Arial"/>
        </w:rPr>
        <w:t>experimentation</w:t>
      </w:r>
      <w:proofErr w:type="gramEnd"/>
      <w:r>
        <w:rPr>
          <w:rFonts w:eastAsia="Arial" w:cs="Arial"/>
        </w:rPr>
        <w:t xml:space="preserve"> and business-model analysis (Micheli et al., 2019; Design Council, 2019; Liedtka, 2015).</w:t>
      </w:r>
    </w:p>
    <w:p w14:paraId="1D8A5EE9" w14:textId="77777777" w:rsidR="00542976" w:rsidRDefault="00000000">
      <w:pPr>
        <w:pStyle w:val="Heading1"/>
      </w:pPr>
      <w:bookmarkStart w:id="2" w:name="h2_task1"/>
      <w:r>
        <w:rPr>
          <w:rFonts w:ascii="Arial" w:eastAsia="Arial" w:hAnsi="Arial" w:cs="Arial"/>
        </w:rPr>
        <w:t>2. Task 1: Opportunity areas in the UK market</w:t>
      </w:r>
      <w:bookmarkEnd w:id="2"/>
    </w:p>
    <w:p w14:paraId="6067DE58" w14:textId="77777777" w:rsidR="00542976" w:rsidRDefault="00000000">
      <w:r>
        <w:rPr>
          <w:rFonts w:eastAsia="Arial" w:cs="Arial"/>
        </w:rPr>
        <w:t>A Design Thinking lens is useful only when human desirability is tested against technical feasibility and commercial viability. Brown's (2008) three-way logic is therefore applied as a constraint rather than a slogan. A popular idea may still fail if delivery density is too low, while an efficient service may be unacceptable if it transfers risk to riders or merchants. The opportunity analysis consequently asks not only what users want, but which unmet needs Deliveroo can address more effectively than existing retailers, parcel carriers or software providers.</w:t>
      </w:r>
    </w:p>
    <w:p w14:paraId="0BC9BDAC" w14:textId="77777777" w:rsidR="00542976" w:rsidRDefault="00000000">
      <w:r>
        <w:rPr>
          <w:rFonts w:eastAsia="Arial" w:cs="Arial"/>
        </w:rPr>
        <w:t xml:space="preserve">The external environment supports experimentation but not indiscriminate expansion. Government policy </w:t>
      </w:r>
      <w:proofErr w:type="spellStart"/>
      <w:r>
        <w:rPr>
          <w:rFonts w:eastAsia="Arial" w:cs="Arial"/>
        </w:rPr>
        <w:t>recognises</w:t>
      </w:r>
      <w:proofErr w:type="spellEnd"/>
      <w:r>
        <w:rPr>
          <w:rFonts w:eastAsia="Arial" w:cs="Arial"/>
        </w:rPr>
        <w:t xml:space="preserve"> an SME digital-capability gap, yet the existence of that gap does not guarantee willingness to adopt another platform (Department for Business and Trade, 2025b). Deliveroo's current model is strongest where many orders can be combined within short distances, whereas rural indoor 4G coverage remains below urban levels (</w:t>
      </w:r>
      <w:proofErr w:type="spellStart"/>
      <w:r>
        <w:rPr>
          <w:rFonts w:eastAsia="Arial" w:cs="Arial"/>
        </w:rPr>
        <w:t>Ofcom</w:t>
      </w:r>
      <w:proofErr w:type="spellEnd"/>
      <w:r>
        <w:rPr>
          <w:rFonts w:eastAsia="Arial" w:cs="Arial"/>
        </w:rPr>
        <w:t xml:space="preserve">, 2025). Connectivity is therefore a constraint, but not the main one. Better signal cannot make a thin route profitable. The more influential issue is </w:t>
      </w:r>
      <w:r>
        <w:rPr>
          <w:rFonts w:eastAsia="Arial" w:cs="Arial"/>
        </w:rPr>
        <w:lastRenderedPageBreak/>
        <w:t xml:space="preserve">whether </w:t>
      </w:r>
      <w:proofErr w:type="spellStart"/>
      <w:r>
        <w:rPr>
          <w:rFonts w:eastAsia="Arial" w:cs="Arial"/>
        </w:rPr>
        <w:t>LocalLink</w:t>
      </w:r>
      <w:proofErr w:type="spellEnd"/>
      <w:r>
        <w:rPr>
          <w:rFonts w:eastAsia="Arial" w:cs="Arial"/>
        </w:rPr>
        <w:t xml:space="preserve"> can pool enough demand to reduce cost per order without weakening service quality, merchant control or rider earnings.</w:t>
      </w:r>
    </w:p>
    <w:p w14:paraId="557E31F2" w14:textId="77777777" w:rsidR="00542976" w:rsidRDefault="00000000">
      <w:pPr>
        <w:keepNext/>
        <w:spacing w:before="100" w:after="40"/>
      </w:pPr>
      <w:r>
        <w:rPr>
          <w:rFonts w:eastAsia="Arial" w:cs="Arial"/>
          <w:b/>
        </w:rPr>
        <w:t>Table 1. Opportunity summary</w:t>
      </w:r>
    </w:p>
    <w:tbl>
      <w:tblPr>
        <w:tblStyle w:val="TableGrid"/>
        <w:tblW w:w="0" w:type="auto"/>
        <w:jc w:val="center"/>
        <w:tblLook w:val="04A0" w:firstRow="1" w:lastRow="0" w:firstColumn="1" w:lastColumn="0" w:noHBand="0" w:noVBand="1"/>
      </w:tblPr>
      <w:tblGrid>
        <w:gridCol w:w="2484"/>
        <w:gridCol w:w="2484"/>
        <w:gridCol w:w="2484"/>
        <w:gridCol w:w="2484"/>
      </w:tblGrid>
      <w:tr w:rsidR="00542976" w14:paraId="6DE7401B" w14:textId="77777777">
        <w:trPr>
          <w:cantSplit/>
          <w:tblHeader/>
          <w:jc w:val="center"/>
        </w:trPr>
        <w:tc>
          <w:tcPr>
            <w:tcW w:w="2484" w:type="dxa"/>
            <w:shd w:val="clear" w:color="auto" w:fill="E7E6E6"/>
            <w:tcMar>
              <w:top w:w="70" w:type="dxa"/>
              <w:left w:w="70" w:type="dxa"/>
              <w:bottom w:w="70" w:type="dxa"/>
              <w:right w:w="70" w:type="dxa"/>
            </w:tcMar>
            <w:vAlign w:val="center"/>
          </w:tcPr>
          <w:p w14:paraId="654EEF2C" w14:textId="77777777" w:rsidR="00542976" w:rsidRDefault="00000000">
            <w:r>
              <w:rPr>
                <w:rFonts w:eastAsia="Arial" w:cs="Arial"/>
                <w:b/>
              </w:rPr>
              <w:t>Opportunity</w:t>
            </w:r>
          </w:p>
        </w:tc>
        <w:tc>
          <w:tcPr>
            <w:tcW w:w="2484" w:type="dxa"/>
            <w:shd w:val="clear" w:color="auto" w:fill="E7E6E6"/>
            <w:tcMar>
              <w:top w:w="70" w:type="dxa"/>
              <w:left w:w="70" w:type="dxa"/>
              <w:bottom w:w="70" w:type="dxa"/>
              <w:right w:w="70" w:type="dxa"/>
            </w:tcMar>
            <w:vAlign w:val="center"/>
          </w:tcPr>
          <w:p w14:paraId="203A5828" w14:textId="77777777" w:rsidR="00542976" w:rsidRDefault="00000000">
            <w:r>
              <w:rPr>
                <w:rFonts w:eastAsia="Arial" w:cs="Arial"/>
                <w:b/>
              </w:rPr>
              <w:t>Main user pain or market gap</w:t>
            </w:r>
          </w:p>
        </w:tc>
        <w:tc>
          <w:tcPr>
            <w:tcW w:w="2484" w:type="dxa"/>
            <w:shd w:val="clear" w:color="auto" w:fill="E7E6E6"/>
            <w:tcMar>
              <w:top w:w="70" w:type="dxa"/>
              <w:left w:w="70" w:type="dxa"/>
              <w:bottom w:w="70" w:type="dxa"/>
              <w:right w:w="70" w:type="dxa"/>
            </w:tcMar>
            <w:vAlign w:val="center"/>
          </w:tcPr>
          <w:p w14:paraId="7954C2F4" w14:textId="77777777" w:rsidR="00542976" w:rsidRDefault="00000000">
            <w:r>
              <w:rPr>
                <w:rFonts w:eastAsia="Arial" w:cs="Arial"/>
                <w:b/>
              </w:rPr>
              <w:t>Key enablers</w:t>
            </w:r>
          </w:p>
        </w:tc>
        <w:tc>
          <w:tcPr>
            <w:tcW w:w="2484" w:type="dxa"/>
            <w:shd w:val="clear" w:color="auto" w:fill="E7E6E6"/>
            <w:tcMar>
              <w:top w:w="70" w:type="dxa"/>
              <w:left w:w="70" w:type="dxa"/>
              <w:bottom w:w="70" w:type="dxa"/>
              <w:right w:w="70" w:type="dxa"/>
            </w:tcMar>
            <w:vAlign w:val="center"/>
          </w:tcPr>
          <w:p w14:paraId="43C81555" w14:textId="77777777" w:rsidR="00542976" w:rsidRDefault="00000000">
            <w:r>
              <w:rPr>
                <w:rFonts w:eastAsia="Arial" w:cs="Arial"/>
                <w:b/>
              </w:rPr>
              <w:t>Critical scalability and sustainability test</w:t>
            </w:r>
          </w:p>
        </w:tc>
      </w:tr>
      <w:tr w:rsidR="00542976" w14:paraId="33BB9047" w14:textId="77777777">
        <w:trPr>
          <w:cantSplit/>
          <w:jc w:val="center"/>
        </w:trPr>
        <w:tc>
          <w:tcPr>
            <w:tcW w:w="2484" w:type="dxa"/>
            <w:tcMar>
              <w:top w:w="70" w:type="dxa"/>
              <w:left w:w="70" w:type="dxa"/>
              <w:bottom w:w="70" w:type="dxa"/>
              <w:right w:w="70" w:type="dxa"/>
            </w:tcMar>
            <w:vAlign w:val="center"/>
          </w:tcPr>
          <w:p w14:paraId="5B935108" w14:textId="77777777" w:rsidR="00542976" w:rsidRDefault="00000000">
            <w:r>
              <w:rPr>
                <w:rFonts w:eastAsia="Arial" w:cs="Arial"/>
              </w:rPr>
              <w:t>Consolidated delivery</w:t>
            </w:r>
          </w:p>
        </w:tc>
        <w:tc>
          <w:tcPr>
            <w:tcW w:w="2484" w:type="dxa"/>
            <w:tcMar>
              <w:top w:w="70" w:type="dxa"/>
              <w:left w:w="70" w:type="dxa"/>
              <w:bottom w:w="70" w:type="dxa"/>
              <w:right w:w="70" w:type="dxa"/>
            </w:tcMar>
            <w:vAlign w:val="center"/>
          </w:tcPr>
          <w:p w14:paraId="3D98783F" w14:textId="77777777" w:rsidR="00542976" w:rsidRDefault="00000000">
            <w:r>
              <w:rPr>
                <w:rFonts w:eastAsia="Arial" w:cs="Arial"/>
              </w:rPr>
              <w:t>High cost and weak availability in lower-density areas</w:t>
            </w:r>
          </w:p>
        </w:tc>
        <w:tc>
          <w:tcPr>
            <w:tcW w:w="2484" w:type="dxa"/>
            <w:tcMar>
              <w:top w:w="70" w:type="dxa"/>
              <w:left w:w="70" w:type="dxa"/>
              <w:bottom w:w="70" w:type="dxa"/>
              <w:right w:w="70" w:type="dxa"/>
            </w:tcMar>
            <w:vAlign w:val="center"/>
          </w:tcPr>
          <w:p w14:paraId="1D49E8A6" w14:textId="77777777" w:rsidR="00542976" w:rsidRDefault="00000000">
            <w:r>
              <w:rPr>
                <w:rFonts w:eastAsia="Arial" w:cs="Arial"/>
              </w:rPr>
              <w:t xml:space="preserve">Route </w:t>
            </w:r>
            <w:proofErr w:type="spellStart"/>
            <w:r>
              <w:rPr>
                <w:rFonts w:eastAsia="Arial" w:cs="Arial"/>
              </w:rPr>
              <w:t>optimisation</w:t>
            </w:r>
            <w:proofErr w:type="spellEnd"/>
            <w:r>
              <w:rPr>
                <w:rFonts w:eastAsia="Arial" w:cs="Arial"/>
              </w:rPr>
              <w:t>, demand pooling, tracking</w:t>
            </w:r>
          </w:p>
        </w:tc>
        <w:tc>
          <w:tcPr>
            <w:tcW w:w="2484" w:type="dxa"/>
            <w:tcMar>
              <w:top w:w="70" w:type="dxa"/>
              <w:left w:w="70" w:type="dxa"/>
              <w:bottom w:w="70" w:type="dxa"/>
              <w:right w:w="70" w:type="dxa"/>
            </w:tcMar>
            <w:vAlign w:val="center"/>
          </w:tcPr>
          <w:p w14:paraId="376EE107" w14:textId="77777777" w:rsidR="00542976" w:rsidRDefault="00000000">
            <w:r>
              <w:rPr>
                <w:rFonts w:eastAsia="Arial" w:cs="Arial"/>
              </w:rPr>
              <w:t xml:space="preserve">Enough orders per route; fewer </w:t>
            </w:r>
            <w:proofErr w:type="spellStart"/>
            <w:r>
              <w:rPr>
                <w:rFonts w:eastAsia="Arial" w:cs="Arial"/>
              </w:rPr>
              <w:t>kilometres</w:t>
            </w:r>
            <w:proofErr w:type="spellEnd"/>
            <w:r>
              <w:rPr>
                <w:rFonts w:eastAsia="Arial" w:cs="Arial"/>
              </w:rPr>
              <w:t xml:space="preserve"> per order</w:t>
            </w:r>
          </w:p>
        </w:tc>
      </w:tr>
      <w:tr w:rsidR="00542976" w14:paraId="5ED06975" w14:textId="77777777">
        <w:trPr>
          <w:cantSplit/>
          <w:jc w:val="center"/>
        </w:trPr>
        <w:tc>
          <w:tcPr>
            <w:tcW w:w="2484" w:type="dxa"/>
            <w:tcMar>
              <w:top w:w="70" w:type="dxa"/>
              <w:left w:w="70" w:type="dxa"/>
              <w:bottom w:w="70" w:type="dxa"/>
              <w:right w:w="70" w:type="dxa"/>
            </w:tcMar>
            <w:vAlign w:val="center"/>
          </w:tcPr>
          <w:p w14:paraId="3D9AB941" w14:textId="77777777" w:rsidR="00542976" w:rsidRDefault="00000000">
            <w:r>
              <w:rPr>
                <w:rFonts w:eastAsia="Arial" w:cs="Arial"/>
              </w:rPr>
              <w:t>Merchant operating layer</w:t>
            </w:r>
          </w:p>
        </w:tc>
        <w:tc>
          <w:tcPr>
            <w:tcW w:w="2484" w:type="dxa"/>
            <w:tcMar>
              <w:top w:w="70" w:type="dxa"/>
              <w:left w:w="70" w:type="dxa"/>
              <w:bottom w:w="70" w:type="dxa"/>
              <w:right w:w="70" w:type="dxa"/>
            </w:tcMar>
            <w:vAlign w:val="center"/>
          </w:tcPr>
          <w:p w14:paraId="73C1B4B2" w14:textId="77777777" w:rsidR="00542976" w:rsidRDefault="00000000">
            <w:r>
              <w:rPr>
                <w:rFonts w:eastAsia="Arial" w:cs="Arial"/>
              </w:rPr>
              <w:t xml:space="preserve">Fragmented orders, payments, </w:t>
            </w:r>
            <w:proofErr w:type="gramStart"/>
            <w:r>
              <w:rPr>
                <w:rFonts w:eastAsia="Arial" w:cs="Arial"/>
              </w:rPr>
              <w:t>stock</w:t>
            </w:r>
            <w:proofErr w:type="gramEnd"/>
            <w:r>
              <w:rPr>
                <w:rFonts w:eastAsia="Arial" w:cs="Arial"/>
              </w:rPr>
              <w:t xml:space="preserve"> and messaging</w:t>
            </w:r>
          </w:p>
        </w:tc>
        <w:tc>
          <w:tcPr>
            <w:tcW w:w="2484" w:type="dxa"/>
            <w:tcMar>
              <w:top w:w="70" w:type="dxa"/>
              <w:left w:w="70" w:type="dxa"/>
              <w:bottom w:w="70" w:type="dxa"/>
              <w:right w:w="70" w:type="dxa"/>
            </w:tcMar>
            <w:vAlign w:val="center"/>
          </w:tcPr>
          <w:p w14:paraId="693E18CE" w14:textId="77777777" w:rsidR="00542976" w:rsidRDefault="00000000">
            <w:r>
              <w:rPr>
                <w:rFonts w:eastAsia="Arial" w:cs="Arial"/>
              </w:rPr>
              <w:t>Cloud tools, APIs, QR codes, mobile storefronts</w:t>
            </w:r>
          </w:p>
        </w:tc>
        <w:tc>
          <w:tcPr>
            <w:tcW w:w="2484" w:type="dxa"/>
            <w:tcMar>
              <w:top w:w="70" w:type="dxa"/>
              <w:left w:w="70" w:type="dxa"/>
              <w:bottom w:w="70" w:type="dxa"/>
              <w:right w:w="70" w:type="dxa"/>
            </w:tcMar>
            <w:vAlign w:val="center"/>
          </w:tcPr>
          <w:p w14:paraId="0E4A98B1" w14:textId="77777777" w:rsidR="00542976" w:rsidRDefault="00000000">
            <w:r>
              <w:rPr>
                <w:rFonts w:eastAsia="Arial" w:cs="Arial"/>
              </w:rPr>
              <w:t>Fast onboarding and support cost below recurring revenue</w:t>
            </w:r>
          </w:p>
        </w:tc>
      </w:tr>
      <w:tr w:rsidR="00542976" w14:paraId="0C5B3F68" w14:textId="77777777">
        <w:trPr>
          <w:cantSplit/>
          <w:jc w:val="center"/>
        </w:trPr>
        <w:tc>
          <w:tcPr>
            <w:tcW w:w="2484" w:type="dxa"/>
            <w:tcMar>
              <w:top w:w="70" w:type="dxa"/>
              <w:left w:w="70" w:type="dxa"/>
              <w:bottom w:w="70" w:type="dxa"/>
              <w:right w:w="70" w:type="dxa"/>
            </w:tcMar>
            <w:vAlign w:val="center"/>
          </w:tcPr>
          <w:p w14:paraId="7C6A9F51" w14:textId="77777777" w:rsidR="00542976" w:rsidRDefault="00000000">
            <w:r>
              <w:rPr>
                <w:rFonts w:eastAsia="Arial" w:cs="Arial"/>
              </w:rPr>
              <w:t>Local marketplace</w:t>
            </w:r>
          </w:p>
        </w:tc>
        <w:tc>
          <w:tcPr>
            <w:tcW w:w="2484" w:type="dxa"/>
            <w:tcMar>
              <w:top w:w="70" w:type="dxa"/>
              <w:left w:w="70" w:type="dxa"/>
              <w:bottom w:w="70" w:type="dxa"/>
              <w:right w:w="70" w:type="dxa"/>
            </w:tcMar>
            <w:vAlign w:val="center"/>
          </w:tcPr>
          <w:p w14:paraId="216EE342" w14:textId="77777777" w:rsidR="00542976" w:rsidRDefault="00000000">
            <w:r>
              <w:rPr>
                <w:rFonts w:eastAsia="Arial" w:cs="Arial"/>
              </w:rPr>
              <w:t>Poor discovery and fragmented checkout for local products</w:t>
            </w:r>
          </w:p>
        </w:tc>
        <w:tc>
          <w:tcPr>
            <w:tcW w:w="2484" w:type="dxa"/>
            <w:tcMar>
              <w:top w:w="70" w:type="dxa"/>
              <w:left w:w="70" w:type="dxa"/>
              <w:bottom w:w="70" w:type="dxa"/>
              <w:right w:w="70" w:type="dxa"/>
            </w:tcMar>
            <w:vAlign w:val="center"/>
          </w:tcPr>
          <w:p w14:paraId="36112621" w14:textId="77777777" w:rsidR="00542976" w:rsidRDefault="00000000">
            <w:r>
              <w:rPr>
                <w:rFonts w:eastAsia="Arial" w:cs="Arial"/>
              </w:rPr>
              <w:t>Shared catalogue, checkout, recommendations</w:t>
            </w:r>
          </w:p>
        </w:tc>
        <w:tc>
          <w:tcPr>
            <w:tcW w:w="2484" w:type="dxa"/>
            <w:tcMar>
              <w:top w:w="70" w:type="dxa"/>
              <w:left w:w="70" w:type="dxa"/>
              <w:bottom w:w="70" w:type="dxa"/>
              <w:right w:w="70" w:type="dxa"/>
            </w:tcMar>
            <w:vAlign w:val="center"/>
          </w:tcPr>
          <w:p w14:paraId="4AF0A0F2" w14:textId="77777777" w:rsidR="00542976" w:rsidRDefault="00000000">
            <w:r>
              <w:rPr>
                <w:rFonts w:eastAsia="Arial" w:cs="Arial"/>
              </w:rPr>
              <w:t>Both consumer and merchant participation must grow</w:t>
            </w:r>
          </w:p>
        </w:tc>
      </w:tr>
      <w:tr w:rsidR="00542976" w14:paraId="02259CA0" w14:textId="77777777">
        <w:trPr>
          <w:cantSplit/>
          <w:jc w:val="center"/>
        </w:trPr>
        <w:tc>
          <w:tcPr>
            <w:tcW w:w="2484" w:type="dxa"/>
            <w:tcMar>
              <w:top w:w="70" w:type="dxa"/>
              <w:left w:w="70" w:type="dxa"/>
              <w:bottom w:w="70" w:type="dxa"/>
              <w:right w:w="70" w:type="dxa"/>
            </w:tcMar>
            <w:vAlign w:val="center"/>
          </w:tcPr>
          <w:p w14:paraId="239C23F1" w14:textId="77777777" w:rsidR="00542976" w:rsidRDefault="00000000">
            <w:r>
              <w:rPr>
                <w:rFonts w:eastAsia="Arial" w:cs="Arial"/>
              </w:rPr>
              <w:t>Community hubs</w:t>
            </w:r>
          </w:p>
        </w:tc>
        <w:tc>
          <w:tcPr>
            <w:tcW w:w="2484" w:type="dxa"/>
            <w:tcMar>
              <w:top w:w="70" w:type="dxa"/>
              <w:left w:w="70" w:type="dxa"/>
              <w:bottom w:w="70" w:type="dxa"/>
              <w:right w:w="70" w:type="dxa"/>
            </w:tcMar>
            <w:vAlign w:val="center"/>
          </w:tcPr>
          <w:p w14:paraId="381BA001" w14:textId="77777777" w:rsidR="00542976" w:rsidRDefault="00000000">
            <w:r>
              <w:rPr>
                <w:rFonts w:eastAsia="Arial" w:cs="Arial"/>
              </w:rPr>
              <w:t>Failed delivery and inconvenient returns</w:t>
            </w:r>
          </w:p>
        </w:tc>
        <w:tc>
          <w:tcPr>
            <w:tcW w:w="2484" w:type="dxa"/>
            <w:tcMar>
              <w:top w:w="70" w:type="dxa"/>
              <w:left w:w="70" w:type="dxa"/>
              <w:bottom w:w="70" w:type="dxa"/>
              <w:right w:w="70" w:type="dxa"/>
            </w:tcMar>
            <w:vAlign w:val="center"/>
          </w:tcPr>
          <w:p w14:paraId="16D61CD5" w14:textId="77777777" w:rsidR="00542976" w:rsidRDefault="00000000">
            <w:r>
              <w:rPr>
                <w:rFonts w:eastAsia="Arial" w:cs="Arial"/>
              </w:rPr>
              <w:t>QR access, identity checks, hub dashboards</w:t>
            </w:r>
          </w:p>
        </w:tc>
        <w:tc>
          <w:tcPr>
            <w:tcW w:w="2484" w:type="dxa"/>
            <w:tcMar>
              <w:top w:w="70" w:type="dxa"/>
              <w:left w:w="70" w:type="dxa"/>
              <w:bottom w:w="70" w:type="dxa"/>
              <w:right w:w="70" w:type="dxa"/>
            </w:tcMar>
            <w:vAlign w:val="center"/>
          </w:tcPr>
          <w:p w14:paraId="2F1CE262" w14:textId="77777777" w:rsidR="00542976" w:rsidRDefault="00000000">
            <w:r>
              <w:rPr>
                <w:rFonts w:eastAsia="Arial" w:cs="Arial"/>
              </w:rPr>
              <w:t>Use existing trips and avoid costly owned infrastructure</w:t>
            </w:r>
          </w:p>
        </w:tc>
      </w:tr>
    </w:tbl>
    <w:p w14:paraId="77F6637D" w14:textId="77777777" w:rsidR="00542976" w:rsidRDefault="00000000">
      <w:pPr>
        <w:pStyle w:val="Heading2"/>
      </w:pPr>
      <w:bookmarkStart w:id="3" w:name="h21"/>
      <w:r>
        <w:rPr>
          <w:rFonts w:ascii="Arial" w:eastAsia="Arial" w:hAnsi="Arial" w:cs="Arial"/>
        </w:rPr>
        <w:t>2.1 Consolidated rural and suburban last-mile delivery</w:t>
      </w:r>
      <w:bookmarkEnd w:id="3"/>
    </w:p>
    <w:p w14:paraId="4253A98C" w14:textId="77777777" w:rsidR="00542976" w:rsidRDefault="00000000">
      <w:r>
        <w:rPr>
          <w:rFonts w:eastAsia="Arial" w:cs="Arial"/>
        </w:rPr>
        <w:t xml:space="preserve">Scheduled consolidated delivery addresses a genuine tension: consumers want convenient access, while merchants cannot economically fund separate journeys across dispersed areas. Last-mile research confirms that cost, </w:t>
      </w:r>
      <w:proofErr w:type="gramStart"/>
      <w:r>
        <w:rPr>
          <w:rFonts w:eastAsia="Arial" w:cs="Arial"/>
        </w:rPr>
        <w:t>service</w:t>
      </w:r>
      <w:proofErr w:type="gramEnd"/>
      <w:r>
        <w:rPr>
          <w:rFonts w:eastAsia="Arial" w:cs="Arial"/>
        </w:rPr>
        <w:t xml:space="preserve"> and route density are interdependent rather than independently </w:t>
      </w:r>
      <w:proofErr w:type="spellStart"/>
      <w:r>
        <w:rPr>
          <w:rFonts w:eastAsia="Arial" w:cs="Arial"/>
        </w:rPr>
        <w:t>optimisable</w:t>
      </w:r>
      <w:proofErr w:type="spellEnd"/>
      <w:r>
        <w:rPr>
          <w:rFonts w:eastAsia="Arial" w:cs="Arial"/>
        </w:rPr>
        <w:t xml:space="preserve"> (Mangiaracina et al., 2019; Boysen, </w:t>
      </w:r>
      <w:proofErr w:type="spellStart"/>
      <w:r>
        <w:rPr>
          <w:rFonts w:eastAsia="Arial" w:cs="Arial"/>
        </w:rPr>
        <w:t>Fedtke</w:t>
      </w:r>
      <w:proofErr w:type="spellEnd"/>
      <w:r>
        <w:rPr>
          <w:rFonts w:eastAsia="Arial" w:cs="Arial"/>
        </w:rPr>
        <w:t xml:space="preserve"> and Schwerdfeger, 2021). The opportunity is therefore stronger than instant rural delivery, but only if customers accept narrower choice and scheduled windows. If they continue to value immediacy above price, consolidation may solve Deliveroo's cost problem while failing the user-desirability test.</w:t>
      </w:r>
    </w:p>
    <w:p w14:paraId="1E9C4970" w14:textId="77777777" w:rsidR="00542976" w:rsidRDefault="00000000">
      <w:proofErr w:type="spellStart"/>
      <w:r>
        <w:rPr>
          <w:rFonts w:eastAsia="Arial" w:cs="Arial"/>
        </w:rPr>
        <w:t>LocalLink</w:t>
      </w:r>
      <w:proofErr w:type="spellEnd"/>
      <w:r>
        <w:rPr>
          <w:rFonts w:eastAsia="Arial" w:cs="Arial"/>
        </w:rPr>
        <w:t xml:space="preserve"> could occupy the space between slow parcel delivery and expensive on-demand delivery by grouping orders into fixed rounds and using collection points where home delivery is inefficient. Route </w:t>
      </w:r>
      <w:proofErr w:type="spellStart"/>
      <w:r>
        <w:rPr>
          <w:rFonts w:eastAsia="Arial" w:cs="Arial"/>
        </w:rPr>
        <w:t>optimisation</w:t>
      </w:r>
      <w:proofErr w:type="spellEnd"/>
      <w:r>
        <w:rPr>
          <w:rFonts w:eastAsia="Arial" w:cs="Arial"/>
        </w:rPr>
        <w:t>, forecasting and tracking would improve execution, but they cannot create demand density. The venture should therefore use postcode-level entry criteria and reject areas where projected orders per route remain below break-even. This is a more defensible use of technology than assuming algorithms can rescue an uneconomic market.</w:t>
      </w:r>
    </w:p>
    <w:p w14:paraId="6CB9FE8A" w14:textId="77777777" w:rsidR="00542976" w:rsidRDefault="00000000">
      <w:r>
        <w:rPr>
          <w:rFonts w:eastAsia="Arial" w:cs="Arial"/>
        </w:rPr>
        <w:t xml:space="preserve">Operational replication across towns is possible, but geographic replication is not the same as effortless scalability. Each area requires merchant recruitment, rider supply, local </w:t>
      </w:r>
      <w:proofErr w:type="gramStart"/>
      <w:r>
        <w:rPr>
          <w:rFonts w:eastAsia="Arial" w:cs="Arial"/>
        </w:rPr>
        <w:t>demand</w:t>
      </w:r>
      <w:proofErr w:type="gramEnd"/>
      <w:r>
        <w:rPr>
          <w:rFonts w:eastAsia="Arial" w:cs="Arial"/>
        </w:rPr>
        <w:t xml:space="preserve"> and new </w:t>
      </w:r>
      <w:r>
        <w:rPr>
          <w:rFonts w:eastAsia="Arial" w:cs="Arial"/>
        </w:rPr>
        <w:lastRenderedPageBreak/>
        <w:t xml:space="preserve">route knowledge. Environmental claims are equally conditional. Fuller rounds may reduce </w:t>
      </w:r>
      <w:proofErr w:type="spellStart"/>
      <w:r>
        <w:rPr>
          <w:rFonts w:eastAsia="Arial" w:cs="Arial"/>
        </w:rPr>
        <w:t>kilometres</w:t>
      </w:r>
      <w:proofErr w:type="spellEnd"/>
      <w:r>
        <w:rPr>
          <w:rFonts w:eastAsia="Arial" w:cs="Arial"/>
        </w:rPr>
        <w:t xml:space="preserve"> per order, but packaging, failed delivery and dedicated collection trips can offset that gain. Scheduled delivery is therefore the highest-potential opportunity, but only where route and emissions data confirm both financial and environmental improvement.</w:t>
      </w:r>
    </w:p>
    <w:p w14:paraId="3666DE75" w14:textId="77777777" w:rsidR="00542976" w:rsidRDefault="00000000">
      <w:pPr>
        <w:pStyle w:val="Heading2"/>
      </w:pPr>
      <w:bookmarkStart w:id="4" w:name="h22"/>
      <w:r>
        <w:rPr>
          <w:rFonts w:ascii="Arial" w:eastAsia="Arial" w:hAnsi="Arial" w:cs="Arial"/>
        </w:rPr>
        <w:t>2.2 A simple digital operating layer for independent merchants</w:t>
      </w:r>
      <w:bookmarkEnd w:id="4"/>
    </w:p>
    <w:p w14:paraId="2370FEC1" w14:textId="77777777" w:rsidR="00542976" w:rsidRDefault="00000000">
      <w:r>
        <w:rPr>
          <w:rFonts w:eastAsia="Arial" w:cs="Arial"/>
        </w:rPr>
        <w:t>A merchant operating layer could reduce the fragmented use of social media messages, spreadsheets, payment links and manual stock checks. However, the UK total of 5.64 million small businesses overstates the realistic market because many firms have no employees, limited delivery demand or existing software (Department for Business and Trade, 2025a). The addressable opportunity should be defined by merchants with recurring local orders and a clear administrative burden, not by the national SME count.</w:t>
      </w:r>
    </w:p>
    <w:p w14:paraId="40E9FA32" w14:textId="77777777" w:rsidR="00542976" w:rsidRDefault="00000000">
      <w:r>
        <w:rPr>
          <w:rFonts w:eastAsia="Arial" w:cs="Arial"/>
        </w:rPr>
        <w:t xml:space="preserve">The market gap is integration rather than a lack of e-commerce products. Shopify, Square and social-commerce tools already provide catalogues and payments, so </w:t>
      </w:r>
      <w:proofErr w:type="spellStart"/>
      <w:r>
        <w:rPr>
          <w:rFonts w:eastAsia="Arial" w:cs="Arial"/>
        </w:rPr>
        <w:t>LocalLink</w:t>
      </w:r>
      <w:proofErr w:type="spellEnd"/>
      <w:r>
        <w:rPr>
          <w:rFonts w:eastAsia="Arial" w:cs="Arial"/>
        </w:rPr>
        <w:t xml:space="preserve"> would need to create additional value through combined delivery, order cut-offs and shared fulfilment. Teece (2010) argues that a business model must explain both value creation and capture. Accordingly, merchants should adopt </w:t>
      </w:r>
      <w:proofErr w:type="spellStart"/>
      <w:r>
        <w:rPr>
          <w:rFonts w:eastAsia="Arial" w:cs="Arial"/>
        </w:rPr>
        <w:t>LocalLink</w:t>
      </w:r>
      <w:proofErr w:type="spellEnd"/>
      <w:r>
        <w:rPr>
          <w:rFonts w:eastAsia="Arial" w:cs="Arial"/>
        </w:rPr>
        <w:t xml:space="preserve"> only if the reduction in administration and access to new demand exceeds subscription, commission and switching costs. A technically simple tool that merely duplicates existing software would not justify entry.</w:t>
      </w:r>
    </w:p>
    <w:p w14:paraId="6B301FF6" w14:textId="77777777" w:rsidR="00542976" w:rsidRDefault="00000000">
      <w:r>
        <w:rPr>
          <w:rFonts w:eastAsia="Arial" w:cs="Arial"/>
        </w:rPr>
        <w:t xml:space="preserve">Software is reusable, but the service may still have high marginal expansion costs because each merchant requires data setup, </w:t>
      </w:r>
      <w:proofErr w:type="gramStart"/>
      <w:r>
        <w:rPr>
          <w:rFonts w:eastAsia="Arial" w:cs="Arial"/>
        </w:rPr>
        <w:t>training</w:t>
      </w:r>
      <w:proofErr w:type="gramEnd"/>
      <w:r>
        <w:rPr>
          <w:rFonts w:eastAsia="Arial" w:cs="Arial"/>
        </w:rPr>
        <w:t xml:space="preserve"> and support. Standard templates and assisted onboarding can reduce this burden, yet excessive </w:t>
      </w:r>
      <w:proofErr w:type="spellStart"/>
      <w:r>
        <w:rPr>
          <w:rFonts w:eastAsia="Arial" w:cs="Arial"/>
        </w:rPr>
        <w:t>standardisation</w:t>
      </w:r>
      <w:proofErr w:type="spellEnd"/>
      <w:r>
        <w:rPr>
          <w:rFonts w:eastAsia="Arial" w:cs="Arial"/>
        </w:rPr>
        <w:t xml:space="preserve"> may fail to accommodate different product categories. The opportunity is scalable only if onboarding time falls as the merchant base grows and if merchants retain transparent access to their data. Otherwise, </w:t>
      </w:r>
      <w:proofErr w:type="spellStart"/>
      <w:r>
        <w:rPr>
          <w:rFonts w:eastAsia="Arial" w:cs="Arial"/>
        </w:rPr>
        <w:t>LocalLink</w:t>
      </w:r>
      <w:proofErr w:type="spellEnd"/>
      <w:r>
        <w:rPr>
          <w:rFonts w:eastAsia="Arial" w:cs="Arial"/>
        </w:rPr>
        <w:t xml:space="preserve"> would create platform dependence rather than durable value.</w:t>
      </w:r>
    </w:p>
    <w:p w14:paraId="30470B5E" w14:textId="77777777" w:rsidR="00542976" w:rsidRDefault="00000000">
      <w:pPr>
        <w:pStyle w:val="Heading2"/>
      </w:pPr>
      <w:bookmarkStart w:id="5" w:name="h23"/>
      <w:r>
        <w:rPr>
          <w:rFonts w:ascii="Arial" w:eastAsia="Arial" w:hAnsi="Arial" w:cs="Arial"/>
        </w:rPr>
        <w:t xml:space="preserve">2.3 A local-producer and </w:t>
      </w:r>
      <w:proofErr w:type="spellStart"/>
      <w:r>
        <w:rPr>
          <w:rFonts w:ascii="Arial" w:eastAsia="Arial" w:hAnsi="Arial" w:cs="Arial"/>
        </w:rPr>
        <w:t>neighbourhood</w:t>
      </w:r>
      <w:proofErr w:type="spellEnd"/>
      <w:r>
        <w:rPr>
          <w:rFonts w:ascii="Arial" w:eastAsia="Arial" w:hAnsi="Arial" w:cs="Arial"/>
        </w:rPr>
        <w:t xml:space="preserve"> marketplace</w:t>
      </w:r>
      <w:bookmarkEnd w:id="5"/>
    </w:p>
    <w:p w14:paraId="308BD750" w14:textId="77777777" w:rsidR="00542976" w:rsidRDefault="00000000">
      <w:r>
        <w:rPr>
          <w:rFonts w:eastAsia="Arial" w:cs="Arial"/>
        </w:rPr>
        <w:t xml:space="preserve">A local-producer marketplace could improve discovery and combine purchases that are currently managed through separate social-media channels. Deliveroo already understands multi-sided platform coordination, which creates strategic fit (Hagiu and Wright, 2015). However, platform familiarity is not a sufficient advantage. Existing farm shops, local directories and social platforms already connect buyers and sellers, so </w:t>
      </w:r>
      <w:proofErr w:type="spellStart"/>
      <w:r>
        <w:rPr>
          <w:rFonts w:eastAsia="Arial" w:cs="Arial"/>
        </w:rPr>
        <w:t>LocalLink</w:t>
      </w:r>
      <w:proofErr w:type="spellEnd"/>
      <w:r>
        <w:rPr>
          <w:rFonts w:eastAsia="Arial" w:cs="Arial"/>
        </w:rPr>
        <w:t xml:space="preserve"> must show that shared checkout and delivery materially improve conversion or convenience.</w:t>
      </w:r>
    </w:p>
    <w:p w14:paraId="7FCFDA72" w14:textId="77777777" w:rsidR="00542976" w:rsidRDefault="00000000">
      <w:r>
        <w:rPr>
          <w:rFonts w:eastAsia="Arial" w:cs="Arial"/>
        </w:rPr>
        <w:t xml:space="preserve">Weekly baskets, seasonal collections and combined orders could raise basket size and route density. This supports service-dominant logic because value would be co-created by merchants, </w:t>
      </w:r>
      <w:proofErr w:type="gramStart"/>
      <w:r>
        <w:rPr>
          <w:rFonts w:eastAsia="Arial" w:cs="Arial"/>
        </w:rPr>
        <w:t>consumers</w:t>
      </w:r>
      <w:proofErr w:type="gramEnd"/>
      <w:r>
        <w:rPr>
          <w:rFonts w:eastAsia="Arial" w:cs="Arial"/>
        </w:rPr>
        <w:t xml:space="preserve"> and delivery partners rather than produced by Deliveroo alone (Vargo and Lusch, 2004). The weakness is that curated baskets reduce consumer choice and increase substitution risk. </w:t>
      </w:r>
      <w:proofErr w:type="spellStart"/>
      <w:r>
        <w:rPr>
          <w:rFonts w:eastAsia="Arial" w:cs="Arial"/>
        </w:rPr>
        <w:t>LocalLink</w:t>
      </w:r>
      <w:proofErr w:type="spellEnd"/>
      <w:r>
        <w:rPr>
          <w:rFonts w:eastAsia="Arial" w:cs="Arial"/>
        </w:rPr>
        <w:t xml:space="preserve"> </w:t>
      </w:r>
      <w:r>
        <w:rPr>
          <w:rFonts w:eastAsia="Arial" w:cs="Arial"/>
        </w:rPr>
        <w:lastRenderedPageBreak/>
        <w:t>should therefore test whether aggregation improves repeat purchase, not assume that an attractive catalogue will automatically create network effects.</w:t>
      </w:r>
    </w:p>
    <w:p w14:paraId="63FC4511" w14:textId="77777777" w:rsidR="00542976" w:rsidRDefault="00000000">
      <w:r>
        <w:rPr>
          <w:rFonts w:eastAsia="Arial" w:cs="Arial"/>
        </w:rPr>
        <w:t xml:space="preserve">Regional catalogues are technically replicable, but quality control, allergens, </w:t>
      </w:r>
      <w:proofErr w:type="gramStart"/>
      <w:r>
        <w:rPr>
          <w:rFonts w:eastAsia="Arial" w:cs="Arial"/>
        </w:rPr>
        <w:t>substitutions</w:t>
      </w:r>
      <w:proofErr w:type="gramEnd"/>
      <w:r>
        <w:rPr>
          <w:rFonts w:eastAsia="Arial" w:cs="Arial"/>
        </w:rPr>
        <w:t xml:space="preserve"> and refunds become harder as participation grows. The platform also faces a two-sided adoption problem: merchants wait for demand and consumers wait for assortment. This makes the marketplace a supporting feature rather than the initial venture. It should be activated only after the delivery and merchant layers have created a credible local base.</w:t>
      </w:r>
    </w:p>
    <w:p w14:paraId="5FF28E8A" w14:textId="77777777" w:rsidR="00542976" w:rsidRDefault="00000000">
      <w:pPr>
        <w:pStyle w:val="Heading2"/>
      </w:pPr>
      <w:bookmarkStart w:id="6" w:name="h24"/>
      <w:r>
        <w:rPr>
          <w:rFonts w:ascii="Arial" w:eastAsia="Arial" w:hAnsi="Arial" w:cs="Arial"/>
        </w:rPr>
        <w:t>2.4 Community collection hubs and low-friction returns</w:t>
      </w:r>
      <w:bookmarkEnd w:id="6"/>
    </w:p>
    <w:p w14:paraId="77533D83" w14:textId="77777777" w:rsidR="00542976" w:rsidRDefault="00000000">
      <w:r>
        <w:rPr>
          <w:rFonts w:eastAsia="Arial" w:cs="Arial"/>
        </w:rPr>
        <w:t xml:space="preserve">Community hubs could reduce failed delivery by using convenience stores, </w:t>
      </w:r>
      <w:proofErr w:type="gramStart"/>
      <w:r>
        <w:rPr>
          <w:rFonts w:eastAsia="Arial" w:cs="Arial"/>
        </w:rPr>
        <w:t>libraries</w:t>
      </w:r>
      <w:proofErr w:type="gramEnd"/>
      <w:r>
        <w:rPr>
          <w:rFonts w:eastAsia="Arial" w:cs="Arial"/>
        </w:rPr>
        <w:t xml:space="preserve"> or farm shops as existing local infrastructure. Research suggests that such stage stations can improve rural access through established social networks (Zhang, </w:t>
      </w:r>
      <w:proofErr w:type="gramStart"/>
      <w:r>
        <w:rPr>
          <w:rFonts w:eastAsia="Arial" w:cs="Arial"/>
        </w:rPr>
        <w:t>Garimella</w:t>
      </w:r>
      <w:proofErr w:type="gramEnd"/>
      <w:r>
        <w:rPr>
          <w:rFonts w:eastAsia="Arial" w:cs="Arial"/>
        </w:rPr>
        <w:t xml:space="preserve"> and Fan, 2025). Yet the model is less attractive than it first appears. Chilled storage, staff time, liability and restricted opening hours create operating costs that QR codes cannot remove. Hubs also produce no environmental benefit when customers make dedicated car journeys to collect orders. They should therefore be tested only at locations customers already visit and treated as an optional route feature, not a capital-intensive network.</w:t>
      </w:r>
    </w:p>
    <w:p w14:paraId="4F6BD4AF" w14:textId="77777777" w:rsidR="00542976" w:rsidRDefault="00000000">
      <w:pPr>
        <w:pStyle w:val="Heading2"/>
      </w:pPr>
      <w:bookmarkStart w:id="7" w:name="h25"/>
      <w:r>
        <w:rPr>
          <w:rFonts w:ascii="Arial" w:eastAsia="Arial" w:hAnsi="Arial" w:cs="Arial"/>
        </w:rPr>
        <w:t xml:space="preserve">2.5 </w:t>
      </w:r>
      <w:proofErr w:type="spellStart"/>
      <w:r>
        <w:rPr>
          <w:rFonts w:ascii="Arial" w:eastAsia="Arial" w:hAnsi="Arial" w:cs="Arial"/>
        </w:rPr>
        <w:t>Prioritisation</w:t>
      </w:r>
      <w:bookmarkEnd w:id="7"/>
      <w:proofErr w:type="spellEnd"/>
    </w:p>
    <w:p w14:paraId="76CB0E6B" w14:textId="77777777" w:rsidR="00542976" w:rsidRDefault="00000000">
      <w:r>
        <w:rPr>
          <w:rFonts w:eastAsia="Arial" w:cs="Arial"/>
        </w:rPr>
        <w:t xml:space="preserve">The </w:t>
      </w:r>
      <w:proofErr w:type="spellStart"/>
      <w:r>
        <w:rPr>
          <w:rFonts w:eastAsia="Arial" w:cs="Arial"/>
        </w:rPr>
        <w:t>prioritisation</w:t>
      </w:r>
      <w:proofErr w:type="spellEnd"/>
      <w:r>
        <w:rPr>
          <w:rFonts w:eastAsia="Arial" w:cs="Arial"/>
        </w:rPr>
        <w:t xml:space="preserve"> does not select a single stand-alone idea. Scheduled consolidation scores highest because it addresses the core cost problem, while the merchant operating layer is needed to generate the shared demand on which consolidation depends. The local marketplace and hubs remain secondary because they add complexity before the core economics are proven. This combination is more defensible than a broad rural launch: it links user value to a specific operating mechanism and leaves expensive features outside the first test.</w:t>
      </w:r>
    </w:p>
    <w:p w14:paraId="66F51EB2" w14:textId="77777777" w:rsidR="00542976" w:rsidRDefault="00000000">
      <w:pPr>
        <w:keepNext/>
        <w:pageBreakBefore/>
        <w:spacing w:before="100" w:after="40"/>
      </w:pPr>
      <w:r>
        <w:rPr>
          <w:rFonts w:eastAsia="Arial" w:cs="Arial"/>
          <w:b/>
        </w:rPr>
        <w:lastRenderedPageBreak/>
        <w:t>Table 2. Indicative opportunity screen</w:t>
      </w:r>
    </w:p>
    <w:tbl>
      <w:tblPr>
        <w:tblStyle w:val="TableGrid"/>
        <w:tblW w:w="0" w:type="auto"/>
        <w:jc w:val="center"/>
        <w:tblLook w:val="04A0" w:firstRow="1" w:lastRow="0" w:firstColumn="1" w:lastColumn="0" w:noHBand="0" w:noVBand="1"/>
      </w:tblPr>
      <w:tblGrid>
        <w:gridCol w:w="2592"/>
        <w:gridCol w:w="1512"/>
        <w:gridCol w:w="2088"/>
        <w:gridCol w:w="2232"/>
        <w:gridCol w:w="1512"/>
      </w:tblGrid>
      <w:tr w:rsidR="00542976" w14:paraId="55464624" w14:textId="77777777">
        <w:trPr>
          <w:cantSplit/>
          <w:tblHeader/>
          <w:jc w:val="center"/>
        </w:trPr>
        <w:tc>
          <w:tcPr>
            <w:tcW w:w="2592" w:type="dxa"/>
            <w:shd w:val="clear" w:color="auto" w:fill="E7E6E6"/>
            <w:tcMar>
              <w:top w:w="70" w:type="dxa"/>
              <w:left w:w="70" w:type="dxa"/>
              <w:bottom w:w="70" w:type="dxa"/>
              <w:right w:w="70" w:type="dxa"/>
            </w:tcMar>
            <w:vAlign w:val="center"/>
          </w:tcPr>
          <w:p w14:paraId="64A78E5E" w14:textId="77777777" w:rsidR="00C34E3C" w:rsidRDefault="00000000">
            <w:r>
              <w:rPr>
                <w:rFonts w:eastAsia="Arial" w:cs="Arial"/>
                <w:b/>
              </w:rPr>
              <w:t>Option</w:t>
            </w:r>
          </w:p>
        </w:tc>
        <w:tc>
          <w:tcPr>
            <w:tcW w:w="1512" w:type="dxa"/>
            <w:shd w:val="clear" w:color="auto" w:fill="E7E6E6"/>
            <w:tcMar>
              <w:top w:w="70" w:type="dxa"/>
              <w:left w:w="70" w:type="dxa"/>
              <w:bottom w:w="70" w:type="dxa"/>
              <w:right w:w="70" w:type="dxa"/>
            </w:tcMar>
            <w:vAlign w:val="center"/>
          </w:tcPr>
          <w:p w14:paraId="0B0DA815" w14:textId="77777777" w:rsidR="00C34E3C" w:rsidRDefault="00000000">
            <w:r>
              <w:rPr>
                <w:rFonts w:eastAsia="Arial" w:cs="Arial"/>
                <w:b/>
              </w:rPr>
              <w:t>User value</w:t>
            </w:r>
            <w:r>
              <w:rPr>
                <w:rFonts w:eastAsia="Arial" w:cs="Arial"/>
                <w:b/>
              </w:rPr>
              <w:br/>
              <w:t>30%</w:t>
            </w:r>
          </w:p>
        </w:tc>
        <w:tc>
          <w:tcPr>
            <w:tcW w:w="2088" w:type="dxa"/>
            <w:shd w:val="clear" w:color="auto" w:fill="E7E6E6"/>
            <w:tcMar>
              <w:top w:w="70" w:type="dxa"/>
              <w:left w:w="70" w:type="dxa"/>
              <w:bottom w:w="70" w:type="dxa"/>
              <w:right w:w="70" w:type="dxa"/>
            </w:tcMar>
            <w:vAlign w:val="center"/>
          </w:tcPr>
          <w:p w14:paraId="25F5F1BE" w14:textId="77777777" w:rsidR="00C34E3C" w:rsidRDefault="00000000">
            <w:r>
              <w:rPr>
                <w:rFonts w:eastAsia="Arial" w:cs="Arial"/>
                <w:b/>
              </w:rPr>
              <w:t>Fit and feasibility</w:t>
            </w:r>
            <w:r>
              <w:rPr>
                <w:rFonts w:eastAsia="Arial" w:cs="Arial"/>
                <w:b/>
              </w:rPr>
              <w:br/>
              <w:t>40%</w:t>
            </w:r>
          </w:p>
        </w:tc>
        <w:tc>
          <w:tcPr>
            <w:tcW w:w="2232" w:type="dxa"/>
            <w:shd w:val="clear" w:color="auto" w:fill="E7E6E6"/>
            <w:tcMar>
              <w:top w:w="70" w:type="dxa"/>
              <w:left w:w="70" w:type="dxa"/>
              <w:bottom w:w="70" w:type="dxa"/>
              <w:right w:w="70" w:type="dxa"/>
            </w:tcMar>
            <w:vAlign w:val="center"/>
          </w:tcPr>
          <w:p w14:paraId="6747BDC5" w14:textId="77777777" w:rsidR="00C34E3C" w:rsidRDefault="00000000">
            <w:r>
              <w:rPr>
                <w:rFonts w:eastAsia="Arial" w:cs="Arial"/>
                <w:b/>
              </w:rPr>
              <w:t>Scalability and sustainability</w:t>
            </w:r>
            <w:r>
              <w:rPr>
                <w:rFonts w:eastAsia="Arial" w:cs="Arial"/>
                <w:b/>
              </w:rPr>
              <w:br/>
              <w:t>30%</w:t>
            </w:r>
          </w:p>
        </w:tc>
        <w:tc>
          <w:tcPr>
            <w:tcW w:w="1512" w:type="dxa"/>
            <w:shd w:val="clear" w:color="auto" w:fill="E7E6E6"/>
            <w:tcMar>
              <w:top w:w="70" w:type="dxa"/>
              <w:left w:w="70" w:type="dxa"/>
              <w:bottom w:w="70" w:type="dxa"/>
              <w:right w:w="70" w:type="dxa"/>
            </w:tcMar>
            <w:vAlign w:val="center"/>
          </w:tcPr>
          <w:p w14:paraId="46480DCD" w14:textId="77777777" w:rsidR="00C34E3C" w:rsidRDefault="00000000">
            <w:r>
              <w:rPr>
                <w:rFonts w:eastAsia="Arial" w:cs="Arial"/>
                <w:b/>
              </w:rPr>
              <w:t>Weighted score /5</w:t>
            </w:r>
          </w:p>
        </w:tc>
      </w:tr>
      <w:tr w:rsidR="00542976" w14:paraId="50D99866" w14:textId="77777777">
        <w:trPr>
          <w:cantSplit/>
          <w:jc w:val="center"/>
        </w:trPr>
        <w:tc>
          <w:tcPr>
            <w:tcW w:w="2592" w:type="dxa"/>
            <w:tcMar>
              <w:top w:w="70" w:type="dxa"/>
              <w:left w:w="70" w:type="dxa"/>
              <w:bottom w:w="70" w:type="dxa"/>
              <w:right w:w="70" w:type="dxa"/>
            </w:tcMar>
            <w:vAlign w:val="center"/>
          </w:tcPr>
          <w:p w14:paraId="03FDB6A9" w14:textId="77777777" w:rsidR="00C34E3C" w:rsidRDefault="00000000">
            <w:r>
              <w:rPr>
                <w:rFonts w:eastAsia="Arial" w:cs="Arial"/>
              </w:rPr>
              <w:t>Scheduled consolidated delivery</w:t>
            </w:r>
          </w:p>
        </w:tc>
        <w:tc>
          <w:tcPr>
            <w:tcW w:w="1512" w:type="dxa"/>
            <w:tcMar>
              <w:top w:w="70" w:type="dxa"/>
              <w:left w:w="70" w:type="dxa"/>
              <w:bottom w:w="70" w:type="dxa"/>
              <w:right w:w="70" w:type="dxa"/>
            </w:tcMar>
            <w:vAlign w:val="center"/>
          </w:tcPr>
          <w:p w14:paraId="3755343B" w14:textId="77777777" w:rsidR="00C34E3C" w:rsidRDefault="00000000">
            <w:r>
              <w:rPr>
                <w:rFonts w:eastAsia="Arial" w:cs="Arial"/>
              </w:rPr>
              <w:t>4.4</w:t>
            </w:r>
          </w:p>
        </w:tc>
        <w:tc>
          <w:tcPr>
            <w:tcW w:w="2088" w:type="dxa"/>
            <w:tcMar>
              <w:top w:w="70" w:type="dxa"/>
              <w:left w:w="70" w:type="dxa"/>
              <w:bottom w:w="70" w:type="dxa"/>
              <w:right w:w="70" w:type="dxa"/>
            </w:tcMar>
            <w:vAlign w:val="center"/>
          </w:tcPr>
          <w:p w14:paraId="5AC1962C" w14:textId="77777777" w:rsidR="00C34E3C" w:rsidRDefault="00000000">
            <w:r>
              <w:rPr>
                <w:rFonts w:eastAsia="Arial" w:cs="Arial"/>
              </w:rPr>
              <w:t>4.4</w:t>
            </w:r>
          </w:p>
        </w:tc>
        <w:tc>
          <w:tcPr>
            <w:tcW w:w="2232" w:type="dxa"/>
            <w:tcMar>
              <w:top w:w="70" w:type="dxa"/>
              <w:left w:w="70" w:type="dxa"/>
              <w:bottom w:w="70" w:type="dxa"/>
              <w:right w:w="70" w:type="dxa"/>
            </w:tcMar>
            <w:vAlign w:val="center"/>
          </w:tcPr>
          <w:p w14:paraId="4FAAEE8D" w14:textId="77777777" w:rsidR="00C34E3C" w:rsidRDefault="00000000">
            <w:r>
              <w:rPr>
                <w:rFonts w:eastAsia="Arial" w:cs="Arial"/>
              </w:rPr>
              <w:t>4.2</w:t>
            </w:r>
          </w:p>
        </w:tc>
        <w:tc>
          <w:tcPr>
            <w:tcW w:w="1512" w:type="dxa"/>
            <w:tcMar>
              <w:top w:w="70" w:type="dxa"/>
              <w:left w:w="70" w:type="dxa"/>
              <w:bottom w:w="70" w:type="dxa"/>
              <w:right w:w="70" w:type="dxa"/>
            </w:tcMar>
            <w:vAlign w:val="center"/>
          </w:tcPr>
          <w:p w14:paraId="6B8E6585" w14:textId="77777777" w:rsidR="00C34E3C" w:rsidRDefault="00000000">
            <w:r>
              <w:rPr>
                <w:rFonts w:eastAsia="Arial" w:cs="Arial"/>
              </w:rPr>
              <w:t>4.34</w:t>
            </w:r>
          </w:p>
        </w:tc>
      </w:tr>
      <w:tr w:rsidR="00542976" w14:paraId="12155D90" w14:textId="77777777">
        <w:trPr>
          <w:cantSplit/>
          <w:jc w:val="center"/>
        </w:trPr>
        <w:tc>
          <w:tcPr>
            <w:tcW w:w="2592" w:type="dxa"/>
            <w:tcMar>
              <w:top w:w="70" w:type="dxa"/>
              <w:left w:w="70" w:type="dxa"/>
              <w:bottom w:w="70" w:type="dxa"/>
              <w:right w:w="70" w:type="dxa"/>
            </w:tcMar>
            <w:vAlign w:val="center"/>
          </w:tcPr>
          <w:p w14:paraId="46B86F46" w14:textId="77777777" w:rsidR="00C34E3C" w:rsidRDefault="00000000">
            <w:r>
              <w:rPr>
                <w:rFonts w:eastAsia="Arial" w:cs="Arial"/>
              </w:rPr>
              <w:t>Merchant operating layer</w:t>
            </w:r>
          </w:p>
        </w:tc>
        <w:tc>
          <w:tcPr>
            <w:tcW w:w="1512" w:type="dxa"/>
            <w:tcMar>
              <w:top w:w="70" w:type="dxa"/>
              <w:left w:w="70" w:type="dxa"/>
              <w:bottom w:w="70" w:type="dxa"/>
              <w:right w:w="70" w:type="dxa"/>
            </w:tcMar>
            <w:vAlign w:val="center"/>
          </w:tcPr>
          <w:p w14:paraId="2C91B1B0" w14:textId="77777777" w:rsidR="00C34E3C" w:rsidRDefault="00000000">
            <w:r>
              <w:rPr>
                <w:rFonts w:eastAsia="Arial" w:cs="Arial"/>
              </w:rPr>
              <w:t>4.2</w:t>
            </w:r>
          </w:p>
        </w:tc>
        <w:tc>
          <w:tcPr>
            <w:tcW w:w="2088" w:type="dxa"/>
            <w:tcMar>
              <w:top w:w="70" w:type="dxa"/>
              <w:left w:w="70" w:type="dxa"/>
              <w:bottom w:w="70" w:type="dxa"/>
              <w:right w:w="70" w:type="dxa"/>
            </w:tcMar>
            <w:vAlign w:val="center"/>
          </w:tcPr>
          <w:p w14:paraId="6C5A7DEF" w14:textId="77777777" w:rsidR="00C34E3C" w:rsidRDefault="00000000">
            <w:r>
              <w:rPr>
                <w:rFonts w:eastAsia="Arial" w:cs="Arial"/>
              </w:rPr>
              <w:t>4.5</w:t>
            </w:r>
          </w:p>
        </w:tc>
        <w:tc>
          <w:tcPr>
            <w:tcW w:w="2232" w:type="dxa"/>
            <w:tcMar>
              <w:top w:w="70" w:type="dxa"/>
              <w:left w:w="70" w:type="dxa"/>
              <w:bottom w:w="70" w:type="dxa"/>
              <w:right w:w="70" w:type="dxa"/>
            </w:tcMar>
            <w:vAlign w:val="center"/>
          </w:tcPr>
          <w:p w14:paraId="669E2139" w14:textId="77777777" w:rsidR="00C34E3C" w:rsidRDefault="00000000">
            <w:r>
              <w:rPr>
                <w:rFonts w:eastAsia="Arial" w:cs="Arial"/>
              </w:rPr>
              <w:t>4.0</w:t>
            </w:r>
          </w:p>
        </w:tc>
        <w:tc>
          <w:tcPr>
            <w:tcW w:w="1512" w:type="dxa"/>
            <w:tcMar>
              <w:top w:w="70" w:type="dxa"/>
              <w:left w:w="70" w:type="dxa"/>
              <w:bottom w:w="70" w:type="dxa"/>
              <w:right w:w="70" w:type="dxa"/>
            </w:tcMar>
            <w:vAlign w:val="center"/>
          </w:tcPr>
          <w:p w14:paraId="5B6D7B05" w14:textId="77777777" w:rsidR="00C34E3C" w:rsidRDefault="00000000">
            <w:r>
              <w:rPr>
                <w:rFonts w:eastAsia="Arial" w:cs="Arial"/>
              </w:rPr>
              <w:t>4.24</w:t>
            </w:r>
          </w:p>
        </w:tc>
      </w:tr>
      <w:tr w:rsidR="00542976" w14:paraId="6C1B75A2" w14:textId="77777777">
        <w:trPr>
          <w:cantSplit/>
          <w:jc w:val="center"/>
        </w:trPr>
        <w:tc>
          <w:tcPr>
            <w:tcW w:w="2592" w:type="dxa"/>
            <w:tcMar>
              <w:top w:w="70" w:type="dxa"/>
              <w:left w:w="70" w:type="dxa"/>
              <w:bottom w:w="70" w:type="dxa"/>
              <w:right w:w="70" w:type="dxa"/>
            </w:tcMar>
            <w:vAlign w:val="center"/>
          </w:tcPr>
          <w:p w14:paraId="58B3229F" w14:textId="77777777" w:rsidR="00C34E3C" w:rsidRDefault="00000000">
            <w:r>
              <w:rPr>
                <w:rFonts w:eastAsia="Arial" w:cs="Arial"/>
              </w:rPr>
              <w:t>Local marketplace</w:t>
            </w:r>
          </w:p>
        </w:tc>
        <w:tc>
          <w:tcPr>
            <w:tcW w:w="1512" w:type="dxa"/>
            <w:tcMar>
              <w:top w:w="70" w:type="dxa"/>
              <w:left w:w="70" w:type="dxa"/>
              <w:bottom w:w="70" w:type="dxa"/>
              <w:right w:w="70" w:type="dxa"/>
            </w:tcMar>
            <w:vAlign w:val="center"/>
          </w:tcPr>
          <w:p w14:paraId="6B440846" w14:textId="77777777" w:rsidR="00C34E3C" w:rsidRDefault="00000000">
            <w:r>
              <w:rPr>
                <w:rFonts w:eastAsia="Arial" w:cs="Arial"/>
              </w:rPr>
              <w:t>3.8</w:t>
            </w:r>
          </w:p>
        </w:tc>
        <w:tc>
          <w:tcPr>
            <w:tcW w:w="2088" w:type="dxa"/>
            <w:tcMar>
              <w:top w:w="70" w:type="dxa"/>
              <w:left w:w="70" w:type="dxa"/>
              <w:bottom w:w="70" w:type="dxa"/>
              <w:right w:w="70" w:type="dxa"/>
            </w:tcMar>
            <w:vAlign w:val="center"/>
          </w:tcPr>
          <w:p w14:paraId="2BFE4F74" w14:textId="77777777" w:rsidR="00C34E3C" w:rsidRDefault="00000000">
            <w:r>
              <w:rPr>
                <w:rFonts w:eastAsia="Arial" w:cs="Arial"/>
              </w:rPr>
              <w:t>4.1</w:t>
            </w:r>
          </w:p>
        </w:tc>
        <w:tc>
          <w:tcPr>
            <w:tcW w:w="2232" w:type="dxa"/>
            <w:tcMar>
              <w:top w:w="70" w:type="dxa"/>
              <w:left w:w="70" w:type="dxa"/>
              <w:bottom w:w="70" w:type="dxa"/>
              <w:right w:w="70" w:type="dxa"/>
            </w:tcMar>
            <w:vAlign w:val="center"/>
          </w:tcPr>
          <w:p w14:paraId="563AEFE1" w14:textId="77777777" w:rsidR="00C34E3C" w:rsidRDefault="00000000">
            <w:r>
              <w:rPr>
                <w:rFonts w:eastAsia="Arial" w:cs="Arial"/>
              </w:rPr>
              <w:t>3.6</w:t>
            </w:r>
          </w:p>
        </w:tc>
        <w:tc>
          <w:tcPr>
            <w:tcW w:w="1512" w:type="dxa"/>
            <w:tcMar>
              <w:top w:w="70" w:type="dxa"/>
              <w:left w:w="70" w:type="dxa"/>
              <w:bottom w:w="70" w:type="dxa"/>
              <w:right w:w="70" w:type="dxa"/>
            </w:tcMar>
            <w:vAlign w:val="center"/>
          </w:tcPr>
          <w:p w14:paraId="2E11634E" w14:textId="77777777" w:rsidR="00C34E3C" w:rsidRDefault="00000000">
            <w:r>
              <w:rPr>
                <w:rFonts w:eastAsia="Arial" w:cs="Arial"/>
              </w:rPr>
              <w:t>3.84</w:t>
            </w:r>
          </w:p>
        </w:tc>
      </w:tr>
      <w:tr w:rsidR="00542976" w14:paraId="72EF5818" w14:textId="77777777">
        <w:trPr>
          <w:cantSplit/>
          <w:jc w:val="center"/>
        </w:trPr>
        <w:tc>
          <w:tcPr>
            <w:tcW w:w="2592" w:type="dxa"/>
            <w:tcMar>
              <w:top w:w="70" w:type="dxa"/>
              <w:left w:w="70" w:type="dxa"/>
              <w:bottom w:w="70" w:type="dxa"/>
              <w:right w:w="70" w:type="dxa"/>
            </w:tcMar>
            <w:vAlign w:val="center"/>
          </w:tcPr>
          <w:p w14:paraId="747CC0EF" w14:textId="77777777" w:rsidR="00C34E3C" w:rsidRDefault="00000000">
            <w:r>
              <w:rPr>
                <w:rFonts w:eastAsia="Arial" w:cs="Arial"/>
              </w:rPr>
              <w:t>Community hubs and returns</w:t>
            </w:r>
          </w:p>
        </w:tc>
        <w:tc>
          <w:tcPr>
            <w:tcW w:w="1512" w:type="dxa"/>
            <w:tcMar>
              <w:top w:w="70" w:type="dxa"/>
              <w:left w:w="70" w:type="dxa"/>
              <w:bottom w:w="70" w:type="dxa"/>
              <w:right w:w="70" w:type="dxa"/>
            </w:tcMar>
            <w:vAlign w:val="center"/>
          </w:tcPr>
          <w:p w14:paraId="71027F0B" w14:textId="77777777" w:rsidR="00C34E3C" w:rsidRDefault="00000000">
            <w:r>
              <w:rPr>
                <w:rFonts w:eastAsia="Arial" w:cs="Arial"/>
              </w:rPr>
              <w:t>3.5</w:t>
            </w:r>
          </w:p>
        </w:tc>
        <w:tc>
          <w:tcPr>
            <w:tcW w:w="2088" w:type="dxa"/>
            <w:tcMar>
              <w:top w:w="70" w:type="dxa"/>
              <w:left w:w="70" w:type="dxa"/>
              <w:bottom w:w="70" w:type="dxa"/>
              <w:right w:w="70" w:type="dxa"/>
            </w:tcMar>
            <w:vAlign w:val="center"/>
          </w:tcPr>
          <w:p w14:paraId="07D0AA55" w14:textId="77777777" w:rsidR="00C34E3C" w:rsidRDefault="00000000">
            <w:r>
              <w:rPr>
                <w:rFonts w:eastAsia="Arial" w:cs="Arial"/>
              </w:rPr>
              <w:t>3.3</w:t>
            </w:r>
          </w:p>
        </w:tc>
        <w:tc>
          <w:tcPr>
            <w:tcW w:w="2232" w:type="dxa"/>
            <w:tcMar>
              <w:top w:w="70" w:type="dxa"/>
              <w:left w:w="70" w:type="dxa"/>
              <w:bottom w:w="70" w:type="dxa"/>
              <w:right w:w="70" w:type="dxa"/>
            </w:tcMar>
            <w:vAlign w:val="center"/>
          </w:tcPr>
          <w:p w14:paraId="6B23308E" w14:textId="77777777" w:rsidR="00C34E3C" w:rsidRDefault="00000000">
            <w:r>
              <w:rPr>
                <w:rFonts w:eastAsia="Arial" w:cs="Arial"/>
              </w:rPr>
              <w:t>3.8</w:t>
            </w:r>
          </w:p>
        </w:tc>
        <w:tc>
          <w:tcPr>
            <w:tcW w:w="1512" w:type="dxa"/>
            <w:tcMar>
              <w:top w:w="70" w:type="dxa"/>
              <w:left w:w="70" w:type="dxa"/>
              <w:bottom w:w="70" w:type="dxa"/>
              <w:right w:w="70" w:type="dxa"/>
            </w:tcMar>
            <w:vAlign w:val="center"/>
          </w:tcPr>
          <w:p w14:paraId="400AA1D6" w14:textId="77777777" w:rsidR="00C34E3C" w:rsidRDefault="00000000">
            <w:r>
              <w:rPr>
                <w:rFonts w:eastAsia="Arial" w:cs="Arial"/>
              </w:rPr>
              <w:t>3.51</w:t>
            </w:r>
          </w:p>
        </w:tc>
      </w:tr>
    </w:tbl>
    <w:p w14:paraId="68F168C2" w14:textId="77777777" w:rsidR="00655734" w:rsidRDefault="00655734">
      <w:pPr>
        <w:rPr>
          <w:rFonts w:eastAsia="Arial" w:cs="Arial"/>
        </w:rPr>
      </w:pPr>
    </w:p>
    <w:p w14:paraId="63138A40" w14:textId="48D68677" w:rsidR="00542976" w:rsidRDefault="00000000">
      <w:r>
        <w:rPr>
          <w:rFonts w:eastAsia="Arial" w:cs="Arial"/>
        </w:rPr>
        <w:t>The weights and scores are planning assumptions rather than evidence. They make the decision logic visible, but small changes could alter the ranking because the top two options are close. The result therefore supports a combined MVP rather than false precision. Interviews, merchant workflow data and postcode-level route modelling should replace the initial scores before investment is approved.</w:t>
      </w:r>
    </w:p>
    <w:p w14:paraId="7FABAB10" w14:textId="77777777" w:rsidR="00542976" w:rsidRDefault="00000000">
      <w:pPr>
        <w:pStyle w:val="Heading1"/>
        <w:pageBreakBefore/>
      </w:pPr>
      <w:bookmarkStart w:id="8" w:name="h3_task2"/>
      <w:r>
        <w:rPr>
          <w:rFonts w:ascii="Arial" w:eastAsia="Arial" w:hAnsi="Arial" w:cs="Arial"/>
        </w:rPr>
        <w:lastRenderedPageBreak/>
        <w:t xml:space="preserve">3. Task 2: Applying Design Thinking to Deliveroo </w:t>
      </w:r>
      <w:proofErr w:type="spellStart"/>
      <w:r>
        <w:rPr>
          <w:rFonts w:ascii="Arial" w:eastAsia="Arial" w:hAnsi="Arial" w:cs="Arial"/>
        </w:rPr>
        <w:t>LocalLink</w:t>
      </w:r>
      <w:bookmarkEnd w:id="8"/>
      <w:proofErr w:type="spellEnd"/>
    </w:p>
    <w:p w14:paraId="77CE81A4" w14:textId="77777777" w:rsidR="00542976" w:rsidRDefault="00000000">
      <w:pPr>
        <w:keepNext/>
        <w:spacing w:before="100" w:after="40"/>
      </w:pPr>
      <w:r>
        <w:rPr>
          <w:rFonts w:eastAsia="Arial" w:cs="Arial"/>
          <w:b/>
        </w:rPr>
        <w:t>Figure 1. Iterative Design Thinking process</w:t>
      </w:r>
    </w:p>
    <w:p w14:paraId="48506218" w14:textId="77777777" w:rsidR="00886F78" w:rsidRDefault="00000000">
      <w:pPr>
        <w:jc w:val="center"/>
      </w:pPr>
      <w:r>
        <w:rPr>
          <w:rFonts w:eastAsia="Arial" w:cs="Arial"/>
          <w:noProof/>
        </w:rPr>
        <w:drawing>
          <wp:inline distT="0" distB="0" distL="0" distR="0" wp14:anchorId="02515568" wp14:editId="05463187">
            <wp:extent cx="6080760" cy="1114806"/>
            <wp:effectExtent l="0" t="0" r="0" b="0"/>
            <wp:docPr id="1" name="Picture 1" descr="Five-stage iterative Design Thinking process: Empathise, Define, Ideate, Prototype and Test, with a feedback loop to earlier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sign_thinking_process.png"/>
                    <pic:cNvPicPr/>
                  </pic:nvPicPr>
                  <pic:blipFill>
                    <a:blip r:embed="rId8"/>
                    <a:stretch>
                      <a:fillRect/>
                    </a:stretch>
                  </pic:blipFill>
                  <pic:spPr>
                    <a:xfrm>
                      <a:off x="0" y="0"/>
                      <a:ext cx="6080760" cy="1114806"/>
                    </a:xfrm>
                    <a:prstGeom prst="rect">
                      <a:avLst/>
                    </a:prstGeom>
                  </pic:spPr>
                </pic:pic>
              </a:graphicData>
            </a:graphic>
          </wp:inline>
        </w:drawing>
      </w:r>
    </w:p>
    <w:p w14:paraId="4ED013C0" w14:textId="77777777" w:rsidR="00542976" w:rsidRDefault="00000000">
      <w:pPr>
        <w:pStyle w:val="Heading2"/>
      </w:pPr>
      <w:bookmarkStart w:id="9" w:name="h31"/>
      <w:r>
        <w:rPr>
          <w:rFonts w:ascii="Arial" w:eastAsia="Arial" w:hAnsi="Arial" w:cs="Arial"/>
        </w:rPr>
        <w:t>3.1 Venture concept and goals</w:t>
      </w:r>
      <w:bookmarkEnd w:id="9"/>
    </w:p>
    <w:p w14:paraId="1F928F35" w14:textId="77777777" w:rsidR="00542976" w:rsidRDefault="00000000">
      <w:r>
        <w:rPr>
          <w:rFonts w:eastAsia="Arial" w:cs="Arial"/>
        </w:rPr>
        <w:t xml:space="preserve">Deliveroo </w:t>
      </w:r>
      <w:proofErr w:type="spellStart"/>
      <w:r>
        <w:rPr>
          <w:rFonts w:eastAsia="Arial" w:cs="Arial"/>
        </w:rPr>
        <w:t>LocalLink</w:t>
      </w:r>
      <w:proofErr w:type="spellEnd"/>
      <w:r>
        <w:rPr>
          <w:rFonts w:eastAsia="Arial" w:cs="Arial"/>
        </w:rPr>
        <w:t xml:space="preserve"> would serve independent retailers, farm shops and local producers within selected rural and suburban postcode clusters. Consumers would use one checkout for several merchants and choose a scheduled home-delivery window or community collection. Merchants would receive a basic storefront, payment, stock and fulfilment tools. The proposition is deliberately narrower than a general rural marketplace because it targets one testable mechanism: whether pooled local demand can create reliable service at a sustainable cost.</w:t>
      </w:r>
    </w:p>
    <w:p w14:paraId="548CB1A7" w14:textId="77777777" w:rsidR="00542976" w:rsidRDefault="00000000">
      <w:r>
        <w:rPr>
          <w:rFonts w:eastAsia="Arial" w:cs="Arial"/>
        </w:rPr>
        <w:t xml:space="preserve">The venture has four decision goals rather than broad aspirations. It must improve consumer access without relying on permanent subsidy, reduce merchant administration, provide predictable and </w:t>
      </w:r>
      <w:proofErr w:type="gramStart"/>
      <w:r>
        <w:rPr>
          <w:rFonts w:eastAsia="Arial" w:cs="Arial"/>
        </w:rPr>
        <w:t>fairly paid</w:t>
      </w:r>
      <w:proofErr w:type="gramEnd"/>
      <w:r>
        <w:rPr>
          <w:rFonts w:eastAsia="Arial" w:cs="Arial"/>
        </w:rPr>
        <w:t xml:space="preserve"> delivery work, and lower cost and distance per completed order. These goals may conflict. Lower consumer fees can reduce rider or merchant returns, while wider geographic coverage can damage route economics. The MVP must therefore reveal the trade-offs rather than report each stakeholder outcome separately.</w:t>
      </w:r>
    </w:p>
    <w:p w14:paraId="348845DC" w14:textId="77777777" w:rsidR="00542976" w:rsidRDefault="00000000">
      <w:pPr>
        <w:pStyle w:val="Heading2"/>
      </w:pPr>
      <w:bookmarkStart w:id="10" w:name="h32"/>
      <w:r>
        <w:rPr>
          <w:rFonts w:ascii="Arial" w:eastAsia="Arial" w:hAnsi="Arial" w:cs="Arial"/>
        </w:rPr>
        <w:t xml:space="preserve">3.2 </w:t>
      </w:r>
      <w:proofErr w:type="spellStart"/>
      <w:r>
        <w:rPr>
          <w:rFonts w:ascii="Arial" w:eastAsia="Arial" w:hAnsi="Arial" w:cs="Arial"/>
        </w:rPr>
        <w:t>Empathise</w:t>
      </w:r>
      <w:bookmarkEnd w:id="10"/>
      <w:proofErr w:type="spellEnd"/>
    </w:p>
    <w:p w14:paraId="6AECDBDD" w14:textId="77777777" w:rsidR="00542976" w:rsidRDefault="00000000">
      <w:r>
        <w:rPr>
          <w:rFonts w:eastAsia="Arial" w:cs="Arial"/>
        </w:rPr>
        <w:t xml:space="preserve">Empathy should be based on observed </w:t>
      </w:r>
      <w:proofErr w:type="spellStart"/>
      <w:r>
        <w:rPr>
          <w:rFonts w:eastAsia="Arial" w:cs="Arial"/>
        </w:rPr>
        <w:t>behaviour</w:t>
      </w:r>
      <w:proofErr w:type="spellEnd"/>
      <w:r>
        <w:rPr>
          <w:rFonts w:eastAsia="Arial" w:cs="Arial"/>
        </w:rPr>
        <w:t xml:space="preserve">, not imagined personas or statements of interest. Design Thinking becomes superficial when a short workshop is treated as evidence of need (Kimbell, 2011; Carlgren, Rauth and Elmquist, 2016). The first research cycle would involve consumers, merchants, </w:t>
      </w:r>
      <w:proofErr w:type="gramStart"/>
      <w:r>
        <w:rPr>
          <w:rFonts w:eastAsia="Arial" w:cs="Arial"/>
        </w:rPr>
        <w:t>riders</w:t>
      </w:r>
      <w:proofErr w:type="gramEnd"/>
      <w:r>
        <w:rPr>
          <w:rFonts w:eastAsia="Arial" w:cs="Arial"/>
        </w:rPr>
        <w:t xml:space="preserve"> and possible hub hosts in one area. The sample should include digitally confident users as well as older residents, people without cars and merchants with different fulfilment practices. This diversity is needed because an average user profile could hide the groups for whom the service is least accessible or least viable.</w:t>
      </w:r>
    </w:p>
    <w:p w14:paraId="1BBBB06A" w14:textId="77777777" w:rsidR="00542976" w:rsidRDefault="00000000">
      <w:r>
        <w:rPr>
          <w:rFonts w:eastAsia="Arial" w:cs="Arial"/>
        </w:rPr>
        <w:t xml:space="preserve">Interviews, observation, diaries, rider shadowing and journey mapping would be used together because stated preferences are weak evidence of willingness to pay. Consumers may say they value local shopping but abandon a paid basket; merchants may support </w:t>
      </w:r>
      <w:proofErr w:type="spellStart"/>
      <w:r>
        <w:rPr>
          <w:rFonts w:eastAsia="Arial" w:cs="Arial"/>
        </w:rPr>
        <w:t>digitalisation</w:t>
      </w:r>
      <w:proofErr w:type="spellEnd"/>
      <w:r>
        <w:rPr>
          <w:rFonts w:eastAsia="Arial" w:cs="Arial"/>
        </w:rPr>
        <w:t xml:space="preserve"> but resist commission or data sharing. </w:t>
      </w:r>
      <w:proofErr w:type="spellStart"/>
      <w:r>
        <w:rPr>
          <w:rFonts w:eastAsia="Arial" w:cs="Arial"/>
        </w:rPr>
        <w:t>Behavioural</w:t>
      </w:r>
      <w:proofErr w:type="spellEnd"/>
      <w:r>
        <w:rPr>
          <w:rFonts w:eastAsia="Arial" w:cs="Arial"/>
        </w:rPr>
        <w:t xml:space="preserve"> evidence from completed tasks and paid trials should therefore receive greater weight than positive interview responses. Research showing that reliability, assurance and </w:t>
      </w:r>
      <w:r>
        <w:rPr>
          <w:rFonts w:eastAsia="Arial" w:cs="Arial"/>
        </w:rPr>
        <w:lastRenderedPageBreak/>
        <w:t>system operation influence delivery satisfaction also supports testing the whole service journey rather than only the interface (Cheng, Chang and Chen, 2021).</w:t>
      </w:r>
    </w:p>
    <w:p w14:paraId="0A6B8131" w14:textId="77777777" w:rsidR="00A03481" w:rsidRPr="00B219CE" w:rsidRDefault="00000000">
      <w:r>
        <w:rPr>
          <w:rFonts w:eastAsia="Arial" w:cs="Arial"/>
        </w:rPr>
        <w:t xml:space="preserve">The empathy stage must also address power. Platform convenience can be created by transferring waiting time, uncertainty or monitoring to riders and merchants. Algorithm-mediated delivery research shows that workers adapt to platform rules while having limited influence over them (Allen-Perkins and </w:t>
      </w:r>
      <w:proofErr w:type="spellStart"/>
      <w:r>
        <w:rPr>
          <w:rFonts w:eastAsia="Arial" w:cs="Arial"/>
        </w:rPr>
        <w:t>Cañedo</w:t>
      </w:r>
      <w:proofErr w:type="spellEnd"/>
      <w:r>
        <w:rPr>
          <w:rFonts w:eastAsia="Arial" w:cs="Arial"/>
        </w:rPr>
        <w:t>-Rodríguez, 2023). Rider and merchant participation should therefore include co-design of pay, routing, cancellation and performance measures. The purpose is not to claim that stakeholder interests can be fully aligned, but to identify which compromises are acceptable before the model is fixed.</w:t>
      </w:r>
    </w:p>
    <w:p w14:paraId="5947EE7F" w14:textId="77777777" w:rsidR="00542976" w:rsidRDefault="00000000">
      <w:pPr>
        <w:keepNext/>
        <w:spacing w:before="100" w:after="40"/>
      </w:pPr>
      <w:r>
        <w:rPr>
          <w:rFonts w:eastAsia="Arial" w:cs="Arial"/>
          <w:b/>
        </w:rPr>
        <w:t>Table 3. Empathy research focus</w:t>
      </w:r>
    </w:p>
    <w:tbl>
      <w:tblPr>
        <w:tblStyle w:val="TableGrid"/>
        <w:tblW w:w="0" w:type="auto"/>
        <w:jc w:val="center"/>
        <w:tblLook w:val="04A0" w:firstRow="1" w:lastRow="0" w:firstColumn="1" w:lastColumn="0" w:noHBand="0" w:noVBand="1"/>
      </w:tblPr>
      <w:tblGrid>
        <w:gridCol w:w="3312"/>
        <w:gridCol w:w="3312"/>
        <w:gridCol w:w="3312"/>
      </w:tblGrid>
      <w:tr w:rsidR="00542976" w14:paraId="6D03555D" w14:textId="77777777">
        <w:trPr>
          <w:cantSplit/>
          <w:tblHeader/>
          <w:jc w:val="center"/>
        </w:trPr>
        <w:tc>
          <w:tcPr>
            <w:tcW w:w="3312" w:type="dxa"/>
            <w:shd w:val="clear" w:color="auto" w:fill="E7E6E6"/>
            <w:tcMar>
              <w:top w:w="70" w:type="dxa"/>
              <w:left w:w="70" w:type="dxa"/>
              <w:bottom w:w="70" w:type="dxa"/>
              <w:right w:w="70" w:type="dxa"/>
            </w:tcMar>
            <w:vAlign w:val="center"/>
          </w:tcPr>
          <w:p w14:paraId="379552BB" w14:textId="77777777" w:rsidR="00542976" w:rsidRDefault="00000000">
            <w:r>
              <w:rPr>
                <w:rFonts w:eastAsia="Arial" w:cs="Arial"/>
                <w:b/>
              </w:rPr>
              <w:t>User group</w:t>
            </w:r>
          </w:p>
        </w:tc>
        <w:tc>
          <w:tcPr>
            <w:tcW w:w="3312" w:type="dxa"/>
            <w:shd w:val="clear" w:color="auto" w:fill="E7E6E6"/>
            <w:tcMar>
              <w:top w:w="70" w:type="dxa"/>
              <w:left w:w="70" w:type="dxa"/>
              <w:bottom w:w="70" w:type="dxa"/>
              <w:right w:w="70" w:type="dxa"/>
            </w:tcMar>
            <w:vAlign w:val="center"/>
          </w:tcPr>
          <w:p w14:paraId="7693AC8B" w14:textId="77777777" w:rsidR="00542976" w:rsidRDefault="00000000">
            <w:r>
              <w:rPr>
                <w:rFonts w:eastAsia="Arial" w:cs="Arial"/>
                <w:b/>
              </w:rPr>
              <w:t>What must be understood</w:t>
            </w:r>
          </w:p>
        </w:tc>
        <w:tc>
          <w:tcPr>
            <w:tcW w:w="3312" w:type="dxa"/>
            <w:shd w:val="clear" w:color="auto" w:fill="E7E6E6"/>
            <w:tcMar>
              <w:top w:w="70" w:type="dxa"/>
              <w:left w:w="70" w:type="dxa"/>
              <w:bottom w:w="70" w:type="dxa"/>
              <w:right w:w="70" w:type="dxa"/>
            </w:tcMar>
            <w:vAlign w:val="center"/>
          </w:tcPr>
          <w:p w14:paraId="1A4F3DD2" w14:textId="77777777" w:rsidR="00542976" w:rsidRDefault="00000000">
            <w:r>
              <w:rPr>
                <w:rFonts w:eastAsia="Arial" w:cs="Arial"/>
                <w:b/>
              </w:rPr>
              <w:t>Suitable method</w:t>
            </w:r>
          </w:p>
        </w:tc>
      </w:tr>
      <w:tr w:rsidR="00542976" w14:paraId="633AED72" w14:textId="77777777">
        <w:trPr>
          <w:cantSplit/>
          <w:jc w:val="center"/>
        </w:trPr>
        <w:tc>
          <w:tcPr>
            <w:tcW w:w="3312" w:type="dxa"/>
            <w:tcMar>
              <w:top w:w="70" w:type="dxa"/>
              <w:left w:w="70" w:type="dxa"/>
              <w:bottom w:w="70" w:type="dxa"/>
              <w:right w:w="70" w:type="dxa"/>
            </w:tcMar>
            <w:vAlign w:val="center"/>
          </w:tcPr>
          <w:p w14:paraId="33EEB3D7" w14:textId="77777777" w:rsidR="00542976" w:rsidRDefault="00000000">
            <w:r>
              <w:rPr>
                <w:rFonts w:eastAsia="Arial" w:cs="Arial"/>
              </w:rPr>
              <w:t>Consumers</w:t>
            </w:r>
          </w:p>
        </w:tc>
        <w:tc>
          <w:tcPr>
            <w:tcW w:w="3312" w:type="dxa"/>
            <w:tcMar>
              <w:top w:w="70" w:type="dxa"/>
              <w:left w:w="70" w:type="dxa"/>
              <w:bottom w:w="70" w:type="dxa"/>
              <w:right w:w="70" w:type="dxa"/>
            </w:tcMar>
            <w:vAlign w:val="center"/>
          </w:tcPr>
          <w:p w14:paraId="67761E0A" w14:textId="77777777" w:rsidR="00542976" w:rsidRDefault="00000000">
            <w:r>
              <w:rPr>
                <w:rFonts w:eastAsia="Arial" w:cs="Arial"/>
              </w:rPr>
              <w:t xml:space="preserve">Access, trust, price, </w:t>
            </w:r>
            <w:proofErr w:type="gramStart"/>
            <w:r>
              <w:rPr>
                <w:rFonts w:eastAsia="Arial" w:cs="Arial"/>
              </w:rPr>
              <w:t>timing</w:t>
            </w:r>
            <w:proofErr w:type="gramEnd"/>
            <w:r>
              <w:rPr>
                <w:rFonts w:eastAsia="Arial" w:cs="Arial"/>
              </w:rPr>
              <w:t xml:space="preserve"> and digital confidence</w:t>
            </w:r>
          </w:p>
        </w:tc>
        <w:tc>
          <w:tcPr>
            <w:tcW w:w="3312" w:type="dxa"/>
            <w:tcMar>
              <w:top w:w="70" w:type="dxa"/>
              <w:left w:w="70" w:type="dxa"/>
              <w:bottom w:w="70" w:type="dxa"/>
              <w:right w:w="70" w:type="dxa"/>
            </w:tcMar>
            <w:vAlign w:val="center"/>
          </w:tcPr>
          <w:p w14:paraId="396B44CB" w14:textId="77777777" w:rsidR="00542976" w:rsidRDefault="00000000">
            <w:r>
              <w:rPr>
                <w:rFonts w:eastAsia="Arial" w:cs="Arial"/>
              </w:rPr>
              <w:t xml:space="preserve">Interviews, </w:t>
            </w:r>
            <w:proofErr w:type="gramStart"/>
            <w:r>
              <w:rPr>
                <w:rFonts w:eastAsia="Arial" w:cs="Arial"/>
              </w:rPr>
              <w:t>diary</w:t>
            </w:r>
            <w:proofErr w:type="gramEnd"/>
            <w:r>
              <w:rPr>
                <w:rFonts w:eastAsia="Arial" w:cs="Arial"/>
              </w:rPr>
              <w:t xml:space="preserve"> and journey map</w:t>
            </w:r>
          </w:p>
        </w:tc>
      </w:tr>
      <w:tr w:rsidR="00542976" w14:paraId="39DD2262" w14:textId="77777777">
        <w:trPr>
          <w:cantSplit/>
          <w:jc w:val="center"/>
        </w:trPr>
        <w:tc>
          <w:tcPr>
            <w:tcW w:w="3312" w:type="dxa"/>
            <w:tcMar>
              <w:top w:w="70" w:type="dxa"/>
              <w:left w:w="70" w:type="dxa"/>
              <w:bottom w:w="70" w:type="dxa"/>
              <w:right w:w="70" w:type="dxa"/>
            </w:tcMar>
            <w:vAlign w:val="center"/>
          </w:tcPr>
          <w:p w14:paraId="66B4161D" w14:textId="77777777" w:rsidR="00542976" w:rsidRDefault="00000000">
            <w:r>
              <w:rPr>
                <w:rFonts w:eastAsia="Arial" w:cs="Arial"/>
              </w:rPr>
              <w:t>Merchants</w:t>
            </w:r>
          </w:p>
        </w:tc>
        <w:tc>
          <w:tcPr>
            <w:tcW w:w="3312" w:type="dxa"/>
            <w:tcMar>
              <w:top w:w="70" w:type="dxa"/>
              <w:left w:w="70" w:type="dxa"/>
              <w:bottom w:w="70" w:type="dxa"/>
              <w:right w:w="70" w:type="dxa"/>
            </w:tcMar>
            <w:vAlign w:val="center"/>
          </w:tcPr>
          <w:p w14:paraId="25C13F5D" w14:textId="77777777" w:rsidR="00542976" w:rsidRDefault="00000000">
            <w:r>
              <w:rPr>
                <w:rFonts w:eastAsia="Arial" w:cs="Arial"/>
              </w:rPr>
              <w:t xml:space="preserve">Admin burden, fees, </w:t>
            </w:r>
            <w:proofErr w:type="gramStart"/>
            <w:r>
              <w:rPr>
                <w:rFonts w:eastAsia="Arial" w:cs="Arial"/>
              </w:rPr>
              <w:t>stock</w:t>
            </w:r>
            <w:proofErr w:type="gramEnd"/>
            <w:r>
              <w:rPr>
                <w:rFonts w:eastAsia="Arial" w:cs="Arial"/>
              </w:rPr>
              <w:t xml:space="preserve"> and customer ownership</w:t>
            </w:r>
          </w:p>
        </w:tc>
        <w:tc>
          <w:tcPr>
            <w:tcW w:w="3312" w:type="dxa"/>
            <w:tcMar>
              <w:top w:w="70" w:type="dxa"/>
              <w:left w:w="70" w:type="dxa"/>
              <w:bottom w:w="70" w:type="dxa"/>
              <w:right w:w="70" w:type="dxa"/>
            </w:tcMar>
            <w:vAlign w:val="center"/>
          </w:tcPr>
          <w:p w14:paraId="01A88AB0" w14:textId="77777777" w:rsidR="00542976" w:rsidRDefault="00000000">
            <w:r>
              <w:rPr>
                <w:rFonts w:eastAsia="Arial" w:cs="Arial"/>
              </w:rPr>
              <w:t>Observation and co-design</w:t>
            </w:r>
          </w:p>
        </w:tc>
      </w:tr>
      <w:tr w:rsidR="00542976" w14:paraId="052A29CA" w14:textId="77777777">
        <w:trPr>
          <w:cantSplit/>
          <w:jc w:val="center"/>
        </w:trPr>
        <w:tc>
          <w:tcPr>
            <w:tcW w:w="3312" w:type="dxa"/>
            <w:tcMar>
              <w:top w:w="70" w:type="dxa"/>
              <w:left w:w="70" w:type="dxa"/>
              <w:bottom w:w="70" w:type="dxa"/>
              <w:right w:w="70" w:type="dxa"/>
            </w:tcMar>
            <w:vAlign w:val="center"/>
          </w:tcPr>
          <w:p w14:paraId="737CD607" w14:textId="77777777" w:rsidR="00542976" w:rsidRDefault="00000000">
            <w:r>
              <w:rPr>
                <w:rFonts w:eastAsia="Arial" w:cs="Arial"/>
              </w:rPr>
              <w:t>Riders</w:t>
            </w:r>
          </w:p>
        </w:tc>
        <w:tc>
          <w:tcPr>
            <w:tcW w:w="3312" w:type="dxa"/>
            <w:tcMar>
              <w:top w:w="70" w:type="dxa"/>
              <w:left w:w="70" w:type="dxa"/>
              <w:bottom w:w="70" w:type="dxa"/>
              <w:right w:w="70" w:type="dxa"/>
            </w:tcMar>
            <w:vAlign w:val="center"/>
          </w:tcPr>
          <w:p w14:paraId="172BBA57" w14:textId="77777777" w:rsidR="00542976" w:rsidRDefault="00000000">
            <w:r>
              <w:rPr>
                <w:rFonts w:eastAsia="Arial" w:cs="Arial"/>
              </w:rPr>
              <w:t xml:space="preserve">Paid time, distance, </w:t>
            </w:r>
            <w:proofErr w:type="gramStart"/>
            <w:r>
              <w:rPr>
                <w:rFonts w:eastAsia="Arial" w:cs="Arial"/>
              </w:rPr>
              <w:t>safety</w:t>
            </w:r>
            <w:proofErr w:type="gramEnd"/>
            <w:r>
              <w:rPr>
                <w:rFonts w:eastAsia="Arial" w:cs="Arial"/>
              </w:rPr>
              <w:t xml:space="preserve"> and route fairness</w:t>
            </w:r>
          </w:p>
        </w:tc>
        <w:tc>
          <w:tcPr>
            <w:tcW w:w="3312" w:type="dxa"/>
            <w:tcMar>
              <w:top w:w="70" w:type="dxa"/>
              <w:left w:w="70" w:type="dxa"/>
              <w:bottom w:w="70" w:type="dxa"/>
              <w:right w:w="70" w:type="dxa"/>
            </w:tcMar>
            <w:vAlign w:val="center"/>
          </w:tcPr>
          <w:p w14:paraId="03984F63" w14:textId="77777777" w:rsidR="00542976" w:rsidRDefault="00000000">
            <w:r>
              <w:rPr>
                <w:rFonts w:eastAsia="Arial" w:cs="Arial"/>
              </w:rPr>
              <w:t>Route shadowing and workshop</w:t>
            </w:r>
          </w:p>
        </w:tc>
      </w:tr>
      <w:tr w:rsidR="00542976" w14:paraId="424FA312" w14:textId="77777777">
        <w:trPr>
          <w:cantSplit/>
          <w:jc w:val="center"/>
        </w:trPr>
        <w:tc>
          <w:tcPr>
            <w:tcW w:w="3312" w:type="dxa"/>
            <w:tcMar>
              <w:top w:w="70" w:type="dxa"/>
              <w:left w:w="70" w:type="dxa"/>
              <w:bottom w:w="70" w:type="dxa"/>
              <w:right w:w="70" w:type="dxa"/>
            </w:tcMar>
            <w:vAlign w:val="center"/>
          </w:tcPr>
          <w:p w14:paraId="3D91CCED" w14:textId="77777777" w:rsidR="00542976" w:rsidRDefault="00000000">
            <w:r>
              <w:rPr>
                <w:rFonts w:eastAsia="Arial" w:cs="Arial"/>
              </w:rPr>
              <w:t>Hub partners</w:t>
            </w:r>
          </w:p>
        </w:tc>
        <w:tc>
          <w:tcPr>
            <w:tcW w:w="3312" w:type="dxa"/>
            <w:tcMar>
              <w:top w:w="70" w:type="dxa"/>
              <w:left w:w="70" w:type="dxa"/>
              <w:bottom w:w="70" w:type="dxa"/>
              <w:right w:w="70" w:type="dxa"/>
            </w:tcMar>
            <w:vAlign w:val="center"/>
          </w:tcPr>
          <w:p w14:paraId="1D6F6FD3" w14:textId="77777777" w:rsidR="00542976" w:rsidRDefault="00000000">
            <w:r>
              <w:rPr>
                <w:rFonts w:eastAsia="Arial" w:cs="Arial"/>
              </w:rPr>
              <w:t xml:space="preserve">Storage, staffing, </w:t>
            </w:r>
            <w:proofErr w:type="gramStart"/>
            <w:r>
              <w:rPr>
                <w:rFonts w:eastAsia="Arial" w:cs="Arial"/>
              </w:rPr>
              <w:t>liability</w:t>
            </w:r>
            <w:proofErr w:type="gramEnd"/>
            <w:r>
              <w:rPr>
                <w:rFonts w:eastAsia="Arial" w:cs="Arial"/>
              </w:rPr>
              <w:t xml:space="preserve"> and local demand</w:t>
            </w:r>
          </w:p>
        </w:tc>
        <w:tc>
          <w:tcPr>
            <w:tcW w:w="3312" w:type="dxa"/>
            <w:tcMar>
              <w:top w:w="70" w:type="dxa"/>
              <w:left w:w="70" w:type="dxa"/>
              <w:bottom w:w="70" w:type="dxa"/>
              <w:right w:w="70" w:type="dxa"/>
            </w:tcMar>
            <w:vAlign w:val="center"/>
          </w:tcPr>
          <w:p w14:paraId="5721AF51" w14:textId="77777777" w:rsidR="00542976" w:rsidRDefault="00000000">
            <w:r>
              <w:rPr>
                <w:rFonts w:eastAsia="Arial" w:cs="Arial"/>
              </w:rPr>
              <w:t>Site visit and service walkthrough</w:t>
            </w:r>
          </w:p>
        </w:tc>
      </w:tr>
    </w:tbl>
    <w:p w14:paraId="042FD1EB" w14:textId="77777777" w:rsidR="00542976" w:rsidRDefault="00000000">
      <w:pPr>
        <w:pStyle w:val="Heading2"/>
      </w:pPr>
      <w:r>
        <w:rPr>
          <w:rFonts w:ascii="Arial" w:eastAsia="Arial" w:hAnsi="Arial" w:cs="Arial"/>
        </w:rPr>
        <w:t>3.3 Define</w:t>
      </w:r>
    </w:p>
    <w:p w14:paraId="3994D8D2" w14:textId="77777777" w:rsidR="00542976" w:rsidRDefault="00000000">
      <w:r>
        <w:rPr>
          <w:rFonts w:eastAsia="Arial" w:cs="Arial"/>
        </w:rPr>
        <w:t>The Define stage should convert observations into a causal problem, not restate the scenario. The Double Diamond permits broad discovery before convergence, while Five Whys helps distinguish symptoms from root causes (Design Council, 2019; Ohno, 1988). Limited local delivery is a symptom. The deeper cause is that merchants manage demand through separate channels, so orders cannot be pooled into economically viable rounds. Defining the issue this way rules out a cosmetic solution such as adding more products to the existing app.</w:t>
      </w:r>
    </w:p>
    <w:p w14:paraId="1E4ECFD3" w14:textId="77777777" w:rsidR="00A03481" w:rsidRPr="00B219CE" w:rsidRDefault="00000000">
      <w:r>
        <w:rPr>
          <w:rFonts w:eastAsia="Arial" w:cs="Arial"/>
        </w:rPr>
        <w:t xml:space="preserve">Soft-systems thinking is necessary because success differs by stakeholder: convenience for consumers, profitable reach for merchants, fair paid time for riders and inclusion for communities. Checkland (1981) cautions against treating such situations as purely technical </w:t>
      </w:r>
      <w:proofErr w:type="spellStart"/>
      <w:r>
        <w:rPr>
          <w:rFonts w:eastAsia="Arial" w:cs="Arial"/>
        </w:rPr>
        <w:t>optimisation</w:t>
      </w:r>
      <w:proofErr w:type="spellEnd"/>
      <w:r>
        <w:rPr>
          <w:rFonts w:eastAsia="Arial" w:cs="Arial"/>
        </w:rPr>
        <w:t xml:space="preserve">. Hard systems remain useful for routing, </w:t>
      </w:r>
      <w:proofErr w:type="gramStart"/>
      <w:r>
        <w:rPr>
          <w:rFonts w:eastAsia="Arial" w:cs="Arial"/>
        </w:rPr>
        <w:t>capacity</w:t>
      </w:r>
      <w:proofErr w:type="gramEnd"/>
      <w:r>
        <w:rPr>
          <w:rFonts w:eastAsia="Arial" w:cs="Arial"/>
        </w:rPr>
        <w:t xml:space="preserve"> and payment, but an efficient route is not a satisfactory solution if it depends on opaque pricing or unpaid waiting. The resulting problem statement </w:t>
      </w:r>
      <w:proofErr w:type="gramStart"/>
      <w:r>
        <w:rPr>
          <w:rFonts w:eastAsia="Arial" w:cs="Arial"/>
        </w:rPr>
        <w:t>is:</w:t>
      </w:r>
      <w:proofErr w:type="gramEnd"/>
      <w:r>
        <w:rPr>
          <w:rFonts w:eastAsia="Arial" w:cs="Arial"/>
        </w:rPr>
        <w:t xml:space="preserve"> independent merchants in lower-density communities need a shared ordering and delivery system because fragmented tools and separate journeys make local e-commerce unreliable and uneconomic. </w:t>
      </w:r>
      <w:r>
        <w:rPr>
          <w:rFonts w:eastAsia="Arial" w:cs="Arial"/>
        </w:rPr>
        <w:lastRenderedPageBreak/>
        <w:t>The related question is how Deliveroo can pool orders while protecting merchant relationships and fair rider earnings.</w:t>
      </w:r>
    </w:p>
    <w:p w14:paraId="50879BD5" w14:textId="77777777" w:rsidR="00542976" w:rsidRDefault="00000000">
      <w:pPr>
        <w:keepNext/>
        <w:spacing w:before="100" w:after="40"/>
      </w:pPr>
      <w:r>
        <w:rPr>
          <w:rFonts w:eastAsia="Arial" w:cs="Arial"/>
          <w:b/>
        </w:rPr>
        <w:t>Table 4. Five Whys problem clarification</w:t>
      </w:r>
    </w:p>
    <w:tbl>
      <w:tblPr>
        <w:tblStyle w:val="TableGrid"/>
        <w:tblW w:w="0" w:type="auto"/>
        <w:jc w:val="center"/>
        <w:tblLook w:val="04A0" w:firstRow="1" w:lastRow="0" w:firstColumn="1" w:lastColumn="0" w:noHBand="0" w:noVBand="1"/>
      </w:tblPr>
      <w:tblGrid>
        <w:gridCol w:w="4968"/>
        <w:gridCol w:w="4968"/>
      </w:tblGrid>
      <w:tr w:rsidR="00542976" w14:paraId="765A8AAE" w14:textId="77777777">
        <w:trPr>
          <w:cantSplit/>
          <w:tblHeader/>
          <w:jc w:val="center"/>
        </w:trPr>
        <w:tc>
          <w:tcPr>
            <w:tcW w:w="4968" w:type="dxa"/>
            <w:shd w:val="clear" w:color="auto" w:fill="E7E6E6"/>
            <w:tcMar>
              <w:top w:w="70" w:type="dxa"/>
              <w:left w:w="70" w:type="dxa"/>
              <w:bottom w:w="70" w:type="dxa"/>
              <w:right w:w="70" w:type="dxa"/>
            </w:tcMar>
            <w:vAlign w:val="center"/>
          </w:tcPr>
          <w:p w14:paraId="7D720D79" w14:textId="77777777" w:rsidR="00542976" w:rsidRDefault="00000000">
            <w:r>
              <w:rPr>
                <w:rFonts w:eastAsia="Arial" w:cs="Arial"/>
                <w:b/>
              </w:rPr>
              <w:t>Question</w:t>
            </w:r>
          </w:p>
        </w:tc>
        <w:tc>
          <w:tcPr>
            <w:tcW w:w="4968" w:type="dxa"/>
            <w:shd w:val="clear" w:color="auto" w:fill="E7E6E6"/>
            <w:tcMar>
              <w:top w:w="70" w:type="dxa"/>
              <w:left w:w="70" w:type="dxa"/>
              <w:bottom w:w="70" w:type="dxa"/>
              <w:right w:w="70" w:type="dxa"/>
            </w:tcMar>
            <w:vAlign w:val="center"/>
          </w:tcPr>
          <w:p w14:paraId="1B7BC5A8" w14:textId="77777777" w:rsidR="00542976" w:rsidRDefault="00000000">
            <w:r>
              <w:rPr>
                <w:rFonts w:eastAsia="Arial" w:cs="Arial"/>
                <w:b/>
              </w:rPr>
              <w:t>Answer</w:t>
            </w:r>
          </w:p>
        </w:tc>
      </w:tr>
      <w:tr w:rsidR="00542976" w14:paraId="48F40703" w14:textId="77777777">
        <w:trPr>
          <w:cantSplit/>
          <w:jc w:val="center"/>
        </w:trPr>
        <w:tc>
          <w:tcPr>
            <w:tcW w:w="4968" w:type="dxa"/>
            <w:tcMar>
              <w:top w:w="70" w:type="dxa"/>
              <w:left w:w="70" w:type="dxa"/>
              <w:bottom w:w="70" w:type="dxa"/>
              <w:right w:w="70" w:type="dxa"/>
            </w:tcMar>
            <w:vAlign w:val="center"/>
          </w:tcPr>
          <w:p w14:paraId="0A872E73" w14:textId="77777777" w:rsidR="00542976" w:rsidRDefault="00000000">
            <w:r>
              <w:rPr>
                <w:rFonts w:eastAsia="Arial" w:cs="Arial"/>
              </w:rPr>
              <w:t>Why is local delivery choice limited?</w:t>
            </w:r>
          </w:p>
        </w:tc>
        <w:tc>
          <w:tcPr>
            <w:tcW w:w="4968" w:type="dxa"/>
            <w:tcMar>
              <w:top w:w="70" w:type="dxa"/>
              <w:left w:w="70" w:type="dxa"/>
              <w:bottom w:w="70" w:type="dxa"/>
              <w:right w:w="70" w:type="dxa"/>
            </w:tcMar>
            <w:vAlign w:val="center"/>
          </w:tcPr>
          <w:p w14:paraId="7F0DA15A" w14:textId="77777777" w:rsidR="00542976" w:rsidRDefault="00000000">
            <w:r>
              <w:rPr>
                <w:rFonts w:eastAsia="Arial" w:cs="Arial"/>
              </w:rPr>
              <w:t>Few merchants offer an integrated service.</w:t>
            </w:r>
          </w:p>
        </w:tc>
      </w:tr>
      <w:tr w:rsidR="00542976" w14:paraId="3C76745C" w14:textId="77777777">
        <w:trPr>
          <w:cantSplit/>
          <w:jc w:val="center"/>
        </w:trPr>
        <w:tc>
          <w:tcPr>
            <w:tcW w:w="4968" w:type="dxa"/>
            <w:tcMar>
              <w:top w:w="70" w:type="dxa"/>
              <w:left w:w="70" w:type="dxa"/>
              <w:bottom w:w="70" w:type="dxa"/>
              <w:right w:w="70" w:type="dxa"/>
            </w:tcMar>
            <w:vAlign w:val="center"/>
          </w:tcPr>
          <w:p w14:paraId="54BDC7BE" w14:textId="77777777" w:rsidR="00542976" w:rsidRDefault="00000000">
            <w:r>
              <w:rPr>
                <w:rFonts w:eastAsia="Arial" w:cs="Arial"/>
              </w:rPr>
              <w:t>Why do merchants not offer one?</w:t>
            </w:r>
          </w:p>
        </w:tc>
        <w:tc>
          <w:tcPr>
            <w:tcW w:w="4968" w:type="dxa"/>
            <w:tcMar>
              <w:top w:w="70" w:type="dxa"/>
              <w:left w:w="70" w:type="dxa"/>
              <w:bottom w:w="70" w:type="dxa"/>
              <w:right w:w="70" w:type="dxa"/>
            </w:tcMar>
            <w:vAlign w:val="center"/>
          </w:tcPr>
          <w:p w14:paraId="0FA4B312" w14:textId="77777777" w:rsidR="00542976" w:rsidRDefault="00000000">
            <w:r>
              <w:rPr>
                <w:rFonts w:eastAsia="Arial" w:cs="Arial"/>
              </w:rPr>
              <w:t xml:space="preserve">Individual delivery is </w:t>
            </w:r>
            <w:proofErr w:type="gramStart"/>
            <w:r>
              <w:rPr>
                <w:rFonts w:eastAsia="Arial" w:cs="Arial"/>
              </w:rPr>
              <w:t>costly</w:t>
            </w:r>
            <w:proofErr w:type="gramEnd"/>
            <w:r>
              <w:rPr>
                <w:rFonts w:eastAsia="Arial" w:cs="Arial"/>
              </w:rPr>
              <w:t xml:space="preserve"> and administration is fragmented.</w:t>
            </w:r>
          </w:p>
        </w:tc>
      </w:tr>
      <w:tr w:rsidR="00542976" w14:paraId="572B308C" w14:textId="77777777">
        <w:trPr>
          <w:cantSplit/>
          <w:jc w:val="center"/>
        </w:trPr>
        <w:tc>
          <w:tcPr>
            <w:tcW w:w="4968" w:type="dxa"/>
            <w:tcMar>
              <w:top w:w="70" w:type="dxa"/>
              <w:left w:w="70" w:type="dxa"/>
              <w:bottom w:w="70" w:type="dxa"/>
              <w:right w:w="70" w:type="dxa"/>
            </w:tcMar>
            <w:vAlign w:val="center"/>
          </w:tcPr>
          <w:p w14:paraId="275AB774" w14:textId="77777777" w:rsidR="00542976" w:rsidRDefault="00000000">
            <w:r>
              <w:rPr>
                <w:rFonts w:eastAsia="Arial" w:cs="Arial"/>
              </w:rPr>
              <w:t>Why is delivery costly?</w:t>
            </w:r>
          </w:p>
        </w:tc>
        <w:tc>
          <w:tcPr>
            <w:tcW w:w="4968" w:type="dxa"/>
            <w:tcMar>
              <w:top w:w="70" w:type="dxa"/>
              <w:left w:w="70" w:type="dxa"/>
              <w:bottom w:w="70" w:type="dxa"/>
              <w:right w:w="70" w:type="dxa"/>
            </w:tcMar>
            <w:vAlign w:val="center"/>
          </w:tcPr>
          <w:p w14:paraId="5E3CA24C" w14:textId="77777777" w:rsidR="00542976" w:rsidRDefault="00000000">
            <w:r>
              <w:rPr>
                <w:rFonts w:eastAsia="Arial" w:cs="Arial"/>
              </w:rPr>
              <w:t>Orders are dispersed and dispatched separately.</w:t>
            </w:r>
          </w:p>
        </w:tc>
      </w:tr>
      <w:tr w:rsidR="00542976" w14:paraId="3CFC7CC6" w14:textId="77777777">
        <w:trPr>
          <w:cantSplit/>
          <w:jc w:val="center"/>
        </w:trPr>
        <w:tc>
          <w:tcPr>
            <w:tcW w:w="4968" w:type="dxa"/>
            <w:tcMar>
              <w:top w:w="70" w:type="dxa"/>
              <w:left w:w="70" w:type="dxa"/>
              <w:bottom w:w="70" w:type="dxa"/>
              <w:right w:w="70" w:type="dxa"/>
            </w:tcMar>
            <w:vAlign w:val="center"/>
          </w:tcPr>
          <w:p w14:paraId="2EF25D20" w14:textId="77777777" w:rsidR="00542976" w:rsidRDefault="00000000">
            <w:r>
              <w:rPr>
                <w:rFonts w:eastAsia="Arial" w:cs="Arial"/>
              </w:rPr>
              <w:t>Why are orders not pooled?</w:t>
            </w:r>
          </w:p>
        </w:tc>
        <w:tc>
          <w:tcPr>
            <w:tcW w:w="4968" w:type="dxa"/>
            <w:tcMar>
              <w:top w:w="70" w:type="dxa"/>
              <w:left w:w="70" w:type="dxa"/>
              <w:bottom w:w="70" w:type="dxa"/>
              <w:right w:w="70" w:type="dxa"/>
            </w:tcMar>
            <w:vAlign w:val="center"/>
          </w:tcPr>
          <w:p w14:paraId="22EB6E8B" w14:textId="77777777" w:rsidR="00542976" w:rsidRDefault="00000000">
            <w:r>
              <w:rPr>
                <w:rFonts w:eastAsia="Arial" w:cs="Arial"/>
              </w:rPr>
              <w:t>Merchants use separate channels and cannot see shared demand.</w:t>
            </w:r>
          </w:p>
        </w:tc>
      </w:tr>
      <w:tr w:rsidR="00542976" w14:paraId="14FC3639" w14:textId="77777777">
        <w:trPr>
          <w:cantSplit/>
          <w:jc w:val="center"/>
        </w:trPr>
        <w:tc>
          <w:tcPr>
            <w:tcW w:w="4968" w:type="dxa"/>
            <w:tcMar>
              <w:top w:w="70" w:type="dxa"/>
              <w:left w:w="70" w:type="dxa"/>
              <w:bottom w:w="70" w:type="dxa"/>
              <w:right w:w="70" w:type="dxa"/>
            </w:tcMar>
            <w:vAlign w:val="center"/>
          </w:tcPr>
          <w:p w14:paraId="3D4B8D33" w14:textId="77777777" w:rsidR="00542976" w:rsidRDefault="00000000">
            <w:r>
              <w:rPr>
                <w:rFonts w:eastAsia="Arial" w:cs="Arial"/>
              </w:rPr>
              <w:t>Why is shared demand invisible?</w:t>
            </w:r>
          </w:p>
        </w:tc>
        <w:tc>
          <w:tcPr>
            <w:tcW w:w="4968" w:type="dxa"/>
            <w:tcMar>
              <w:top w:w="70" w:type="dxa"/>
              <w:left w:w="70" w:type="dxa"/>
              <w:bottom w:w="70" w:type="dxa"/>
              <w:right w:w="70" w:type="dxa"/>
            </w:tcMar>
            <w:vAlign w:val="center"/>
          </w:tcPr>
          <w:p w14:paraId="1674AC21" w14:textId="77777777" w:rsidR="00542976" w:rsidRDefault="00000000">
            <w:r>
              <w:rPr>
                <w:rFonts w:eastAsia="Arial" w:cs="Arial"/>
              </w:rPr>
              <w:t xml:space="preserve">No simple platform combines local ordering, </w:t>
            </w:r>
            <w:proofErr w:type="gramStart"/>
            <w:r>
              <w:rPr>
                <w:rFonts w:eastAsia="Arial" w:cs="Arial"/>
              </w:rPr>
              <w:t>payment</w:t>
            </w:r>
            <w:proofErr w:type="gramEnd"/>
            <w:r>
              <w:rPr>
                <w:rFonts w:eastAsia="Arial" w:cs="Arial"/>
              </w:rPr>
              <w:t xml:space="preserve"> and scheduled routing.</w:t>
            </w:r>
          </w:p>
        </w:tc>
      </w:tr>
    </w:tbl>
    <w:p w14:paraId="2AB8E015" w14:textId="77777777" w:rsidR="00542976" w:rsidRDefault="00000000" w:rsidP="00A03481">
      <w:pPr>
        <w:pStyle w:val="Heading2"/>
        <w:numPr>
          <w:ilvl w:val="1"/>
          <w:numId w:val="10"/>
        </w:numPr>
      </w:pPr>
      <w:r>
        <w:rPr>
          <w:rFonts w:ascii="Arial" w:eastAsia="Arial" w:hAnsi="Arial" w:cs="Arial"/>
        </w:rPr>
        <w:t>Ideate</w:t>
      </w:r>
    </w:p>
    <w:p w14:paraId="11794206" w14:textId="77777777" w:rsidR="00542976" w:rsidRDefault="00000000" w:rsidP="00A03481">
      <w:r>
        <w:rPr>
          <w:rFonts w:eastAsia="Arial" w:cs="Arial"/>
        </w:rPr>
        <w:t xml:space="preserve">Ideation should demonstrate how the thinking method changed the solution rather than simply list creativity techniques. </w:t>
      </w:r>
      <w:proofErr w:type="spellStart"/>
      <w:r>
        <w:rPr>
          <w:rFonts w:eastAsia="Arial" w:cs="Arial"/>
        </w:rPr>
        <w:t>Brainswarming</w:t>
      </w:r>
      <w:proofErr w:type="spellEnd"/>
      <w:r>
        <w:rPr>
          <w:rFonts w:eastAsia="Arial" w:cs="Arial"/>
        </w:rPr>
        <w:t xml:space="preserve"> is useful because merchants and riders can contribute before senior platform managers frame the discussion. Reverse provocation challenges the assumption that convenience requires immediate individual delivery. Random entry using the idea of a bus route produces fixed times, shared </w:t>
      </w:r>
      <w:proofErr w:type="gramStart"/>
      <w:r>
        <w:rPr>
          <w:rFonts w:eastAsia="Arial" w:cs="Arial"/>
        </w:rPr>
        <w:t>stops</w:t>
      </w:r>
      <w:proofErr w:type="gramEnd"/>
      <w:r>
        <w:rPr>
          <w:rFonts w:eastAsia="Arial" w:cs="Arial"/>
        </w:rPr>
        <w:t xml:space="preserve"> and predictable capacity. These methods widen the solution space, but ideas should remain provisional until user and economic evidence is available (Liedtka, 2015).</w:t>
      </w:r>
    </w:p>
    <w:p w14:paraId="73E6A316" w14:textId="77777777" w:rsidR="00542976" w:rsidRDefault="00000000">
      <w:r>
        <w:rPr>
          <w:rFonts w:eastAsia="Arial" w:cs="Arial"/>
        </w:rPr>
        <w:t xml:space="preserve">The alternatives included instant rural delivery, a software-only merchant tool, mobile collection, lockers, </w:t>
      </w:r>
      <w:proofErr w:type="gramStart"/>
      <w:r>
        <w:rPr>
          <w:rFonts w:eastAsia="Arial" w:cs="Arial"/>
        </w:rPr>
        <w:t>subscriptions</w:t>
      </w:r>
      <w:proofErr w:type="gramEnd"/>
      <w:r>
        <w:rPr>
          <w:rFonts w:eastAsia="Arial" w:cs="Arial"/>
        </w:rPr>
        <w:t xml:space="preserve"> and shared vehicle fleets. The decision matrix rejects instant delivery because it reproduces the density </w:t>
      </w:r>
      <w:proofErr w:type="gramStart"/>
      <w:r>
        <w:rPr>
          <w:rFonts w:eastAsia="Arial" w:cs="Arial"/>
        </w:rPr>
        <w:t>problem, and</w:t>
      </w:r>
      <w:proofErr w:type="gramEnd"/>
      <w:r>
        <w:rPr>
          <w:rFonts w:eastAsia="Arial" w:cs="Arial"/>
        </w:rPr>
        <w:t xml:space="preserve"> rejects owned lockers because capital and liability arise before demand is known. A software-only tool is retained as a component, but not as the venture, because it does not solve fulfilment. Scheduled </w:t>
      </w:r>
      <w:proofErr w:type="spellStart"/>
      <w:r>
        <w:rPr>
          <w:rFonts w:eastAsia="Arial" w:cs="Arial"/>
        </w:rPr>
        <w:t>LocalLink</w:t>
      </w:r>
      <w:proofErr w:type="spellEnd"/>
      <w:r>
        <w:rPr>
          <w:rFonts w:eastAsia="Arial" w:cs="Arial"/>
        </w:rPr>
        <w:t xml:space="preserve"> rounds are selected because they address the root cause with limited irreversible investment, although their success remains dependent on customer acceptance of less immediacy.</w:t>
      </w:r>
    </w:p>
    <w:p w14:paraId="720B8B0F" w14:textId="77777777" w:rsidR="00542976" w:rsidRDefault="00000000">
      <w:r>
        <w:rPr>
          <w:rFonts w:eastAsia="Arial" w:cs="Arial"/>
        </w:rPr>
        <w:t xml:space="preserve">The selected concept is therefore not the most novel or technologically complex. It is the option that exposes the riskiest assumptions at the lowest initial cost. This is consistent with effectuation, which </w:t>
      </w:r>
      <w:proofErr w:type="spellStart"/>
      <w:r>
        <w:rPr>
          <w:rFonts w:eastAsia="Arial" w:cs="Arial"/>
        </w:rPr>
        <w:t>favours</w:t>
      </w:r>
      <w:proofErr w:type="spellEnd"/>
      <w:r>
        <w:rPr>
          <w:rFonts w:eastAsia="Arial" w:cs="Arial"/>
        </w:rPr>
        <w:t xml:space="preserve"> available means, </w:t>
      </w:r>
      <w:proofErr w:type="gramStart"/>
      <w:r>
        <w:rPr>
          <w:rFonts w:eastAsia="Arial" w:cs="Arial"/>
        </w:rPr>
        <w:t>partnerships</w:t>
      </w:r>
      <w:proofErr w:type="gramEnd"/>
      <w:r>
        <w:rPr>
          <w:rFonts w:eastAsia="Arial" w:cs="Arial"/>
        </w:rPr>
        <w:t xml:space="preserve"> and affordable loss under uncertainty (</w:t>
      </w:r>
      <w:proofErr w:type="spellStart"/>
      <w:r>
        <w:rPr>
          <w:rFonts w:eastAsia="Arial" w:cs="Arial"/>
        </w:rPr>
        <w:t>Sarasvathy</w:t>
      </w:r>
      <w:proofErr w:type="spellEnd"/>
      <w:r>
        <w:rPr>
          <w:rFonts w:eastAsia="Arial" w:cs="Arial"/>
        </w:rPr>
        <w:t>, 2001). The choice should still be reversed if route density or paid demand is not demonstrated.</w:t>
      </w:r>
    </w:p>
    <w:p w14:paraId="3FE2B942" w14:textId="77777777" w:rsidR="00542976" w:rsidRDefault="00000000">
      <w:pPr>
        <w:keepNext/>
        <w:spacing w:before="100" w:after="40"/>
      </w:pPr>
      <w:r>
        <w:rPr>
          <w:rFonts w:eastAsia="Arial" w:cs="Arial"/>
          <w:b/>
        </w:rPr>
        <w:lastRenderedPageBreak/>
        <w:t>Table 5. Concept selection matrix</w:t>
      </w:r>
    </w:p>
    <w:tbl>
      <w:tblPr>
        <w:tblStyle w:val="TableGrid"/>
        <w:tblW w:w="0" w:type="auto"/>
        <w:jc w:val="center"/>
        <w:tblLook w:val="04A0" w:firstRow="1" w:lastRow="0" w:firstColumn="1" w:lastColumn="0" w:noHBand="0" w:noVBand="1"/>
      </w:tblPr>
      <w:tblGrid>
        <w:gridCol w:w="2484"/>
        <w:gridCol w:w="2484"/>
        <w:gridCol w:w="2484"/>
        <w:gridCol w:w="2484"/>
      </w:tblGrid>
      <w:tr w:rsidR="00542976" w14:paraId="0935F380" w14:textId="77777777">
        <w:trPr>
          <w:cantSplit/>
          <w:tblHeader/>
          <w:jc w:val="center"/>
        </w:trPr>
        <w:tc>
          <w:tcPr>
            <w:tcW w:w="2484" w:type="dxa"/>
            <w:shd w:val="clear" w:color="auto" w:fill="E7E6E6"/>
            <w:tcMar>
              <w:top w:w="70" w:type="dxa"/>
              <w:left w:w="70" w:type="dxa"/>
              <w:bottom w:w="70" w:type="dxa"/>
              <w:right w:w="70" w:type="dxa"/>
            </w:tcMar>
            <w:vAlign w:val="center"/>
          </w:tcPr>
          <w:p w14:paraId="77E9E7B9" w14:textId="77777777" w:rsidR="00542976" w:rsidRDefault="00000000">
            <w:r>
              <w:rPr>
                <w:rFonts w:eastAsia="Arial" w:cs="Arial"/>
                <w:b/>
              </w:rPr>
              <w:t>Concept</w:t>
            </w:r>
          </w:p>
        </w:tc>
        <w:tc>
          <w:tcPr>
            <w:tcW w:w="2484" w:type="dxa"/>
            <w:shd w:val="clear" w:color="auto" w:fill="E7E6E6"/>
            <w:tcMar>
              <w:top w:w="70" w:type="dxa"/>
              <w:left w:w="70" w:type="dxa"/>
              <w:bottom w:w="70" w:type="dxa"/>
              <w:right w:w="70" w:type="dxa"/>
            </w:tcMar>
            <w:vAlign w:val="center"/>
          </w:tcPr>
          <w:p w14:paraId="636BA0BC" w14:textId="77777777" w:rsidR="00542976" w:rsidRDefault="00000000">
            <w:r>
              <w:rPr>
                <w:rFonts w:eastAsia="Arial" w:cs="Arial"/>
                <w:b/>
              </w:rPr>
              <w:t>Main strength</w:t>
            </w:r>
          </w:p>
        </w:tc>
        <w:tc>
          <w:tcPr>
            <w:tcW w:w="2484" w:type="dxa"/>
            <w:shd w:val="clear" w:color="auto" w:fill="E7E6E6"/>
            <w:tcMar>
              <w:top w:w="70" w:type="dxa"/>
              <w:left w:w="70" w:type="dxa"/>
              <w:bottom w:w="70" w:type="dxa"/>
              <w:right w:w="70" w:type="dxa"/>
            </w:tcMar>
            <w:vAlign w:val="center"/>
          </w:tcPr>
          <w:p w14:paraId="3302484E" w14:textId="77777777" w:rsidR="00542976" w:rsidRDefault="00000000">
            <w:r>
              <w:rPr>
                <w:rFonts w:eastAsia="Arial" w:cs="Arial"/>
                <w:b/>
              </w:rPr>
              <w:t>Main weakness</w:t>
            </w:r>
          </w:p>
        </w:tc>
        <w:tc>
          <w:tcPr>
            <w:tcW w:w="2484" w:type="dxa"/>
            <w:shd w:val="clear" w:color="auto" w:fill="E7E6E6"/>
            <w:tcMar>
              <w:top w:w="70" w:type="dxa"/>
              <w:left w:w="70" w:type="dxa"/>
              <w:bottom w:w="70" w:type="dxa"/>
              <w:right w:w="70" w:type="dxa"/>
            </w:tcMar>
            <w:vAlign w:val="center"/>
          </w:tcPr>
          <w:p w14:paraId="799CA369" w14:textId="77777777" w:rsidR="00542976" w:rsidRDefault="00000000">
            <w:r>
              <w:rPr>
                <w:rFonts w:eastAsia="Arial" w:cs="Arial"/>
                <w:b/>
              </w:rPr>
              <w:t>Decision</w:t>
            </w:r>
          </w:p>
        </w:tc>
      </w:tr>
      <w:tr w:rsidR="00542976" w14:paraId="19EEF795" w14:textId="77777777">
        <w:trPr>
          <w:cantSplit/>
          <w:jc w:val="center"/>
        </w:trPr>
        <w:tc>
          <w:tcPr>
            <w:tcW w:w="2484" w:type="dxa"/>
            <w:tcMar>
              <w:top w:w="70" w:type="dxa"/>
              <w:left w:w="70" w:type="dxa"/>
              <w:bottom w:w="70" w:type="dxa"/>
              <w:right w:w="70" w:type="dxa"/>
            </w:tcMar>
            <w:vAlign w:val="center"/>
          </w:tcPr>
          <w:p w14:paraId="75CB2ED1" w14:textId="77777777" w:rsidR="00542976" w:rsidRDefault="00000000">
            <w:r>
              <w:rPr>
                <w:rFonts w:eastAsia="Arial" w:cs="Arial"/>
              </w:rPr>
              <w:t>Instant rural delivery</w:t>
            </w:r>
          </w:p>
        </w:tc>
        <w:tc>
          <w:tcPr>
            <w:tcW w:w="2484" w:type="dxa"/>
            <w:tcMar>
              <w:top w:w="70" w:type="dxa"/>
              <w:left w:w="70" w:type="dxa"/>
              <w:bottom w:w="70" w:type="dxa"/>
              <w:right w:w="70" w:type="dxa"/>
            </w:tcMar>
            <w:vAlign w:val="center"/>
          </w:tcPr>
          <w:p w14:paraId="0ED00668" w14:textId="77777777" w:rsidR="00542976" w:rsidRDefault="00000000">
            <w:r>
              <w:rPr>
                <w:rFonts w:eastAsia="Arial" w:cs="Arial"/>
              </w:rPr>
              <w:t>Familiar customer promise</w:t>
            </w:r>
          </w:p>
        </w:tc>
        <w:tc>
          <w:tcPr>
            <w:tcW w:w="2484" w:type="dxa"/>
            <w:tcMar>
              <w:top w:w="70" w:type="dxa"/>
              <w:left w:w="70" w:type="dxa"/>
              <w:bottom w:w="70" w:type="dxa"/>
              <w:right w:w="70" w:type="dxa"/>
            </w:tcMar>
            <w:vAlign w:val="center"/>
          </w:tcPr>
          <w:p w14:paraId="5D928EA2" w14:textId="77777777" w:rsidR="00542976" w:rsidRDefault="00000000">
            <w:r>
              <w:rPr>
                <w:rFonts w:eastAsia="Arial" w:cs="Arial"/>
              </w:rPr>
              <w:t>Poor low-density economics</w:t>
            </w:r>
          </w:p>
        </w:tc>
        <w:tc>
          <w:tcPr>
            <w:tcW w:w="2484" w:type="dxa"/>
            <w:tcMar>
              <w:top w:w="70" w:type="dxa"/>
              <w:left w:w="70" w:type="dxa"/>
              <w:bottom w:w="70" w:type="dxa"/>
              <w:right w:w="70" w:type="dxa"/>
            </w:tcMar>
            <w:vAlign w:val="center"/>
          </w:tcPr>
          <w:p w14:paraId="5A76C84C" w14:textId="77777777" w:rsidR="00542976" w:rsidRDefault="00000000">
            <w:r>
              <w:rPr>
                <w:rFonts w:eastAsia="Arial" w:cs="Arial"/>
              </w:rPr>
              <w:t>Reject as default</w:t>
            </w:r>
          </w:p>
        </w:tc>
      </w:tr>
      <w:tr w:rsidR="00542976" w14:paraId="56227DB8" w14:textId="77777777">
        <w:trPr>
          <w:cantSplit/>
          <w:jc w:val="center"/>
        </w:trPr>
        <w:tc>
          <w:tcPr>
            <w:tcW w:w="2484" w:type="dxa"/>
            <w:tcMar>
              <w:top w:w="70" w:type="dxa"/>
              <w:left w:w="70" w:type="dxa"/>
              <w:bottom w:w="70" w:type="dxa"/>
              <w:right w:w="70" w:type="dxa"/>
            </w:tcMar>
            <w:vAlign w:val="center"/>
          </w:tcPr>
          <w:p w14:paraId="7F9CDF26" w14:textId="77777777" w:rsidR="00542976" w:rsidRDefault="00000000">
            <w:r>
              <w:rPr>
                <w:rFonts w:eastAsia="Arial" w:cs="Arial"/>
              </w:rPr>
              <w:t>Software-only merchant tool</w:t>
            </w:r>
          </w:p>
        </w:tc>
        <w:tc>
          <w:tcPr>
            <w:tcW w:w="2484" w:type="dxa"/>
            <w:tcMar>
              <w:top w:w="70" w:type="dxa"/>
              <w:left w:w="70" w:type="dxa"/>
              <w:bottom w:w="70" w:type="dxa"/>
              <w:right w:w="70" w:type="dxa"/>
            </w:tcMar>
            <w:vAlign w:val="center"/>
          </w:tcPr>
          <w:p w14:paraId="4029B4B5" w14:textId="77777777" w:rsidR="00542976" w:rsidRDefault="00000000">
            <w:r>
              <w:rPr>
                <w:rFonts w:eastAsia="Arial" w:cs="Arial"/>
              </w:rPr>
              <w:t>Fast and scalable</w:t>
            </w:r>
          </w:p>
        </w:tc>
        <w:tc>
          <w:tcPr>
            <w:tcW w:w="2484" w:type="dxa"/>
            <w:tcMar>
              <w:top w:w="70" w:type="dxa"/>
              <w:left w:w="70" w:type="dxa"/>
              <w:bottom w:w="70" w:type="dxa"/>
              <w:right w:w="70" w:type="dxa"/>
            </w:tcMar>
            <w:vAlign w:val="center"/>
          </w:tcPr>
          <w:p w14:paraId="1B065FFE" w14:textId="77777777" w:rsidR="00542976" w:rsidRDefault="00000000">
            <w:r>
              <w:rPr>
                <w:rFonts w:eastAsia="Arial" w:cs="Arial"/>
              </w:rPr>
              <w:t>Does not solve delivery</w:t>
            </w:r>
          </w:p>
        </w:tc>
        <w:tc>
          <w:tcPr>
            <w:tcW w:w="2484" w:type="dxa"/>
            <w:tcMar>
              <w:top w:w="70" w:type="dxa"/>
              <w:left w:w="70" w:type="dxa"/>
              <w:bottom w:w="70" w:type="dxa"/>
              <w:right w:w="70" w:type="dxa"/>
            </w:tcMar>
            <w:vAlign w:val="center"/>
          </w:tcPr>
          <w:p w14:paraId="5E9D5DC0" w14:textId="77777777" w:rsidR="00542976" w:rsidRDefault="00000000">
            <w:r>
              <w:rPr>
                <w:rFonts w:eastAsia="Arial" w:cs="Arial"/>
              </w:rPr>
              <w:t>Retain as component</w:t>
            </w:r>
          </w:p>
        </w:tc>
      </w:tr>
      <w:tr w:rsidR="00542976" w14:paraId="0E4D606B" w14:textId="77777777">
        <w:trPr>
          <w:cantSplit/>
          <w:jc w:val="center"/>
        </w:trPr>
        <w:tc>
          <w:tcPr>
            <w:tcW w:w="2484" w:type="dxa"/>
            <w:tcMar>
              <w:top w:w="70" w:type="dxa"/>
              <w:left w:w="70" w:type="dxa"/>
              <w:bottom w:w="70" w:type="dxa"/>
              <w:right w:w="70" w:type="dxa"/>
            </w:tcMar>
            <w:vAlign w:val="center"/>
          </w:tcPr>
          <w:p w14:paraId="043DD610" w14:textId="77777777" w:rsidR="00542976" w:rsidRDefault="00000000">
            <w:r>
              <w:rPr>
                <w:rFonts w:eastAsia="Arial" w:cs="Arial"/>
              </w:rPr>
              <w:t>Owned smart-locker network</w:t>
            </w:r>
          </w:p>
        </w:tc>
        <w:tc>
          <w:tcPr>
            <w:tcW w:w="2484" w:type="dxa"/>
            <w:tcMar>
              <w:top w:w="70" w:type="dxa"/>
              <w:left w:w="70" w:type="dxa"/>
              <w:bottom w:w="70" w:type="dxa"/>
              <w:right w:w="70" w:type="dxa"/>
            </w:tcMar>
            <w:vAlign w:val="center"/>
          </w:tcPr>
          <w:p w14:paraId="5349CB99" w14:textId="77777777" w:rsidR="00542976" w:rsidRDefault="00000000">
            <w:r>
              <w:rPr>
                <w:rFonts w:eastAsia="Arial" w:cs="Arial"/>
              </w:rPr>
              <w:t>Reduces failed delivery</w:t>
            </w:r>
          </w:p>
        </w:tc>
        <w:tc>
          <w:tcPr>
            <w:tcW w:w="2484" w:type="dxa"/>
            <w:tcMar>
              <w:top w:w="70" w:type="dxa"/>
              <w:left w:w="70" w:type="dxa"/>
              <w:bottom w:w="70" w:type="dxa"/>
              <w:right w:w="70" w:type="dxa"/>
            </w:tcMar>
            <w:vAlign w:val="center"/>
          </w:tcPr>
          <w:p w14:paraId="511497BB" w14:textId="77777777" w:rsidR="00542976" w:rsidRDefault="00000000">
            <w:r>
              <w:rPr>
                <w:rFonts w:eastAsia="Arial" w:cs="Arial"/>
              </w:rPr>
              <w:t>High capital and liability</w:t>
            </w:r>
          </w:p>
        </w:tc>
        <w:tc>
          <w:tcPr>
            <w:tcW w:w="2484" w:type="dxa"/>
            <w:tcMar>
              <w:top w:w="70" w:type="dxa"/>
              <w:left w:w="70" w:type="dxa"/>
              <w:bottom w:w="70" w:type="dxa"/>
              <w:right w:w="70" w:type="dxa"/>
            </w:tcMar>
            <w:vAlign w:val="center"/>
          </w:tcPr>
          <w:p w14:paraId="1E0DB109" w14:textId="77777777" w:rsidR="00542976" w:rsidRDefault="00000000">
            <w:r>
              <w:rPr>
                <w:rFonts w:eastAsia="Arial" w:cs="Arial"/>
              </w:rPr>
              <w:t>Defer</w:t>
            </w:r>
          </w:p>
        </w:tc>
      </w:tr>
      <w:tr w:rsidR="00542976" w14:paraId="133F9181" w14:textId="77777777">
        <w:trPr>
          <w:cantSplit/>
          <w:jc w:val="center"/>
        </w:trPr>
        <w:tc>
          <w:tcPr>
            <w:tcW w:w="2484" w:type="dxa"/>
            <w:tcMar>
              <w:top w:w="70" w:type="dxa"/>
              <w:left w:w="70" w:type="dxa"/>
              <w:bottom w:w="70" w:type="dxa"/>
              <w:right w:w="70" w:type="dxa"/>
            </w:tcMar>
            <w:vAlign w:val="center"/>
          </w:tcPr>
          <w:p w14:paraId="49789A8C" w14:textId="77777777" w:rsidR="00542976" w:rsidRDefault="00000000">
            <w:r>
              <w:rPr>
                <w:rFonts w:eastAsia="Arial" w:cs="Arial"/>
              </w:rPr>
              <w:t xml:space="preserve">Scheduled </w:t>
            </w:r>
            <w:proofErr w:type="spellStart"/>
            <w:r>
              <w:rPr>
                <w:rFonts w:eastAsia="Arial" w:cs="Arial"/>
              </w:rPr>
              <w:t>LocalLink</w:t>
            </w:r>
            <w:proofErr w:type="spellEnd"/>
            <w:r>
              <w:rPr>
                <w:rFonts w:eastAsia="Arial" w:cs="Arial"/>
              </w:rPr>
              <w:t xml:space="preserve"> rounds</w:t>
            </w:r>
          </w:p>
        </w:tc>
        <w:tc>
          <w:tcPr>
            <w:tcW w:w="2484" w:type="dxa"/>
            <w:tcMar>
              <w:top w:w="70" w:type="dxa"/>
              <w:left w:w="70" w:type="dxa"/>
              <w:bottom w:w="70" w:type="dxa"/>
              <w:right w:w="70" w:type="dxa"/>
            </w:tcMar>
            <w:vAlign w:val="center"/>
          </w:tcPr>
          <w:p w14:paraId="32CDD71C" w14:textId="77777777" w:rsidR="00542976" w:rsidRDefault="00000000">
            <w:r>
              <w:rPr>
                <w:rFonts w:eastAsia="Arial" w:cs="Arial"/>
              </w:rPr>
              <w:t>Combines merchant and logistics needs</w:t>
            </w:r>
          </w:p>
        </w:tc>
        <w:tc>
          <w:tcPr>
            <w:tcW w:w="2484" w:type="dxa"/>
            <w:tcMar>
              <w:top w:w="70" w:type="dxa"/>
              <w:left w:w="70" w:type="dxa"/>
              <w:bottom w:w="70" w:type="dxa"/>
              <w:right w:w="70" w:type="dxa"/>
            </w:tcMar>
            <w:vAlign w:val="center"/>
          </w:tcPr>
          <w:p w14:paraId="1DC21661" w14:textId="77777777" w:rsidR="00542976" w:rsidRDefault="00000000">
            <w:r>
              <w:rPr>
                <w:rFonts w:eastAsia="Arial" w:cs="Arial"/>
              </w:rPr>
              <w:t>Requires demand density</w:t>
            </w:r>
          </w:p>
        </w:tc>
        <w:tc>
          <w:tcPr>
            <w:tcW w:w="2484" w:type="dxa"/>
            <w:tcMar>
              <w:top w:w="70" w:type="dxa"/>
              <w:left w:w="70" w:type="dxa"/>
              <w:bottom w:w="70" w:type="dxa"/>
              <w:right w:w="70" w:type="dxa"/>
            </w:tcMar>
            <w:vAlign w:val="center"/>
          </w:tcPr>
          <w:p w14:paraId="39E14C79" w14:textId="77777777" w:rsidR="00542976" w:rsidRDefault="00000000">
            <w:r>
              <w:rPr>
                <w:rFonts w:eastAsia="Arial" w:cs="Arial"/>
              </w:rPr>
              <w:t>Prototype</w:t>
            </w:r>
          </w:p>
        </w:tc>
      </w:tr>
    </w:tbl>
    <w:p w14:paraId="08BDC9A6" w14:textId="77777777" w:rsidR="00542976" w:rsidRDefault="00000000">
      <w:pPr>
        <w:pStyle w:val="Heading2"/>
      </w:pPr>
      <w:bookmarkStart w:id="11" w:name="h35"/>
      <w:r>
        <w:rPr>
          <w:rFonts w:ascii="Arial" w:eastAsia="Arial" w:hAnsi="Arial" w:cs="Arial"/>
        </w:rPr>
        <w:t>3.5 Prototype and minimum viable product</w:t>
      </w:r>
      <w:bookmarkEnd w:id="11"/>
    </w:p>
    <w:p w14:paraId="73ED993A" w14:textId="77777777" w:rsidR="00542976" w:rsidRDefault="00000000">
      <w:r>
        <w:rPr>
          <w:rFonts w:eastAsia="Arial" w:cs="Arial"/>
        </w:rPr>
        <w:t>The prototype is divided into three levels because building a complete application first would create sunk-cost bias and encourage the team to defend technology before proving demand.</w:t>
      </w:r>
    </w:p>
    <w:p w14:paraId="7D1C418C" w14:textId="77777777" w:rsidR="00542976" w:rsidRDefault="00000000">
      <w:r>
        <w:rPr>
          <w:rFonts w:eastAsia="Arial" w:cs="Arial"/>
        </w:rPr>
        <w:t xml:space="preserve">A low-fidelity clickable prototype would test whether consumers can build a multi-merchant basket and understand delivery choices, while merchants and riders would test catalogue, </w:t>
      </w:r>
      <w:proofErr w:type="gramStart"/>
      <w:r>
        <w:rPr>
          <w:rFonts w:eastAsia="Arial" w:cs="Arial"/>
        </w:rPr>
        <w:t>preparation</w:t>
      </w:r>
      <w:proofErr w:type="gramEnd"/>
      <w:r>
        <w:rPr>
          <w:rFonts w:eastAsia="Arial" w:cs="Arial"/>
        </w:rPr>
        <w:t xml:space="preserve"> and route information. Task completion and observed confusion are more useful at this stage than general opinions about the visual design. Five users from each group are sufficient to expose major usability problems, but not to estimate market demand.</w:t>
      </w:r>
    </w:p>
    <w:p w14:paraId="400BA540" w14:textId="77777777" w:rsidR="00542976" w:rsidRDefault="00000000">
      <w:r>
        <w:rPr>
          <w:rFonts w:eastAsia="Arial" w:cs="Arial"/>
        </w:rPr>
        <w:t xml:space="preserve">A service prototype would then use role-play and a service blueprint to test handovers between customer, merchant, </w:t>
      </w:r>
      <w:proofErr w:type="gramStart"/>
      <w:r>
        <w:rPr>
          <w:rFonts w:eastAsia="Arial" w:cs="Arial"/>
        </w:rPr>
        <w:t>platform</w:t>
      </w:r>
      <w:proofErr w:type="gramEnd"/>
      <w:r>
        <w:rPr>
          <w:rFonts w:eastAsia="Arial" w:cs="Arial"/>
        </w:rPr>
        <w:t xml:space="preserve"> and rider. This matters because failure is more likely to occur through late preparation, unclear </w:t>
      </w:r>
      <w:proofErr w:type="gramStart"/>
      <w:r>
        <w:rPr>
          <w:rFonts w:eastAsia="Arial" w:cs="Arial"/>
        </w:rPr>
        <w:t>responsibility</w:t>
      </w:r>
      <w:proofErr w:type="gramEnd"/>
      <w:r>
        <w:rPr>
          <w:rFonts w:eastAsia="Arial" w:cs="Arial"/>
        </w:rPr>
        <w:t xml:space="preserve"> or poor exception handling than through a single screen (Stickdorn et al., 2018). The prototype should deliberately simulate substitutions, </w:t>
      </w:r>
      <w:proofErr w:type="gramStart"/>
      <w:r>
        <w:rPr>
          <w:rFonts w:eastAsia="Arial" w:cs="Arial"/>
        </w:rPr>
        <w:t>delays</w:t>
      </w:r>
      <w:proofErr w:type="gramEnd"/>
      <w:r>
        <w:rPr>
          <w:rFonts w:eastAsia="Arial" w:cs="Arial"/>
        </w:rPr>
        <w:t xml:space="preserve"> and failed collection, not only the ideal journey.</w:t>
      </w:r>
    </w:p>
    <w:p w14:paraId="19CF58CD" w14:textId="77777777" w:rsidR="00542976" w:rsidRDefault="00000000" w:rsidP="00A03481">
      <w:r>
        <w:rPr>
          <w:rFonts w:eastAsia="Arial" w:cs="Arial"/>
        </w:rPr>
        <w:t xml:space="preserve">The 12-week MVP would operate in one postcode cluster with 10 to 15 merchants, about 300 invited consumers, limited delivery windows, one collection partner and a </w:t>
      </w:r>
      <w:proofErr w:type="gramStart"/>
      <w:r>
        <w:rPr>
          <w:rFonts w:eastAsia="Arial" w:cs="Arial"/>
        </w:rPr>
        <w:t>small trained</w:t>
      </w:r>
      <w:proofErr w:type="gramEnd"/>
      <w:r>
        <w:rPr>
          <w:rFonts w:eastAsia="Arial" w:cs="Arial"/>
        </w:rPr>
        <w:t xml:space="preserve"> rider group. A simple web application and partly manual operations are preferable to a full app rebuild because they test the service logic without hiding weaknesses behind automation. The area should be chosen for sufficient merchant variety and measurable demand, not because it is unusually easy and therefore unrepresentative.</w:t>
      </w:r>
    </w:p>
    <w:p w14:paraId="428E6E10" w14:textId="77777777" w:rsidR="00542976" w:rsidRDefault="00000000">
      <w:r>
        <w:rPr>
          <w:rFonts w:eastAsia="Arial" w:cs="Arial"/>
        </w:rPr>
        <w:t>Lean Startup treats the MVP as a vehicle for validated learning rather than a reduced final product (</w:t>
      </w:r>
      <w:proofErr w:type="spellStart"/>
      <w:r>
        <w:rPr>
          <w:rFonts w:eastAsia="Arial" w:cs="Arial"/>
        </w:rPr>
        <w:t>Ries</w:t>
      </w:r>
      <w:proofErr w:type="spellEnd"/>
      <w:r>
        <w:rPr>
          <w:rFonts w:eastAsia="Arial" w:cs="Arial"/>
        </w:rPr>
        <w:t xml:space="preserve">, 2011; Blank, 2013). Two merchant fee packages would be tested because a single pricing model could shift excessive cost to either consumers or merchants. The Business Model Canvas would record assumptions about willingness to trade speed for price, administrative </w:t>
      </w:r>
      <w:proofErr w:type="gramStart"/>
      <w:r>
        <w:rPr>
          <w:rFonts w:eastAsia="Arial" w:cs="Arial"/>
        </w:rPr>
        <w:t>savings</w:t>
      </w:r>
      <w:proofErr w:type="gramEnd"/>
      <w:r>
        <w:rPr>
          <w:rFonts w:eastAsia="Arial" w:cs="Arial"/>
        </w:rPr>
        <w:t xml:space="preserve"> and route </w:t>
      </w:r>
      <w:r>
        <w:rPr>
          <w:rFonts w:eastAsia="Arial" w:cs="Arial"/>
        </w:rPr>
        <w:lastRenderedPageBreak/>
        <w:t xml:space="preserve">contribution, but it would not be treated as evidence of viability (Osterwalder and Pigneur, 2010). Privacy, </w:t>
      </w:r>
      <w:proofErr w:type="gramStart"/>
      <w:r>
        <w:rPr>
          <w:rFonts w:eastAsia="Arial" w:cs="Arial"/>
        </w:rPr>
        <w:t>accessibility</w:t>
      </w:r>
      <w:proofErr w:type="gramEnd"/>
      <w:r>
        <w:rPr>
          <w:rFonts w:eastAsia="Arial" w:cs="Arial"/>
        </w:rPr>
        <w:t xml:space="preserve"> and data </w:t>
      </w:r>
      <w:proofErr w:type="spellStart"/>
      <w:r>
        <w:rPr>
          <w:rFonts w:eastAsia="Arial" w:cs="Arial"/>
        </w:rPr>
        <w:t>minimisation</w:t>
      </w:r>
      <w:proofErr w:type="spellEnd"/>
      <w:r>
        <w:rPr>
          <w:rFonts w:eastAsia="Arial" w:cs="Arial"/>
        </w:rPr>
        <w:t xml:space="preserve"> should be designed in from the start because a commercially successful pilot would still be unacceptable if it excludes less confident users or collects unnecessary location data (Information Commissioner's Office, 2026).</w:t>
      </w:r>
    </w:p>
    <w:p w14:paraId="6D21417D" w14:textId="77777777" w:rsidR="00542976" w:rsidRDefault="00000000">
      <w:pPr>
        <w:keepNext/>
        <w:spacing w:before="100" w:after="40"/>
      </w:pPr>
      <w:r>
        <w:rPr>
          <w:rFonts w:eastAsia="Arial" w:cs="Arial"/>
          <w:b/>
        </w:rPr>
        <w:t>Table 6. Simplified MVP service blueprint</w:t>
      </w:r>
    </w:p>
    <w:tbl>
      <w:tblPr>
        <w:tblStyle w:val="TableGrid"/>
        <w:tblW w:w="0" w:type="auto"/>
        <w:jc w:val="center"/>
        <w:tblLook w:val="04A0" w:firstRow="1" w:lastRow="0" w:firstColumn="1" w:lastColumn="0" w:noHBand="0" w:noVBand="1"/>
      </w:tblPr>
      <w:tblGrid>
        <w:gridCol w:w="2484"/>
        <w:gridCol w:w="2484"/>
        <w:gridCol w:w="2484"/>
        <w:gridCol w:w="2484"/>
      </w:tblGrid>
      <w:tr w:rsidR="00542976" w14:paraId="56208FE7" w14:textId="77777777">
        <w:trPr>
          <w:cantSplit/>
          <w:tblHeader/>
          <w:jc w:val="center"/>
        </w:trPr>
        <w:tc>
          <w:tcPr>
            <w:tcW w:w="2484" w:type="dxa"/>
            <w:shd w:val="clear" w:color="auto" w:fill="E7E6E6"/>
            <w:tcMar>
              <w:top w:w="70" w:type="dxa"/>
              <w:left w:w="70" w:type="dxa"/>
              <w:bottom w:w="70" w:type="dxa"/>
              <w:right w:w="70" w:type="dxa"/>
            </w:tcMar>
            <w:vAlign w:val="center"/>
          </w:tcPr>
          <w:p w14:paraId="2FDA44E8" w14:textId="77777777" w:rsidR="00542976" w:rsidRDefault="00000000">
            <w:r>
              <w:rPr>
                <w:rFonts w:eastAsia="Arial" w:cs="Arial"/>
                <w:b/>
              </w:rPr>
              <w:t>Stage</w:t>
            </w:r>
          </w:p>
        </w:tc>
        <w:tc>
          <w:tcPr>
            <w:tcW w:w="2484" w:type="dxa"/>
            <w:shd w:val="clear" w:color="auto" w:fill="E7E6E6"/>
            <w:tcMar>
              <w:top w:w="70" w:type="dxa"/>
              <w:left w:w="70" w:type="dxa"/>
              <w:bottom w:w="70" w:type="dxa"/>
              <w:right w:w="70" w:type="dxa"/>
            </w:tcMar>
            <w:vAlign w:val="center"/>
          </w:tcPr>
          <w:p w14:paraId="639252B8" w14:textId="77777777" w:rsidR="00542976" w:rsidRDefault="00000000">
            <w:r>
              <w:rPr>
                <w:rFonts w:eastAsia="Arial" w:cs="Arial"/>
                <w:b/>
              </w:rPr>
              <w:t>Customer action</w:t>
            </w:r>
          </w:p>
        </w:tc>
        <w:tc>
          <w:tcPr>
            <w:tcW w:w="2484" w:type="dxa"/>
            <w:shd w:val="clear" w:color="auto" w:fill="E7E6E6"/>
            <w:tcMar>
              <w:top w:w="70" w:type="dxa"/>
              <w:left w:w="70" w:type="dxa"/>
              <w:bottom w:w="70" w:type="dxa"/>
              <w:right w:w="70" w:type="dxa"/>
            </w:tcMar>
            <w:vAlign w:val="center"/>
          </w:tcPr>
          <w:p w14:paraId="7F7C3FE5" w14:textId="77777777" w:rsidR="00542976" w:rsidRDefault="00000000">
            <w:r>
              <w:rPr>
                <w:rFonts w:eastAsia="Arial" w:cs="Arial"/>
                <w:b/>
              </w:rPr>
              <w:t>Visible service</w:t>
            </w:r>
          </w:p>
        </w:tc>
        <w:tc>
          <w:tcPr>
            <w:tcW w:w="2484" w:type="dxa"/>
            <w:shd w:val="clear" w:color="auto" w:fill="E7E6E6"/>
            <w:tcMar>
              <w:top w:w="70" w:type="dxa"/>
              <w:left w:w="70" w:type="dxa"/>
              <w:bottom w:w="70" w:type="dxa"/>
              <w:right w:w="70" w:type="dxa"/>
            </w:tcMar>
            <w:vAlign w:val="center"/>
          </w:tcPr>
          <w:p w14:paraId="5CAC3956" w14:textId="77777777" w:rsidR="00542976" w:rsidRDefault="00000000">
            <w:r>
              <w:rPr>
                <w:rFonts w:eastAsia="Arial" w:cs="Arial"/>
                <w:b/>
              </w:rPr>
              <w:t>Back-stage activity</w:t>
            </w:r>
          </w:p>
        </w:tc>
      </w:tr>
      <w:tr w:rsidR="00542976" w14:paraId="5B6F0336" w14:textId="77777777">
        <w:trPr>
          <w:cantSplit/>
          <w:jc w:val="center"/>
        </w:trPr>
        <w:tc>
          <w:tcPr>
            <w:tcW w:w="2484" w:type="dxa"/>
            <w:tcMar>
              <w:top w:w="70" w:type="dxa"/>
              <w:left w:w="70" w:type="dxa"/>
              <w:bottom w:w="70" w:type="dxa"/>
              <w:right w:w="70" w:type="dxa"/>
            </w:tcMar>
            <w:vAlign w:val="center"/>
          </w:tcPr>
          <w:p w14:paraId="3A3D6DD4" w14:textId="77777777" w:rsidR="00542976" w:rsidRDefault="00000000">
            <w:r>
              <w:rPr>
                <w:rFonts w:eastAsia="Arial" w:cs="Arial"/>
              </w:rPr>
              <w:t>Order</w:t>
            </w:r>
          </w:p>
        </w:tc>
        <w:tc>
          <w:tcPr>
            <w:tcW w:w="2484" w:type="dxa"/>
            <w:tcMar>
              <w:top w:w="70" w:type="dxa"/>
              <w:left w:w="70" w:type="dxa"/>
              <w:bottom w:w="70" w:type="dxa"/>
              <w:right w:w="70" w:type="dxa"/>
            </w:tcMar>
            <w:vAlign w:val="center"/>
          </w:tcPr>
          <w:p w14:paraId="61AB40D8" w14:textId="77777777" w:rsidR="00542976" w:rsidRDefault="00000000">
            <w:r>
              <w:rPr>
                <w:rFonts w:eastAsia="Arial" w:cs="Arial"/>
              </w:rPr>
              <w:t>Selects goods and delivery slot</w:t>
            </w:r>
          </w:p>
        </w:tc>
        <w:tc>
          <w:tcPr>
            <w:tcW w:w="2484" w:type="dxa"/>
            <w:tcMar>
              <w:top w:w="70" w:type="dxa"/>
              <w:left w:w="70" w:type="dxa"/>
              <w:bottom w:w="70" w:type="dxa"/>
              <w:right w:w="70" w:type="dxa"/>
            </w:tcMar>
            <w:vAlign w:val="center"/>
          </w:tcPr>
          <w:p w14:paraId="01E38EB7" w14:textId="77777777" w:rsidR="00542976" w:rsidRDefault="00000000">
            <w:r>
              <w:rPr>
                <w:rFonts w:eastAsia="Arial" w:cs="Arial"/>
              </w:rPr>
              <w:t>One basket and clear fee</w:t>
            </w:r>
          </w:p>
        </w:tc>
        <w:tc>
          <w:tcPr>
            <w:tcW w:w="2484" w:type="dxa"/>
            <w:tcMar>
              <w:top w:w="70" w:type="dxa"/>
              <w:left w:w="70" w:type="dxa"/>
              <w:bottom w:w="70" w:type="dxa"/>
              <w:right w:w="70" w:type="dxa"/>
            </w:tcMar>
            <w:vAlign w:val="center"/>
          </w:tcPr>
          <w:p w14:paraId="11E6B9B5" w14:textId="77777777" w:rsidR="00542976" w:rsidRDefault="00000000">
            <w:r>
              <w:rPr>
                <w:rFonts w:eastAsia="Arial" w:cs="Arial"/>
              </w:rPr>
              <w:t>Stock checks and order confirmation</w:t>
            </w:r>
          </w:p>
        </w:tc>
      </w:tr>
      <w:tr w:rsidR="00542976" w14:paraId="206AAB2E" w14:textId="77777777">
        <w:trPr>
          <w:cantSplit/>
          <w:jc w:val="center"/>
        </w:trPr>
        <w:tc>
          <w:tcPr>
            <w:tcW w:w="2484" w:type="dxa"/>
            <w:tcMar>
              <w:top w:w="70" w:type="dxa"/>
              <w:left w:w="70" w:type="dxa"/>
              <w:bottom w:w="70" w:type="dxa"/>
              <w:right w:w="70" w:type="dxa"/>
            </w:tcMar>
            <w:vAlign w:val="center"/>
          </w:tcPr>
          <w:p w14:paraId="4CDB10C6" w14:textId="77777777" w:rsidR="00542976" w:rsidRDefault="00000000">
            <w:r>
              <w:rPr>
                <w:rFonts w:eastAsia="Arial" w:cs="Arial"/>
              </w:rPr>
              <w:t>Prepare</w:t>
            </w:r>
          </w:p>
        </w:tc>
        <w:tc>
          <w:tcPr>
            <w:tcW w:w="2484" w:type="dxa"/>
            <w:tcMar>
              <w:top w:w="70" w:type="dxa"/>
              <w:left w:w="70" w:type="dxa"/>
              <w:bottom w:w="70" w:type="dxa"/>
              <w:right w:w="70" w:type="dxa"/>
            </w:tcMar>
            <w:vAlign w:val="center"/>
          </w:tcPr>
          <w:p w14:paraId="0B1F53D3" w14:textId="77777777" w:rsidR="00542976" w:rsidRDefault="00000000">
            <w:r>
              <w:rPr>
                <w:rFonts w:eastAsia="Arial" w:cs="Arial"/>
              </w:rPr>
              <w:t>Receives updates</w:t>
            </w:r>
          </w:p>
        </w:tc>
        <w:tc>
          <w:tcPr>
            <w:tcW w:w="2484" w:type="dxa"/>
            <w:tcMar>
              <w:top w:w="70" w:type="dxa"/>
              <w:left w:w="70" w:type="dxa"/>
              <w:bottom w:w="70" w:type="dxa"/>
              <w:right w:w="70" w:type="dxa"/>
            </w:tcMar>
            <w:vAlign w:val="center"/>
          </w:tcPr>
          <w:p w14:paraId="4BDF7B9A" w14:textId="77777777" w:rsidR="00542976" w:rsidRDefault="00000000">
            <w:r>
              <w:rPr>
                <w:rFonts w:eastAsia="Arial" w:cs="Arial"/>
              </w:rPr>
              <w:t>Accurate status message</w:t>
            </w:r>
          </w:p>
        </w:tc>
        <w:tc>
          <w:tcPr>
            <w:tcW w:w="2484" w:type="dxa"/>
            <w:tcMar>
              <w:top w:w="70" w:type="dxa"/>
              <w:left w:w="70" w:type="dxa"/>
              <w:bottom w:w="70" w:type="dxa"/>
              <w:right w:w="70" w:type="dxa"/>
            </w:tcMar>
            <w:vAlign w:val="center"/>
          </w:tcPr>
          <w:p w14:paraId="57959464" w14:textId="77777777" w:rsidR="00542976" w:rsidRDefault="00000000">
            <w:r>
              <w:rPr>
                <w:rFonts w:eastAsia="Arial" w:cs="Arial"/>
              </w:rPr>
              <w:t>Merchant picking deadline</w:t>
            </w:r>
          </w:p>
        </w:tc>
      </w:tr>
      <w:tr w:rsidR="00542976" w14:paraId="102B9694" w14:textId="77777777">
        <w:trPr>
          <w:cantSplit/>
          <w:jc w:val="center"/>
        </w:trPr>
        <w:tc>
          <w:tcPr>
            <w:tcW w:w="2484" w:type="dxa"/>
            <w:tcMar>
              <w:top w:w="70" w:type="dxa"/>
              <w:left w:w="70" w:type="dxa"/>
              <w:bottom w:w="70" w:type="dxa"/>
              <w:right w:w="70" w:type="dxa"/>
            </w:tcMar>
            <w:vAlign w:val="center"/>
          </w:tcPr>
          <w:p w14:paraId="3735B7F0" w14:textId="77777777" w:rsidR="00542976" w:rsidRDefault="00000000">
            <w:r>
              <w:rPr>
                <w:rFonts w:eastAsia="Arial" w:cs="Arial"/>
              </w:rPr>
              <w:t>Deliver</w:t>
            </w:r>
          </w:p>
        </w:tc>
        <w:tc>
          <w:tcPr>
            <w:tcW w:w="2484" w:type="dxa"/>
            <w:tcMar>
              <w:top w:w="70" w:type="dxa"/>
              <w:left w:w="70" w:type="dxa"/>
              <w:bottom w:w="70" w:type="dxa"/>
              <w:right w:w="70" w:type="dxa"/>
            </w:tcMar>
            <w:vAlign w:val="center"/>
          </w:tcPr>
          <w:p w14:paraId="22DE3CD1" w14:textId="77777777" w:rsidR="00542976" w:rsidRDefault="00000000">
            <w:r>
              <w:rPr>
                <w:rFonts w:eastAsia="Arial" w:cs="Arial"/>
              </w:rPr>
              <w:t>Tracks scheduled round</w:t>
            </w:r>
          </w:p>
        </w:tc>
        <w:tc>
          <w:tcPr>
            <w:tcW w:w="2484" w:type="dxa"/>
            <w:tcMar>
              <w:top w:w="70" w:type="dxa"/>
              <w:left w:w="70" w:type="dxa"/>
              <w:bottom w:w="70" w:type="dxa"/>
              <w:right w:w="70" w:type="dxa"/>
            </w:tcMar>
            <w:vAlign w:val="center"/>
          </w:tcPr>
          <w:p w14:paraId="42CFF478" w14:textId="77777777" w:rsidR="00542976" w:rsidRDefault="00000000">
            <w:r>
              <w:rPr>
                <w:rFonts w:eastAsia="Arial" w:cs="Arial"/>
              </w:rPr>
              <w:t>ETA and proof of delivery</w:t>
            </w:r>
          </w:p>
        </w:tc>
        <w:tc>
          <w:tcPr>
            <w:tcW w:w="2484" w:type="dxa"/>
            <w:tcMar>
              <w:top w:w="70" w:type="dxa"/>
              <w:left w:w="70" w:type="dxa"/>
              <w:bottom w:w="70" w:type="dxa"/>
              <w:right w:w="70" w:type="dxa"/>
            </w:tcMar>
            <w:vAlign w:val="center"/>
          </w:tcPr>
          <w:p w14:paraId="3EE27191" w14:textId="77777777" w:rsidR="00542976" w:rsidRDefault="00000000">
            <w:r>
              <w:rPr>
                <w:rFonts w:eastAsia="Arial" w:cs="Arial"/>
              </w:rPr>
              <w:t>Order grouping and route planning</w:t>
            </w:r>
          </w:p>
        </w:tc>
      </w:tr>
      <w:tr w:rsidR="00542976" w14:paraId="500C8DA1" w14:textId="77777777">
        <w:trPr>
          <w:cantSplit/>
          <w:jc w:val="center"/>
        </w:trPr>
        <w:tc>
          <w:tcPr>
            <w:tcW w:w="2484" w:type="dxa"/>
            <w:tcMar>
              <w:top w:w="70" w:type="dxa"/>
              <w:left w:w="70" w:type="dxa"/>
              <w:bottom w:w="70" w:type="dxa"/>
              <w:right w:w="70" w:type="dxa"/>
            </w:tcMar>
            <w:vAlign w:val="center"/>
          </w:tcPr>
          <w:p w14:paraId="733C6981" w14:textId="77777777" w:rsidR="00542976" w:rsidRDefault="00000000">
            <w:r>
              <w:rPr>
                <w:rFonts w:eastAsia="Arial" w:cs="Arial"/>
              </w:rPr>
              <w:t>Resolve</w:t>
            </w:r>
          </w:p>
        </w:tc>
        <w:tc>
          <w:tcPr>
            <w:tcW w:w="2484" w:type="dxa"/>
            <w:tcMar>
              <w:top w:w="70" w:type="dxa"/>
              <w:left w:w="70" w:type="dxa"/>
              <w:bottom w:w="70" w:type="dxa"/>
              <w:right w:w="70" w:type="dxa"/>
            </w:tcMar>
            <w:vAlign w:val="center"/>
          </w:tcPr>
          <w:p w14:paraId="6FA86D7A" w14:textId="77777777" w:rsidR="00542976" w:rsidRDefault="00000000">
            <w:r>
              <w:rPr>
                <w:rFonts w:eastAsia="Arial" w:cs="Arial"/>
              </w:rPr>
              <w:t>Reports a problem</w:t>
            </w:r>
          </w:p>
        </w:tc>
        <w:tc>
          <w:tcPr>
            <w:tcW w:w="2484" w:type="dxa"/>
            <w:tcMar>
              <w:top w:w="70" w:type="dxa"/>
              <w:left w:w="70" w:type="dxa"/>
              <w:bottom w:w="70" w:type="dxa"/>
              <w:right w:w="70" w:type="dxa"/>
            </w:tcMar>
            <w:vAlign w:val="center"/>
          </w:tcPr>
          <w:p w14:paraId="2B7CC5A7" w14:textId="77777777" w:rsidR="00542976" w:rsidRDefault="00000000">
            <w:r>
              <w:rPr>
                <w:rFonts w:eastAsia="Arial" w:cs="Arial"/>
              </w:rPr>
              <w:t>Single support channel</w:t>
            </w:r>
          </w:p>
        </w:tc>
        <w:tc>
          <w:tcPr>
            <w:tcW w:w="2484" w:type="dxa"/>
            <w:tcMar>
              <w:top w:w="70" w:type="dxa"/>
              <w:left w:w="70" w:type="dxa"/>
              <w:bottom w:w="70" w:type="dxa"/>
              <w:right w:w="70" w:type="dxa"/>
            </w:tcMar>
            <w:vAlign w:val="center"/>
          </w:tcPr>
          <w:p w14:paraId="6CB75389" w14:textId="77777777" w:rsidR="00542976" w:rsidRDefault="00000000">
            <w:r>
              <w:rPr>
                <w:rFonts w:eastAsia="Arial" w:cs="Arial"/>
              </w:rPr>
              <w:t xml:space="preserve">Merchant, </w:t>
            </w:r>
            <w:proofErr w:type="gramStart"/>
            <w:r>
              <w:rPr>
                <w:rFonts w:eastAsia="Arial" w:cs="Arial"/>
              </w:rPr>
              <w:t>rider</w:t>
            </w:r>
            <w:proofErr w:type="gramEnd"/>
            <w:r>
              <w:rPr>
                <w:rFonts w:eastAsia="Arial" w:cs="Arial"/>
              </w:rPr>
              <w:t xml:space="preserve"> and platform case handling</w:t>
            </w:r>
          </w:p>
        </w:tc>
      </w:tr>
    </w:tbl>
    <w:p w14:paraId="0CA231D5" w14:textId="77777777" w:rsidR="00542976" w:rsidRDefault="00000000">
      <w:pPr>
        <w:pStyle w:val="Heading2"/>
      </w:pPr>
      <w:bookmarkStart w:id="12" w:name="h36"/>
      <w:r>
        <w:rPr>
          <w:rFonts w:ascii="Arial" w:eastAsia="Arial" w:hAnsi="Arial" w:cs="Arial"/>
        </w:rPr>
        <w:t>3.6 Test and refine</w:t>
      </w:r>
      <w:bookmarkEnd w:id="12"/>
    </w:p>
    <w:p w14:paraId="455E71C6" w14:textId="77777777" w:rsidR="00542976" w:rsidRDefault="00000000">
      <w:r>
        <w:rPr>
          <w:rFonts w:eastAsia="Arial" w:cs="Arial"/>
        </w:rPr>
        <w:t xml:space="preserve">Testing must combine </w:t>
      </w:r>
      <w:proofErr w:type="spellStart"/>
      <w:r>
        <w:rPr>
          <w:rFonts w:eastAsia="Arial" w:cs="Arial"/>
        </w:rPr>
        <w:t>behaviour</w:t>
      </w:r>
      <w:proofErr w:type="spellEnd"/>
      <w:r>
        <w:rPr>
          <w:rFonts w:eastAsia="Arial" w:cs="Arial"/>
        </w:rPr>
        <w:t xml:space="preserve">, operations, </w:t>
      </w:r>
      <w:proofErr w:type="gramStart"/>
      <w:r>
        <w:rPr>
          <w:rFonts w:eastAsia="Arial" w:cs="Arial"/>
        </w:rPr>
        <w:t>finance</w:t>
      </w:r>
      <w:proofErr w:type="gramEnd"/>
      <w:r>
        <w:rPr>
          <w:rFonts w:eastAsia="Arial" w:cs="Arial"/>
        </w:rPr>
        <w:t xml:space="preserve"> and stakeholder outcomes. Satisfaction alone is weak evidence because users may like a </w:t>
      </w:r>
      <w:proofErr w:type="spellStart"/>
      <w:r>
        <w:rPr>
          <w:rFonts w:eastAsia="Arial" w:cs="Arial"/>
        </w:rPr>
        <w:t>subsidised</w:t>
      </w:r>
      <w:proofErr w:type="spellEnd"/>
      <w:r>
        <w:rPr>
          <w:rFonts w:eastAsia="Arial" w:cs="Arial"/>
        </w:rPr>
        <w:t xml:space="preserve"> service, while positive contribution can be misleading if it excludes unpaid waiting time or support costs. The pilot should therefore evaluate the entire value system rather than </w:t>
      </w:r>
      <w:proofErr w:type="spellStart"/>
      <w:r>
        <w:rPr>
          <w:rFonts w:eastAsia="Arial" w:cs="Arial"/>
        </w:rPr>
        <w:t>optimise</w:t>
      </w:r>
      <w:proofErr w:type="spellEnd"/>
      <w:r>
        <w:rPr>
          <w:rFonts w:eastAsia="Arial" w:cs="Arial"/>
        </w:rPr>
        <w:t xml:space="preserve"> one metric.</w:t>
      </w:r>
    </w:p>
    <w:p w14:paraId="533F9803" w14:textId="77777777" w:rsidR="00A03481" w:rsidRPr="00B219CE" w:rsidRDefault="00000000">
      <w:r>
        <w:rPr>
          <w:rFonts w:eastAsia="Arial" w:cs="Arial"/>
        </w:rPr>
        <w:t>Six hypotheses are set before the trial to reduce post-hoc justification. Reorder is more important than first-order adoption because promotions can create trial without durable value. Orders per route are more important than total orders because route density drives the economics. Merchant time savings and rider paid time are included because a platform that grows by transferring cost to participants is not a sustainable innovation.</w:t>
      </w:r>
      <w:r w:rsidR="00B219CE">
        <w:rPr>
          <w:rFonts w:eastAsia="Arial" w:cs="Arial"/>
        </w:rPr>
        <w:t xml:space="preserve"> </w:t>
      </w:r>
      <w:r>
        <w:rPr>
          <w:rFonts w:eastAsia="Arial" w:cs="Arial"/>
        </w:rPr>
        <w:t xml:space="preserve">The test would combine weekly interviews with transaction, </w:t>
      </w:r>
      <w:proofErr w:type="gramStart"/>
      <w:r>
        <w:rPr>
          <w:rFonts w:eastAsia="Arial" w:cs="Arial"/>
        </w:rPr>
        <w:t>support</w:t>
      </w:r>
      <w:proofErr w:type="gramEnd"/>
      <w:r>
        <w:rPr>
          <w:rFonts w:eastAsia="Arial" w:cs="Arial"/>
        </w:rPr>
        <w:t xml:space="preserve"> and route data. A/B tests would compare delivery windows and home delivery with discounted collection, but </w:t>
      </w:r>
      <w:proofErr w:type="spellStart"/>
      <w:r>
        <w:rPr>
          <w:rFonts w:eastAsia="Arial" w:cs="Arial"/>
        </w:rPr>
        <w:t>behavioural</w:t>
      </w:r>
      <w:proofErr w:type="spellEnd"/>
      <w:r>
        <w:rPr>
          <w:rFonts w:eastAsia="Arial" w:cs="Arial"/>
        </w:rPr>
        <w:t xml:space="preserve"> results would still require qualitative interpretation. A lower-priced option may win because it is </w:t>
      </w:r>
      <w:proofErr w:type="spellStart"/>
      <w:r>
        <w:rPr>
          <w:rFonts w:eastAsia="Arial" w:cs="Arial"/>
        </w:rPr>
        <w:t>subsidised</w:t>
      </w:r>
      <w:proofErr w:type="spellEnd"/>
      <w:r>
        <w:rPr>
          <w:rFonts w:eastAsia="Arial" w:cs="Arial"/>
        </w:rPr>
        <w:t>, not because the underlying service is superior. Environmental performance should be compared with a counterfactual of separate trips; otherwise, consolidation claims remain speculative.</w:t>
      </w:r>
      <w:r w:rsidR="00B219CE">
        <w:rPr>
          <w:rFonts w:eastAsia="Arial" w:cs="Arial"/>
        </w:rPr>
        <w:t xml:space="preserve"> </w:t>
      </w:r>
      <w:r>
        <w:rPr>
          <w:rFonts w:eastAsia="Arial" w:cs="Arial"/>
        </w:rPr>
        <w:t xml:space="preserve">Refinement and stop rules should be agreed before results are known. Weak first-order adoption requires a value-proposition review, weak reordering requires investigation of assortment, price and reliability, and persistently low route density should stop the postcode trial. Excessive onboarding time requires simplification, while rider pay below the agreed floor requires changes to </w:t>
      </w:r>
      <w:r>
        <w:rPr>
          <w:rFonts w:eastAsia="Arial" w:cs="Arial"/>
        </w:rPr>
        <w:lastRenderedPageBreak/>
        <w:t>pricing or zone design. Any material safety or data incident should pause the pilot. These rules prevent commitment to the concept from overriding negative evidence.</w:t>
      </w:r>
    </w:p>
    <w:p w14:paraId="49B7982F" w14:textId="77777777" w:rsidR="00542976" w:rsidRDefault="00000000">
      <w:r>
        <w:rPr>
          <w:rFonts w:eastAsia="Arial" w:cs="Arial"/>
        </w:rPr>
        <w:t xml:space="preserve">Financial viability should be tested at route level. Break-even equals route fixed cost divided by contribution per order; for illustration, a £48 route cost and £6 contribution require eight orders. This is not a forecast and must be replaced with pilot data. It nevertheless exposes the core sensitivity: a small fall in contribution or route density can eliminate viability. </w:t>
      </w:r>
      <w:proofErr w:type="spellStart"/>
      <w:r>
        <w:rPr>
          <w:rFonts w:eastAsia="Arial" w:cs="Arial"/>
        </w:rPr>
        <w:t>LocalLink</w:t>
      </w:r>
      <w:proofErr w:type="spellEnd"/>
      <w:r>
        <w:rPr>
          <w:rFonts w:eastAsia="Arial" w:cs="Arial"/>
        </w:rPr>
        <w:t xml:space="preserve"> should progress to a second region only when the base case is positive, the downside loss is affordable and quality targets are met (Teece, 2010).</w:t>
      </w:r>
    </w:p>
    <w:p w14:paraId="23562EE6" w14:textId="77777777" w:rsidR="00542976" w:rsidRDefault="00000000">
      <w:pPr>
        <w:keepNext/>
        <w:spacing w:before="100" w:after="40"/>
      </w:pPr>
      <w:r>
        <w:rPr>
          <w:rFonts w:eastAsia="Arial" w:cs="Arial"/>
          <w:b/>
        </w:rPr>
        <w:t>Table 7. Pilot evidence dashboard</w:t>
      </w:r>
    </w:p>
    <w:tbl>
      <w:tblPr>
        <w:tblStyle w:val="TableGrid"/>
        <w:tblW w:w="0" w:type="auto"/>
        <w:jc w:val="center"/>
        <w:tblLook w:val="04A0" w:firstRow="1" w:lastRow="0" w:firstColumn="1" w:lastColumn="0" w:noHBand="0" w:noVBand="1"/>
      </w:tblPr>
      <w:tblGrid>
        <w:gridCol w:w="1751"/>
        <w:gridCol w:w="2043"/>
        <w:gridCol w:w="2699"/>
        <w:gridCol w:w="3429"/>
      </w:tblGrid>
      <w:tr w:rsidR="00542976" w14:paraId="423B4B2F" w14:textId="77777777" w:rsidTr="00B219CE">
        <w:trPr>
          <w:cantSplit/>
          <w:trHeight w:val="378"/>
          <w:tblHeader/>
          <w:jc w:val="center"/>
        </w:trPr>
        <w:tc>
          <w:tcPr>
            <w:tcW w:w="1751" w:type="dxa"/>
            <w:shd w:val="clear" w:color="auto" w:fill="E7E6E6"/>
            <w:tcMar>
              <w:top w:w="70" w:type="dxa"/>
              <w:left w:w="70" w:type="dxa"/>
              <w:bottom w:w="70" w:type="dxa"/>
              <w:right w:w="70" w:type="dxa"/>
            </w:tcMar>
            <w:vAlign w:val="center"/>
          </w:tcPr>
          <w:p w14:paraId="3C51EFA4" w14:textId="77777777" w:rsidR="00C34E3C" w:rsidRDefault="00000000">
            <w:r>
              <w:rPr>
                <w:rFonts w:eastAsia="Arial" w:cs="Arial"/>
                <w:b/>
              </w:rPr>
              <w:t>Evidence area</w:t>
            </w:r>
          </w:p>
        </w:tc>
        <w:tc>
          <w:tcPr>
            <w:tcW w:w="2043" w:type="dxa"/>
            <w:shd w:val="clear" w:color="auto" w:fill="E7E6E6"/>
            <w:tcMar>
              <w:top w:w="70" w:type="dxa"/>
              <w:left w:w="70" w:type="dxa"/>
              <w:bottom w:w="70" w:type="dxa"/>
              <w:right w:w="70" w:type="dxa"/>
            </w:tcMar>
            <w:vAlign w:val="center"/>
          </w:tcPr>
          <w:p w14:paraId="2E63485C" w14:textId="77777777" w:rsidR="00C34E3C" w:rsidRDefault="00000000">
            <w:r>
              <w:rPr>
                <w:rFonts w:eastAsia="Arial" w:cs="Arial"/>
                <w:b/>
              </w:rPr>
              <w:t>Target</w:t>
            </w:r>
          </w:p>
        </w:tc>
        <w:tc>
          <w:tcPr>
            <w:tcW w:w="2699" w:type="dxa"/>
            <w:shd w:val="clear" w:color="auto" w:fill="E7E6E6"/>
            <w:tcMar>
              <w:top w:w="70" w:type="dxa"/>
              <w:left w:w="70" w:type="dxa"/>
              <w:bottom w:w="70" w:type="dxa"/>
              <w:right w:w="70" w:type="dxa"/>
            </w:tcMar>
            <w:vAlign w:val="center"/>
          </w:tcPr>
          <w:p w14:paraId="31DBCCD6" w14:textId="77777777" w:rsidR="00C34E3C" w:rsidRDefault="00000000">
            <w:r>
              <w:rPr>
                <w:rFonts w:eastAsia="Arial" w:cs="Arial"/>
                <w:b/>
              </w:rPr>
              <w:t>Supporting measure</w:t>
            </w:r>
          </w:p>
        </w:tc>
        <w:tc>
          <w:tcPr>
            <w:tcW w:w="3429" w:type="dxa"/>
            <w:shd w:val="clear" w:color="auto" w:fill="E7E6E6"/>
            <w:tcMar>
              <w:top w:w="70" w:type="dxa"/>
              <w:left w:w="70" w:type="dxa"/>
              <w:bottom w:w="70" w:type="dxa"/>
              <w:right w:w="70" w:type="dxa"/>
            </w:tcMar>
            <w:vAlign w:val="center"/>
          </w:tcPr>
          <w:p w14:paraId="584DF84B" w14:textId="77777777" w:rsidR="00C34E3C" w:rsidRDefault="00000000">
            <w:r>
              <w:rPr>
                <w:rFonts w:eastAsia="Arial" w:cs="Arial"/>
                <w:b/>
              </w:rPr>
              <w:t>Decision use</w:t>
            </w:r>
          </w:p>
        </w:tc>
      </w:tr>
      <w:tr w:rsidR="00542976" w14:paraId="497AB649" w14:textId="77777777" w:rsidTr="00B219CE">
        <w:trPr>
          <w:cantSplit/>
          <w:trHeight w:val="754"/>
          <w:jc w:val="center"/>
        </w:trPr>
        <w:tc>
          <w:tcPr>
            <w:tcW w:w="1751" w:type="dxa"/>
            <w:tcMar>
              <w:top w:w="70" w:type="dxa"/>
              <w:left w:w="70" w:type="dxa"/>
              <w:bottom w:w="70" w:type="dxa"/>
              <w:right w:w="70" w:type="dxa"/>
            </w:tcMar>
            <w:vAlign w:val="center"/>
          </w:tcPr>
          <w:p w14:paraId="77C0202A" w14:textId="77777777" w:rsidR="00C34E3C" w:rsidRDefault="00000000">
            <w:r>
              <w:rPr>
                <w:rFonts w:eastAsia="Arial" w:cs="Arial"/>
              </w:rPr>
              <w:t>Initial demand</w:t>
            </w:r>
          </w:p>
        </w:tc>
        <w:tc>
          <w:tcPr>
            <w:tcW w:w="2043" w:type="dxa"/>
            <w:tcMar>
              <w:top w:w="70" w:type="dxa"/>
              <w:left w:w="70" w:type="dxa"/>
              <w:bottom w:w="70" w:type="dxa"/>
              <w:right w:w="70" w:type="dxa"/>
            </w:tcMar>
            <w:vAlign w:val="center"/>
          </w:tcPr>
          <w:p w14:paraId="209EE026" w14:textId="77777777" w:rsidR="00C34E3C" w:rsidRDefault="00000000">
            <w:r>
              <w:rPr>
                <w:rFonts w:eastAsia="Arial" w:cs="Arial"/>
              </w:rPr>
              <w:t>35% of invitees order</w:t>
            </w:r>
          </w:p>
        </w:tc>
        <w:tc>
          <w:tcPr>
            <w:tcW w:w="2699" w:type="dxa"/>
            <w:tcMar>
              <w:top w:w="70" w:type="dxa"/>
              <w:left w:w="70" w:type="dxa"/>
              <w:bottom w:w="70" w:type="dxa"/>
              <w:right w:w="70" w:type="dxa"/>
            </w:tcMar>
            <w:vAlign w:val="center"/>
          </w:tcPr>
          <w:p w14:paraId="0A09D312" w14:textId="77777777" w:rsidR="00C34E3C" w:rsidRDefault="00000000">
            <w:r>
              <w:rPr>
                <w:rFonts w:eastAsia="Arial" w:cs="Arial"/>
              </w:rPr>
              <w:t>First-order conversion</w:t>
            </w:r>
          </w:p>
        </w:tc>
        <w:tc>
          <w:tcPr>
            <w:tcW w:w="3429" w:type="dxa"/>
            <w:tcMar>
              <w:top w:w="70" w:type="dxa"/>
              <w:left w:w="70" w:type="dxa"/>
              <w:bottom w:w="70" w:type="dxa"/>
              <w:right w:w="70" w:type="dxa"/>
            </w:tcMar>
            <w:vAlign w:val="center"/>
          </w:tcPr>
          <w:p w14:paraId="35F31508" w14:textId="77777777" w:rsidR="00C34E3C" w:rsidRDefault="00000000">
            <w:r>
              <w:rPr>
                <w:rFonts w:eastAsia="Arial" w:cs="Arial"/>
              </w:rPr>
              <w:t>Is the proposition attractive enough to try?</w:t>
            </w:r>
          </w:p>
        </w:tc>
      </w:tr>
      <w:tr w:rsidR="00542976" w14:paraId="4FE2DE2A" w14:textId="77777777" w:rsidTr="00B219CE">
        <w:trPr>
          <w:cantSplit/>
          <w:trHeight w:val="754"/>
          <w:jc w:val="center"/>
        </w:trPr>
        <w:tc>
          <w:tcPr>
            <w:tcW w:w="1751" w:type="dxa"/>
            <w:tcMar>
              <w:top w:w="70" w:type="dxa"/>
              <w:left w:w="70" w:type="dxa"/>
              <w:bottom w:w="70" w:type="dxa"/>
              <w:right w:w="70" w:type="dxa"/>
            </w:tcMar>
            <w:vAlign w:val="center"/>
          </w:tcPr>
          <w:p w14:paraId="03AFFB52" w14:textId="77777777" w:rsidR="00C34E3C" w:rsidRDefault="00000000">
            <w:r>
              <w:rPr>
                <w:rFonts w:eastAsia="Arial" w:cs="Arial"/>
              </w:rPr>
              <w:t>Repeat value</w:t>
            </w:r>
          </w:p>
        </w:tc>
        <w:tc>
          <w:tcPr>
            <w:tcW w:w="2043" w:type="dxa"/>
            <w:tcMar>
              <w:top w:w="70" w:type="dxa"/>
              <w:left w:w="70" w:type="dxa"/>
              <w:bottom w:w="70" w:type="dxa"/>
              <w:right w:w="70" w:type="dxa"/>
            </w:tcMar>
            <w:vAlign w:val="center"/>
          </w:tcPr>
          <w:p w14:paraId="11492261" w14:textId="77777777" w:rsidR="00C34E3C" w:rsidRDefault="00000000">
            <w:r>
              <w:rPr>
                <w:rFonts w:eastAsia="Arial" w:cs="Arial"/>
              </w:rPr>
              <w:t>30% reorder in four weeks</w:t>
            </w:r>
          </w:p>
        </w:tc>
        <w:tc>
          <w:tcPr>
            <w:tcW w:w="2699" w:type="dxa"/>
            <w:tcMar>
              <w:top w:w="70" w:type="dxa"/>
              <w:left w:w="70" w:type="dxa"/>
              <w:bottom w:w="70" w:type="dxa"/>
              <w:right w:w="70" w:type="dxa"/>
            </w:tcMar>
            <w:vAlign w:val="center"/>
          </w:tcPr>
          <w:p w14:paraId="3DB88F72" w14:textId="77777777" w:rsidR="00C34E3C" w:rsidRDefault="00000000">
            <w:r>
              <w:rPr>
                <w:rFonts w:eastAsia="Arial" w:cs="Arial"/>
              </w:rPr>
              <w:t>Reorder and satisfaction</w:t>
            </w:r>
          </w:p>
        </w:tc>
        <w:tc>
          <w:tcPr>
            <w:tcW w:w="3429" w:type="dxa"/>
            <w:tcMar>
              <w:top w:w="70" w:type="dxa"/>
              <w:left w:w="70" w:type="dxa"/>
              <w:bottom w:w="70" w:type="dxa"/>
              <w:right w:w="70" w:type="dxa"/>
            </w:tcMar>
            <w:vAlign w:val="center"/>
          </w:tcPr>
          <w:p w14:paraId="6C63E8B2" w14:textId="77777777" w:rsidR="00C34E3C" w:rsidRDefault="00000000">
            <w:r>
              <w:rPr>
                <w:rFonts w:eastAsia="Arial" w:cs="Arial"/>
              </w:rPr>
              <w:t>Is it useful enough to repeat?</w:t>
            </w:r>
          </w:p>
        </w:tc>
      </w:tr>
      <w:tr w:rsidR="00542976" w14:paraId="1A267DE1" w14:textId="77777777" w:rsidTr="00B219CE">
        <w:trPr>
          <w:cantSplit/>
          <w:trHeight w:val="754"/>
          <w:jc w:val="center"/>
        </w:trPr>
        <w:tc>
          <w:tcPr>
            <w:tcW w:w="1751" w:type="dxa"/>
            <w:tcMar>
              <w:top w:w="70" w:type="dxa"/>
              <w:left w:w="70" w:type="dxa"/>
              <w:bottom w:w="70" w:type="dxa"/>
              <w:right w:w="70" w:type="dxa"/>
            </w:tcMar>
            <w:vAlign w:val="center"/>
          </w:tcPr>
          <w:p w14:paraId="4D71C181" w14:textId="77777777" w:rsidR="00C34E3C" w:rsidRDefault="00000000">
            <w:r>
              <w:rPr>
                <w:rFonts w:eastAsia="Arial" w:cs="Arial"/>
              </w:rPr>
              <w:t>Reliability</w:t>
            </w:r>
          </w:p>
        </w:tc>
        <w:tc>
          <w:tcPr>
            <w:tcW w:w="2043" w:type="dxa"/>
            <w:tcMar>
              <w:top w:w="70" w:type="dxa"/>
              <w:left w:w="70" w:type="dxa"/>
              <w:bottom w:w="70" w:type="dxa"/>
              <w:right w:w="70" w:type="dxa"/>
            </w:tcMar>
            <w:vAlign w:val="center"/>
          </w:tcPr>
          <w:p w14:paraId="2019604F" w14:textId="77777777" w:rsidR="00C34E3C" w:rsidRDefault="00000000">
            <w:r>
              <w:rPr>
                <w:rFonts w:eastAsia="Arial" w:cs="Arial"/>
              </w:rPr>
              <w:t>70% within promised window</w:t>
            </w:r>
          </w:p>
        </w:tc>
        <w:tc>
          <w:tcPr>
            <w:tcW w:w="2699" w:type="dxa"/>
            <w:tcMar>
              <w:top w:w="70" w:type="dxa"/>
              <w:left w:w="70" w:type="dxa"/>
              <w:bottom w:w="70" w:type="dxa"/>
              <w:right w:w="70" w:type="dxa"/>
            </w:tcMar>
            <w:vAlign w:val="center"/>
          </w:tcPr>
          <w:p w14:paraId="08908680" w14:textId="77777777" w:rsidR="00C34E3C" w:rsidRDefault="00000000">
            <w:r>
              <w:rPr>
                <w:rFonts w:eastAsia="Arial" w:cs="Arial"/>
              </w:rPr>
              <w:t>On-time rate and support contacts</w:t>
            </w:r>
          </w:p>
        </w:tc>
        <w:tc>
          <w:tcPr>
            <w:tcW w:w="3429" w:type="dxa"/>
            <w:tcMar>
              <w:top w:w="70" w:type="dxa"/>
              <w:left w:w="70" w:type="dxa"/>
              <w:bottom w:w="70" w:type="dxa"/>
              <w:right w:w="70" w:type="dxa"/>
            </w:tcMar>
            <w:vAlign w:val="center"/>
          </w:tcPr>
          <w:p w14:paraId="2B84A123" w14:textId="77777777" w:rsidR="00C34E3C" w:rsidRDefault="00000000">
            <w:r>
              <w:rPr>
                <w:rFonts w:eastAsia="Arial" w:cs="Arial"/>
              </w:rPr>
              <w:t>Can it be delivered consistently?</w:t>
            </w:r>
          </w:p>
        </w:tc>
      </w:tr>
      <w:tr w:rsidR="00542976" w14:paraId="3F321B08" w14:textId="77777777" w:rsidTr="00B219CE">
        <w:trPr>
          <w:cantSplit/>
          <w:trHeight w:val="754"/>
          <w:jc w:val="center"/>
        </w:trPr>
        <w:tc>
          <w:tcPr>
            <w:tcW w:w="1751" w:type="dxa"/>
            <w:tcMar>
              <w:top w:w="70" w:type="dxa"/>
              <w:left w:w="70" w:type="dxa"/>
              <w:bottom w:w="70" w:type="dxa"/>
              <w:right w:w="70" w:type="dxa"/>
            </w:tcMar>
            <w:vAlign w:val="center"/>
          </w:tcPr>
          <w:p w14:paraId="51B7E320" w14:textId="77777777" w:rsidR="00C34E3C" w:rsidRDefault="00000000">
            <w:r>
              <w:rPr>
                <w:rFonts w:eastAsia="Arial" w:cs="Arial"/>
              </w:rPr>
              <w:t>Route viability</w:t>
            </w:r>
          </w:p>
        </w:tc>
        <w:tc>
          <w:tcPr>
            <w:tcW w:w="2043" w:type="dxa"/>
            <w:tcMar>
              <w:top w:w="70" w:type="dxa"/>
              <w:left w:w="70" w:type="dxa"/>
              <w:bottom w:w="70" w:type="dxa"/>
              <w:right w:w="70" w:type="dxa"/>
            </w:tcMar>
            <w:vAlign w:val="center"/>
          </w:tcPr>
          <w:p w14:paraId="169119EB" w14:textId="77777777" w:rsidR="00C34E3C" w:rsidRDefault="00000000">
            <w:r>
              <w:rPr>
                <w:rFonts w:eastAsia="Arial" w:cs="Arial"/>
              </w:rPr>
              <w:t>8 orders per route by week 8</w:t>
            </w:r>
          </w:p>
        </w:tc>
        <w:tc>
          <w:tcPr>
            <w:tcW w:w="2699" w:type="dxa"/>
            <w:tcMar>
              <w:top w:w="70" w:type="dxa"/>
              <w:left w:w="70" w:type="dxa"/>
              <w:bottom w:w="70" w:type="dxa"/>
              <w:right w:w="70" w:type="dxa"/>
            </w:tcMar>
            <w:vAlign w:val="center"/>
          </w:tcPr>
          <w:p w14:paraId="579C174C" w14:textId="77777777" w:rsidR="00C34E3C" w:rsidRDefault="00000000">
            <w:r>
              <w:rPr>
                <w:rFonts w:eastAsia="Arial" w:cs="Arial"/>
              </w:rPr>
              <w:t>Cost and contribution per order</w:t>
            </w:r>
          </w:p>
        </w:tc>
        <w:tc>
          <w:tcPr>
            <w:tcW w:w="3429" w:type="dxa"/>
            <w:tcMar>
              <w:top w:w="70" w:type="dxa"/>
              <w:left w:w="70" w:type="dxa"/>
              <w:bottom w:w="70" w:type="dxa"/>
              <w:right w:w="70" w:type="dxa"/>
            </w:tcMar>
            <w:vAlign w:val="center"/>
          </w:tcPr>
          <w:p w14:paraId="1A36B107" w14:textId="77777777" w:rsidR="00C34E3C" w:rsidRDefault="00000000">
            <w:r>
              <w:rPr>
                <w:rFonts w:eastAsia="Arial" w:cs="Arial"/>
              </w:rPr>
              <w:t>Can the route cover its costs?</w:t>
            </w:r>
          </w:p>
        </w:tc>
      </w:tr>
      <w:tr w:rsidR="00542976" w14:paraId="2382754F" w14:textId="77777777" w:rsidTr="00B219CE">
        <w:trPr>
          <w:cantSplit/>
          <w:trHeight w:val="754"/>
          <w:jc w:val="center"/>
        </w:trPr>
        <w:tc>
          <w:tcPr>
            <w:tcW w:w="1751" w:type="dxa"/>
            <w:tcMar>
              <w:top w:w="70" w:type="dxa"/>
              <w:left w:w="70" w:type="dxa"/>
              <w:bottom w:w="70" w:type="dxa"/>
              <w:right w:w="70" w:type="dxa"/>
            </w:tcMar>
            <w:vAlign w:val="center"/>
          </w:tcPr>
          <w:p w14:paraId="0043D24F" w14:textId="77777777" w:rsidR="00C34E3C" w:rsidRDefault="00000000">
            <w:r>
              <w:rPr>
                <w:rFonts w:eastAsia="Arial" w:cs="Arial"/>
              </w:rPr>
              <w:t>Merchant value</w:t>
            </w:r>
          </w:p>
        </w:tc>
        <w:tc>
          <w:tcPr>
            <w:tcW w:w="2043" w:type="dxa"/>
            <w:tcMar>
              <w:top w:w="70" w:type="dxa"/>
              <w:left w:w="70" w:type="dxa"/>
              <w:bottom w:w="70" w:type="dxa"/>
              <w:right w:w="70" w:type="dxa"/>
            </w:tcMar>
            <w:vAlign w:val="center"/>
          </w:tcPr>
          <w:p w14:paraId="44E7D05B" w14:textId="77777777" w:rsidR="00C34E3C" w:rsidRDefault="00000000">
            <w:r>
              <w:rPr>
                <w:rFonts w:eastAsia="Arial" w:cs="Arial"/>
              </w:rPr>
              <w:t>70% report lower admin time</w:t>
            </w:r>
          </w:p>
        </w:tc>
        <w:tc>
          <w:tcPr>
            <w:tcW w:w="2699" w:type="dxa"/>
            <w:tcMar>
              <w:top w:w="70" w:type="dxa"/>
              <w:left w:w="70" w:type="dxa"/>
              <w:bottom w:w="70" w:type="dxa"/>
              <w:right w:w="70" w:type="dxa"/>
            </w:tcMar>
            <w:vAlign w:val="center"/>
          </w:tcPr>
          <w:p w14:paraId="0C30FA9F" w14:textId="77777777" w:rsidR="00C34E3C" w:rsidRDefault="00000000">
            <w:r>
              <w:rPr>
                <w:rFonts w:eastAsia="Arial" w:cs="Arial"/>
              </w:rPr>
              <w:t>Onboarding time and merchant feedback</w:t>
            </w:r>
          </w:p>
        </w:tc>
        <w:tc>
          <w:tcPr>
            <w:tcW w:w="3429" w:type="dxa"/>
            <w:tcMar>
              <w:top w:w="70" w:type="dxa"/>
              <w:left w:w="70" w:type="dxa"/>
              <w:bottom w:w="70" w:type="dxa"/>
              <w:right w:w="70" w:type="dxa"/>
            </w:tcMar>
            <w:vAlign w:val="center"/>
          </w:tcPr>
          <w:p w14:paraId="4E0B532B" w14:textId="77777777" w:rsidR="00C34E3C" w:rsidRDefault="00000000">
            <w:r>
              <w:rPr>
                <w:rFonts w:eastAsia="Arial" w:cs="Arial"/>
              </w:rPr>
              <w:t>Does the system reduce work?</w:t>
            </w:r>
          </w:p>
        </w:tc>
      </w:tr>
      <w:tr w:rsidR="00C34E3C" w14:paraId="0A9082B2" w14:textId="77777777" w:rsidTr="00B219CE">
        <w:trPr>
          <w:cantSplit/>
          <w:trHeight w:val="1116"/>
          <w:jc w:val="center"/>
        </w:trPr>
        <w:tc>
          <w:tcPr>
            <w:tcW w:w="1751" w:type="dxa"/>
            <w:tcMar>
              <w:top w:w="70" w:type="dxa"/>
              <w:left w:w="70" w:type="dxa"/>
              <w:bottom w:w="70" w:type="dxa"/>
              <w:right w:w="70" w:type="dxa"/>
            </w:tcMar>
            <w:vAlign w:val="center"/>
          </w:tcPr>
          <w:p w14:paraId="5EDB25A0" w14:textId="77777777" w:rsidR="00C34E3C" w:rsidRDefault="00000000">
            <w:r>
              <w:rPr>
                <w:rFonts w:eastAsia="Arial" w:cs="Arial"/>
              </w:rPr>
              <w:t>Fairness and sustainability</w:t>
            </w:r>
          </w:p>
        </w:tc>
        <w:tc>
          <w:tcPr>
            <w:tcW w:w="2043" w:type="dxa"/>
            <w:tcMar>
              <w:top w:w="70" w:type="dxa"/>
              <w:left w:w="70" w:type="dxa"/>
              <w:bottom w:w="70" w:type="dxa"/>
              <w:right w:w="70" w:type="dxa"/>
            </w:tcMar>
            <w:vAlign w:val="center"/>
          </w:tcPr>
          <w:p w14:paraId="183F415F" w14:textId="77777777" w:rsidR="00C34E3C" w:rsidRDefault="00000000">
            <w:r>
              <w:rPr>
                <w:rFonts w:eastAsia="Arial" w:cs="Arial"/>
              </w:rPr>
              <w:t>Agreed rider pay floor and lower distance per order</w:t>
            </w:r>
          </w:p>
        </w:tc>
        <w:tc>
          <w:tcPr>
            <w:tcW w:w="2699" w:type="dxa"/>
            <w:tcMar>
              <w:top w:w="70" w:type="dxa"/>
              <w:left w:w="70" w:type="dxa"/>
              <w:bottom w:w="70" w:type="dxa"/>
              <w:right w:w="70" w:type="dxa"/>
            </w:tcMar>
            <w:vAlign w:val="center"/>
          </w:tcPr>
          <w:p w14:paraId="4DBB8F9C" w14:textId="77777777" w:rsidR="00C34E3C" w:rsidRDefault="00000000">
            <w:r>
              <w:rPr>
                <w:rFonts w:eastAsia="Arial" w:cs="Arial"/>
              </w:rPr>
              <w:t xml:space="preserve">Paid time, </w:t>
            </w:r>
            <w:proofErr w:type="spellStart"/>
            <w:proofErr w:type="gramStart"/>
            <w:r>
              <w:rPr>
                <w:rFonts w:eastAsia="Arial" w:cs="Arial"/>
              </w:rPr>
              <w:t>kilometres</w:t>
            </w:r>
            <w:proofErr w:type="spellEnd"/>
            <w:proofErr w:type="gramEnd"/>
            <w:r>
              <w:rPr>
                <w:rFonts w:eastAsia="Arial" w:cs="Arial"/>
              </w:rPr>
              <w:t xml:space="preserve"> and emissions</w:t>
            </w:r>
          </w:p>
        </w:tc>
        <w:tc>
          <w:tcPr>
            <w:tcW w:w="3429" w:type="dxa"/>
            <w:tcMar>
              <w:top w:w="70" w:type="dxa"/>
              <w:left w:w="70" w:type="dxa"/>
              <w:bottom w:w="70" w:type="dxa"/>
              <w:right w:w="70" w:type="dxa"/>
            </w:tcMar>
            <w:vAlign w:val="center"/>
          </w:tcPr>
          <w:p w14:paraId="2F81330F" w14:textId="77777777" w:rsidR="00C34E3C" w:rsidRDefault="00000000">
            <w:r>
              <w:rPr>
                <w:rFonts w:eastAsia="Arial" w:cs="Arial"/>
              </w:rPr>
              <w:t>Is value created responsibly?</w:t>
            </w:r>
          </w:p>
        </w:tc>
      </w:tr>
    </w:tbl>
    <w:p w14:paraId="64F29BA3" w14:textId="77777777" w:rsidR="00542976" w:rsidRDefault="00000000">
      <w:pPr>
        <w:pStyle w:val="Heading2"/>
      </w:pPr>
      <w:bookmarkStart w:id="13" w:name="h37"/>
      <w:r>
        <w:rPr>
          <w:rFonts w:ascii="Arial" w:eastAsia="Arial" w:hAnsi="Arial" w:cs="Arial"/>
        </w:rPr>
        <w:t xml:space="preserve">3.7 Scalability, </w:t>
      </w:r>
      <w:proofErr w:type="gramStart"/>
      <w:r>
        <w:rPr>
          <w:rFonts w:ascii="Arial" w:eastAsia="Arial" w:hAnsi="Arial" w:cs="Arial"/>
        </w:rPr>
        <w:t>sustainability</w:t>
      </w:r>
      <w:proofErr w:type="gramEnd"/>
      <w:r>
        <w:rPr>
          <w:rFonts w:ascii="Arial" w:eastAsia="Arial" w:hAnsi="Arial" w:cs="Arial"/>
        </w:rPr>
        <w:t xml:space="preserve"> and risks</w:t>
      </w:r>
      <w:bookmarkEnd w:id="13"/>
    </w:p>
    <w:p w14:paraId="4A49A62A" w14:textId="77777777" w:rsidR="00542976" w:rsidRDefault="00000000">
      <w:r>
        <w:rPr>
          <w:rFonts w:eastAsia="Arial" w:cs="Arial"/>
        </w:rPr>
        <w:t xml:space="preserve">Software and operating standards may be reusable, but </w:t>
      </w:r>
      <w:proofErr w:type="spellStart"/>
      <w:r>
        <w:rPr>
          <w:rFonts w:eastAsia="Arial" w:cs="Arial"/>
        </w:rPr>
        <w:t>LocalLink</w:t>
      </w:r>
      <w:proofErr w:type="spellEnd"/>
      <w:r>
        <w:rPr>
          <w:rFonts w:eastAsia="Arial" w:cs="Arial"/>
        </w:rPr>
        <w:t xml:space="preserve"> is not a pure digital product. Every new region requires merchant acquisition, rider supply, local </w:t>
      </w:r>
      <w:proofErr w:type="gramStart"/>
      <w:r>
        <w:rPr>
          <w:rFonts w:eastAsia="Arial" w:cs="Arial"/>
        </w:rPr>
        <w:t>partnerships</w:t>
      </w:r>
      <w:proofErr w:type="gramEnd"/>
      <w:r>
        <w:rPr>
          <w:rFonts w:eastAsia="Arial" w:cs="Arial"/>
        </w:rPr>
        <w:t xml:space="preserve"> and sufficient demand density. Rapid geographic expansion could therefore increase coordination costs faster than revenue. Scaling should occur through repeatable entry criteria and staged partnerships, not through a national coverage target. Platform network effects are valuable only after local service quality is credible (Hagiu and Wright, 2015).</w:t>
      </w:r>
      <w:r w:rsidR="00B219CE">
        <w:rPr>
          <w:rFonts w:eastAsia="Arial" w:cs="Arial"/>
        </w:rPr>
        <w:t xml:space="preserve"> </w:t>
      </w:r>
      <w:r>
        <w:rPr>
          <w:rFonts w:eastAsia="Arial" w:cs="Arial"/>
        </w:rPr>
        <w:t xml:space="preserve">Sustainability should be assessed across economic, </w:t>
      </w:r>
      <w:proofErr w:type="gramStart"/>
      <w:r>
        <w:rPr>
          <w:rFonts w:eastAsia="Arial" w:cs="Arial"/>
        </w:rPr>
        <w:t>environmental</w:t>
      </w:r>
      <w:proofErr w:type="gramEnd"/>
      <w:r>
        <w:rPr>
          <w:rFonts w:eastAsia="Arial" w:cs="Arial"/>
        </w:rPr>
        <w:t xml:space="preserve"> and social outcomes rather than inferred from vehicle type. Fuller routes and fewer failed deliveries may reduce emissions per order, but a lightly loaded electric van can still perform poorly. </w:t>
      </w:r>
      <w:proofErr w:type="spellStart"/>
      <w:r>
        <w:rPr>
          <w:rFonts w:eastAsia="Arial" w:cs="Arial"/>
        </w:rPr>
        <w:t>Bocken</w:t>
      </w:r>
      <w:proofErr w:type="spellEnd"/>
      <w:r>
        <w:rPr>
          <w:rFonts w:eastAsia="Arial" w:cs="Arial"/>
        </w:rPr>
        <w:t xml:space="preserve"> et al. </w:t>
      </w:r>
      <w:r>
        <w:rPr>
          <w:rFonts w:eastAsia="Arial" w:cs="Arial"/>
        </w:rPr>
        <w:lastRenderedPageBreak/>
        <w:t xml:space="preserve">(2014) support a wider business-model view, so </w:t>
      </w:r>
      <w:proofErr w:type="spellStart"/>
      <w:r>
        <w:rPr>
          <w:rFonts w:eastAsia="Arial" w:cs="Arial"/>
        </w:rPr>
        <w:t>LocalLink</w:t>
      </w:r>
      <w:proofErr w:type="spellEnd"/>
      <w:r>
        <w:rPr>
          <w:rFonts w:eastAsia="Arial" w:cs="Arial"/>
        </w:rPr>
        <w:t xml:space="preserve"> should report route contribution, distance and emissions per order, rider paid time and merchant value together. Scaling should stop where improvement in one dimension depends on unacceptable deterioration in another.</w:t>
      </w:r>
      <w:r w:rsidR="00B219CE">
        <w:rPr>
          <w:rFonts w:eastAsia="Arial" w:cs="Arial"/>
        </w:rPr>
        <w:t xml:space="preserve"> </w:t>
      </w:r>
      <w:r>
        <w:rPr>
          <w:rFonts w:eastAsia="Arial" w:cs="Arial"/>
        </w:rPr>
        <w:t xml:space="preserve">The principal risks are weak density, merchant resistance, operational failure, unsafe food handling, unfair work allocation, data misuse and </w:t>
      </w:r>
      <w:proofErr w:type="spellStart"/>
      <w:r>
        <w:rPr>
          <w:rFonts w:eastAsia="Arial" w:cs="Arial"/>
        </w:rPr>
        <w:t>cannibalisation</w:t>
      </w:r>
      <w:proofErr w:type="spellEnd"/>
      <w:r>
        <w:rPr>
          <w:rFonts w:eastAsia="Arial" w:cs="Arial"/>
        </w:rPr>
        <w:t xml:space="preserve"> of existing Deliveroo orders. Mitigation must be linked to decision rights: postcode entry thresholds, transparent fees, limited product categories, rider co-design, privacy controls and reporting that separates genuinely new demand from channel switching. The risk of inaction is that rivals build local merchant relationships first, but fear of missing out is not a sufficient investment case. Expansion must be earned through repeated evidence of paid demand and route viability.</w:t>
      </w:r>
    </w:p>
    <w:p w14:paraId="06786CF5" w14:textId="77777777" w:rsidR="00542976" w:rsidRDefault="00000000">
      <w:pPr>
        <w:pStyle w:val="Heading1"/>
      </w:pPr>
      <w:bookmarkStart w:id="14" w:name="h4_conclusion"/>
      <w:r>
        <w:rPr>
          <w:rFonts w:ascii="Arial" w:eastAsia="Arial" w:hAnsi="Arial" w:cs="Arial"/>
        </w:rPr>
        <w:t>4. Conclusion</w:t>
      </w:r>
      <w:bookmarkEnd w:id="14"/>
    </w:p>
    <w:p w14:paraId="54F8A25C" w14:textId="77777777" w:rsidR="00542976" w:rsidRDefault="00000000">
      <w:r>
        <w:rPr>
          <w:rFonts w:eastAsia="Arial" w:cs="Arial"/>
        </w:rPr>
        <w:t xml:space="preserve">The opportunity is not simply the continued growth of e-commerce. It is the unresolved mismatch between digital demand, fragmented merchant capability and low-density delivery economics. Deliveroo </w:t>
      </w:r>
      <w:proofErr w:type="spellStart"/>
      <w:r>
        <w:rPr>
          <w:rFonts w:eastAsia="Arial" w:cs="Arial"/>
        </w:rPr>
        <w:t>LocalLink</w:t>
      </w:r>
      <w:proofErr w:type="spellEnd"/>
      <w:r>
        <w:rPr>
          <w:rFonts w:eastAsia="Arial" w:cs="Arial"/>
        </w:rPr>
        <w:t xml:space="preserve"> addresses that mismatch through a combined merchant layer and scheduled order consolidation. The local marketplace and community hubs remain optional because adding features before route viability is proven would increase risk without resolving the core problem.</w:t>
      </w:r>
    </w:p>
    <w:p w14:paraId="61797577" w14:textId="77777777" w:rsidR="00542976" w:rsidRDefault="00000000">
      <w:r>
        <w:rPr>
          <w:rFonts w:eastAsia="Arial" w:cs="Arial"/>
        </w:rPr>
        <w:t xml:space="preserve">The proposal is deliberately conditional. Design Thinking identifies needs and exposes stakeholder tensions, but only paid </w:t>
      </w:r>
      <w:proofErr w:type="spellStart"/>
      <w:r>
        <w:rPr>
          <w:rFonts w:eastAsia="Arial" w:cs="Arial"/>
        </w:rPr>
        <w:t>behaviour</w:t>
      </w:r>
      <w:proofErr w:type="spellEnd"/>
      <w:r>
        <w:rPr>
          <w:rFonts w:eastAsia="Arial" w:cs="Arial"/>
        </w:rPr>
        <w:t xml:space="preserve">, route economics and operational evidence can justify investment. </w:t>
      </w:r>
      <w:proofErr w:type="spellStart"/>
      <w:r>
        <w:rPr>
          <w:rFonts w:eastAsia="Arial" w:cs="Arial"/>
        </w:rPr>
        <w:t>LocalLink</w:t>
      </w:r>
      <w:proofErr w:type="spellEnd"/>
      <w:r>
        <w:rPr>
          <w:rFonts w:eastAsia="Arial" w:cs="Arial"/>
        </w:rPr>
        <w:t xml:space="preserve"> should scale where customers reorder, merchants save time, riders receive fair paid work, routes make a positive contribution and measured environmental impact improves. It should be redesigned or stopped where those conditions are not met. This makes the venture more credible than a descriptive recommendation to expand rural delivery, because it defines both the basis for growth and the evidence that would invalidate it.</w:t>
      </w:r>
    </w:p>
    <w:p w14:paraId="0B9C5277" w14:textId="3E1EF910" w:rsidR="00542976" w:rsidRDefault="003A68B6">
      <w:pPr>
        <w:pStyle w:val="Heading1"/>
        <w:pageBreakBefore/>
      </w:pPr>
      <w:bookmarkStart w:id="15" w:name="h_refs"/>
      <w:r>
        <w:rPr>
          <w:rFonts w:ascii="Arial" w:eastAsia="Arial" w:hAnsi="Arial" w:cs="Arial"/>
        </w:rPr>
        <w:lastRenderedPageBreak/>
        <w:t xml:space="preserve">5. </w:t>
      </w:r>
      <w:r w:rsidR="00000000">
        <w:rPr>
          <w:rFonts w:ascii="Arial" w:eastAsia="Arial" w:hAnsi="Arial" w:cs="Arial"/>
        </w:rPr>
        <w:t>Reference List</w:t>
      </w:r>
      <w:bookmarkEnd w:id="15"/>
    </w:p>
    <w:p w14:paraId="071458DB" w14:textId="77777777" w:rsidR="00542976" w:rsidRDefault="00000000">
      <w:pPr>
        <w:pStyle w:val="Reference"/>
        <w:ind w:left="360" w:hanging="360"/>
      </w:pPr>
      <w:r>
        <w:rPr>
          <w:rFonts w:eastAsia="Arial" w:cs="Arial"/>
        </w:rPr>
        <w:t xml:space="preserve">Allen-Perkins, D. and </w:t>
      </w:r>
      <w:proofErr w:type="spellStart"/>
      <w:r>
        <w:rPr>
          <w:rFonts w:eastAsia="Arial" w:cs="Arial"/>
        </w:rPr>
        <w:t>Cañedo</w:t>
      </w:r>
      <w:proofErr w:type="spellEnd"/>
      <w:r>
        <w:rPr>
          <w:rFonts w:eastAsia="Arial" w:cs="Arial"/>
        </w:rPr>
        <w:t xml:space="preserve">-Rodríguez, M. (2023) ‘Weaving the algorithm: participatory subjectivities amongst food delivery riders’, Subjectivity, 30(4), pp. 435-454. </w:t>
      </w:r>
      <w:proofErr w:type="spellStart"/>
      <w:r>
        <w:rPr>
          <w:rFonts w:eastAsia="Arial" w:cs="Arial"/>
        </w:rPr>
        <w:t>doi</w:t>
      </w:r>
      <w:proofErr w:type="spellEnd"/>
      <w:r>
        <w:rPr>
          <w:rFonts w:eastAsia="Arial" w:cs="Arial"/>
        </w:rPr>
        <w:t>: 10.1057/s41286-023-00167-6.</w:t>
      </w:r>
    </w:p>
    <w:p w14:paraId="32A170D2" w14:textId="77777777" w:rsidR="00542976" w:rsidRDefault="00000000">
      <w:pPr>
        <w:pStyle w:val="Reference"/>
        <w:ind w:left="360" w:hanging="360"/>
      </w:pPr>
      <w:r>
        <w:rPr>
          <w:rFonts w:eastAsia="Arial" w:cs="Arial"/>
        </w:rPr>
        <w:t>Blank, S. (2013) ‘Why the Lean Start-Up changes everything’, Harvard Business Review, 91(5), pp. 63-72.</w:t>
      </w:r>
    </w:p>
    <w:p w14:paraId="76720905" w14:textId="77777777" w:rsidR="00542976" w:rsidRDefault="00000000">
      <w:pPr>
        <w:pStyle w:val="Reference"/>
        <w:ind w:left="360" w:hanging="360"/>
      </w:pPr>
      <w:proofErr w:type="spellStart"/>
      <w:r>
        <w:rPr>
          <w:rFonts w:eastAsia="Arial" w:cs="Arial"/>
        </w:rPr>
        <w:t>Bocken</w:t>
      </w:r>
      <w:proofErr w:type="spellEnd"/>
      <w:r>
        <w:rPr>
          <w:rFonts w:eastAsia="Arial" w:cs="Arial"/>
        </w:rPr>
        <w:t xml:space="preserve">, N.M.P., Short, S.W., Rana, P. and Evans, S. (2014) ‘A literature and practice review to develop sustainable business model archetypes’, Journal of Cleaner Production, 65, pp. 42-56. </w:t>
      </w:r>
      <w:proofErr w:type="spellStart"/>
      <w:r>
        <w:rPr>
          <w:rFonts w:eastAsia="Arial" w:cs="Arial"/>
        </w:rPr>
        <w:t>doi</w:t>
      </w:r>
      <w:proofErr w:type="spellEnd"/>
      <w:r>
        <w:rPr>
          <w:rFonts w:eastAsia="Arial" w:cs="Arial"/>
        </w:rPr>
        <w:t>: 10.1016/j.jclepro.2013.11.039.</w:t>
      </w:r>
    </w:p>
    <w:p w14:paraId="0FD0F1C4" w14:textId="77777777" w:rsidR="00542976" w:rsidRDefault="00000000">
      <w:pPr>
        <w:pStyle w:val="Reference"/>
        <w:ind w:left="360" w:hanging="360"/>
      </w:pPr>
      <w:r>
        <w:rPr>
          <w:rFonts w:eastAsia="Arial" w:cs="Arial"/>
        </w:rPr>
        <w:t xml:space="preserve">Boysen, N., </w:t>
      </w:r>
      <w:proofErr w:type="spellStart"/>
      <w:r>
        <w:rPr>
          <w:rFonts w:eastAsia="Arial" w:cs="Arial"/>
        </w:rPr>
        <w:t>Fedtke</w:t>
      </w:r>
      <w:proofErr w:type="spellEnd"/>
      <w:r>
        <w:rPr>
          <w:rFonts w:eastAsia="Arial" w:cs="Arial"/>
        </w:rPr>
        <w:t xml:space="preserve">, S. and Schwerdfeger, S. (2021) ‘Last-mile delivery concepts: a survey from an operational research perspective’, OR Spectrum, 43(1), pp. 1-58. </w:t>
      </w:r>
      <w:proofErr w:type="spellStart"/>
      <w:r>
        <w:rPr>
          <w:rFonts w:eastAsia="Arial" w:cs="Arial"/>
        </w:rPr>
        <w:t>doi</w:t>
      </w:r>
      <w:proofErr w:type="spellEnd"/>
      <w:r>
        <w:rPr>
          <w:rFonts w:eastAsia="Arial" w:cs="Arial"/>
        </w:rPr>
        <w:t>: 10.1007/s00291-020-00607-8.</w:t>
      </w:r>
    </w:p>
    <w:p w14:paraId="5DD7A3E0" w14:textId="77777777" w:rsidR="00542976" w:rsidRDefault="00000000">
      <w:pPr>
        <w:pStyle w:val="Reference"/>
        <w:ind w:left="360" w:hanging="360"/>
      </w:pPr>
      <w:r>
        <w:rPr>
          <w:rFonts w:eastAsia="Arial" w:cs="Arial"/>
        </w:rPr>
        <w:t>Brown, T. (2008) ‘Design thinking’, Harvard Business Review, 86(6), pp. 84-92.</w:t>
      </w:r>
    </w:p>
    <w:p w14:paraId="34B6A0A4" w14:textId="77777777" w:rsidR="00542976" w:rsidRDefault="00000000">
      <w:pPr>
        <w:pStyle w:val="Reference"/>
        <w:ind w:left="360" w:hanging="360"/>
      </w:pPr>
      <w:r>
        <w:rPr>
          <w:rFonts w:eastAsia="Arial" w:cs="Arial"/>
        </w:rPr>
        <w:t xml:space="preserve">Carlgren, L., Rauth, I. and Elmquist, M. (2016) ‘Framing design thinking: the concept in idea and enactment’, Creativity and Innovation Management, 25(1), pp. 38-57. </w:t>
      </w:r>
      <w:proofErr w:type="spellStart"/>
      <w:r>
        <w:rPr>
          <w:rFonts w:eastAsia="Arial" w:cs="Arial"/>
        </w:rPr>
        <w:t>doi</w:t>
      </w:r>
      <w:proofErr w:type="spellEnd"/>
      <w:r>
        <w:rPr>
          <w:rFonts w:eastAsia="Arial" w:cs="Arial"/>
        </w:rPr>
        <w:t>: 10.1111/caim.12153.</w:t>
      </w:r>
    </w:p>
    <w:p w14:paraId="5D3D8C5E" w14:textId="77777777" w:rsidR="00542976" w:rsidRDefault="00000000">
      <w:pPr>
        <w:pStyle w:val="Reference"/>
        <w:ind w:left="360" w:hanging="360"/>
      </w:pPr>
      <w:r>
        <w:rPr>
          <w:rFonts w:eastAsia="Arial" w:cs="Arial"/>
        </w:rPr>
        <w:t>Checkland, P. (1981) Systems Thinking, Systems Practice. Chichester: Wiley.</w:t>
      </w:r>
    </w:p>
    <w:p w14:paraId="1D3ED55B" w14:textId="77777777" w:rsidR="00542976" w:rsidRDefault="00000000">
      <w:pPr>
        <w:pStyle w:val="Reference"/>
        <w:ind w:left="360" w:hanging="360"/>
      </w:pPr>
      <w:r>
        <w:rPr>
          <w:rFonts w:eastAsia="Arial" w:cs="Arial"/>
        </w:rPr>
        <w:t xml:space="preserve">Cheng, C.-C., Chang, Y.-Y. and Chen, C.-T. (2021) ‘Construction of a service quality scale for the online food delivery industry’, International Journal of Hospitality Management, 95, 102938. </w:t>
      </w:r>
      <w:proofErr w:type="spellStart"/>
      <w:r>
        <w:rPr>
          <w:rFonts w:eastAsia="Arial" w:cs="Arial"/>
        </w:rPr>
        <w:t>doi</w:t>
      </w:r>
      <w:proofErr w:type="spellEnd"/>
      <w:r>
        <w:rPr>
          <w:rFonts w:eastAsia="Arial" w:cs="Arial"/>
        </w:rPr>
        <w:t>: 10.1016/j.ijhm.2021.102938.</w:t>
      </w:r>
    </w:p>
    <w:p w14:paraId="0E8BCA6B" w14:textId="77777777" w:rsidR="00542976" w:rsidRDefault="00000000">
      <w:pPr>
        <w:pStyle w:val="Reference"/>
        <w:ind w:left="360" w:hanging="360"/>
      </w:pPr>
      <w:r>
        <w:rPr>
          <w:rFonts w:eastAsia="Arial" w:cs="Arial"/>
        </w:rPr>
        <w:t>Deliveroo (2025) About Us. Available at: https://corporate.deliveroo.co.uk/about-us/ (Accessed: 10 July 2026).</w:t>
      </w:r>
    </w:p>
    <w:p w14:paraId="23E133DA" w14:textId="77777777" w:rsidR="00542976" w:rsidRDefault="00000000">
      <w:pPr>
        <w:pStyle w:val="Reference"/>
        <w:ind w:left="360" w:hanging="360"/>
      </w:pPr>
      <w:r>
        <w:rPr>
          <w:rFonts w:eastAsia="Arial" w:cs="Arial"/>
        </w:rPr>
        <w:t>Department for Business and Trade (2025a) Business population estimates for the UK and regions 2025. Available at: https://www.gov.uk/government/statistics/business-population-estimates-2025 (Accessed: 10 July 2026).</w:t>
      </w:r>
    </w:p>
    <w:p w14:paraId="118F08E4" w14:textId="77777777" w:rsidR="00542976" w:rsidRDefault="00000000">
      <w:pPr>
        <w:pStyle w:val="Reference"/>
        <w:ind w:left="360" w:hanging="360"/>
      </w:pPr>
      <w:r>
        <w:rPr>
          <w:rFonts w:eastAsia="Arial" w:cs="Arial"/>
        </w:rPr>
        <w:t>Department for Business and Trade (2025b) SME Digital Adoption Taskforce: final report. Available at: https://www.gov.uk/government/publications/sme-digital-adoption-taskforce-final-report (Accessed: 10 July 2026).</w:t>
      </w:r>
    </w:p>
    <w:p w14:paraId="3754CC60" w14:textId="77777777" w:rsidR="00542976" w:rsidRDefault="00000000">
      <w:pPr>
        <w:pStyle w:val="Reference"/>
        <w:ind w:left="360" w:hanging="360"/>
      </w:pPr>
      <w:r>
        <w:rPr>
          <w:rFonts w:eastAsia="Arial" w:cs="Arial"/>
        </w:rPr>
        <w:t>Design Council (2019) Framework for Innovation: Design Council’s evolved Double Diamond. Available at: https://www.designcouncil.org.uk/our-resources/framework-for-innovation/ (Accessed: 10 July 2026).</w:t>
      </w:r>
    </w:p>
    <w:p w14:paraId="4B314588" w14:textId="77777777" w:rsidR="00542976" w:rsidRDefault="00000000">
      <w:pPr>
        <w:pStyle w:val="Reference"/>
        <w:ind w:left="360" w:hanging="360"/>
      </w:pPr>
      <w:proofErr w:type="spellStart"/>
      <w:r>
        <w:rPr>
          <w:rFonts w:eastAsia="Arial" w:cs="Arial"/>
        </w:rPr>
        <w:t>DoorDash</w:t>
      </w:r>
      <w:proofErr w:type="spellEnd"/>
      <w:r>
        <w:rPr>
          <w:rFonts w:eastAsia="Arial" w:cs="Arial"/>
        </w:rPr>
        <w:t xml:space="preserve"> (2025) Tony Xu’s Open Letter to the Deliveroo Community. Available at: https://about.doordash.com/en-us/news/tony-xu-open-letter-to-deliveroo (Accessed: 10 July 2026).</w:t>
      </w:r>
    </w:p>
    <w:p w14:paraId="3C455743" w14:textId="77777777" w:rsidR="00542976" w:rsidRDefault="00000000">
      <w:pPr>
        <w:pStyle w:val="Reference"/>
        <w:ind w:left="360" w:hanging="360"/>
      </w:pPr>
      <w:r>
        <w:rPr>
          <w:rFonts w:eastAsia="Arial" w:cs="Arial"/>
        </w:rPr>
        <w:t>Hagiu, A. and Wright, J. (2015) ‘</w:t>
      </w:r>
      <w:proofErr w:type="gramStart"/>
      <w:r>
        <w:rPr>
          <w:rFonts w:eastAsia="Arial" w:cs="Arial"/>
        </w:rPr>
        <w:t>Multi-sided</w:t>
      </w:r>
      <w:proofErr w:type="gramEnd"/>
      <w:r>
        <w:rPr>
          <w:rFonts w:eastAsia="Arial" w:cs="Arial"/>
        </w:rPr>
        <w:t xml:space="preserve"> platforms’, International Journal of Industrial Organization, 43, pp. 162-174. </w:t>
      </w:r>
      <w:proofErr w:type="spellStart"/>
      <w:r>
        <w:rPr>
          <w:rFonts w:eastAsia="Arial" w:cs="Arial"/>
        </w:rPr>
        <w:t>doi</w:t>
      </w:r>
      <w:proofErr w:type="spellEnd"/>
      <w:r>
        <w:rPr>
          <w:rFonts w:eastAsia="Arial" w:cs="Arial"/>
        </w:rPr>
        <w:t>: 10.1016/j.ijindorg.2015.03.003.</w:t>
      </w:r>
    </w:p>
    <w:p w14:paraId="4B316B8C" w14:textId="77777777" w:rsidR="00542976" w:rsidRDefault="00000000">
      <w:pPr>
        <w:pStyle w:val="Reference"/>
        <w:ind w:left="360" w:hanging="360"/>
      </w:pPr>
      <w:r>
        <w:rPr>
          <w:rFonts w:eastAsia="Arial" w:cs="Arial"/>
        </w:rPr>
        <w:lastRenderedPageBreak/>
        <w:t>Information Commissioner’s Office (2026) Data protection by design and by default. Available at: https://ico.org.uk/for-organisations/uk-gdpr-guidance-and-resources/accountability-and-governance/data-protection-by-design-and-by-default/ (Accessed: 10 July 2026).</w:t>
      </w:r>
    </w:p>
    <w:p w14:paraId="41F7BB44" w14:textId="77777777" w:rsidR="00542976" w:rsidRDefault="00000000">
      <w:pPr>
        <w:pStyle w:val="Reference"/>
        <w:ind w:left="360" w:hanging="360"/>
      </w:pPr>
      <w:r>
        <w:rPr>
          <w:rFonts w:eastAsia="Arial" w:cs="Arial"/>
        </w:rPr>
        <w:t xml:space="preserve">Kimbell, L. (2011) ‘Rethinking design thinking: Part I’, Design and Culture, 3(3), pp. 285-306. </w:t>
      </w:r>
      <w:proofErr w:type="spellStart"/>
      <w:r>
        <w:rPr>
          <w:rFonts w:eastAsia="Arial" w:cs="Arial"/>
        </w:rPr>
        <w:t>doi</w:t>
      </w:r>
      <w:proofErr w:type="spellEnd"/>
      <w:r>
        <w:rPr>
          <w:rFonts w:eastAsia="Arial" w:cs="Arial"/>
        </w:rPr>
        <w:t>: 10.2752/175470811X13071166525216.</w:t>
      </w:r>
    </w:p>
    <w:p w14:paraId="57D7FEA3" w14:textId="77777777" w:rsidR="00542976" w:rsidRDefault="00000000">
      <w:pPr>
        <w:pStyle w:val="Reference"/>
        <w:ind w:left="360" w:hanging="360"/>
      </w:pPr>
      <w:r>
        <w:rPr>
          <w:rFonts w:eastAsia="Arial" w:cs="Arial"/>
        </w:rPr>
        <w:t xml:space="preserve">Liedtka, J. (2015) ‘Perspective: linking design thinking with innovation outcomes through cognitive bias reduction’, Journal of Product Innovation Management, 32(6), pp. 925-938. </w:t>
      </w:r>
      <w:proofErr w:type="spellStart"/>
      <w:r>
        <w:rPr>
          <w:rFonts w:eastAsia="Arial" w:cs="Arial"/>
        </w:rPr>
        <w:t>doi</w:t>
      </w:r>
      <w:proofErr w:type="spellEnd"/>
      <w:r>
        <w:rPr>
          <w:rFonts w:eastAsia="Arial" w:cs="Arial"/>
        </w:rPr>
        <w:t>: 10.1111/jpim.12163.</w:t>
      </w:r>
    </w:p>
    <w:p w14:paraId="14509260" w14:textId="77777777" w:rsidR="00542976" w:rsidRDefault="00000000">
      <w:pPr>
        <w:pStyle w:val="Reference"/>
        <w:ind w:left="360" w:hanging="360"/>
      </w:pPr>
      <w:r>
        <w:rPr>
          <w:rFonts w:eastAsia="Arial" w:cs="Arial"/>
        </w:rPr>
        <w:t xml:space="preserve">Mangiaracina, R., Perego, A., </w:t>
      </w:r>
      <w:proofErr w:type="spellStart"/>
      <w:r>
        <w:rPr>
          <w:rFonts w:eastAsia="Arial" w:cs="Arial"/>
        </w:rPr>
        <w:t>Seghezzi</w:t>
      </w:r>
      <w:proofErr w:type="spellEnd"/>
      <w:r>
        <w:rPr>
          <w:rFonts w:eastAsia="Arial" w:cs="Arial"/>
        </w:rPr>
        <w:t xml:space="preserve">, A. and Tumino, A. (2019) ‘Innovative solutions to increase last-mile delivery efficiency in B2C e-commerce: a literature review’, International Journal of Physical Distribution &amp; Logistics Management, 49(9), pp. 901-920. </w:t>
      </w:r>
      <w:proofErr w:type="spellStart"/>
      <w:r>
        <w:rPr>
          <w:rFonts w:eastAsia="Arial" w:cs="Arial"/>
        </w:rPr>
        <w:t>doi</w:t>
      </w:r>
      <w:proofErr w:type="spellEnd"/>
      <w:r>
        <w:rPr>
          <w:rFonts w:eastAsia="Arial" w:cs="Arial"/>
        </w:rPr>
        <w:t>: 10.1108/IJPDLM-02-2019-0048.</w:t>
      </w:r>
    </w:p>
    <w:p w14:paraId="720C3A93" w14:textId="77777777" w:rsidR="00542976" w:rsidRDefault="00000000">
      <w:pPr>
        <w:pStyle w:val="Reference"/>
        <w:ind w:left="360" w:hanging="360"/>
      </w:pPr>
      <w:r>
        <w:rPr>
          <w:rFonts w:eastAsia="Arial" w:cs="Arial"/>
        </w:rPr>
        <w:t xml:space="preserve">Micheli, P., Wilner, S.J.S., Bhatti, S.H., Mura, M. and </w:t>
      </w:r>
      <w:proofErr w:type="spellStart"/>
      <w:r>
        <w:rPr>
          <w:rFonts w:eastAsia="Arial" w:cs="Arial"/>
        </w:rPr>
        <w:t>Beverland</w:t>
      </w:r>
      <w:proofErr w:type="spellEnd"/>
      <w:r>
        <w:rPr>
          <w:rFonts w:eastAsia="Arial" w:cs="Arial"/>
        </w:rPr>
        <w:t xml:space="preserve">, M.B. (2019) ‘Doing design thinking: conceptual review, synthesis and research agenda’, Journal of Product Innovation Management, 36(2), pp. 124-148. </w:t>
      </w:r>
      <w:proofErr w:type="spellStart"/>
      <w:r>
        <w:rPr>
          <w:rFonts w:eastAsia="Arial" w:cs="Arial"/>
        </w:rPr>
        <w:t>doi</w:t>
      </w:r>
      <w:proofErr w:type="spellEnd"/>
      <w:r>
        <w:rPr>
          <w:rFonts w:eastAsia="Arial" w:cs="Arial"/>
        </w:rPr>
        <w:t>: 10.1111/jpim.12466.</w:t>
      </w:r>
    </w:p>
    <w:p w14:paraId="5A30011A" w14:textId="77777777" w:rsidR="00542976" w:rsidRDefault="00000000">
      <w:pPr>
        <w:pStyle w:val="Reference"/>
        <w:ind w:left="360" w:hanging="360"/>
      </w:pPr>
      <w:r>
        <w:rPr>
          <w:rFonts w:eastAsia="Arial" w:cs="Arial"/>
        </w:rPr>
        <w:t>Office for National Statistics (2026) Retail sales, Great Britain: April 2026. Available at: https://www.ons.gov.uk/businessindustryandtrade/retailindustry/bulletins/retailsales/april2026 (Accessed: 10 July 2026).</w:t>
      </w:r>
    </w:p>
    <w:p w14:paraId="7EA72B44" w14:textId="77777777" w:rsidR="00542976" w:rsidRDefault="00000000">
      <w:pPr>
        <w:pStyle w:val="Reference"/>
        <w:ind w:left="360" w:hanging="360"/>
      </w:pPr>
      <w:proofErr w:type="spellStart"/>
      <w:r>
        <w:rPr>
          <w:rFonts w:eastAsia="Arial" w:cs="Arial"/>
        </w:rPr>
        <w:t>Ofcom</w:t>
      </w:r>
      <w:proofErr w:type="spellEnd"/>
      <w:r>
        <w:rPr>
          <w:rFonts w:eastAsia="Arial" w:cs="Arial"/>
        </w:rPr>
        <w:t xml:space="preserve"> (2025) Connected Nations 2025: England report. Available at: https://www.ofcom.org.uk/phones-and-broadband/coverage-and-speeds/nations-report-2025 (Accessed: 10 July 2026).</w:t>
      </w:r>
    </w:p>
    <w:p w14:paraId="6E33D453" w14:textId="77777777" w:rsidR="00542976" w:rsidRDefault="00000000">
      <w:pPr>
        <w:pStyle w:val="Reference"/>
        <w:ind w:left="360" w:hanging="360"/>
      </w:pPr>
      <w:r>
        <w:rPr>
          <w:rFonts w:eastAsia="Arial" w:cs="Arial"/>
        </w:rPr>
        <w:t>Ohno, T. (1988) Toyota Production System: Beyond Large-Scale Production. Portland, OR: Productivity Press.</w:t>
      </w:r>
    </w:p>
    <w:p w14:paraId="55656179" w14:textId="77777777" w:rsidR="00542976" w:rsidRDefault="00000000">
      <w:pPr>
        <w:pStyle w:val="Reference"/>
        <w:ind w:left="360" w:hanging="360"/>
      </w:pPr>
      <w:r>
        <w:rPr>
          <w:rFonts w:eastAsia="Arial" w:cs="Arial"/>
        </w:rPr>
        <w:t>Osterwalder, A. and Pigneur, Y. (2010) Business Model Generation. Hoboken, NJ: Wiley.</w:t>
      </w:r>
    </w:p>
    <w:p w14:paraId="2D593966" w14:textId="77777777" w:rsidR="00542976" w:rsidRDefault="00000000">
      <w:pPr>
        <w:pStyle w:val="Reference"/>
        <w:ind w:left="360" w:hanging="360"/>
      </w:pPr>
      <w:proofErr w:type="spellStart"/>
      <w:r>
        <w:rPr>
          <w:rFonts w:eastAsia="Arial" w:cs="Arial"/>
        </w:rPr>
        <w:t>Ries</w:t>
      </w:r>
      <w:proofErr w:type="spellEnd"/>
      <w:r>
        <w:rPr>
          <w:rFonts w:eastAsia="Arial" w:cs="Arial"/>
        </w:rPr>
        <w:t>, E. (2011) The Lean Startup. New York: Crown Business.</w:t>
      </w:r>
    </w:p>
    <w:p w14:paraId="52FBBABF" w14:textId="77777777" w:rsidR="00542976" w:rsidRDefault="00000000">
      <w:pPr>
        <w:pStyle w:val="Reference"/>
        <w:ind w:left="360" w:hanging="360"/>
      </w:pPr>
      <w:proofErr w:type="spellStart"/>
      <w:r>
        <w:rPr>
          <w:rFonts w:eastAsia="Arial" w:cs="Arial"/>
        </w:rPr>
        <w:t>Sarasvathy</w:t>
      </w:r>
      <w:proofErr w:type="spellEnd"/>
      <w:r>
        <w:rPr>
          <w:rFonts w:eastAsia="Arial" w:cs="Arial"/>
        </w:rPr>
        <w:t xml:space="preserve">, S.D. (2001) ‘Causation and effectuation: toward a theoretical shift from economic inevitability to entrepreneurial contingency’, Academy of Management Review, 26(2), pp. 243-263. </w:t>
      </w:r>
      <w:proofErr w:type="spellStart"/>
      <w:r>
        <w:rPr>
          <w:rFonts w:eastAsia="Arial" w:cs="Arial"/>
        </w:rPr>
        <w:t>doi</w:t>
      </w:r>
      <w:proofErr w:type="spellEnd"/>
      <w:r>
        <w:rPr>
          <w:rFonts w:eastAsia="Arial" w:cs="Arial"/>
        </w:rPr>
        <w:t>: 10.5465/amr.2001.4378020.</w:t>
      </w:r>
    </w:p>
    <w:p w14:paraId="1E38102C" w14:textId="77777777" w:rsidR="00542976" w:rsidRDefault="00000000">
      <w:pPr>
        <w:pStyle w:val="Reference"/>
        <w:ind w:left="360" w:hanging="360"/>
      </w:pPr>
      <w:r>
        <w:rPr>
          <w:rFonts w:eastAsia="Arial" w:cs="Arial"/>
        </w:rPr>
        <w:t xml:space="preserve">Stickdorn, M., </w:t>
      </w:r>
      <w:proofErr w:type="spellStart"/>
      <w:r>
        <w:rPr>
          <w:rFonts w:eastAsia="Arial" w:cs="Arial"/>
        </w:rPr>
        <w:t>Hormess</w:t>
      </w:r>
      <w:proofErr w:type="spellEnd"/>
      <w:r>
        <w:rPr>
          <w:rFonts w:eastAsia="Arial" w:cs="Arial"/>
        </w:rPr>
        <w:t>, M.E., Lawrence, A. and Schneider, J. (2018) This Is Service Design Doing. Sebastopol, CA: O’Reilly Media.</w:t>
      </w:r>
    </w:p>
    <w:p w14:paraId="67D13934" w14:textId="77777777" w:rsidR="00542976" w:rsidRDefault="00000000">
      <w:pPr>
        <w:pStyle w:val="Reference"/>
        <w:ind w:left="360" w:hanging="360"/>
      </w:pPr>
      <w:r>
        <w:rPr>
          <w:rFonts w:eastAsia="Arial" w:cs="Arial"/>
        </w:rPr>
        <w:t xml:space="preserve">Teece, D.J. (2010) ‘Business models, business strategy and innovation’, Long Range Planning, 43(2-3), pp. 172-194. </w:t>
      </w:r>
      <w:proofErr w:type="spellStart"/>
      <w:r>
        <w:rPr>
          <w:rFonts w:eastAsia="Arial" w:cs="Arial"/>
        </w:rPr>
        <w:t>doi</w:t>
      </w:r>
      <w:proofErr w:type="spellEnd"/>
      <w:r>
        <w:rPr>
          <w:rFonts w:eastAsia="Arial" w:cs="Arial"/>
        </w:rPr>
        <w:t>: 10.1016/j.lrp.2009.07.003.</w:t>
      </w:r>
    </w:p>
    <w:p w14:paraId="608C7C32" w14:textId="77777777" w:rsidR="00542976" w:rsidRDefault="00000000">
      <w:pPr>
        <w:pStyle w:val="Reference"/>
        <w:ind w:left="360" w:hanging="360"/>
      </w:pPr>
      <w:r>
        <w:rPr>
          <w:rFonts w:eastAsia="Arial" w:cs="Arial"/>
        </w:rPr>
        <w:t xml:space="preserve">Vargo, S.L. and Lusch, R.F. (2004) ‘Evolving to a new dominant logic for marketing’, Journal of Marketing, 68(1), pp. 1-17. </w:t>
      </w:r>
      <w:proofErr w:type="spellStart"/>
      <w:r>
        <w:rPr>
          <w:rFonts w:eastAsia="Arial" w:cs="Arial"/>
        </w:rPr>
        <w:t>doi</w:t>
      </w:r>
      <w:proofErr w:type="spellEnd"/>
      <w:r>
        <w:rPr>
          <w:rFonts w:eastAsia="Arial" w:cs="Arial"/>
        </w:rPr>
        <w:t>: 10.1509/jmkg.68.1.1.24036.</w:t>
      </w:r>
    </w:p>
    <w:p w14:paraId="0885711F" w14:textId="77777777" w:rsidR="00542976" w:rsidRDefault="00000000">
      <w:pPr>
        <w:pStyle w:val="Reference"/>
        <w:ind w:left="360" w:hanging="360"/>
      </w:pPr>
      <w:r>
        <w:rPr>
          <w:rFonts w:eastAsia="Arial" w:cs="Arial"/>
        </w:rPr>
        <w:t xml:space="preserve">Zhang, Z., Garimella, A. and Fan, M. (2025) ‘Leveraging the social fabric to improve rural e-commerce access’, Production and Operations Management. </w:t>
      </w:r>
      <w:proofErr w:type="spellStart"/>
      <w:r>
        <w:rPr>
          <w:rFonts w:eastAsia="Arial" w:cs="Arial"/>
        </w:rPr>
        <w:t>doi</w:t>
      </w:r>
      <w:proofErr w:type="spellEnd"/>
      <w:r>
        <w:rPr>
          <w:rFonts w:eastAsia="Arial" w:cs="Arial"/>
        </w:rPr>
        <w:t>: 10.1177/10591478231224974.</w:t>
      </w:r>
    </w:p>
    <w:sectPr w:rsidR="00542976" w:rsidSect="00034616">
      <w:headerReference w:type="default" r:id="rId9"/>
      <w:footerReference w:type="default" r:id="rId10"/>
      <w:pgSz w:w="12240" w:h="15840"/>
      <w:pgMar w:top="1080"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D3F36" w14:textId="77777777" w:rsidR="009C3CAF" w:rsidRDefault="009C3CAF">
      <w:pPr>
        <w:spacing w:line="240" w:lineRule="auto"/>
      </w:pPr>
      <w:r>
        <w:separator/>
      </w:r>
    </w:p>
  </w:endnote>
  <w:endnote w:type="continuationSeparator" w:id="0">
    <w:p w14:paraId="2BCAF46C" w14:textId="77777777" w:rsidR="009C3CAF" w:rsidRDefault="009C3C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0D395" w14:textId="77777777" w:rsidR="00542976" w:rsidRDefault="00000000">
    <w:pPr>
      <w:pStyle w:val="Footer"/>
      <w:jc w:val="center"/>
    </w:pPr>
    <w:r>
      <w:rPr>
        <w:rFonts w:eastAsia="Arial" w:cs="Arial"/>
      </w:rPr>
      <w:fldChar w:fldCharType="begin"/>
    </w:r>
    <w:r>
      <w:rPr>
        <w:rFonts w:eastAsia="Arial" w:cs="Arial"/>
      </w:rPr>
      <w:instrText>PAGE</w:instrText>
    </w:r>
    <w:r>
      <w:rPr>
        <w:rFonts w:eastAsia="Arial" w:cs="Arial"/>
      </w:rPr>
      <w:fldChar w:fldCharType="separate"/>
    </w:r>
    <w:r w:rsidR="00A03481">
      <w:rPr>
        <w:rFonts w:eastAsia="Arial" w:cs="Arial"/>
        <w:noProof/>
      </w:rPr>
      <w:t>1</w:t>
    </w:r>
    <w:r>
      <w:rPr>
        <w:rFonts w:eastAsia="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F11A2" w14:textId="77777777" w:rsidR="009C3CAF" w:rsidRDefault="009C3CAF">
      <w:pPr>
        <w:spacing w:line="240" w:lineRule="auto"/>
      </w:pPr>
      <w:r>
        <w:separator/>
      </w:r>
    </w:p>
  </w:footnote>
  <w:footnote w:type="continuationSeparator" w:id="0">
    <w:p w14:paraId="2DA32DCC" w14:textId="77777777" w:rsidR="009C3CAF" w:rsidRDefault="009C3CA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A5318" w14:textId="77777777" w:rsidR="00542976" w:rsidRDefault="005429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DEE0C72"/>
    <w:multiLevelType w:val="multilevel"/>
    <w:tmpl w:val="32263D64"/>
    <w:lvl w:ilvl="0">
      <w:start w:val="3"/>
      <w:numFmt w:val="decimal"/>
      <w:lvlText w:val="%1"/>
      <w:lvlJc w:val="left"/>
      <w:pPr>
        <w:ind w:left="360" w:hanging="360"/>
      </w:pPr>
      <w:rPr>
        <w:rFonts w:ascii="Arial" w:eastAsia="Arial" w:hAnsi="Arial" w:cs="Arial" w:hint="default"/>
      </w:rPr>
    </w:lvl>
    <w:lvl w:ilvl="1">
      <w:start w:val="4"/>
      <w:numFmt w:val="decimal"/>
      <w:lvlText w:val="%1.%2"/>
      <w:lvlJc w:val="left"/>
      <w:pPr>
        <w:ind w:left="360" w:hanging="360"/>
      </w:pPr>
      <w:rPr>
        <w:rFonts w:ascii="Arial" w:eastAsia="Arial" w:hAnsi="Arial" w:cs="Arial" w:hint="default"/>
      </w:rPr>
    </w:lvl>
    <w:lvl w:ilvl="2">
      <w:start w:val="1"/>
      <w:numFmt w:val="decimal"/>
      <w:lvlText w:val="%1.%2.%3"/>
      <w:lvlJc w:val="left"/>
      <w:pPr>
        <w:ind w:left="720" w:hanging="720"/>
      </w:pPr>
      <w:rPr>
        <w:rFonts w:ascii="Arial" w:eastAsia="Arial" w:hAnsi="Arial" w:cs="Arial" w:hint="default"/>
      </w:rPr>
    </w:lvl>
    <w:lvl w:ilvl="3">
      <w:start w:val="1"/>
      <w:numFmt w:val="decimal"/>
      <w:lvlText w:val="%1.%2.%3.%4"/>
      <w:lvlJc w:val="left"/>
      <w:pPr>
        <w:ind w:left="720" w:hanging="720"/>
      </w:pPr>
      <w:rPr>
        <w:rFonts w:ascii="Arial" w:eastAsia="Arial" w:hAnsi="Arial" w:cs="Arial" w:hint="default"/>
      </w:rPr>
    </w:lvl>
    <w:lvl w:ilvl="4">
      <w:start w:val="1"/>
      <w:numFmt w:val="decimal"/>
      <w:lvlText w:val="%1.%2.%3.%4.%5"/>
      <w:lvlJc w:val="left"/>
      <w:pPr>
        <w:ind w:left="1080" w:hanging="1080"/>
      </w:pPr>
      <w:rPr>
        <w:rFonts w:ascii="Arial" w:eastAsia="Arial" w:hAnsi="Arial" w:cs="Arial" w:hint="default"/>
      </w:rPr>
    </w:lvl>
    <w:lvl w:ilvl="5">
      <w:start w:val="1"/>
      <w:numFmt w:val="decimal"/>
      <w:lvlText w:val="%1.%2.%3.%4.%5.%6"/>
      <w:lvlJc w:val="left"/>
      <w:pPr>
        <w:ind w:left="1080" w:hanging="1080"/>
      </w:pPr>
      <w:rPr>
        <w:rFonts w:ascii="Arial" w:eastAsia="Arial" w:hAnsi="Arial" w:cs="Arial" w:hint="default"/>
      </w:rPr>
    </w:lvl>
    <w:lvl w:ilvl="6">
      <w:start w:val="1"/>
      <w:numFmt w:val="decimal"/>
      <w:lvlText w:val="%1.%2.%3.%4.%5.%6.%7"/>
      <w:lvlJc w:val="left"/>
      <w:pPr>
        <w:ind w:left="1440" w:hanging="1440"/>
      </w:pPr>
      <w:rPr>
        <w:rFonts w:ascii="Arial" w:eastAsia="Arial" w:hAnsi="Arial" w:cs="Arial" w:hint="default"/>
      </w:rPr>
    </w:lvl>
    <w:lvl w:ilvl="7">
      <w:start w:val="1"/>
      <w:numFmt w:val="decimal"/>
      <w:lvlText w:val="%1.%2.%3.%4.%5.%6.%7.%8"/>
      <w:lvlJc w:val="left"/>
      <w:pPr>
        <w:ind w:left="1440" w:hanging="1440"/>
      </w:pPr>
      <w:rPr>
        <w:rFonts w:ascii="Arial" w:eastAsia="Arial" w:hAnsi="Arial" w:cs="Arial" w:hint="default"/>
      </w:rPr>
    </w:lvl>
    <w:lvl w:ilvl="8">
      <w:start w:val="1"/>
      <w:numFmt w:val="decimal"/>
      <w:lvlText w:val="%1.%2.%3.%4.%5.%6.%7.%8.%9"/>
      <w:lvlJc w:val="left"/>
      <w:pPr>
        <w:ind w:left="1800" w:hanging="1800"/>
      </w:pPr>
      <w:rPr>
        <w:rFonts w:ascii="Arial" w:eastAsia="Arial" w:hAnsi="Arial" w:cs="Arial" w:hint="default"/>
      </w:rPr>
    </w:lvl>
  </w:abstractNum>
  <w:num w:numId="1" w16cid:durableId="1152791662">
    <w:abstractNumId w:val="8"/>
  </w:num>
  <w:num w:numId="2" w16cid:durableId="1388381153">
    <w:abstractNumId w:val="6"/>
  </w:num>
  <w:num w:numId="3" w16cid:durableId="354969415">
    <w:abstractNumId w:val="5"/>
  </w:num>
  <w:num w:numId="4" w16cid:durableId="1513376728">
    <w:abstractNumId w:val="4"/>
  </w:num>
  <w:num w:numId="5" w16cid:durableId="493955129">
    <w:abstractNumId w:val="7"/>
  </w:num>
  <w:num w:numId="6" w16cid:durableId="1674918180">
    <w:abstractNumId w:val="3"/>
  </w:num>
  <w:num w:numId="7" w16cid:durableId="151071001">
    <w:abstractNumId w:val="2"/>
  </w:num>
  <w:num w:numId="8" w16cid:durableId="12538112">
    <w:abstractNumId w:val="1"/>
  </w:num>
  <w:num w:numId="9" w16cid:durableId="67657050">
    <w:abstractNumId w:val="0"/>
  </w:num>
  <w:num w:numId="10" w16cid:durableId="14887884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4D75"/>
    <w:rsid w:val="0015074B"/>
    <w:rsid w:val="0017307A"/>
    <w:rsid w:val="0029639D"/>
    <w:rsid w:val="00326F90"/>
    <w:rsid w:val="003A68B6"/>
    <w:rsid w:val="00462718"/>
    <w:rsid w:val="004E6D64"/>
    <w:rsid w:val="00542976"/>
    <w:rsid w:val="00655734"/>
    <w:rsid w:val="00886F78"/>
    <w:rsid w:val="009C3CAF"/>
    <w:rsid w:val="00A03481"/>
    <w:rsid w:val="00A349DC"/>
    <w:rsid w:val="00AA1D8D"/>
    <w:rsid w:val="00B219CE"/>
    <w:rsid w:val="00B47730"/>
    <w:rsid w:val="00C34E3C"/>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068368"/>
  <w14:defaultImageDpi w14:val="300"/>
  <w15:docId w15:val="{2B41C140-B063-4BA2-B255-9EB602080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line="360" w:lineRule="auto"/>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180" w:after="80"/>
      <w:outlineLvl w:val="0"/>
    </w:pPr>
    <w:rPr>
      <w:rFonts w:asciiTheme="majorHAnsi" w:eastAsiaTheme="majorEastAsia" w:hAnsiTheme="majorHAnsi" w:cstheme="majorBidi"/>
      <w:b/>
      <w:bCs/>
      <w:szCs w:val="28"/>
    </w:rPr>
  </w:style>
  <w:style w:type="paragraph" w:styleId="Heading2">
    <w:name w:val="heading 2"/>
    <w:basedOn w:val="Normal"/>
    <w:next w:val="Normal"/>
    <w:link w:val="Heading2Char"/>
    <w:uiPriority w:val="9"/>
    <w:unhideWhenUsed/>
    <w:qFormat/>
    <w:rsid w:val="00FC693F"/>
    <w:pPr>
      <w:keepNext/>
      <w:keepLines/>
      <w:spacing w:before="120" w:after="4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120" w:after="4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pPr>
  </w:style>
  <w:style w:type="character" w:customStyle="1" w:styleId="HeaderChar">
    <w:name w:val="Header Char"/>
    <w:basedOn w:val="DefaultParagraphFont"/>
    <w:link w:val="Header"/>
    <w:uiPriority w:val="99"/>
    <w:rsid w:val="00E618BF"/>
    <w:rPr>
      <w:rFonts w:ascii="Arial" w:hAnsi="Arial"/>
      <w:color w:val="000000"/>
      <w:sz w:val="22"/>
    </w:rPr>
  </w:style>
  <w:style w:type="paragraph" w:styleId="Footer">
    <w:name w:val="footer"/>
    <w:basedOn w:val="Normal"/>
    <w:link w:val="FooterChar"/>
    <w:uiPriority w:val="99"/>
    <w:unhideWhenUsed/>
    <w:rsid w:val="00E618BF"/>
    <w:pPr>
      <w:tabs>
        <w:tab w:val="center" w:pos="4680"/>
        <w:tab w:val="right" w:pos="9360"/>
      </w:tabs>
    </w:pPr>
  </w:style>
  <w:style w:type="character" w:customStyle="1" w:styleId="FooterChar">
    <w:name w:val="Footer Char"/>
    <w:basedOn w:val="DefaultParagraphFont"/>
    <w:link w:val="Footer"/>
    <w:uiPriority w:val="99"/>
    <w:rsid w:val="00E618BF"/>
    <w:rPr>
      <w:rFonts w:ascii="Arial" w:hAnsi="Arial"/>
      <w:color w:val="000000"/>
      <w:sz w:val="22"/>
    </w:rPr>
  </w:style>
  <w:style w:type="paragraph" w:styleId="NoSpacing">
    <w:name w:val="No Spacing"/>
    <w:uiPriority w:val="1"/>
    <w:qFormat/>
    <w:rsid w:val="00FC693F"/>
    <w:pPr>
      <w:spacing w:after="0" w:line="360" w:lineRule="auto"/>
    </w:pPr>
    <w:rPr>
      <w:rFonts w:ascii="Arial" w:hAnsi="Arial"/>
      <w:color w:val="000000"/>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000000"/>
      <w:sz w:val="22"/>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000000"/>
      <w:sz w:val="22"/>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000000"/>
      <w:sz w:val="22"/>
    </w:rPr>
  </w:style>
  <w:style w:type="paragraph" w:styleId="Title">
    <w:name w:val="Title"/>
    <w:basedOn w:val="Normal"/>
    <w:next w:val="Normal"/>
    <w:link w:val="TitleChar"/>
    <w:uiPriority w:val="10"/>
    <w:qFormat/>
    <w:rsid w:val="00FC693F"/>
    <w:pPr>
      <w:pBdr>
        <w:bottom w:val="single" w:sz="8" w:space="4" w:color="4F81BD" w:themeColor="accent1"/>
      </w:pBdr>
      <w:spacing w:after="300"/>
      <w:contextualSpacing/>
    </w:pPr>
    <w:rPr>
      <w:rFonts w:asciiTheme="majorHAnsi" w:eastAsiaTheme="majorEastAsia" w:hAnsiTheme="majorHAnsi" w:cstheme="majorBidi"/>
      <w:b/>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000000"/>
      <w:spacing w:val="5"/>
      <w:kern w:val="28"/>
      <w:sz w:val="2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000000"/>
      <w:spacing w:val="15"/>
      <w:sz w:val="22"/>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rPr>
      <w:rFonts w:ascii="Arial" w:hAnsi="Arial"/>
      <w:color w:val="000000"/>
      <w:sz w:val="22"/>
    </w:rPr>
  </w:style>
  <w:style w:type="paragraph" w:styleId="BodyText2">
    <w:name w:val="Body Text 2"/>
    <w:basedOn w:val="Normal"/>
    <w:link w:val="BodyText2Char"/>
    <w:uiPriority w:val="99"/>
    <w:unhideWhenUsed/>
    <w:rsid w:val="00AA1D8D"/>
    <w:pPr>
      <w:spacing w:after="120"/>
    </w:pPr>
  </w:style>
  <w:style w:type="character" w:customStyle="1" w:styleId="BodyText2Char">
    <w:name w:val="Body Text 2 Char"/>
    <w:basedOn w:val="DefaultParagraphFont"/>
    <w:link w:val="BodyText2"/>
    <w:uiPriority w:val="99"/>
    <w:rsid w:val="00AA1D8D"/>
    <w:rPr>
      <w:rFonts w:ascii="Arial" w:hAnsi="Arial"/>
      <w:color w:val="000000"/>
      <w:sz w:val="22"/>
    </w:rPr>
  </w:style>
  <w:style w:type="paragraph" w:styleId="BodyText3">
    <w:name w:val="Body Text 3"/>
    <w:basedOn w:val="Normal"/>
    <w:link w:val="BodyText3Char"/>
    <w:uiPriority w:val="99"/>
    <w:unhideWhenUsed/>
    <w:rsid w:val="00AA1D8D"/>
    <w:pPr>
      <w:spacing w:after="120"/>
    </w:pPr>
    <w:rPr>
      <w:szCs w:val="16"/>
    </w:rPr>
  </w:style>
  <w:style w:type="character" w:customStyle="1" w:styleId="BodyText3Char">
    <w:name w:val="Body Text 3 Char"/>
    <w:basedOn w:val="DefaultParagraphFont"/>
    <w:link w:val="BodyText3"/>
    <w:uiPriority w:val="99"/>
    <w:rsid w:val="00AA1D8D"/>
    <w:rPr>
      <w:rFonts w:ascii="Arial" w:hAnsi="Arial"/>
      <w:color w:val="000000"/>
      <w:sz w:val="22"/>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spacing w:line="360" w:lineRule="auto"/>
    </w:pPr>
    <w:rPr>
      <w:rFonts w:ascii="Arial" w:hAnsi="Arial"/>
      <w:color w:val="000000"/>
      <w:szCs w:val="20"/>
    </w:rPr>
  </w:style>
  <w:style w:type="character" w:customStyle="1" w:styleId="MacroTextChar">
    <w:name w:val="Macro Text Char"/>
    <w:basedOn w:val="DefaultParagraphFont"/>
    <w:link w:val="MacroText"/>
    <w:uiPriority w:val="99"/>
    <w:rsid w:val="0029639D"/>
    <w:rPr>
      <w:rFonts w:ascii="Arial" w:hAnsi="Arial"/>
      <w:color w:val="000000"/>
      <w:sz w:val="22"/>
      <w:szCs w:val="20"/>
    </w:rPr>
  </w:style>
  <w:style w:type="paragraph" w:styleId="Quote">
    <w:name w:val="Quote"/>
    <w:basedOn w:val="Normal"/>
    <w:next w:val="Normal"/>
    <w:link w:val="QuoteChar"/>
    <w:uiPriority w:val="29"/>
    <w:qFormat/>
    <w:rsid w:val="00FC693F"/>
    <w:rPr>
      <w:i/>
      <w:iCs/>
    </w:rPr>
  </w:style>
  <w:style w:type="character" w:customStyle="1" w:styleId="QuoteChar">
    <w:name w:val="Quote Char"/>
    <w:basedOn w:val="DefaultParagraphFont"/>
    <w:link w:val="Quote"/>
    <w:uiPriority w:val="29"/>
    <w:rsid w:val="00FC693F"/>
    <w:rPr>
      <w:rFonts w:ascii="Arial" w:hAnsi="Arial"/>
      <w:i/>
      <w:iCs/>
      <w:color w:val="000000"/>
      <w:sz w:val="22"/>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000000"/>
      <w:sz w:val="22"/>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000000"/>
      <w:sz w:val="22"/>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000000"/>
      <w:sz w:val="22"/>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000000"/>
      <w:sz w:val="22"/>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000000"/>
      <w:sz w:val="22"/>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000000"/>
      <w:sz w:val="22"/>
      <w:szCs w:val="20"/>
    </w:rPr>
  </w:style>
  <w:style w:type="paragraph" w:styleId="Caption">
    <w:name w:val="caption"/>
    <w:basedOn w:val="Normal"/>
    <w:next w:val="Normal"/>
    <w:uiPriority w:val="35"/>
    <w:semiHidden/>
    <w:unhideWhenUsed/>
    <w:qFormat/>
    <w:rsid w:val="00FC693F"/>
    <w:rPr>
      <w:b/>
      <w:bCs/>
      <w:szCs w:val="18"/>
    </w:rPr>
  </w:style>
  <w:style w:type="character" w:styleId="Strong">
    <w:name w:val="Strong"/>
    <w:basedOn w:val="DefaultParagraphFont"/>
    <w:uiPriority w:val="22"/>
    <w:qFormat/>
    <w:rsid w:val="00FC693F"/>
    <w:rPr>
      <w:rFonts w:ascii="Arial" w:hAnsi="Arial"/>
      <w:b/>
      <w:bCs/>
      <w:color w:val="000000"/>
      <w:sz w:val="22"/>
    </w:rPr>
  </w:style>
  <w:style w:type="character" w:styleId="Emphasis">
    <w:name w:val="Emphasis"/>
    <w:basedOn w:val="DefaultParagraphFont"/>
    <w:uiPriority w:val="20"/>
    <w:qFormat/>
    <w:rsid w:val="00FC693F"/>
    <w:rPr>
      <w:rFonts w:ascii="Arial" w:hAnsi="Arial"/>
      <w:i/>
      <w:iCs/>
      <w:color w:val="000000"/>
      <w:sz w:val="22"/>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rPr>
  </w:style>
  <w:style w:type="character" w:customStyle="1" w:styleId="IntenseQuoteChar">
    <w:name w:val="Intense Quote Char"/>
    <w:basedOn w:val="DefaultParagraphFont"/>
    <w:link w:val="IntenseQuote"/>
    <w:uiPriority w:val="30"/>
    <w:rsid w:val="00FC693F"/>
    <w:rPr>
      <w:rFonts w:ascii="Arial" w:hAnsi="Arial"/>
      <w:b/>
      <w:bCs/>
      <w:i/>
      <w:iCs/>
      <w:color w:val="000000"/>
      <w:sz w:val="22"/>
    </w:rPr>
  </w:style>
  <w:style w:type="character" w:styleId="SubtleEmphasis">
    <w:name w:val="Subtle Emphasis"/>
    <w:basedOn w:val="DefaultParagraphFont"/>
    <w:uiPriority w:val="19"/>
    <w:qFormat/>
    <w:rsid w:val="00FC693F"/>
    <w:rPr>
      <w:rFonts w:ascii="Arial" w:hAnsi="Arial"/>
      <w:i/>
      <w:iCs/>
      <w:color w:val="000000"/>
      <w:sz w:val="22"/>
    </w:rPr>
  </w:style>
  <w:style w:type="character" w:styleId="IntenseEmphasis">
    <w:name w:val="Intense Emphasis"/>
    <w:basedOn w:val="DefaultParagraphFont"/>
    <w:uiPriority w:val="21"/>
    <w:qFormat/>
    <w:rsid w:val="00FC693F"/>
    <w:rPr>
      <w:rFonts w:ascii="Arial" w:hAnsi="Arial"/>
      <w:b/>
      <w:bCs/>
      <w:i/>
      <w:iCs/>
      <w:color w:val="000000"/>
      <w:sz w:val="22"/>
    </w:rPr>
  </w:style>
  <w:style w:type="character" w:styleId="SubtleReference">
    <w:name w:val="Subtle Reference"/>
    <w:basedOn w:val="DefaultParagraphFont"/>
    <w:uiPriority w:val="31"/>
    <w:qFormat/>
    <w:rsid w:val="00FC693F"/>
    <w:rPr>
      <w:rFonts w:ascii="Arial" w:hAnsi="Arial"/>
      <w:smallCaps/>
      <w:color w:val="000000"/>
      <w:sz w:val="22"/>
      <w:u w:val="single"/>
    </w:rPr>
  </w:style>
  <w:style w:type="character" w:styleId="IntenseReference">
    <w:name w:val="Intense Reference"/>
    <w:basedOn w:val="DefaultParagraphFont"/>
    <w:uiPriority w:val="32"/>
    <w:qFormat/>
    <w:rsid w:val="00FC693F"/>
    <w:rPr>
      <w:rFonts w:ascii="Arial" w:hAnsi="Arial"/>
      <w:b/>
      <w:bCs/>
      <w:smallCaps/>
      <w:color w:val="000000"/>
      <w:spacing w:val="5"/>
      <w:sz w:val="22"/>
      <w:u w:val="single"/>
    </w:rPr>
  </w:style>
  <w:style w:type="character" w:styleId="BookTitle">
    <w:name w:val="Book Title"/>
    <w:basedOn w:val="DefaultParagraphFont"/>
    <w:uiPriority w:val="33"/>
    <w:qFormat/>
    <w:rsid w:val="00FC693F"/>
    <w:rPr>
      <w:rFonts w:ascii="Arial" w:hAnsi="Arial"/>
      <w:b/>
      <w:bCs/>
      <w:smallCaps/>
      <w:color w:val="000000"/>
      <w:spacing w:val="5"/>
      <w:sz w:val="22"/>
    </w:rPr>
  </w:style>
  <w:style w:type="paragraph" w:styleId="TOCHeading">
    <w:name w:val="TOC Heading"/>
    <w:basedOn w:val="Heading1"/>
    <w:next w:val="Normal"/>
    <w:uiPriority w:val="39"/>
    <w:semiHidden/>
    <w:unhideWhenUsed/>
    <w:qFormat/>
    <w:rsid w:val="00FC693F"/>
    <w:pPr>
      <w:outlineLvl w:val="9"/>
    </w:pPr>
    <w:rPr>
      <w:rFonts w:ascii="Arial" w:hAnsi="Arial"/>
    </w:rPr>
  </w:style>
  <w:style w:type="table" w:styleId="TableGrid">
    <w:name w:val="Table Grid"/>
    <w:basedOn w:val="TableNormal"/>
    <w:uiPriority w:val="59"/>
    <w:rsid w:val="00FC693F"/>
    <w:pPr>
      <w:spacing w:after="0" w:line="360" w:lineRule="auto"/>
    </w:pPr>
    <w:rPr>
      <w:rFonts w:ascii="Arial" w:hAnsi="Arial"/>
      <w:color w:val="00000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360" w:lineRule="auto"/>
    </w:pPr>
    <w:rPr>
      <w:rFonts w:ascii="Arial" w:hAnsi="Arial"/>
      <w:color w:val="000000"/>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360" w:lineRule="auto"/>
    </w:pPr>
    <w:rPr>
      <w:rFonts w:ascii="Arial" w:hAnsi="Arial"/>
      <w:color w:val="000000"/>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360" w:lineRule="auto"/>
    </w:pPr>
    <w:rPr>
      <w:rFonts w:ascii="Arial" w:hAnsi="Arial"/>
      <w:color w:val="000000"/>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360" w:lineRule="auto"/>
    </w:pPr>
    <w:rPr>
      <w:rFonts w:ascii="Arial" w:hAnsi="Arial"/>
      <w:color w:val="000000"/>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360" w:lineRule="auto"/>
    </w:pPr>
    <w:rPr>
      <w:rFonts w:ascii="Arial" w:hAnsi="Arial"/>
      <w:color w:val="000000"/>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360" w:lineRule="auto"/>
    </w:pPr>
    <w:rPr>
      <w:rFonts w:ascii="Arial" w:hAnsi="Arial"/>
      <w:color w:val="000000"/>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360" w:lineRule="auto"/>
    </w:pPr>
    <w:rPr>
      <w:rFonts w:ascii="Arial" w:hAnsi="Arial"/>
      <w:color w:val="000000"/>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360" w:lineRule="auto"/>
    </w:pPr>
    <w:rPr>
      <w:rFonts w:ascii="Arial" w:hAnsi="Arial"/>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360" w:lineRule="auto"/>
    </w:pPr>
    <w:rPr>
      <w:rFonts w:ascii="Arial" w:hAnsi="Arial"/>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360" w:lineRule="auto"/>
    </w:pPr>
    <w:rPr>
      <w:rFonts w:ascii="Arial" w:hAnsi="Arial"/>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360" w:lineRule="auto"/>
    </w:pPr>
    <w:rPr>
      <w:rFonts w:ascii="Arial" w:hAnsi="Arial"/>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360" w:lineRule="auto"/>
    </w:pPr>
    <w:rPr>
      <w:rFonts w:ascii="Arial" w:hAnsi="Arial"/>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360" w:lineRule="auto"/>
    </w:pPr>
    <w:rPr>
      <w:rFonts w:ascii="Arial" w:hAnsi="Arial"/>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360" w:lineRule="auto"/>
    </w:pPr>
    <w:rPr>
      <w:rFonts w:ascii="Arial" w:hAnsi="Arial"/>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360" w:lineRule="auto"/>
    </w:pPr>
    <w:rPr>
      <w:rFonts w:ascii="Arial" w:hAnsi="Arial"/>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360" w:lineRule="auto"/>
    </w:pPr>
    <w:rPr>
      <w:rFonts w:ascii="Arial" w:hAnsi="Arial"/>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360" w:lineRule="auto"/>
    </w:pPr>
    <w:rPr>
      <w:rFonts w:ascii="Arial" w:hAnsi="Arial"/>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360" w:lineRule="auto"/>
    </w:pPr>
    <w:rPr>
      <w:rFonts w:ascii="Arial" w:hAnsi="Arial"/>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360" w:lineRule="auto"/>
    </w:pPr>
    <w:rPr>
      <w:rFonts w:ascii="Arial" w:hAnsi="Arial"/>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360" w:lineRule="auto"/>
    </w:pPr>
    <w:rPr>
      <w:rFonts w:ascii="Arial" w:hAnsi="Arial"/>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360" w:lineRule="auto"/>
    </w:pPr>
    <w:rPr>
      <w:rFonts w:ascii="Arial" w:hAnsi="Arial"/>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360" w:lineRule="auto"/>
    </w:pPr>
    <w:rPr>
      <w:rFonts w:ascii="Arial" w:hAnsi="Arial"/>
      <w:color w:val="000000"/>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360" w:lineRule="auto"/>
    </w:pPr>
    <w:rPr>
      <w:rFonts w:ascii="Arial" w:hAnsi="Arial"/>
      <w:color w:val="000000"/>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360" w:lineRule="auto"/>
    </w:pPr>
    <w:rPr>
      <w:rFonts w:ascii="Arial" w:hAnsi="Arial"/>
      <w:color w:val="000000"/>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360" w:lineRule="auto"/>
    </w:pPr>
    <w:rPr>
      <w:rFonts w:ascii="Arial" w:hAnsi="Arial"/>
      <w:color w:val="000000"/>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360" w:lineRule="auto"/>
    </w:pPr>
    <w:rPr>
      <w:rFonts w:ascii="Arial" w:hAnsi="Arial"/>
      <w:color w:val="000000"/>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360" w:lineRule="auto"/>
    </w:pPr>
    <w:rPr>
      <w:rFonts w:ascii="Arial" w:hAnsi="Arial"/>
      <w:color w:val="000000"/>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360" w:lineRule="auto"/>
    </w:pPr>
    <w:rPr>
      <w:rFonts w:ascii="Arial" w:hAnsi="Arial"/>
      <w:color w:val="000000"/>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360" w:lineRule="auto"/>
    </w:pPr>
    <w:rPr>
      <w:rFonts w:ascii="Arial" w:hAnsi="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360" w:lineRule="auto"/>
    </w:pPr>
    <w:rPr>
      <w:rFonts w:ascii="Arial" w:hAnsi="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360" w:lineRule="auto"/>
    </w:pPr>
    <w:rPr>
      <w:rFonts w:ascii="Arial" w:hAnsi="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360" w:lineRule="auto"/>
    </w:pPr>
    <w:rPr>
      <w:rFonts w:ascii="Arial" w:hAnsi="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360" w:lineRule="auto"/>
    </w:pPr>
    <w:rPr>
      <w:rFonts w:ascii="Arial" w:hAnsi="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360" w:lineRule="auto"/>
    </w:pPr>
    <w:rPr>
      <w:rFonts w:ascii="Arial" w:hAnsi="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360" w:lineRule="auto"/>
    </w:pPr>
    <w:rPr>
      <w:rFonts w:ascii="Arial" w:hAnsi="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360" w:lineRule="auto"/>
    </w:pPr>
    <w:rPr>
      <w:rFonts w:ascii="Arial" w:hAnsi="Arial"/>
      <w:color w:val="000000"/>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360" w:lineRule="auto"/>
    </w:pPr>
    <w:rPr>
      <w:rFonts w:ascii="Arial" w:hAnsi="Arial"/>
      <w:color w:val="000000"/>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360" w:lineRule="auto"/>
    </w:pPr>
    <w:rPr>
      <w:rFonts w:ascii="Arial" w:hAnsi="Arial"/>
      <w:color w:val="000000"/>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360" w:lineRule="auto"/>
    </w:pPr>
    <w:rPr>
      <w:rFonts w:ascii="Arial" w:hAnsi="Arial"/>
      <w:color w:val="000000"/>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360" w:lineRule="auto"/>
    </w:pPr>
    <w:rPr>
      <w:rFonts w:ascii="Arial" w:hAnsi="Arial"/>
      <w:color w:val="000000"/>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360" w:lineRule="auto"/>
    </w:pPr>
    <w:rPr>
      <w:rFonts w:ascii="Arial" w:hAnsi="Arial"/>
      <w:color w:val="000000"/>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360" w:lineRule="auto"/>
    </w:pPr>
    <w:rPr>
      <w:rFonts w:ascii="Arial" w:hAnsi="Arial"/>
      <w:color w:val="000000"/>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360" w:lineRule="auto"/>
    </w:pPr>
    <w:rPr>
      <w:rFonts w:ascii="Arial" w:hAnsi="Arial"/>
      <w:color w:val="000000"/>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360" w:lineRule="auto"/>
    </w:pPr>
    <w:rPr>
      <w:rFonts w:ascii="Arial" w:hAnsi="Arial"/>
      <w:color w:val="000000"/>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360" w:lineRule="auto"/>
    </w:pPr>
    <w:rPr>
      <w:rFonts w:ascii="Arial" w:hAnsi="Arial"/>
      <w:color w:val="000000"/>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360" w:lineRule="auto"/>
    </w:pPr>
    <w:rPr>
      <w:rFonts w:ascii="Arial" w:hAnsi="Arial"/>
      <w:color w:val="000000"/>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360" w:lineRule="auto"/>
    </w:pPr>
    <w:rPr>
      <w:rFonts w:ascii="Arial" w:hAnsi="Arial"/>
      <w:color w:val="000000"/>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360" w:lineRule="auto"/>
    </w:pPr>
    <w:rPr>
      <w:rFonts w:ascii="Arial" w:hAnsi="Arial"/>
      <w:color w:val="000000"/>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360" w:lineRule="auto"/>
    </w:pPr>
    <w:rPr>
      <w:rFonts w:ascii="Arial" w:hAnsi="Arial"/>
      <w:color w:val="000000"/>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360" w:lineRule="auto"/>
    </w:pPr>
    <w:rPr>
      <w:rFonts w:ascii="Arial" w:hAnsi="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360" w:lineRule="auto"/>
    </w:pPr>
    <w:rPr>
      <w:rFonts w:ascii="Arial" w:hAnsi="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360" w:lineRule="auto"/>
    </w:pPr>
    <w:rPr>
      <w:rFonts w:ascii="Arial" w:hAnsi="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360" w:lineRule="auto"/>
    </w:pPr>
    <w:rPr>
      <w:rFonts w:ascii="Arial" w:hAnsi="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360" w:lineRule="auto"/>
    </w:pPr>
    <w:rPr>
      <w:rFonts w:ascii="Arial" w:hAnsi="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360" w:lineRule="auto"/>
    </w:pPr>
    <w:rPr>
      <w:rFonts w:ascii="Arial" w:hAnsi="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360" w:lineRule="auto"/>
    </w:pPr>
    <w:rPr>
      <w:rFonts w:ascii="Arial" w:hAnsi="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360" w:lineRule="auto"/>
    </w:pPr>
    <w:rPr>
      <w:rFonts w:ascii="Arial" w:hAnsi="Arial"/>
      <w:color w:val="000000"/>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360" w:lineRule="auto"/>
    </w:pPr>
    <w:rPr>
      <w:rFonts w:ascii="Arial" w:hAnsi="Arial"/>
      <w:color w:val="000000"/>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360" w:lineRule="auto"/>
    </w:pPr>
    <w:rPr>
      <w:rFonts w:ascii="Arial" w:hAnsi="Arial"/>
      <w:color w:val="000000"/>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360" w:lineRule="auto"/>
    </w:pPr>
    <w:rPr>
      <w:rFonts w:ascii="Arial" w:hAnsi="Arial"/>
      <w:color w:val="000000"/>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360" w:lineRule="auto"/>
    </w:pPr>
    <w:rPr>
      <w:rFonts w:ascii="Arial" w:hAnsi="Arial"/>
      <w:color w:val="000000"/>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360" w:lineRule="auto"/>
    </w:pPr>
    <w:rPr>
      <w:rFonts w:ascii="Arial" w:hAnsi="Arial"/>
      <w:color w:val="000000"/>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360" w:lineRule="auto"/>
    </w:pPr>
    <w:rPr>
      <w:rFonts w:ascii="Arial" w:hAnsi="Arial"/>
      <w:color w:val="000000"/>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360" w:lineRule="auto"/>
    </w:pPr>
    <w:rPr>
      <w:rFonts w:ascii="Arial" w:hAnsi="Arial"/>
      <w:color w:val="000000"/>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360" w:lineRule="auto"/>
    </w:pPr>
    <w:rPr>
      <w:rFonts w:ascii="Arial" w:hAnsi="Arial"/>
      <w:color w:val="000000"/>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360" w:lineRule="auto"/>
    </w:pPr>
    <w:rPr>
      <w:rFonts w:ascii="Arial" w:hAnsi="Arial"/>
      <w:color w:val="000000"/>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360" w:lineRule="auto"/>
    </w:pPr>
    <w:rPr>
      <w:rFonts w:ascii="Arial" w:hAnsi="Arial"/>
      <w:color w:val="000000"/>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360" w:lineRule="auto"/>
    </w:pPr>
    <w:rPr>
      <w:rFonts w:ascii="Arial" w:hAnsi="Arial"/>
      <w:color w:val="000000"/>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360" w:lineRule="auto"/>
    </w:pPr>
    <w:rPr>
      <w:rFonts w:ascii="Arial" w:hAnsi="Arial"/>
      <w:color w:val="000000"/>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360" w:lineRule="auto"/>
    </w:pPr>
    <w:rPr>
      <w:rFonts w:ascii="Arial" w:hAnsi="Arial"/>
      <w:color w:val="000000"/>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360" w:lineRule="auto"/>
    </w:pPr>
    <w:rPr>
      <w:rFonts w:ascii="Arial" w:hAnsi="Arial"/>
      <w:color w:val="000000"/>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360" w:lineRule="auto"/>
    </w:pPr>
    <w:rPr>
      <w:rFonts w:ascii="Arial" w:hAnsi="Arial"/>
      <w:color w:val="000000"/>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360" w:lineRule="auto"/>
    </w:pPr>
    <w:rPr>
      <w:rFonts w:ascii="Arial" w:hAnsi="Arial"/>
      <w:color w:val="000000"/>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360" w:lineRule="auto"/>
    </w:pPr>
    <w:rPr>
      <w:rFonts w:ascii="Arial" w:hAnsi="Arial"/>
      <w:color w:val="000000"/>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360" w:lineRule="auto"/>
    </w:pPr>
    <w:rPr>
      <w:rFonts w:ascii="Arial" w:hAnsi="Arial"/>
      <w:color w:val="000000"/>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360" w:lineRule="auto"/>
    </w:pPr>
    <w:rPr>
      <w:rFonts w:ascii="Arial" w:hAnsi="Arial"/>
      <w:color w:val="000000"/>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360" w:lineRule="auto"/>
    </w:pPr>
    <w:rPr>
      <w:rFonts w:ascii="Arial" w:hAnsi="Arial"/>
      <w:color w:val="000000"/>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360" w:lineRule="auto"/>
    </w:pPr>
    <w:rPr>
      <w:rFonts w:ascii="Arial" w:hAnsi="Arial"/>
      <w:color w:val="000000"/>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360" w:lineRule="auto"/>
    </w:pPr>
    <w:rPr>
      <w:rFonts w:ascii="Arial" w:hAnsi="Arial"/>
      <w:color w:val="000000"/>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360" w:lineRule="auto"/>
    </w:pPr>
    <w:rPr>
      <w:rFonts w:ascii="Arial" w:hAnsi="Arial"/>
      <w:color w:val="000000"/>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360" w:lineRule="auto"/>
    </w:pPr>
    <w:rPr>
      <w:rFonts w:ascii="Arial" w:hAnsi="Arial"/>
      <w:color w:val="000000"/>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360" w:lineRule="auto"/>
    </w:pPr>
    <w:rPr>
      <w:rFonts w:ascii="Arial" w:hAnsi="Arial"/>
      <w:color w:val="000000"/>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360" w:lineRule="auto"/>
    </w:pPr>
    <w:rPr>
      <w:rFonts w:ascii="Arial" w:hAnsi="Arial"/>
      <w:color w:val="000000"/>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360" w:lineRule="auto"/>
    </w:pPr>
    <w:rPr>
      <w:rFonts w:ascii="Arial" w:hAnsi="Arial"/>
      <w:color w:val="000000"/>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pPr>
      <w:spacing w:after="0" w:line="360" w:lineRule="auto"/>
      <w:ind w:left="432" w:hanging="432"/>
    </w:pPr>
    <w:rPr>
      <w:rFonts w:ascii="Arial" w:hAnsi="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9487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5062</Words>
  <Characters>28857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33852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Deliveroo LocalLink Design Thinking Portfolio</dc:title>
  <dc:subject>Design Thinking Portfolio</dc:subject>
  <dc:creator/>
  <cp:keywords/>
  <dc:description/>
  <cp:lastModifiedBy>Gabriela Barza (2332746)</cp:lastModifiedBy>
  <cp:revision>7</cp:revision>
  <dcterms:created xsi:type="dcterms:W3CDTF">2013-12-23T23:15:00Z</dcterms:created>
  <dcterms:modified xsi:type="dcterms:W3CDTF">2026-07-10T21:35:00Z</dcterms:modified>
  <cp:category/>
</cp:coreProperties>
</file>