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FE643" w14:textId="77777777" w:rsidR="002B1B65" w:rsidRPr="00AC1A14" w:rsidRDefault="002B1B65" w:rsidP="002B1B65">
      <w:pPr>
        <w:spacing w:line="360" w:lineRule="auto"/>
        <w:rPr>
          <w:rFonts w:ascii="Arial" w:hAnsi="Arial" w:cs="Arial"/>
          <w:b/>
          <w:bCs/>
          <w:sz w:val="48"/>
          <w:szCs w:val="48"/>
        </w:rPr>
      </w:pPr>
      <w:r w:rsidRPr="002B1B65">
        <w:rPr>
          <w:rFonts w:ascii="Arial" w:hAnsi="Arial" w:cs="Arial"/>
          <w:b/>
          <w:bCs/>
          <w:sz w:val="48"/>
          <w:szCs w:val="48"/>
        </w:rPr>
        <w:t xml:space="preserve">Programme: BSc Health and Social Care </w:t>
      </w:r>
    </w:p>
    <w:p w14:paraId="5B5D4370" w14:textId="77777777" w:rsidR="002B1B65" w:rsidRPr="00AC1A14" w:rsidRDefault="002B1B65" w:rsidP="002B1B65">
      <w:pPr>
        <w:spacing w:line="360" w:lineRule="auto"/>
        <w:rPr>
          <w:rFonts w:ascii="Arial" w:hAnsi="Arial" w:cs="Arial"/>
          <w:b/>
          <w:bCs/>
          <w:sz w:val="48"/>
          <w:szCs w:val="48"/>
        </w:rPr>
      </w:pPr>
      <w:r w:rsidRPr="002B1B65">
        <w:rPr>
          <w:rFonts w:ascii="Arial" w:hAnsi="Arial" w:cs="Arial"/>
          <w:b/>
          <w:bCs/>
          <w:sz w:val="48"/>
          <w:szCs w:val="48"/>
        </w:rPr>
        <w:t xml:space="preserve">Module: </w:t>
      </w:r>
      <w:r w:rsidRPr="00AC1A14">
        <w:rPr>
          <w:rFonts w:ascii="Arial" w:hAnsi="Arial" w:cs="Arial"/>
          <w:b/>
          <w:bCs/>
          <w:sz w:val="48"/>
          <w:szCs w:val="48"/>
        </w:rPr>
        <w:t>Principles of Health and Social Care Practice</w:t>
      </w:r>
    </w:p>
    <w:p w14:paraId="5D4C6C02" w14:textId="2605B083" w:rsidR="002B1B65" w:rsidRPr="002B1B65" w:rsidRDefault="002B1B65" w:rsidP="002B1B65">
      <w:pPr>
        <w:spacing w:line="360" w:lineRule="auto"/>
        <w:rPr>
          <w:rFonts w:ascii="Arial" w:hAnsi="Arial" w:cs="Arial"/>
          <w:b/>
          <w:bCs/>
          <w:sz w:val="48"/>
          <w:szCs w:val="48"/>
        </w:rPr>
      </w:pPr>
      <w:r w:rsidRPr="002B1B65">
        <w:rPr>
          <w:rFonts w:ascii="Arial" w:hAnsi="Arial" w:cs="Arial"/>
          <w:b/>
          <w:bCs/>
          <w:sz w:val="48"/>
          <w:szCs w:val="48"/>
        </w:rPr>
        <w:t>Module code: BMHP50</w:t>
      </w:r>
      <w:r w:rsidRPr="00AC1A14">
        <w:rPr>
          <w:rFonts w:ascii="Arial" w:hAnsi="Arial" w:cs="Arial"/>
          <w:b/>
          <w:bCs/>
          <w:sz w:val="48"/>
          <w:szCs w:val="48"/>
        </w:rPr>
        <w:t>16</w:t>
      </w:r>
    </w:p>
    <w:p w14:paraId="57D87F43" w14:textId="77777777" w:rsidR="002B1B65" w:rsidRPr="00AC1A14" w:rsidRDefault="002B1B65" w:rsidP="002B1B65">
      <w:pPr>
        <w:spacing w:line="360" w:lineRule="auto"/>
        <w:rPr>
          <w:rFonts w:ascii="Arial" w:hAnsi="Arial" w:cs="Arial"/>
          <w:b/>
          <w:bCs/>
          <w:sz w:val="48"/>
          <w:szCs w:val="48"/>
        </w:rPr>
      </w:pPr>
      <w:r w:rsidRPr="002B1B65">
        <w:rPr>
          <w:rFonts w:ascii="Arial" w:hAnsi="Arial" w:cs="Arial"/>
          <w:b/>
          <w:bCs/>
          <w:sz w:val="48"/>
          <w:szCs w:val="48"/>
        </w:rPr>
        <w:t xml:space="preserve">Student Name: Kingsley Adu </w:t>
      </w:r>
      <w:proofErr w:type="spellStart"/>
      <w:r w:rsidRPr="002B1B65">
        <w:rPr>
          <w:rFonts w:ascii="Arial" w:hAnsi="Arial" w:cs="Arial"/>
          <w:b/>
          <w:bCs/>
          <w:sz w:val="48"/>
          <w:szCs w:val="48"/>
        </w:rPr>
        <w:t>Brefo</w:t>
      </w:r>
      <w:proofErr w:type="spellEnd"/>
    </w:p>
    <w:p w14:paraId="764CC46E" w14:textId="25C1055E" w:rsidR="002B1B65" w:rsidRPr="00AC1A14" w:rsidRDefault="002B1B65" w:rsidP="002B1B65">
      <w:pPr>
        <w:spacing w:line="360" w:lineRule="auto"/>
        <w:rPr>
          <w:rFonts w:ascii="Arial" w:hAnsi="Arial" w:cs="Arial"/>
          <w:b/>
          <w:bCs/>
          <w:sz w:val="22"/>
          <w:szCs w:val="22"/>
        </w:rPr>
      </w:pPr>
      <w:r w:rsidRPr="00AC1A14">
        <w:rPr>
          <w:rFonts w:ascii="Arial" w:hAnsi="Arial" w:cs="Arial"/>
          <w:b/>
          <w:bCs/>
          <w:sz w:val="48"/>
          <w:szCs w:val="48"/>
        </w:rPr>
        <w:t xml:space="preserve">Lecturer: </w:t>
      </w:r>
      <w:proofErr w:type="spellStart"/>
      <w:r w:rsidR="00BF12B0">
        <w:rPr>
          <w:rFonts w:ascii="Arial" w:hAnsi="Arial" w:cs="Arial"/>
          <w:b/>
          <w:bCs/>
          <w:sz w:val="48"/>
          <w:szCs w:val="48"/>
        </w:rPr>
        <w:t>Tsiwani</w:t>
      </w:r>
      <w:proofErr w:type="spellEnd"/>
      <w:r w:rsidR="00BF12B0">
        <w:rPr>
          <w:rFonts w:ascii="Arial" w:hAnsi="Arial" w:cs="Arial"/>
          <w:b/>
          <w:bCs/>
          <w:sz w:val="48"/>
          <w:szCs w:val="48"/>
        </w:rPr>
        <w:t xml:space="preserve"> Khumalo</w:t>
      </w:r>
    </w:p>
    <w:p w14:paraId="23402768" w14:textId="77777777" w:rsidR="002B1B65" w:rsidRPr="00AC1A14" w:rsidRDefault="002B1B65" w:rsidP="002B1B65">
      <w:pPr>
        <w:spacing w:line="360" w:lineRule="auto"/>
        <w:rPr>
          <w:rFonts w:ascii="Arial" w:hAnsi="Arial" w:cs="Arial"/>
          <w:b/>
          <w:bCs/>
          <w:sz w:val="22"/>
          <w:szCs w:val="22"/>
        </w:rPr>
      </w:pPr>
    </w:p>
    <w:p w14:paraId="4BA76AC7" w14:textId="77777777" w:rsidR="002B1B65" w:rsidRPr="00AC1A14" w:rsidRDefault="002B1B65" w:rsidP="002B1B65">
      <w:pPr>
        <w:spacing w:line="360" w:lineRule="auto"/>
        <w:rPr>
          <w:rFonts w:ascii="Arial" w:hAnsi="Arial" w:cs="Arial"/>
          <w:b/>
          <w:bCs/>
          <w:sz w:val="22"/>
          <w:szCs w:val="22"/>
        </w:rPr>
      </w:pPr>
    </w:p>
    <w:p w14:paraId="62B7F814" w14:textId="77777777" w:rsidR="002B1B65" w:rsidRPr="00AC1A14" w:rsidRDefault="002B1B65" w:rsidP="002B1B65">
      <w:pPr>
        <w:spacing w:line="360" w:lineRule="auto"/>
        <w:rPr>
          <w:rFonts w:ascii="Arial" w:hAnsi="Arial" w:cs="Arial"/>
          <w:b/>
          <w:bCs/>
          <w:sz w:val="22"/>
          <w:szCs w:val="22"/>
        </w:rPr>
      </w:pPr>
    </w:p>
    <w:p w14:paraId="26646C8D" w14:textId="77777777" w:rsidR="002B1B65" w:rsidRPr="00AC1A14" w:rsidRDefault="002B1B65" w:rsidP="002B1B65">
      <w:pPr>
        <w:spacing w:line="360" w:lineRule="auto"/>
        <w:rPr>
          <w:rFonts w:ascii="Arial" w:hAnsi="Arial" w:cs="Arial"/>
          <w:b/>
          <w:bCs/>
          <w:sz w:val="22"/>
          <w:szCs w:val="22"/>
        </w:rPr>
      </w:pPr>
    </w:p>
    <w:p w14:paraId="5C8F05E2" w14:textId="77777777" w:rsidR="002B1B65" w:rsidRPr="00AC1A14" w:rsidRDefault="002B1B65" w:rsidP="002B1B65">
      <w:pPr>
        <w:spacing w:line="360" w:lineRule="auto"/>
        <w:rPr>
          <w:rFonts w:ascii="Arial" w:hAnsi="Arial" w:cs="Arial"/>
          <w:b/>
          <w:bCs/>
          <w:sz w:val="22"/>
          <w:szCs w:val="22"/>
        </w:rPr>
      </w:pPr>
    </w:p>
    <w:p w14:paraId="68E4D07F" w14:textId="77777777" w:rsidR="002B1B65" w:rsidRPr="00AC1A14" w:rsidRDefault="002B1B65" w:rsidP="002B1B65">
      <w:pPr>
        <w:spacing w:line="360" w:lineRule="auto"/>
        <w:rPr>
          <w:rFonts w:ascii="Arial" w:hAnsi="Arial" w:cs="Arial"/>
          <w:b/>
          <w:bCs/>
          <w:sz w:val="22"/>
          <w:szCs w:val="22"/>
        </w:rPr>
      </w:pPr>
    </w:p>
    <w:p w14:paraId="2CBA3A98" w14:textId="77777777" w:rsidR="002B1B65" w:rsidRPr="00AC1A14" w:rsidRDefault="002B1B65" w:rsidP="002B1B65">
      <w:pPr>
        <w:spacing w:line="360" w:lineRule="auto"/>
        <w:rPr>
          <w:rFonts w:ascii="Arial" w:hAnsi="Arial" w:cs="Arial"/>
          <w:b/>
          <w:bCs/>
          <w:sz w:val="22"/>
          <w:szCs w:val="22"/>
        </w:rPr>
      </w:pPr>
    </w:p>
    <w:p w14:paraId="1FE4EFA9" w14:textId="77777777" w:rsidR="002B1B65" w:rsidRPr="00AC1A14" w:rsidRDefault="002B1B65" w:rsidP="002B1B65">
      <w:pPr>
        <w:spacing w:line="360" w:lineRule="auto"/>
        <w:rPr>
          <w:rFonts w:ascii="Arial" w:hAnsi="Arial" w:cs="Arial"/>
          <w:b/>
          <w:bCs/>
          <w:sz w:val="22"/>
          <w:szCs w:val="22"/>
        </w:rPr>
      </w:pPr>
    </w:p>
    <w:p w14:paraId="002E6DFE" w14:textId="77777777" w:rsidR="002B1B65" w:rsidRPr="00AC1A14" w:rsidRDefault="002B1B65" w:rsidP="002B1B65">
      <w:pPr>
        <w:spacing w:line="360" w:lineRule="auto"/>
        <w:rPr>
          <w:rFonts w:ascii="Arial" w:hAnsi="Arial" w:cs="Arial"/>
          <w:b/>
          <w:bCs/>
          <w:sz w:val="22"/>
          <w:szCs w:val="22"/>
        </w:rPr>
      </w:pPr>
    </w:p>
    <w:p w14:paraId="456D2CEC" w14:textId="77777777" w:rsidR="002B1B65" w:rsidRPr="00AC1A14" w:rsidRDefault="002B1B65" w:rsidP="002B1B65">
      <w:pPr>
        <w:spacing w:line="360" w:lineRule="auto"/>
        <w:rPr>
          <w:rFonts w:ascii="Arial" w:hAnsi="Arial" w:cs="Arial"/>
          <w:b/>
          <w:bCs/>
          <w:sz w:val="22"/>
          <w:szCs w:val="22"/>
        </w:rPr>
      </w:pPr>
    </w:p>
    <w:p w14:paraId="1220BDDB" w14:textId="77777777" w:rsidR="002B1B65" w:rsidRPr="00AC1A14" w:rsidRDefault="002B1B65" w:rsidP="002B1B65">
      <w:pPr>
        <w:spacing w:line="360" w:lineRule="auto"/>
        <w:rPr>
          <w:rFonts w:ascii="Arial" w:hAnsi="Arial" w:cs="Arial"/>
          <w:b/>
          <w:bCs/>
          <w:sz w:val="22"/>
          <w:szCs w:val="22"/>
        </w:rPr>
      </w:pPr>
    </w:p>
    <w:p w14:paraId="2730F9D5" w14:textId="77777777" w:rsidR="002B1B65" w:rsidRPr="00AC1A14" w:rsidRDefault="002B1B65" w:rsidP="002B1B65">
      <w:pPr>
        <w:spacing w:line="360" w:lineRule="auto"/>
        <w:rPr>
          <w:rFonts w:ascii="Arial" w:hAnsi="Arial" w:cs="Arial"/>
          <w:b/>
          <w:bCs/>
          <w:sz w:val="22"/>
          <w:szCs w:val="22"/>
        </w:rPr>
      </w:pPr>
    </w:p>
    <w:p w14:paraId="4E9564ED" w14:textId="77777777" w:rsidR="002B1B65" w:rsidRPr="00AC1A14" w:rsidRDefault="002B1B65" w:rsidP="002B1B65">
      <w:pPr>
        <w:spacing w:line="360" w:lineRule="auto"/>
        <w:rPr>
          <w:rFonts w:ascii="Arial" w:hAnsi="Arial" w:cs="Arial"/>
          <w:b/>
          <w:bCs/>
          <w:sz w:val="22"/>
          <w:szCs w:val="22"/>
        </w:rPr>
      </w:pPr>
    </w:p>
    <w:p w14:paraId="262DF050" w14:textId="77777777" w:rsidR="002B1B65" w:rsidRPr="00AC1A14" w:rsidRDefault="002B1B65" w:rsidP="00196357">
      <w:pPr>
        <w:spacing w:line="360" w:lineRule="auto"/>
        <w:rPr>
          <w:rFonts w:ascii="Arial" w:hAnsi="Arial" w:cs="Arial"/>
          <w:b/>
          <w:bCs/>
          <w:sz w:val="22"/>
          <w:szCs w:val="22"/>
        </w:rPr>
      </w:pPr>
    </w:p>
    <w:sdt>
      <w:sdtPr>
        <w:rPr>
          <w:rFonts w:asciiTheme="minorHAnsi" w:eastAsiaTheme="minorHAnsi" w:hAnsiTheme="minorHAnsi" w:cstheme="minorBidi"/>
          <w:color w:val="auto"/>
          <w:kern w:val="2"/>
          <w:sz w:val="24"/>
          <w:szCs w:val="24"/>
          <w:lang w:eastAsia="en-US"/>
          <w14:ligatures w14:val="standardContextual"/>
        </w:rPr>
        <w:id w:val="1998534680"/>
        <w:docPartObj>
          <w:docPartGallery w:val="Table of Contents"/>
          <w:docPartUnique/>
        </w:docPartObj>
      </w:sdtPr>
      <w:sdtEndPr>
        <w:rPr>
          <w:b/>
          <w:bCs/>
        </w:rPr>
      </w:sdtEndPr>
      <w:sdtContent>
        <w:p w14:paraId="352DDF90" w14:textId="770FFDFE" w:rsidR="00AC1A14" w:rsidRPr="00AC1A14" w:rsidRDefault="00AC1A14">
          <w:pPr>
            <w:pStyle w:val="TOCHeading"/>
            <w:rPr>
              <w:color w:val="auto"/>
            </w:rPr>
          </w:pPr>
          <w:r w:rsidRPr="00AC1A14">
            <w:rPr>
              <w:color w:val="auto"/>
            </w:rPr>
            <w:t>Table of Contents</w:t>
          </w:r>
        </w:p>
        <w:p w14:paraId="0D2ED06A" w14:textId="23A20065" w:rsidR="00AC1A14" w:rsidRPr="00AC1A14" w:rsidRDefault="00AC1A14">
          <w:pPr>
            <w:pStyle w:val="TOC1"/>
            <w:tabs>
              <w:tab w:val="right" w:leader="dot" w:pos="9016"/>
            </w:tabs>
            <w:rPr>
              <w:noProof/>
            </w:rPr>
          </w:pPr>
          <w:r w:rsidRPr="00AC1A14">
            <w:fldChar w:fldCharType="begin"/>
          </w:r>
          <w:r w:rsidRPr="00AC1A14">
            <w:instrText xml:space="preserve"> TOC \o "1-3" \h \z \u </w:instrText>
          </w:r>
          <w:r w:rsidRPr="00AC1A14">
            <w:fldChar w:fldCharType="separate"/>
          </w:r>
          <w:hyperlink w:anchor="_Toc223296971" w:history="1">
            <w:r w:rsidRPr="00AC1A14">
              <w:rPr>
                <w:rStyle w:val="Hyperlink"/>
                <w:noProof/>
                <w:color w:val="auto"/>
              </w:rPr>
              <w:t>Introduction</w:t>
            </w:r>
            <w:r w:rsidRPr="00AC1A14">
              <w:rPr>
                <w:noProof/>
                <w:webHidden/>
              </w:rPr>
              <w:tab/>
            </w:r>
            <w:r w:rsidRPr="00AC1A14">
              <w:rPr>
                <w:noProof/>
                <w:webHidden/>
              </w:rPr>
              <w:fldChar w:fldCharType="begin"/>
            </w:r>
            <w:r w:rsidRPr="00AC1A14">
              <w:rPr>
                <w:noProof/>
                <w:webHidden/>
              </w:rPr>
              <w:instrText xml:space="preserve"> PAGEREF _Toc223296971 \h </w:instrText>
            </w:r>
            <w:r w:rsidRPr="00AC1A14">
              <w:rPr>
                <w:noProof/>
                <w:webHidden/>
              </w:rPr>
            </w:r>
            <w:r w:rsidRPr="00AC1A14">
              <w:rPr>
                <w:noProof/>
                <w:webHidden/>
              </w:rPr>
              <w:fldChar w:fldCharType="separate"/>
            </w:r>
            <w:r w:rsidRPr="00AC1A14">
              <w:rPr>
                <w:noProof/>
                <w:webHidden/>
              </w:rPr>
              <w:t>2</w:t>
            </w:r>
            <w:r w:rsidRPr="00AC1A14">
              <w:rPr>
                <w:noProof/>
                <w:webHidden/>
              </w:rPr>
              <w:fldChar w:fldCharType="end"/>
            </w:r>
          </w:hyperlink>
        </w:p>
        <w:p w14:paraId="57FE3C29" w14:textId="2B035756" w:rsidR="00AC1A14" w:rsidRPr="00AC1A14" w:rsidRDefault="00AC1A14">
          <w:pPr>
            <w:pStyle w:val="TOC1"/>
            <w:tabs>
              <w:tab w:val="right" w:leader="dot" w:pos="9016"/>
            </w:tabs>
            <w:rPr>
              <w:noProof/>
            </w:rPr>
          </w:pPr>
          <w:hyperlink w:anchor="_Toc223296972" w:history="1">
            <w:r w:rsidRPr="00AC1A14">
              <w:rPr>
                <w:rStyle w:val="Hyperlink"/>
                <w:noProof/>
                <w:color w:val="auto"/>
              </w:rPr>
              <w:t>Task 1</w:t>
            </w:r>
            <w:r w:rsidRPr="00AC1A14">
              <w:rPr>
                <w:noProof/>
                <w:webHidden/>
              </w:rPr>
              <w:tab/>
            </w:r>
            <w:r w:rsidRPr="00AC1A14">
              <w:rPr>
                <w:noProof/>
                <w:webHidden/>
              </w:rPr>
              <w:fldChar w:fldCharType="begin"/>
            </w:r>
            <w:r w:rsidRPr="00AC1A14">
              <w:rPr>
                <w:noProof/>
                <w:webHidden/>
              </w:rPr>
              <w:instrText xml:space="preserve"> PAGEREF _Toc223296972 \h </w:instrText>
            </w:r>
            <w:r w:rsidRPr="00AC1A14">
              <w:rPr>
                <w:noProof/>
                <w:webHidden/>
              </w:rPr>
            </w:r>
            <w:r w:rsidRPr="00AC1A14">
              <w:rPr>
                <w:noProof/>
                <w:webHidden/>
              </w:rPr>
              <w:fldChar w:fldCharType="separate"/>
            </w:r>
            <w:r w:rsidRPr="00AC1A14">
              <w:rPr>
                <w:noProof/>
                <w:webHidden/>
              </w:rPr>
              <w:t>2</w:t>
            </w:r>
            <w:r w:rsidRPr="00AC1A14">
              <w:rPr>
                <w:noProof/>
                <w:webHidden/>
              </w:rPr>
              <w:fldChar w:fldCharType="end"/>
            </w:r>
          </w:hyperlink>
        </w:p>
        <w:p w14:paraId="4F56DFF0" w14:textId="69B1220D" w:rsidR="00AC1A14" w:rsidRPr="00AC1A14" w:rsidRDefault="00AC1A14">
          <w:pPr>
            <w:pStyle w:val="TOC1"/>
            <w:tabs>
              <w:tab w:val="right" w:leader="dot" w:pos="9016"/>
            </w:tabs>
            <w:rPr>
              <w:noProof/>
            </w:rPr>
          </w:pPr>
          <w:hyperlink w:anchor="_Toc223296973" w:history="1">
            <w:r w:rsidRPr="00AC1A14">
              <w:rPr>
                <w:rStyle w:val="Hyperlink"/>
                <w:noProof/>
                <w:color w:val="auto"/>
              </w:rPr>
              <w:t>Task 2</w:t>
            </w:r>
            <w:r w:rsidRPr="00AC1A14">
              <w:rPr>
                <w:noProof/>
                <w:webHidden/>
              </w:rPr>
              <w:tab/>
            </w:r>
            <w:r w:rsidRPr="00AC1A14">
              <w:rPr>
                <w:noProof/>
                <w:webHidden/>
              </w:rPr>
              <w:fldChar w:fldCharType="begin"/>
            </w:r>
            <w:r w:rsidRPr="00AC1A14">
              <w:rPr>
                <w:noProof/>
                <w:webHidden/>
              </w:rPr>
              <w:instrText xml:space="preserve"> PAGEREF _Toc223296973 \h </w:instrText>
            </w:r>
            <w:r w:rsidRPr="00AC1A14">
              <w:rPr>
                <w:noProof/>
                <w:webHidden/>
              </w:rPr>
            </w:r>
            <w:r w:rsidRPr="00AC1A14">
              <w:rPr>
                <w:noProof/>
                <w:webHidden/>
              </w:rPr>
              <w:fldChar w:fldCharType="separate"/>
            </w:r>
            <w:r w:rsidRPr="00AC1A14">
              <w:rPr>
                <w:noProof/>
                <w:webHidden/>
              </w:rPr>
              <w:t>3</w:t>
            </w:r>
            <w:r w:rsidRPr="00AC1A14">
              <w:rPr>
                <w:noProof/>
                <w:webHidden/>
              </w:rPr>
              <w:fldChar w:fldCharType="end"/>
            </w:r>
          </w:hyperlink>
        </w:p>
        <w:p w14:paraId="52D9DB5E" w14:textId="4536EE9C" w:rsidR="00AC1A14" w:rsidRPr="00AC1A14" w:rsidRDefault="00AC1A14">
          <w:pPr>
            <w:pStyle w:val="TOC1"/>
            <w:tabs>
              <w:tab w:val="right" w:leader="dot" w:pos="9016"/>
            </w:tabs>
            <w:rPr>
              <w:noProof/>
            </w:rPr>
          </w:pPr>
          <w:hyperlink w:anchor="_Toc223296974" w:history="1">
            <w:r w:rsidRPr="00AC1A14">
              <w:rPr>
                <w:rStyle w:val="Hyperlink"/>
                <w:noProof/>
                <w:color w:val="auto"/>
              </w:rPr>
              <w:t>Task 3</w:t>
            </w:r>
            <w:r w:rsidRPr="00AC1A14">
              <w:rPr>
                <w:noProof/>
                <w:webHidden/>
              </w:rPr>
              <w:tab/>
            </w:r>
            <w:r w:rsidRPr="00AC1A14">
              <w:rPr>
                <w:noProof/>
                <w:webHidden/>
              </w:rPr>
              <w:fldChar w:fldCharType="begin"/>
            </w:r>
            <w:r w:rsidRPr="00AC1A14">
              <w:rPr>
                <w:noProof/>
                <w:webHidden/>
              </w:rPr>
              <w:instrText xml:space="preserve"> PAGEREF _Toc223296974 \h </w:instrText>
            </w:r>
            <w:r w:rsidRPr="00AC1A14">
              <w:rPr>
                <w:noProof/>
                <w:webHidden/>
              </w:rPr>
            </w:r>
            <w:r w:rsidRPr="00AC1A14">
              <w:rPr>
                <w:noProof/>
                <w:webHidden/>
              </w:rPr>
              <w:fldChar w:fldCharType="separate"/>
            </w:r>
            <w:r w:rsidRPr="00AC1A14">
              <w:rPr>
                <w:noProof/>
                <w:webHidden/>
              </w:rPr>
              <w:t>4</w:t>
            </w:r>
            <w:r w:rsidRPr="00AC1A14">
              <w:rPr>
                <w:noProof/>
                <w:webHidden/>
              </w:rPr>
              <w:fldChar w:fldCharType="end"/>
            </w:r>
          </w:hyperlink>
        </w:p>
        <w:p w14:paraId="0AC1958B" w14:textId="4F690703" w:rsidR="00AC1A14" w:rsidRPr="00AC1A14" w:rsidRDefault="00AC1A14">
          <w:pPr>
            <w:pStyle w:val="TOC1"/>
            <w:tabs>
              <w:tab w:val="right" w:leader="dot" w:pos="9016"/>
            </w:tabs>
            <w:rPr>
              <w:noProof/>
            </w:rPr>
          </w:pPr>
          <w:hyperlink w:anchor="_Toc223296975" w:history="1">
            <w:r w:rsidRPr="00AC1A14">
              <w:rPr>
                <w:rStyle w:val="Hyperlink"/>
                <w:noProof/>
                <w:color w:val="auto"/>
              </w:rPr>
              <w:t>Conclusion</w:t>
            </w:r>
            <w:r w:rsidRPr="00AC1A14">
              <w:rPr>
                <w:noProof/>
                <w:webHidden/>
              </w:rPr>
              <w:tab/>
            </w:r>
            <w:r w:rsidRPr="00AC1A14">
              <w:rPr>
                <w:noProof/>
                <w:webHidden/>
              </w:rPr>
              <w:fldChar w:fldCharType="begin"/>
            </w:r>
            <w:r w:rsidRPr="00AC1A14">
              <w:rPr>
                <w:noProof/>
                <w:webHidden/>
              </w:rPr>
              <w:instrText xml:space="preserve"> PAGEREF _Toc223296975 \h </w:instrText>
            </w:r>
            <w:r w:rsidRPr="00AC1A14">
              <w:rPr>
                <w:noProof/>
                <w:webHidden/>
              </w:rPr>
            </w:r>
            <w:r w:rsidRPr="00AC1A14">
              <w:rPr>
                <w:noProof/>
                <w:webHidden/>
              </w:rPr>
              <w:fldChar w:fldCharType="separate"/>
            </w:r>
            <w:r w:rsidRPr="00AC1A14">
              <w:rPr>
                <w:noProof/>
                <w:webHidden/>
              </w:rPr>
              <w:t>7</w:t>
            </w:r>
            <w:r w:rsidRPr="00AC1A14">
              <w:rPr>
                <w:noProof/>
                <w:webHidden/>
              </w:rPr>
              <w:fldChar w:fldCharType="end"/>
            </w:r>
          </w:hyperlink>
        </w:p>
        <w:p w14:paraId="3F92BAA8" w14:textId="0586F048" w:rsidR="00AC1A14" w:rsidRPr="00AC1A14" w:rsidRDefault="00AC1A14">
          <w:pPr>
            <w:pStyle w:val="TOC1"/>
            <w:tabs>
              <w:tab w:val="right" w:leader="dot" w:pos="9016"/>
            </w:tabs>
            <w:rPr>
              <w:noProof/>
            </w:rPr>
          </w:pPr>
          <w:hyperlink w:anchor="_Toc223296976" w:history="1">
            <w:r w:rsidRPr="00AC1A14">
              <w:rPr>
                <w:rStyle w:val="Hyperlink"/>
                <w:noProof/>
                <w:color w:val="auto"/>
              </w:rPr>
              <w:t>References</w:t>
            </w:r>
            <w:r w:rsidRPr="00AC1A14">
              <w:rPr>
                <w:noProof/>
                <w:webHidden/>
              </w:rPr>
              <w:tab/>
            </w:r>
            <w:r w:rsidRPr="00AC1A14">
              <w:rPr>
                <w:noProof/>
                <w:webHidden/>
              </w:rPr>
              <w:fldChar w:fldCharType="begin"/>
            </w:r>
            <w:r w:rsidRPr="00AC1A14">
              <w:rPr>
                <w:noProof/>
                <w:webHidden/>
              </w:rPr>
              <w:instrText xml:space="preserve"> PAGEREF _Toc223296976 \h </w:instrText>
            </w:r>
            <w:r w:rsidRPr="00AC1A14">
              <w:rPr>
                <w:noProof/>
                <w:webHidden/>
              </w:rPr>
            </w:r>
            <w:r w:rsidRPr="00AC1A14">
              <w:rPr>
                <w:noProof/>
                <w:webHidden/>
              </w:rPr>
              <w:fldChar w:fldCharType="separate"/>
            </w:r>
            <w:r w:rsidRPr="00AC1A14">
              <w:rPr>
                <w:noProof/>
                <w:webHidden/>
              </w:rPr>
              <w:t>8</w:t>
            </w:r>
            <w:r w:rsidRPr="00AC1A14">
              <w:rPr>
                <w:noProof/>
                <w:webHidden/>
              </w:rPr>
              <w:fldChar w:fldCharType="end"/>
            </w:r>
          </w:hyperlink>
        </w:p>
        <w:p w14:paraId="3BE66850" w14:textId="24BCB8F3" w:rsidR="00AC1A14" w:rsidRPr="00AC1A14" w:rsidRDefault="00AC1A14">
          <w:r w:rsidRPr="00AC1A14">
            <w:rPr>
              <w:b/>
              <w:bCs/>
            </w:rPr>
            <w:fldChar w:fldCharType="end"/>
          </w:r>
        </w:p>
      </w:sdtContent>
    </w:sdt>
    <w:p w14:paraId="63B1558B" w14:textId="77777777" w:rsidR="004327A5" w:rsidRPr="00AC1A14" w:rsidRDefault="004327A5" w:rsidP="00DE352D">
      <w:pPr>
        <w:spacing w:line="360" w:lineRule="auto"/>
        <w:jc w:val="both"/>
        <w:rPr>
          <w:rFonts w:ascii="Arial" w:hAnsi="Arial" w:cs="Arial"/>
          <w:sz w:val="22"/>
          <w:szCs w:val="22"/>
        </w:rPr>
      </w:pPr>
    </w:p>
    <w:p w14:paraId="49F922DA" w14:textId="77777777" w:rsidR="00AC1A14" w:rsidRPr="00AC1A14" w:rsidRDefault="00AC1A14" w:rsidP="00DE352D">
      <w:pPr>
        <w:spacing w:line="360" w:lineRule="auto"/>
        <w:jc w:val="both"/>
        <w:rPr>
          <w:rFonts w:ascii="Arial" w:hAnsi="Arial" w:cs="Arial"/>
          <w:sz w:val="22"/>
          <w:szCs w:val="22"/>
        </w:rPr>
      </w:pPr>
    </w:p>
    <w:p w14:paraId="203E6916" w14:textId="77777777" w:rsidR="00AC1A14" w:rsidRPr="00AC1A14" w:rsidRDefault="00AC1A14" w:rsidP="00DE352D">
      <w:pPr>
        <w:spacing w:line="360" w:lineRule="auto"/>
        <w:jc w:val="both"/>
        <w:rPr>
          <w:rFonts w:ascii="Arial" w:hAnsi="Arial" w:cs="Arial"/>
          <w:sz w:val="22"/>
          <w:szCs w:val="22"/>
        </w:rPr>
      </w:pPr>
    </w:p>
    <w:p w14:paraId="32AFE490" w14:textId="77777777" w:rsidR="00AC1A14" w:rsidRPr="00AC1A14" w:rsidRDefault="00AC1A14" w:rsidP="00DE352D">
      <w:pPr>
        <w:spacing w:line="360" w:lineRule="auto"/>
        <w:jc w:val="both"/>
        <w:rPr>
          <w:rFonts w:ascii="Arial" w:hAnsi="Arial" w:cs="Arial"/>
          <w:sz w:val="22"/>
          <w:szCs w:val="22"/>
        </w:rPr>
      </w:pPr>
    </w:p>
    <w:p w14:paraId="1C37CA92" w14:textId="77777777" w:rsidR="00AC1A14" w:rsidRPr="00AC1A14" w:rsidRDefault="00AC1A14" w:rsidP="00DE352D">
      <w:pPr>
        <w:spacing w:line="360" w:lineRule="auto"/>
        <w:jc w:val="both"/>
        <w:rPr>
          <w:rFonts w:ascii="Arial" w:hAnsi="Arial" w:cs="Arial"/>
          <w:sz w:val="22"/>
          <w:szCs w:val="22"/>
        </w:rPr>
      </w:pPr>
    </w:p>
    <w:p w14:paraId="147AC87A" w14:textId="77777777" w:rsidR="00AC1A14" w:rsidRPr="00AC1A14" w:rsidRDefault="00AC1A14" w:rsidP="00DE352D">
      <w:pPr>
        <w:spacing w:line="360" w:lineRule="auto"/>
        <w:jc w:val="both"/>
        <w:rPr>
          <w:rFonts w:ascii="Arial" w:hAnsi="Arial" w:cs="Arial"/>
          <w:sz w:val="22"/>
          <w:szCs w:val="22"/>
        </w:rPr>
      </w:pPr>
    </w:p>
    <w:p w14:paraId="02F6A636" w14:textId="77777777" w:rsidR="00AC1A14" w:rsidRPr="00AC1A14" w:rsidRDefault="00AC1A14" w:rsidP="00DE352D">
      <w:pPr>
        <w:spacing w:line="360" w:lineRule="auto"/>
        <w:jc w:val="both"/>
        <w:rPr>
          <w:rFonts w:ascii="Arial" w:hAnsi="Arial" w:cs="Arial"/>
          <w:sz w:val="22"/>
          <w:szCs w:val="22"/>
        </w:rPr>
      </w:pPr>
    </w:p>
    <w:p w14:paraId="1FA6E502" w14:textId="77777777" w:rsidR="00AC1A14" w:rsidRPr="00AC1A14" w:rsidRDefault="00AC1A14" w:rsidP="00DE352D">
      <w:pPr>
        <w:spacing w:line="360" w:lineRule="auto"/>
        <w:jc w:val="both"/>
        <w:rPr>
          <w:rFonts w:ascii="Arial" w:hAnsi="Arial" w:cs="Arial"/>
          <w:sz w:val="22"/>
          <w:szCs w:val="22"/>
        </w:rPr>
      </w:pPr>
    </w:p>
    <w:p w14:paraId="0C6EDE37" w14:textId="77777777" w:rsidR="00AC1A14" w:rsidRPr="00AC1A14" w:rsidRDefault="00AC1A14" w:rsidP="00DE352D">
      <w:pPr>
        <w:spacing w:line="360" w:lineRule="auto"/>
        <w:jc w:val="both"/>
        <w:rPr>
          <w:rFonts w:ascii="Arial" w:hAnsi="Arial" w:cs="Arial"/>
          <w:sz w:val="22"/>
          <w:szCs w:val="22"/>
        </w:rPr>
      </w:pPr>
    </w:p>
    <w:p w14:paraId="3A472D02" w14:textId="77777777" w:rsidR="00AC1A14" w:rsidRPr="00AC1A14" w:rsidRDefault="00AC1A14" w:rsidP="00DE352D">
      <w:pPr>
        <w:spacing w:line="360" w:lineRule="auto"/>
        <w:jc w:val="both"/>
        <w:rPr>
          <w:rFonts w:ascii="Arial" w:hAnsi="Arial" w:cs="Arial"/>
          <w:sz w:val="22"/>
          <w:szCs w:val="22"/>
        </w:rPr>
      </w:pPr>
    </w:p>
    <w:p w14:paraId="7E9A0D23" w14:textId="77777777" w:rsidR="00AC1A14" w:rsidRPr="00AC1A14" w:rsidRDefault="00AC1A14" w:rsidP="00DE352D">
      <w:pPr>
        <w:spacing w:line="360" w:lineRule="auto"/>
        <w:jc w:val="both"/>
        <w:rPr>
          <w:rFonts w:ascii="Arial" w:hAnsi="Arial" w:cs="Arial"/>
          <w:sz w:val="22"/>
          <w:szCs w:val="22"/>
        </w:rPr>
      </w:pPr>
    </w:p>
    <w:p w14:paraId="6E35BAA5" w14:textId="77777777" w:rsidR="00AC1A14" w:rsidRPr="00AC1A14" w:rsidRDefault="00AC1A14" w:rsidP="00DE352D">
      <w:pPr>
        <w:spacing w:line="360" w:lineRule="auto"/>
        <w:jc w:val="both"/>
        <w:rPr>
          <w:rFonts w:ascii="Arial" w:hAnsi="Arial" w:cs="Arial"/>
          <w:sz w:val="22"/>
          <w:szCs w:val="22"/>
        </w:rPr>
      </w:pPr>
    </w:p>
    <w:p w14:paraId="6AC814AA" w14:textId="77777777" w:rsidR="00AC1A14" w:rsidRPr="00AC1A14" w:rsidRDefault="00AC1A14" w:rsidP="00DE352D">
      <w:pPr>
        <w:spacing w:line="360" w:lineRule="auto"/>
        <w:jc w:val="both"/>
        <w:rPr>
          <w:rFonts w:ascii="Arial" w:hAnsi="Arial" w:cs="Arial"/>
          <w:sz w:val="22"/>
          <w:szCs w:val="22"/>
        </w:rPr>
      </w:pPr>
    </w:p>
    <w:p w14:paraId="4236435B" w14:textId="77777777" w:rsidR="00AC1A14" w:rsidRPr="00AC1A14" w:rsidRDefault="00AC1A14" w:rsidP="00DE352D">
      <w:pPr>
        <w:spacing w:line="360" w:lineRule="auto"/>
        <w:jc w:val="both"/>
        <w:rPr>
          <w:rFonts w:ascii="Arial" w:hAnsi="Arial" w:cs="Arial"/>
          <w:sz w:val="22"/>
          <w:szCs w:val="22"/>
        </w:rPr>
      </w:pPr>
    </w:p>
    <w:p w14:paraId="094E6E2F" w14:textId="77777777" w:rsidR="00AC1A14" w:rsidRPr="00AC1A14" w:rsidRDefault="00AC1A14" w:rsidP="00DE352D">
      <w:pPr>
        <w:spacing w:line="360" w:lineRule="auto"/>
        <w:jc w:val="both"/>
        <w:rPr>
          <w:rFonts w:ascii="Arial" w:hAnsi="Arial" w:cs="Arial"/>
          <w:sz w:val="22"/>
          <w:szCs w:val="22"/>
        </w:rPr>
      </w:pPr>
    </w:p>
    <w:p w14:paraId="3814694C" w14:textId="77777777" w:rsidR="00AC1A14" w:rsidRPr="00AC1A14" w:rsidRDefault="00AC1A14" w:rsidP="00DE352D">
      <w:pPr>
        <w:spacing w:line="360" w:lineRule="auto"/>
        <w:jc w:val="both"/>
        <w:rPr>
          <w:rFonts w:ascii="Arial" w:hAnsi="Arial" w:cs="Arial"/>
          <w:sz w:val="22"/>
          <w:szCs w:val="22"/>
        </w:rPr>
      </w:pPr>
    </w:p>
    <w:p w14:paraId="4C696BB8" w14:textId="77777777" w:rsidR="00AC1A14" w:rsidRPr="00AC1A14" w:rsidRDefault="00AC1A14" w:rsidP="00DE352D">
      <w:pPr>
        <w:spacing w:line="360" w:lineRule="auto"/>
        <w:jc w:val="both"/>
        <w:rPr>
          <w:rFonts w:ascii="Arial" w:hAnsi="Arial" w:cs="Arial"/>
          <w:sz w:val="22"/>
          <w:szCs w:val="22"/>
        </w:rPr>
      </w:pPr>
    </w:p>
    <w:p w14:paraId="5BF428AE" w14:textId="77777777" w:rsidR="00AC1A14" w:rsidRPr="00AC1A14" w:rsidRDefault="00AC1A14" w:rsidP="00DE352D">
      <w:pPr>
        <w:spacing w:line="360" w:lineRule="auto"/>
        <w:jc w:val="both"/>
        <w:rPr>
          <w:rFonts w:ascii="Arial" w:hAnsi="Arial" w:cs="Arial"/>
          <w:sz w:val="22"/>
          <w:szCs w:val="22"/>
        </w:rPr>
      </w:pPr>
    </w:p>
    <w:p w14:paraId="4C607F21" w14:textId="77777777" w:rsidR="00AC1A14" w:rsidRPr="00AC1A14" w:rsidRDefault="00AC1A14" w:rsidP="00DE352D">
      <w:pPr>
        <w:spacing w:line="360" w:lineRule="auto"/>
        <w:jc w:val="both"/>
        <w:rPr>
          <w:rFonts w:ascii="Arial" w:hAnsi="Arial" w:cs="Arial"/>
          <w:sz w:val="22"/>
          <w:szCs w:val="22"/>
        </w:rPr>
      </w:pPr>
    </w:p>
    <w:p w14:paraId="5937F3CE" w14:textId="12445D05" w:rsidR="00DE352D" w:rsidRPr="00AC1A14" w:rsidRDefault="00DE352D" w:rsidP="00DE352D">
      <w:pPr>
        <w:spacing w:line="360" w:lineRule="auto"/>
        <w:jc w:val="both"/>
        <w:rPr>
          <w:rFonts w:ascii="Arial" w:hAnsi="Arial" w:cs="Arial"/>
          <w:b/>
          <w:bCs/>
          <w:sz w:val="22"/>
          <w:szCs w:val="22"/>
        </w:rPr>
      </w:pPr>
      <w:bookmarkStart w:id="0" w:name="_Toc223296971"/>
      <w:r w:rsidRPr="00AC1A14">
        <w:rPr>
          <w:rStyle w:val="Heading1Char"/>
          <w:rFonts w:ascii="Arial" w:hAnsi="Arial" w:cs="Arial"/>
          <w:b/>
          <w:bCs/>
          <w:color w:val="auto"/>
          <w:sz w:val="22"/>
          <w:szCs w:val="22"/>
        </w:rPr>
        <w:lastRenderedPageBreak/>
        <w:t>Introduction</w:t>
      </w:r>
      <w:bookmarkEnd w:id="0"/>
      <w:r w:rsidRPr="00AC1A14">
        <w:rPr>
          <w:rFonts w:ascii="Arial" w:hAnsi="Arial" w:cs="Arial"/>
          <w:b/>
          <w:bCs/>
          <w:sz w:val="22"/>
          <w:szCs w:val="22"/>
        </w:rPr>
        <w:br/>
      </w:r>
      <w:r w:rsidRPr="00AC1A14">
        <w:rPr>
          <w:rFonts w:ascii="Arial" w:hAnsi="Arial" w:cs="Arial"/>
          <w:sz w:val="22"/>
          <w:szCs w:val="22"/>
        </w:rPr>
        <w:t>This assignment explores the core principles of person-centred care, partnership working, and ethical practice within UK health and social care. Through the analysis of real-life case studies and reflective practice, it examines how these principles influence care quality, decision-making, and individual wellbeing. By considering situations where care has failed, where it has been effective, and how these principles apply to professional development, the assignment highlights their practical importance in delivering safe, respectful, and holistic care.</w:t>
      </w:r>
    </w:p>
    <w:p w14:paraId="36B53662" w14:textId="18964DEB" w:rsidR="00C563A3" w:rsidRPr="00AC1A14" w:rsidRDefault="00196357" w:rsidP="00AC1A14">
      <w:pPr>
        <w:pStyle w:val="Heading1"/>
        <w:rPr>
          <w:rFonts w:ascii="Arial" w:hAnsi="Arial" w:cs="Arial"/>
          <w:b/>
          <w:bCs/>
          <w:color w:val="auto"/>
          <w:sz w:val="22"/>
          <w:szCs w:val="22"/>
        </w:rPr>
      </w:pPr>
      <w:bookmarkStart w:id="1" w:name="_Toc223296972"/>
      <w:r w:rsidRPr="00AC1A14">
        <w:rPr>
          <w:rFonts w:ascii="Arial" w:hAnsi="Arial" w:cs="Arial"/>
          <w:b/>
          <w:bCs/>
          <w:color w:val="auto"/>
          <w:sz w:val="22"/>
          <w:szCs w:val="22"/>
        </w:rPr>
        <w:t>Task 1</w:t>
      </w:r>
      <w:bookmarkEnd w:id="1"/>
    </w:p>
    <w:p w14:paraId="202FC7C3" w14:textId="695C52F8" w:rsidR="00196357" w:rsidRPr="00196357" w:rsidRDefault="008E3B42" w:rsidP="00196357">
      <w:pPr>
        <w:spacing w:line="360" w:lineRule="auto"/>
        <w:jc w:val="both"/>
        <w:rPr>
          <w:rFonts w:ascii="Arial" w:hAnsi="Arial" w:cs="Arial"/>
          <w:sz w:val="22"/>
          <w:szCs w:val="22"/>
        </w:rPr>
      </w:pPr>
      <w:r w:rsidRPr="00AC1A14">
        <w:rPr>
          <w:rFonts w:ascii="Arial" w:hAnsi="Arial" w:cs="Arial"/>
          <w:sz w:val="22"/>
          <w:szCs w:val="22"/>
        </w:rPr>
        <w:t>The importance of person-centred care, partnership working, and ethics becomes most obvious when these principles are not applied</w:t>
      </w:r>
      <w:r w:rsidR="00196357" w:rsidRPr="00196357">
        <w:rPr>
          <w:rFonts w:ascii="Arial" w:hAnsi="Arial" w:cs="Arial"/>
          <w:sz w:val="22"/>
          <w:szCs w:val="22"/>
        </w:rPr>
        <w:t>. Joan’s story, published by NHS, demonstrates how care that is clinically competent can still fail the individual when it is organised around routines, assumptions, and professional convenience rather than the person receiving care.</w:t>
      </w:r>
    </w:p>
    <w:p w14:paraId="640F3D3C" w14:textId="6F298184" w:rsidR="00196357" w:rsidRPr="00196357" w:rsidRDefault="00196357" w:rsidP="00196357">
      <w:pPr>
        <w:spacing w:line="360" w:lineRule="auto"/>
        <w:jc w:val="both"/>
        <w:rPr>
          <w:rFonts w:ascii="Arial" w:hAnsi="Arial" w:cs="Arial"/>
          <w:sz w:val="22"/>
          <w:szCs w:val="22"/>
        </w:rPr>
      </w:pPr>
      <w:r w:rsidRPr="00196357">
        <w:rPr>
          <w:rFonts w:ascii="Arial" w:hAnsi="Arial" w:cs="Arial"/>
          <w:sz w:val="22"/>
          <w:szCs w:val="22"/>
        </w:rPr>
        <w:t>In Joan’s case, staff focused on completing physical care tasks efficiently but failed to respond to her attempts to communicate discomfort, fear, and preferences. This reveals a narrow interpretation of care as the delivery of tasks rather than the support of a whole person. Person-centred care requires practitioners to adapt care around the individual’s expressed needs, values, and emotional state. McCormack and McCance (201</w:t>
      </w:r>
      <w:r w:rsidR="008E3B42" w:rsidRPr="00AC1A14">
        <w:rPr>
          <w:rFonts w:ascii="Arial" w:hAnsi="Arial" w:cs="Arial"/>
          <w:sz w:val="22"/>
          <w:szCs w:val="22"/>
        </w:rPr>
        <w:t>6</w:t>
      </w:r>
      <w:r w:rsidRPr="00196357">
        <w:rPr>
          <w:rFonts w:ascii="Arial" w:hAnsi="Arial" w:cs="Arial"/>
          <w:sz w:val="22"/>
          <w:szCs w:val="22"/>
        </w:rPr>
        <w:t>) argue that person-centred practice is evidenced not by policies but by moment-to-moment interactions, such as listening, responding, and adjusting care. Joan’s distress was not inevitable; it was the result of professionals not recognising her as an active participant in her own care.</w:t>
      </w:r>
    </w:p>
    <w:p w14:paraId="37AD05E2" w14:textId="25C40B1D" w:rsidR="00196357" w:rsidRPr="00196357" w:rsidRDefault="00196357" w:rsidP="00196357">
      <w:pPr>
        <w:spacing w:line="360" w:lineRule="auto"/>
        <w:jc w:val="both"/>
        <w:rPr>
          <w:rFonts w:ascii="Arial" w:hAnsi="Arial" w:cs="Arial"/>
          <w:sz w:val="22"/>
          <w:szCs w:val="22"/>
        </w:rPr>
      </w:pPr>
      <w:r w:rsidRPr="00196357">
        <w:rPr>
          <w:rFonts w:ascii="Arial" w:hAnsi="Arial" w:cs="Arial"/>
          <w:sz w:val="22"/>
          <w:szCs w:val="22"/>
        </w:rPr>
        <w:t xml:space="preserve">Maslow’s Hierarchy of Needs helps to explain why Joan’s experience was harmful despite her basic needs being met. While her physiological needs were addressed, her needs for safety, dignity, and emotional reassurance were consistently overlooked. This imbalance illustrates that meeting physical needs alone does not equate to quality care. Research by </w:t>
      </w:r>
      <w:proofErr w:type="spellStart"/>
      <w:r w:rsidRPr="00196357">
        <w:rPr>
          <w:rFonts w:ascii="Arial" w:hAnsi="Arial" w:cs="Arial"/>
          <w:sz w:val="22"/>
          <w:szCs w:val="22"/>
        </w:rPr>
        <w:t>Kitwood</w:t>
      </w:r>
      <w:proofErr w:type="spellEnd"/>
      <w:r w:rsidRPr="00196357">
        <w:rPr>
          <w:rFonts w:ascii="Arial" w:hAnsi="Arial" w:cs="Arial"/>
          <w:sz w:val="22"/>
          <w:szCs w:val="22"/>
        </w:rPr>
        <w:t xml:space="preserve"> (</w:t>
      </w:r>
      <w:r w:rsidR="008E3B42" w:rsidRPr="00AC1A14">
        <w:rPr>
          <w:rFonts w:ascii="Arial" w:hAnsi="Arial" w:cs="Arial"/>
          <w:sz w:val="22"/>
          <w:szCs w:val="22"/>
        </w:rPr>
        <w:t>2019</w:t>
      </w:r>
      <w:r w:rsidRPr="00196357">
        <w:rPr>
          <w:rFonts w:ascii="Arial" w:hAnsi="Arial" w:cs="Arial"/>
          <w:sz w:val="22"/>
          <w:szCs w:val="22"/>
        </w:rPr>
        <w:t>) in dementia care highlights that failure to address psychological needs can increase anxiety and withdrawal, outcomes evident in Joan’s experience as she became increasingly distressed and unheard.</w:t>
      </w:r>
    </w:p>
    <w:p w14:paraId="03C775D6" w14:textId="12B117FB" w:rsidR="00196357" w:rsidRPr="00196357" w:rsidRDefault="00196357" w:rsidP="00196357">
      <w:pPr>
        <w:spacing w:line="360" w:lineRule="auto"/>
        <w:jc w:val="both"/>
        <w:rPr>
          <w:rFonts w:ascii="Arial" w:hAnsi="Arial" w:cs="Arial"/>
          <w:sz w:val="22"/>
          <w:szCs w:val="22"/>
        </w:rPr>
      </w:pPr>
      <w:r w:rsidRPr="00196357">
        <w:rPr>
          <w:rFonts w:ascii="Arial" w:hAnsi="Arial" w:cs="Arial"/>
          <w:sz w:val="22"/>
          <w:szCs w:val="22"/>
        </w:rPr>
        <w:t>Partnership working is also central to understanding Joan’s situation. Her care involved multiple professionals, yet there was little evidence of shared decision-making or coordinated communication. Instead of pooling observations and concerns, professionals appeared to work in isolation, relying on assumptions rather than Joan’s own account. Effective partnership working requires not only interprofessional collaboration but inclusion of the individual as a partner in care (</w:t>
      </w:r>
      <w:r w:rsidR="008E3B42" w:rsidRPr="00AC1A14">
        <w:rPr>
          <w:rFonts w:ascii="Arial" w:hAnsi="Arial" w:cs="Arial"/>
          <w:sz w:val="22"/>
          <w:szCs w:val="22"/>
        </w:rPr>
        <w:t>Curreri</w:t>
      </w:r>
      <w:r w:rsidRPr="00196357">
        <w:rPr>
          <w:rFonts w:ascii="Arial" w:hAnsi="Arial" w:cs="Arial"/>
          <w:sz w:val="22"/>
          <w:szCs w:val="22"/>
        </w:rPr>
        <w:t>, 20</w:t>
      </w:r>
      <w:r w:rsidR="008E3B42" w:rsidRPr="00AC1A14">
        <w:rPr>
          <w:rFonts w:ascii="Arial" w:hAnsi="Arial" w:cs="Arial"/>
          <w:sz w:val="22"/>
          <w:szCs w:val="22"/>
        </w:rPr>
        <w:t>19</w:t>
      </w:r>
      <w:r w:rsidRPr="00196357">
        <w:rPr>
          <w:rFonts w:ascii="Arial" w:hAnsi="Arial" w:cs="Arial"/>
          <w:sz w:val="22"/>
          <w:szCs w:val="22"/>
        </w:rPr>
        <w:t>). Joan’s exclusion from conversations about her care demonstrates how partnership working can fail even when multiple services are involved.</w:t>
      </w:r>
    </w:p>
    <w:p w14:paraId="16005834" w14:textId="77777777" w:rsidR="00196357" w:rsidRPr="00196357" w:rsidRDefault="00196357" w:rsidP="00196357">
      <w:pPr>
        <w:spacing w:line="360" w:lineRule="auto"/>
        <w:jc w:val="both"/>
        <w:rPr>
          <w:rFonts w:ascii="Arial" w:hAnsi="Arial" w:cs="Arial"/>
          <w:sz w:val="22"/>
          <w:szCs w:val="22"/>
        </w:rPr>
      </w:pPr>
      <w:r w:rsidRPr="00196357">
        <w:rPr>
          <w:rFonts w:ascii="Arial" w:hAnsi="Arial" w:cs="Arial"/>
          <w:sz w:val="22"/>
          <w:szCs w:val="22"/>
        </w:rPr>
        <w:lastRenderedPageBreak/>
        <w:t xml:space="preserve">Ethically, Joan’s story exposes a tension between professional authority and patient autonomy. Decisions were made </w:t>
      </w:r>
      <w:r w:rsidRPr="00196357">
        <w:rPr>
          <w:rFonts w:ascii="Arial" w:hAnsi="Arial" w:cs="Arial"/>
          <w:i/>
          <w:iCs/>
          <w:sz w:val="22"/>
          <w:szCs w:val="22"/>
        </w:rPr>
        <w:t>for</w:t>
      </w:r>
      <w:r w:rsidRPr="00196357">
        <w:rPr>
          <w:rFonts w:ascii="Arial" w:hAnsi="Arial" w:cs="Arial"/>
          <w:sz w:val="22"/>
          <w:szCs w:val="22"/>
        </w:rPr>
        <w:t xml:space="preserve"> her rather than </w:t>
      </w:r>
      <w:r w:rsidRPr="00196357">
        <w:rPr>
          <w:rFonts w:ascii="Arial" w:hAnsi="Arial" w:cs="Arial"/>
          <w:i/>
          <w:iCs/>
          <w:sz w:val="22"/>
          <w:szCs w:val="22"/>
        </w:rPr>
        <w:t>with</w:t>
      </w:r>
      <w:r w:rsidRPr="00196357">
        <w:rPr>
          <w:rFonts w:ascii="Arial" w:hAnsi="Arial" w:cs="Arial"/>
          <w:sz w:val="22"/>
          <w:szCs w:val="22"/>
        </w:rPr>
        <w:t xml:space="preserve"> her, reflecting a paternalistic approach that prioritised efficiency over consent and dignity. According to Beauchamp and Childress (2019), respect for autonomy requires more than obtaining consent; it involves actively supporting individuals to express their wishes. Joan’s inability to influence her care raises ethical concerns about beneficence and respect for persons, particularly in contexts where individuals may already feel vulnerable.</w:t>
      </w:r>
    </w:p>
    <w:p w14:paraId="264484FB" w14:textId="51CD5486" w:rsidR="00196357" w:rsidRPr="00196357" w:rsidRDefault="00196357" w:rsidP="00196357">
      <w:pPr>
        <w:spacing w:line="360" w:lineRule="auto"/>
        <w:jc w:val="both"/>
        <w:rPr>
          <w:rFonts w:ascii="Arial" w:hAnsi="Arial" w:cs="Arial"/>
          <w:sz w:val="22"/>
          <w:szCs w:val="22"/>
        </w:rPr>
      </w:pPr>
      <w:r w:rsidRPr="00196357">
        <w:rPr>
          <w:rFonts w:ascii="Arial" w:hAnsi="Arial" w:cs="Arial"/>
          <w:sz w:val="22"/>
          <w:szCs w:val="22"/>
        </w:rPr>
        <w:t>Within the UK health and social care system, these principles are reinforced by legislation. The Care Act 2014 requires professionals to promote wellbeing, including personal dignity and control over day-to-day life</w:t>
      </w:r>
      <w:r w:rsidR="008E3B42" w:rsidRPr="00AC1A14">
        <w:rPr>
          <w:rFonts w:ascii="Arial" w:hAnsi="Arial" w:cs="Arial"/>
          <w:sz w:val="22"/>
          <w:szCs w:val="22"/>
        </w:rPr>
        <w:t xml:space="preserve"> (Barnes et al., 2014)</w:t>
      </w:r>
      <w:r w:rsidRPr="00196357">
        <w:rPr>
          <w:rFonts w:ascii="Arial" w:hAnsi="Arial" w:cs="Arial"/>
          <w:sz w:val="22"/>
          <w:szCs w:val="22"/>
        </w:rPr>
        <w:t>. Joan’s experience demonstrates how failure to apply these principles in everyday practice can lead to care that technically complies with procedures but falls short of legal and ethical expectations.</w:t>
      </w:r>
    </w:p>
    <w:p w14:paraId="2DAE4C9A" w14:textId="77777777" w:rsidR="00196357" w:rsidRPr="00196357" w:rsidRDefault="00196357" w:rsidP="00196357">
      <w:pPr>
        <w:spacing w:line="360" w:lineRule="auto"/>
        <w:jc w:val="both"/>
        <w:rPr>
          <w:rFonts w:ascii="Arial" w:hAnsi="Arial" w:cs="Arial"/>
          <w:sz w:val="22"/>
          <w:szCs w:val="22"/>
        </w:rPr>
      </w:pPr>
      <w:r w:rsidRPr="00196357">
        <w:rPr>
          <w:rFonts w:ascii="Arial" w:hAnsi="Arial" w:cs="Arial"/>
          <w:sz w:val="22"/>
          <w:szCs w:val="22"/>
        </w:rPr>
        <w:t>Reflecting on Joan’s story shows that the principles of health and social care are not theoretical ideals but practical safeguards. When ignored, individuals may receive care that is efficient but emotionally harmful, highlighting why person-centred care, partnership working, and ethics are essential to genuine care quality.</w:t>
      </w:r>
    </w:p>
    <w:p w14:paraId="7356266D" w14:textId="6608BEF9" w:rsidR="00196357" w:rsidRPr="00AC1A14" w:rsidRDefault="00196357" w:rsidP="00AC1A14">
      <w:pPr>
        <w:pStyle w:val="Heading1"/>
        <w:rPr>
          <w:rFonts w:ascii="Arial" w:hAnsi="Arial" w:cs="Arial"/>
          <w:b/>
          <w:bCs/>
          <w:color w:val="auto"/>
          <w:sz w:val="22"/>
          <w:szCs w:val="22"/>
        </w:rPr>
      </w:pPr>
      <w:bookmarkStart w:id="2" w:name="_Toc223296973"/>
      <w:r w:rsidRPr="00AC1A14">
        <w:rPr>
          <w:rFonts w:ascii="Arial" w:hAnsi="Arial" w:cs="Arial"/>
          <w:b/>
          <w:bCs/>
          <w:color w:val="auto"/>
          <w:sz w:val="22"/>
          <w:szCs w:val="22"/>
        </w:rPr>
        <w:t>Task 2</w:t>
      </w:r>
      <w:bookmarkEnd w:id="2"/>
    </w:p>
    <w:p w14:paraId="0FD9B988" w14:textId="77777777" w:rsidR="003E15F7" w:rsidRPr="003E15F7" w:rsidRDefault="003E15F7" w:rsidP="003E15F7">
      <w:pPr>
        <w:spacing w:line="360" w:lineRule="auto"/>
        <w:jc w:val="both"/>
        <w:rPr>
          <w:rFonts w:ascii="Arial" w:hAnsi="Arial" w:cs="Arial"/>
          <w:sz w:val="22"/>
          <w:szCs w:val="22"/>
        </w:rPr>
      </w:pPr>
      <w:r w:rsidRPr="003E15F7">
        <w:rPr>
          <w:rFonts w:ascii="Arial" w:hAnsi="Arial" w:cs="Arial"/>
          <w:sz w:val="22"/>
          <w:szCs w:val="22"/>
        </w:rPr>
        <w:t>Mrs C’s story, published by NHS England, demonstrates how person-centred care, partnership working, and ethical practice can work together to address complex challenges in UK health and social care. It shows that effective care requires coordinated action, attention to individual preferences, and careful ethical judgement.</w:t>
      </w:r>
    </w:p>
    <w:p w14:paraId="2EAF6276" w14:textId="0E22DA15" w:rsidR="003E15F7" w:rsidRPr="003E15F7" w:rsidRDefault="003E15F7" w:rsidP="003E15F7">
      <w:pPr>
        <w:spacing w:line="360" w:lineRule="auto"/>
        <w:jc w:val="both"/>
        <w:rPr>
          <w:rFonts w:ascii="Arial" w:hAnsi="Arial" w:cs="Arial"/>
          <w:sz w:val="22"/>
          <w:szCs w:val="22"/>
        </w:rPr>
      </w:pPr>
      <w:r w:rsidRPr="003E15F7">
        <w:rPr>
          <w:rFonts w:ascii="Arial" w:hAnsi="Arial" w:cs="Arial"/>
          <w:sz w:val="22"/>
          <w:szCs w:val="22"/>
        </w:rPr>
        <w:t>Mrs C faced repeated hospital admissions due to fragmented communication and uncoordinated planning between acute care, community health services, and social care. Initial assessments were conducted in isolation, resulting in duplicated efforts and delays in discharge. Evidence suggests that fragmented discharge planning increases the risk of avoidable readmissions for older adults with complex needs (</w:t>
      </w:r>
      <w:r w:rsidR="00826167" w:rsidRPr="00AC1A14">
        <w:rPr>
          <w:rFonts w:ascii="Arial" w:hAnsi="Arial" w:cs="Arial"/>
          <w:sz w:val="22"/>
          <w:szCs w:val="22"/>
        </w:rPr>
        <w:t>Coffey</w:t>
      </w:r>
      <w:r w:rsidRPr="003E15F7">
        <w:rPr>
          <w:rFonts w:ascii="Arial" w:hAnsi="Arial" w:cs="Arial"/>
          <w:sz w:val="22"/>
          <w:szCs w:val="22"/>
        </w:rPr>
        <w:t xml:space="preserve"> et al., 201</w:t>
      </w:r>
      <w:r w:rsidR="00826167" w:rsidRPr="00AC1A14">
        <w:rPr>
          <w:rFonts w:ascii="Arial" w:hAnsi="Arial" w:cs="Arial"/>
          <w:sz w:val="22"/>
          <w:szCs w:val="22"/>
        </w:rPr>
        <w:t>9</w:t>
      </w:r>
      <w:r w:rsidRPr="003E15F7">
        <w:rPr>
          <w:rFonts w:ascii="Arial" w:hAnsi="Arial" w:cs="Arial"/>
          <w:sz w:val="22"/>
          <w:szCs w:val="22"/>
        </w:rPr>
        <w:t>). In Mrs C’s case, this lack of coordination directly impacted her wellbeing, highlighting the practical consequences of poor partnership working.</w:t>
      </w:r>
    </w:p>
    <w:p w14:paraId="19610A5B" w14:textId="77777777" w:rsidR="003E15F7" w:rsidRPr="003E15F7" w:rsidRDefault="003E15F7" w:rsidP="003E15F7">
      <w:pPr>
        <w:spacing w:line="360" w:lineRule="auto"/>
        <w:jc w:val="both"/>
        <w:rPr>
          <w:rFonts w:ascii="Arial" w:hAnsi="Arial" w:cs="Arial"/>
          <w:sz w:val="22"/>
          <w:szCs w:val="22"/>
        </w:rPr>
      </w:pPr>
      <w:r w:rsidRPr="003E15F7">
        <w:rPr>
          <w:rFonts w:ascii="Arial" w:hAnsi="Arial" w:cs="Arial"/>
          <w:sz w:val="22"/>
          <w:szCs w:val="22"/>
        </w:rPr>
        <w:t xml:space="preserve">Partnership working became effective when professionals moved from isolated tasks to joint planning. Health and social care staff began sharing assessments, clarifying roles, and agreeing on a coordinated discharge and ongoing support plan. This approach improved continuity of care and reduced duplication (Dickinson and Glasby, 2010). For Mrs C, this meant that her medical, social, and emotional needs were addressed holistically, ensuring that interventions were timely and appropriate. Partnership working also enabled different </w:t>
      </w:r>
      <w:r w:rsidRPr="003E15F7">
        <w:rPr>
          <w:rFonts w:ascii="Arial" w:hAnsi="Arial" w:cs="Arial"/>
          <w:sz w:val="22"/>
          <w:szCs w:val="22"/>
        </w:rPr>
        <w:lastRenderedPageBreak/>
        <w:t>professionals to share responsibility for decisions, reducing the likelihood of errors or gaps in care.</w:t>
      </w:r>
    </w:p>
    <w:p w14:paraId="3AD71575" w14:textId="77777777" w:rsidR="003E15F7" w:rsidRPr="003E15F7" w:rsidRDefault="003E15F7" w:rsidP="003E15F7">
      <w:pPr>
        <w:spacing w:line="360" w:lineRule="auto"/>
        <w:jc w:val="both"/>
        <w:rPr>
          <w:rFonts w:ascii="Arial" w:hAnsi="Arial" w:cs="Arial"/>
          <w:sz w:val="22"/>
          <w:szCs w:val="22"/>
        </w:rPr>
      </w:pPr>
      <w:r w:rsidRPr="003E15F7">
        <w:rPr>
          <w:rFonts w:ascii="Arial" w:hAnsi="Arial" w:cs="Arial"/>
          <w:sz w:val="22"/>
          <w:szCs w:val="22"/>
        </w:rPr>
        <w:t>Person-centred care was embedded within this collaborative framework by actively involving Mrs C in decision-making. Her preferences, values, and priorities informed all care plans, rather than professionals unilaterally deciding what support she “should” receive. Evidence indicates that personalised care planning improves patient engagement and satisfaction, particularly for individuals with long-term or complex conditions (Coulter et al., 2015). By listening to Mrs C and incorporating her wishes, professionals demonstrated that person-centred care depends on both meaningful communication and partnership.</w:t>
      </w:r>
    </w:p>
    <w:p w14:paraId="685EFF85" w14:textId="77777777" w:rsidR="003E15F7" w:rsidRPr="003E15F7" w:rsidRDefault="003E15F7" w:rsidP="003E15F7">
      <w:pPr>
        <w:spacing w:line="360" w:lineRule="auto"/>
        <w:jc w:val="both"/>
        <w:rPr>
          <w:rFonts w:ascii="Arial" w:hAnsi="Arial" w:cs="Arial"/>
          <w:sz w:val="22"/>
          <w:szCs w:val="22"/>
        </w:rPr>
      </w:pPr>
      <w:r w:rsidRPr="003E15F7">
        <w:rPr>
          <w:rFonts w:ascii="Arial" w:hAnsi="Arial" w:cs="Arial"/>
          <w:sz w:val="22"/>
          <w:szCs w:val="22"/>
        </w:rPr>
        <w:t>Ethical considerations were central to the planning and delivery of Mrs C’s care. Professionals had to balance risks to her safety with her right to independence. Ethical practice required that restrictions were justified, proportionate, and minimised wherever possible (Beauchamp and Childress, 2019). Partnership working supported these ethical decisions by enabling shared responsibility, collective evaluation of risk, and transparent decision-making, rather than defaulting to overly cautious approaches that could limit autonomy unnecessarily.</w:t>
      </w:r>
    </w:p>
    <w:p w14:paraId="1F7D7F3D" w14:textId="0DF7B355" w:rsidR="003E15F7" w:rsidRPr="003E15F7" w:rsidRDefault="003E15F7" w:rsidP="003E15F7">
      <w:pPr>
        <w:spacing w:line="360" w:lineRule="auto"/>
        <w:jc w:val="both"/>
        <w:rPr>
          <w:rFonts w:ascii="Arial" w:hAnsi="Arial" w:cs="Arial"/>
          <w:sz w:val="22"/>
          <w:szCs w:val="22"/>
        </w:rPr>
      </w:pPr>
      <w:r w:rsidRPr="003E15F7">
        <w:rPr>
          <w:rFonts w:ascii="Arial" w:hAnsi="Arial" w:cs="Arial"/>
          <w:sz w:val="22"/>
          <w:szCs w:val="22"/>
        </w:rPr>
        <w:t xml:space="preserve">This case also reflects the operationalisation of UK policy. The Care Act 2014 emphasises wellbeing, independence, and integration across services, while the Health and Care Act 2022 </w:t>
      </w:r>
      <w:r w:rsidR="00FE6C85" w:rsidRPr="00AC1A14">
        <w:rPr>
          <w:rFonts w:ascii="Arial" w:hAnsi="Arial" w:cs="Arial"/>
          <w:sz w:val="22"/>
          <w:szCs w:val="22"/>
        </w:rPr>
        <w:t>reinforce</w:t>
      </w:r>
      <w:r w:rsidRPr="003E15F7">
        <w:rPr>
          <w:rFonts w:ascii="Arial" w:hAnsi="Arial" w:cs="Arial"/>
          <w:sz w:val="22"/>
          <w:szCs w:val="22"/>
        </w:rPr>
        <w:t xml:space="preserve"> duties for collaborative practice. Mrs C’s story demonstrates how these frameworks can be applied in practice to improve outcomes, although it also highlights persistent challenges, including time pressures and communication barriers, which can impede effective collaboration.</w:t>
      </w:r>
    </w:p>
    <w:p w14:paraId="2C870C8C" w14:textId="0A66299E" w:rsidR="003E15F7" w:rsidRPr="00AC1A14" w:rsidRDefault="003E15F7" w:rsidP="003E15F7">
      <w:pPr>
        <w:spacing w:line="360" w:lineRule="auto"/>
        <w:jc w:val="both"/>
        <w:rPr>
          <w:rFonts w:ascii="Arial" w:hAnsi="Arial" w:cs="Arial"/>
          <w:sz w:val="22"/>
          <w:szCs w:val="22"/>
        </w:rPr>
      </w:pPr>
      <w:r w:rsidRPr="003E15F7">
        <w:rPr>
          <w:rFonts w:ascii="Arial" w:hAnsi="Arial" w:cs="Arial"/>
          <w:sz w:val="22"/>
          <w:szCs w:val="22"/>
        </w:rPr>
        <w:t xml:space="preserve">Overall, Mrs C’s story illustrates that person-centred care, partnership working, and ethics are interdependent. Coordinated, </w:t>
      </w:r>
      <w:r w:rsidR="00FE6C85" w:rsidRPr="00AC1A14">
        <w:rPr>
          <w:rFonts w:ascii="Arial" w:hAnsi="Arial" w:cs="Arial"/>
          <w:sz w:val="22"/>
          <w:szCs w:val="22"/>
        </w:rPr>
        <w:t>ethically informed</w:t>
      </w:r>
      <w:r w:rsidRPr="003E15F7">
        <w:rPr>
          <w:rFonts w:ascii="Arial" w:hAnsi="Arial" w:cs="Arial"/>
          <w:sz w:val="22"/>
          <w:szCs w:val="22"/>
        </w:rPr>
        <w:t xml:space="preserve"> practice that actively involves the individual can transform fragmented, repetitive care into a system that is responsive, safe, and respectful, improving both outcomes and the overall experience of care.</w:t>
      </w:r>
    </w:p>
    <w:p w14:paraId="644A00EA" w14:textId="6B1F85B2" w:rsidR="003E15F7" w:rsidRPr="00AC1A14" w:rsidRDefault="003E15F7" w:rsidP="00AC1A14">
      <w:pPr>
        <w:pStyle w:val="Heading1"/>
        <w:rPr>
          <w:rFonts w:ascii="Arial" w:hAnsi="Arial" w:cs="Arial"/>
          <w:b/>
          <w:bCs/>
          <w:color w:val="auto"/>
          <w:sz w:val="22"/>
          <w:szCs w:val="22"/>
        </w:rPr>
      </w:pPr>
      <w:bookmarkStart w:id="3" w:name="_Toc223296974"/>
      <w:r w:rsidRPr="00AC1A14">
        <w:rPr>
          <w:rFonts w:ascii="Arial" w:hAnsi="Arial" w:cs="Arial"/>
          <w:b/>
          <w:bCs/>
          <w:color w:val="auto"/>
          <w:sz w:val="22"/>
          <w:szCs w:val="22"/>
        </w:rPr>
        <w:t>Task 3</w:t>
      </w:r>
      <w:bookmarkEnd w:id="3"/>
    </w:p>
    <w:p w14:paraId="4500F5D3" w14:textId="7BB6E63F"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t xml:space="preserve">Reflecting on Robyn’s story has deeply influenced how I understand and apply the principles of </w:t>
      </w:r>
      <w:r w:rsidR="00FE6C85" w:rsidRPr="00AC1A14">
        <w:rPr>
          <w:rFonts w:ascii="Arial" w:hAnsi="Arial" w:cs="Arial"/>
          <w:sz w:val="22"/>
          <w:szCs w:val="22"/>
        </w:rPr>
        <w:t>person-centred</w:t>
      </w:r>
      <w:r w:rsidRPr="00203F53">
        <w:rPr>
          <w:rFonts w:ascii="Arial" w:hAnsi="Arial" w:cs="Arial"/>
          <w:sz w:val="22"/>
          <w:szCs w:val="22"/>
        </w:rPr>
        <w:t xml:space="preserve"> care, partnership working and ethics in my practice as a health and social care worker. Her story reminds me that caring is more than completing tasks. It is about listening, collaborating and acting in a way that respects the person as a unique human being. Considering how these principles can be used in my daily activities has helped me to see where I work well and where I need to improve as I develop my professional skills.</w:t>
      </w:r>
    </w:p>
    <w:p w14:paraId="4284BF43" w14:textId="3F3A80D7"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t>Person centred care means seeing the person I support as an individual with their own history, preferences and needs</w:t>
      </w:r>
      <w:r w:rsidR="00826167" w:rsidRPr="00AC1A14">
        <w:rPr>
          <w:rFonts w:ascii="Arial" w:hAnsi="Arial" w:cs="Arial"/>
          <w:sz w:val="22"/>
          <w:szCs w:val="22"/>
        </w:rPr>
        <w:t xml:space="preserve"> (Zhao et al., 2016)</w:t>
      </w:r>
      <w:r w:rsidRPr="00203F53">
        <w:rPr>
          <w:rFonts w:ascii="Arial" w:hAnsi="Arial" w:cs="Arial"/>
          <w:sz w:val="22"/>
          <w:szCs w:val="22"/>
        </w:rPr>
        <w:t xml:space="preserve">. In Robyn’s experience the staff took time to ask </w:t>
      </w:r>
      <w:r w:rsidRPr="00203F53">
        <w:rPr>
          <w:rFonts w:ascii="Arial" w:hAnsi="Arial" w:cs="Arial"/>
          <w:sz w:val="22"/>
          <w:szCs w:val="22"/>
        </w:rPr>
        <w:lastRenderedPageBreak/>
        <w:t>what she wanted and made changes based on her wishes. This influenced me to think more deeply about the moments in my day when I might miss opportunities to involve the person I support in decisions about their care.</w:t>
      </w:r>
    </w:p>
    <w:p w14:paraId="79AA550A" w14:textId="117E33B9"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t xml:space="preserve">For example, there have been times when I focused on completing tasks rather than exploring choices with the person in front of me. When assisting a service user with personal care, I might have asked basic questions about comfort but not checked if they wanted changes to how or when the support was given. I now understand that these missed opportunities can make a service user feel unheard. Research shows that when people are actively involved in their care </w:t>
      </w:r>
      <w:r w:rsidR="00FE6C85" w:rsidRPr="00AC1A14">
        <w:rPr>
          <w:rFonts w:ascii="Arial" w:hAnsi="Arial" w:cs="Arial"/>
          <w:sz w:val="22"/>
          <w:szCs w:val="22"/>
        </w:rPr>
        <w:t>decisions,</w:t>
      </w:r>
      <w:r w:rsidRPr="00203F53">
        <w:rPr>
          <w:rFonts w:ascii="Arial" w:hAnsi="Arial" w:cs="Arial"/>
          <w:sz w:val="22"/>
          <w:szCs w:val="22"/>
        </w:rPr>
        <w:t xml:space="preserve"> they report better outcomes and feel more in control of their lives (McCormack </w:t>
      </w:r>
      <w:r w:rsidR="00826167" w:rsidRPr="00AC1A14">
        <w:rPr>
          <w:rFonts w:ascii="Arial" w:hAnsi="Arial" w:cs="Arial"/>
          <w:sz w:val="22"/>
          <w:szCs w:val="22"/>
        </w:rPr>
        <w:t>and McCance,</w:t>
      </w:r>
      <w:r w:rsidRPr="00203F53">
        <w:rPr>
          <w:rFonts w:ascii="Arial" w:hAnsi="Arial" w:cs="Arial"/>
          <w:sz w:val="22"/>
          <w:szCs w:val="22"/>
        </w:rPr>
        <w:t xml:space="preserve"> 201</w:t>
      </w:r>
      <w:r w:rsidR="00826167" w:rsidRPr="00AC1A14">
        <w:rPr>
          <w:rFonts w:ascii="Arial" w:hAnsi="Arial" w:cs="Arial"/>
          <w:sz w:val="22"/>
          <w:szCs w:val="22"/>
        </w:rPr>
        <w:t>6</w:t>
      </w:r>
      <w:r w:rsidRPr="00203F53">
        <w:rPr>
          <w:rFonts w:ascii="Arial" w:hAnsi="Arial" w:cs="Arial"/>
          <w:sz w:val="22"/>
          <w:szCs w:val="22"/>
        </w:rPr>
        <w:t>).</w:t>
      </w:r>
    </w:p>
    <w:p w14:paraId="168D4976" w14:textId="6D817368"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t xml:space="preserve">To strengthen this principle in my work I now deliberately use questions that invite choice and preference such as what matters most to you today and how </w:t>
      </w:r>
      <w:r w:rsidR="00826167" w:rsidRPr="00AC1A14">
        <w:rPr>
          <w:rFonts w:ascii="Arial" w:hAnsi="Arial" w:cs="Arial"/>
          <w:sz w:val="22"/>
          <w:szCs w:val="22"/>
        </w:rPr>
        <w:t>you like this task would</w:t>
      </w:r>
      <w:r w:rsidRPr="00203F53">
        <w:rPr>
          <w:rFonts w:ascii="Arial" w:hAnsi="Arial" w:cs="Arial"/>
          <w:sz w:val="22"/>
          <w:szCs w:val="22"/>
        </w:rPr>
        <w:t xml:space="preserve"> done. These simple questions help me shift from doing tasks for someone to working with them as a partner in their care. I also reflect at the end of each shift on whether person centred care was applied or if more could have been done.</w:t>
      </w:r>
    </w:p>
    <w:p w14:paraId="732F64E1" w14:textId="77777777"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t>Partnership working was strongly demonstrated in Robyn’s story through collaborative planning with other professionals and her own active involvement. In my daily work partnership working influences how I communicate with other members of the team and external services. I understand now that good partnership starts with clear communication and respect for the role of others.</w:t>
      </w:r>
    </w:p>
    <w:p w14:paraId="7C3DFA67" w14:textId="22806B89"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t xml:space="preserve">I consider one of my strengths to be good communication with colleagues in my immediate team. I share observations, update care notes and hand over information at shift change to ensure continuity. </w:t>
      </w:r>
      <w:r w:rsidR="00FE6C85" w:rsidRPr="00AC1A14">
        <w:rPr>
          <w:rFonts w:ascii="Arial" w:hAnsi="Arial" w:cs="Arial"/>
          <w:sz w:val="22"/>
          <w:szCs w:val="22"/>
        </w:rPr>
        <w:t>However,</w:t>
      </w:r>
      <w:r w:rsidRPr="00203F53">
        <w:rPr>
          <w:rFonts w:ascii="Arial" w:hAnsi="Arial" w:cs="Arial"/>
          <w:sz w:val="22"/>
          <w:szCs w:val="22"/>
        </w:rPr>
        <w:t xml:space="preserve"> I recognise that I have been less confident in communicating decisions and concerns with external professionals such as social workers, occupational therapists and community nurses. I have sometimes delayed contacting other professionals until </w:t>
      </w:r>
      <w:r w:rsidR="00FE6C85" w:rsidRPr="00AC1A14">
        <w:rPr>
          <w:rFonts w:ascii="Arial" w:hAnsi="Arial" w:cs="Arial"/>
          <w:sz w:val="22"/>
          <w:szCs w:val="22"/>
        </w:rPr>
        <w:t>necessary</w:t>
      </w:r>
      <w:r w:rsidRPr="00203F53">
        <w:rPr>
          <w:rFonts w:ascii="Arial" w:hAnsi="Arial" w:cs="Arial"/>
          <w:sz w:val="22"/>
          <w:szCs w:val="22"/>
        </w:rPr>
        <w:t xml:space="preserve"> rather than early enough to plan care proactively.</w:t>
      </w:r>
    </w:p>
    <w:p w14:paraId="70BC4C8F" w14:textId="4E31C73F"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t>Evidence shows that poor communication and lack of coordination between professionals can increase errors and reduce the quality of care (</w:t>
      </w:r>
      <w:r w:rsidR="00826167" w:rsidRPr="00AC1A14">
        <w:rPr>
          <w:rFonts w:ascii="Arial" w:hAnsi="Arial" w:cs="Arial"/>
          <w:sz w:val="22"/>
          <w:szCs w:val="22"/>
        </w:rPr>
        <w:t>Glasby</w:t>
      </w:r>
      <w:r w:rsidRPr="00203F53">
        <w:rPr>
          <w:rFonts w:ascii="Arial" w:hAnsi="Arial" w:cs="Arial"/>
          <w:sz w:val="22"/>
          <w:szCs w:val="22"/>
        </w:rPr>
        <w:t>, 20</w:t>
      </w:r>
      <w:r w:rsidR="00826167" w:rsidRPr="00AC1A14">
        <w:rPr>
          <w:rFonts w:ascii="Arial" w:hAnsi="Arial" w:cs="Arial"/>
          <w:sz w:val="22"/>
          <w:szCs w:val="22"/>
        </w:rPr>
        <w:t>17</w:t>
      </w:r>
      <w:r w:rsidRPr="00203F53">
        <w:rPr>
          <w:rFonts w:ascii="Arial" w:hAnsi="Arial" w:cs="Arial"/>
          <w:sz w:val="22"/>
          <w:szCs w:val="22"/>
        </w:rPr>
        <w:t>). Reflecting on this, I now take more responsibility for initiating contact with external partners where this will improve planning. I also use shared electronic care records where available to keep all professionals updated. In team meetings I listen to the views of others and work to integrate them into the care plan. I recognise that partnership working requires confidence, mutual respect and clarity about roles. I am working to build these skills through practice and learning.</w:t>
      </w:r>
    </w:p>
    <w:p w14:paraId="4AE2B9B2" w14:textId="77777777"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lastRenderedPageBreak/>
        <w:t>Ethics guide the decisions we make when care is not straightforward. In Robyn’s situation professionals made choices that balanced her right to independence with concern for her safety. This made me reflect on my approach when faced with decisions where values or risk are involved.</w:t>
      </w:r>
    </w:p>
    <w:p w14:paraId="76FAC312" w14:textId="77777777"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t>In my work I have supported people who want to continue activities that involve some risk. In the past I have sometimes prioritised avoidance of risk over personal choice without fully exploring the person’s values and understanding their perspective. Reflecting on this I see that ethical practice means more than following rules. Ethical practice means engaging the person in a conversation about risk, explaining potential outcomes and supporting them to make informed decisions.</w:t>
      </w:r>
    </w:p>
    <w:p w14:paraId="0D1A7F7B" w14:textId="6813418A" w:rsidR="00203F53" w:rsidRPr="00203F53" w:rsidRDefault="00203F53" w:rsidP="00203F53">
      <w:pPr>
        <w:spacing w:line="360" w:lineRule="auto"/>
        <w:jc w:val="both"/>
        <w:rPr>
          <w:rFonts w:ascii="Arial" w:hAnsi="Arial" w:cs="Arial"/>
          <w:sz w:val="22"/>
          <w:szCs w:val="22"/>
        </w:rPr>
      </w:pPr>
      <w:r w:rsidRPr="00203F53">
        <w:rPr>
          <w:rFonts w:ascii="Arial" w:hAnsi="Arial" w:cs="Arial"/>
          <w:sz w:val="22"/>
          <w:szCs w:val="22"/>
        </w:rPr>
        <w:t>The Nursing and Midwifery Council Code of Practice states that people must be supported to make choices and have their dignity respected (</w:t>
      </w:r>
      <w:r w:rsidR="00826167" w:rsidRPr="00AC1A14">
        <w:rPr>
          <w:rFonts w:ascii="Arial" w:hAnsi="Arial" w:cs="Arial"/>
          <w:sz w:val="22"/>
          <w:szCs w:val="22"/>
        </w:rPr>
        <w:t>Rowe</w:t>
      </w:r>
      <w:r w:rsidRPr="00203F53">
        <w:rPr>
          <w:rFonts w:ascii="Arial" w:hAnsi="Arial" w:cs="Arial"/>
          <w:sz w:val="22"/>
          <w:szCs w:val="22"/>
        </w:rPr>
        <w:t>, 20</w:t>
      </w:r>
      <w:r w:rsidR="00826167" w:rsidRPr="00AC1A14">
        <w:rPr>
          <w:rFonts w:ascii="Arial" w:hAnsi="Arial" w:cs="Arial"/>
          <w:sz w:val="22"/>
          <w:szCs w:val="22"/>
        </w:rPr>
        <w:t>23</w:t>
      </w:r>
      <w:r w:rsidRPr="00203F53">
        <w:rPr>
          <w:rFonts w:ascii="Arial" w:hAnsi="Arial" w:cs="Arial"/>
          <w:sz w:val="22"/>
          <w:szCs w:val="22"/>
        </w:rPr>
        <w:t>). The Care Act 2014 also requires that wellbeing, including personal control and participation, is at the centre of all planning. In complex situations I now discuss the risk openly with the person, document the discussion and explain the reasons for any recommendations I make. I also seek advice from supervisors and colleagues. Research suggests that transparent ethical decision making promotes accountability and improves trust between professionals and service users (Johnstone, 20</w:t>
      </w:r>
      <w:r w:rsidR="002B1B65" w:rsidRPr="00AC1A14">
        <w:rPr>
          <w:rFonts w:ascii="Arial" w:hAnsi="Arial" w:cs="Arial"/>
          <w:sz w:val="22"/>
          <w:szCs w:val="22"/>
        </w:rPr>
        <w:t>22</w:t>
      </w:r>
      <w:r w:rsidRPr="00203F53">
        <w:rPr>
          <w:rFonts w:ascii="Arial" w:hAnsi="Arial" w:cs="Arial"/>
          <w:sz w:val="22"/>
          <w:szCs w:val="22"/>
        </w:rPr>
        <w:t>).</w:t>
      </w:r>
    </w:p>
    <w:p w14:paraId="4C994190" w14:textId="77777777" w:rsidR="00203F53" w:rsidRPr="00203F53" w:rsidRDefault="00203F53" w:rsidP="00203F53">
      <w:pPr>
        <w:spacing w:line="360" w:lineRule="auto"/>
        <w:jc w:val="both"/>
        <w:rPr>
          <w:rFonts w:ascii="Arial" w:hAnsi="Arial" w:cs="Arial"/>
          <w:b/>
          <w:bCs/>
          <w:sz w:val="22"/>
          <w:szCs w:val="22"/>
        </w:rPr>
      </w:pPr>
      <w:r w:rsidRPr="00203F53">
        <w:rPr>
          <w:rFonts w:ascii="Arial" w:hAnsi="Arial" w:cs="Arial"/>
          <w:b/>
          <w:bCs/>
          <w:sz w:val="22"/>
          <w:szCs w:val="22"/>
        </w:rPr>
        <w:t>Strengths and Areas for Development</w:t>
      </w:r>
    </w:p>
    <w:p w14:paraId="21EC6C0C" w14:textId="77777777" w:rsidR="002B1B65" w:rsidRPr="002B1B65" w:rsidRDefault="002B1B65" w:rsidP="002B1B65">
      <w:pPr>
        <w:spacing w:line="360" w:lineRule="auto"/>
        <w:jc w:val="both"/>
        <w:rPr>
          <w:rFonts w:ascii="Arial" w:hAnsi="Arial" w:cs="Arial"/>
          <w:sz w:val="22"/>
          <w:szCs w:val="22"/>
        </w:rPr>
      </w:pPr>
      <w:r w:rsidRPr="002B1B65">
        <w:rPr>
          <w:rFonts w:ascii="Arial" w:hAnsi="Arial" w:cs="Arial"/>
          <w:sz w:val="22"/>
          <w:szCs w:val="22"/>
        </w:rPr>
        <w:t>Reflecting on Robyn’s story has helped me identify not only my strengths but also precise areas where I can improve my practice. One of my strengths is my ability to engage service users in meaningful conversations about their care. For example, when supporting a resident with mobility issues, I make a point to ask whether they prefer certain times of day for exercises or personal care tasks, which helps them feel in control. I am also confident in building trusting relationships; service users often feel comfortable sharing concerns with me, which enables me to respond proactively to small issues before they escalate. Another strength is my attention to maintaining dignity and promoting autonomy. I consistently encourage choices, such as asking how someone would like their day organised or how they want assistance delivered, rather than assuming what is best.</w:t>
      </w:r>
    </w:p>
    <w:p w14:paraId="5B9330CA" w14:textId="6BC8112B" w:rsidR="002B1B65" w:rsidRPr="002B1B65" w:rsidRDefault="002B1B65" w:rsidP="002B1B65">
      <w:pPr>
        <w:spacing w:line="360" w:lineRule="auto"/>
        <w:jc w:val="both"/>
        <w:rPr>
          <w:rFonts w:ascii="Arial" w:hAnsi="Arial" w:cs="Arial"/>
          <w:sz w:val="22"/>
          <w:szCs w:val="22"/>
        </w:rPr>
      </w:pPr>
      <w:r w:rsidRPr="002B1B65">
        <w:rPr>
          <w:rFonts w:ascii="Arial" w:hAnsi="Arial" w:cs="Arial"/>
          <w:sz w:val="22"/>
          <w:szCs w:val="22"/>
        </w:rPr>
        <w:t xml:space="preserve">Despite these strengths, I recognise specific areas for development. First, I need to improve my confidence in collaborating with external professionals. For instance, when planning discharge for service users, I have occasionally delayed contacting social workers or community nurses due to uncertainty about roles, which has slowed coordinated care. Second, I need to strengthen how I document ethical reasoning in care notes. While I make verbal assessments and record interventions, I do not always capture the decision-making process behind ethical choices, such as explaining why a risk was allowed or mitigated. Third, </w:t>
      </w:r>
      <w:r w:rsidRPr="002B1B65">
        <w:rPr>
          <w:rFonts w:ascii="Arial" w:hAnsi="Arial" w:cs="Arial"/>
          <w:sz w:val="22"/>
          <w:szCs w:val="22"/>
        </w:rPr>
        <w:lastRenderedPageBreak/>
        <w:t>I need to maintain a person-centred focus when under time pressure. In busy shifts, I have sometimes prioritised completing tasks over exploring service user preferences, which can reduce engagement and satisfaction.</w:t>
      </w:r>
    </w:p>
    <w:p w14:paraId="38C39178" w14:textId="77777777" w:rsidR="002B1B65" w:rsidRPr="002B1B65" w:rsidRDefault="002B1B65" w:rsidP="002B1B65">
      <w:pPr>
        <w:spacing w:line="360" w:lineRule="auto"/>
        <w:jc w:val="both"/>
        <w:rPr>
          <w:rFonts w:ascii="Arial" w:hAnsi="Arial" w:cs="Arial"/>
          <w:b/>
          <w:bCs/>
          <w:sz w:val="22"/>
          <w:szCs w:val="22"/>
        </w:rPr>
      </w:pPr>
      <w:r w:rsidRPr="002B1B65">
        <w:rPr>
          <w:rFonts w:ascii="Arial" w:hAnsi="Arial" w:cs="Arial"/>
          <w:b/>
          <w:bCs/>
          <w:sz w:val="22"/>
          <w:szCs w:val="22"/>
        </w:rPr>
        <w:t>Plan to Enhance Knowledge and Skills</w:t>
      </w:r>
    </w:p>
    <w:p w14:paraId="41B08B80" w14:textId="77777777" w:rsidR="002B1B65" w:rsidRPr="002B1B65" w:rsidRDefault="002B1B65" w:rsidP="002B1B65">
      <w:pPr>
        <w:spacing w:line="360" w:lineRule="auto"/>
        <w:jc w:val="both"/>
        <w:rPr>
          <w:rFonts w:ascii="Arial" w:hAnsi="Arial" w:cs="Arial"/>
          <w:sz w:val="22"/>
          <w:szCs w:val="22"/>
        </w:rPr>
      </w:pPr>
      <w:r w:rsidRPr="002B1B65">
        <w:rPr>
          <w:rFonts w:ascii="Arial" w:hAnsi="Arial" w:cs="Arial"/>
          <w:sz w:val="22"/>
          <w:szCs w:val="22"/>
        </w:rPr>
        <w:t>To address these areas, I have developed a targeted professional development plan with measurable actions. To improve partnership working, I will arrange at least one joint planning session each week with external professionals such as occupational therapists or social workers. I will also prepare a checklist of key information to share during these interactions to ensure clarity and efficiency. To strengthen ethical documentation, I will use a structured ethical decision template when planning interventions, detailing the risks considered, discussions with the service user, and the justification for any decisions. This will be applied to every case involving significant risk or autonomy decisions over the next three months.</w:t>
      </w:r>
    </w:p>
    <w:p w14:paraId="2CE47E59" w14:textId="77777777" w:rsidR="002B1B65" w:rsidRPr="002B1B65" w:rsidRDefault="002B1B65" w:rsidP="002B1B65">
      <w:pPr>
        <w:spacing w:line="360" w:lineRule="auto"/>
        <w:jc w:val="both"/>
        <w:rPr>
          <w:rFonts w:ascii="Arial" w:hAnsi="Arial" w:cs="Arial"/>
          <w:sz w:val="22"/>
          <w:szCs w:val="22"/>
        </w:rPr>
      </w:pPr>
      <w:r w:rsidRPr="002B1B65">
        <w:rPr>
          <w:rFonts w:ascii="Arial" w:hAnsi="Arial" w:cs="Arial"/>
          <w:sz w:val="22"/>
          <w:szCs w:val="22"/>
        </w:rPr>
        <w:t>To maintain a person-centred approach under time constraints, I will implement two strategies. First, I will schedule brief preference checks during routine care tasks, such as asking service users how they want their support delivered before starting each task. Second, I will use a reflection log at the end of each shift to record one example where I applied person-centred care and one where I could have improved. This will allow me to monitor progress, identify patterns, and develop practical solutions to maintain engagement even in busy periods.</w:t>
      </w:r>
    </w:p>
    <w:p w14:paraId="54CFF5CC" w14:textId="77777777" w:rsidR="002B1B65" w:rsidRPr="00AC1A14" w:rsidRDefault="002B1B65" w:rsidP="002B1B65">
      <w:pPr>
        <w:spacing w:line="360" w:lineRule="auto"/>
        <w:jc w:val="both"/>
        <w:rPr>
          <w:rFonts w:ascii="Arial" w:hAnsi="Arial" w:cs="Arial"/>
          <w:sz w:val="22"/>
          <w:szCs w:val="22"/>
        </w:rPr>
      </w:pPr>
      <w:r w:rsidRPr="002B1B65">
        <w:rPr>
          <w:rFonts w:ascii="Arial" w:hAnsi="Arial" w:cs="Arial"/>
          <w:sz w:val="22"/>
          <w:szCs w:val="22"/>
        </w:rPr>
        <w:t>Additionally, I will seek structured feedback from colleagues and supervisors by requesting monthly reviews focused on my communication with external partners, the clarity of ethical documentation, and the application of person-centred care in daily interactions. These steps will create a continuous feedback loop and ensure that improvements are measurable and consistent. By integrating reflective practice, active learning, and feedback, I aim to enhance my skills in partnership working, ethical reasoning, and person-centred care, making them an integral part of my professional practice.</w:t>
      </w:r>
    </w:p>
    <w:p w14:paraId="2C300F5F" w14:textId="560EB5E4" w:rsidR="002B1B65" w:rsidRPr="00AC1A14" w:rsidRDefault="00DE352D" w:rsidP="00196357">
      <w:pPr>
        <w:spacing w:line="360" w:lineRule="auto"/>
        <w:jc w:val="both"/>
        <w:rPr>
          <w:rFonts w:ascii="Arial" w:hAnsi="Arial" w:cs="Arial"/>
          <w:sz w:val="22"/>
          <w:szCs w:val="22"/>
        </w:rPr>
      </w:pPr>
      <w:bookmarkStart w:id="4" w:name="_Toc223296975"/>
      <w:r w:rsidRPr="00AC1A14">
        <w:rPr>
          <w:rStyle w:val="Heading1Char"/>
          <w:rFonts w:ascii="Arial" w:hAnsi="Arial" w:cs="Arial"/>
          <w:b/>
          <w:bCs/>
          <w:color w:val="auto"/>
          <w:sz w:val="22"/>
          <w:szCs w:val="22"/>
        </w:rPr>
        <w:t>Conclusion</w:t>
      </w:r>
      <w:bookmarkEnd w:id="4"/>
      <w:r w:rsidRPr="00AC1A14">
        <w:rPr>
          <w:rFonts w:ascii="Arial" w:hAnsi="Arial" w:cs="Arial"/>
          <w:b/>
          <w:bCs/>
          <w:sz w:val="22"/>
          <w:szCs w:val="22"/>
        </w:rPr>
        <w:br/>
      </w:r>
      <w:r w:rsidRPr="00AC1A14">
        <w:rPr>
          <w:rFonts w:ascii="Arial" w:hAnsi="Arial" w:cs="Arial"/>
          <w:sz w:val="22"/>
          <w:szCs w:val="22"/>
        </w:rPr>
        <w:t>Overall, the cases of Joan, Mrs C, and Robyn demonstrate that person-centred care, partnership working, and ethics are fundamental to high-quality health and social care practice. When these principles are ignored, care can become task-focused and emotionally harmful; when applied effectively, they promote dignity, autonomy, and positive outcomes. Reflecting on these examples shows that these principles must be embedded in everyday interactions, communication, and decision-making. Continuous reflection, collaboration, and ethical awareness are essential for developing professional competence and ensuring that care remains genuinely centred on the individual.</w:t>
      </w:r>
    </w:p>
    <w:p w14:paraId="49FDA0D9" w14:textId="66EB7FD1" w:rsidR="002B1B65" w:rsidRPr="00AC1A14" w:rsidRDefault="002B1B65" w:rsidP="002B1B65">
      <w:pPr>
        <w:jc w:val="both"/>
      </w:pPr>
      <w:bookmarkStart w:id="5" w:name="_Toc223296976"/>
      <w:r w:rsidRPr="00AC1A14">
        <w:rPr>
          <w:rStyle w:val="Heading1Char"/>
          <w:rFonts w:ascii="Arial" w:hAnsi="Arial" w:cs="Arial"/>
          <w:b/>
          <w:bCs/>
          <w:color w:val="auto"/>
          <w:sz w:val="22"/>
          <w:szCs w:val="22"/>
        </w:rPr>
        <w:lastRenderedPageBreak/>
        <w:t>References</w:t>
      </w:r>
      <w:bookmarkEnd w:id="5"/>
      <w:r w:rsidRPr="00AC1A14">
        <w:rPr>
          <w:rFonts w:ascii="Arial" w:hAnsi="Arial" w:cs="Arial"/>
          <w:sz w:val="22"/>
          <w:szCs w:val="22"/>
        </w:rPr>
        <w:t>:</w:t>
      </w:r>
    </w:p>
    <w:p w14:paraId="221090BB" w14:textId="1AB5BC1E" w:rsidR="002B1B65" w:rsidRPr="00AC1A14" w:rsidRDefault="002B1B65" w:rsidP="002B1B65">
      <w:pPr>
        <w:jc w:val="both"/>
      </w:pPr>
      <w:r w:rsidRPr="00AC1A14">
        <w:t xml:space="preserve">Barnes, D., Boland, B., Linhart, K. and Wilson, K. </w:t>
      </w:r>
      <w:r w:rsidR="0077296A" w:rsidRPr="00AC1A14">
        <w:t>(</w:t>
      </w:r>
      <w:r w:rsidRPr="00AC1A14">
        <w:t>2017</w:t>
      </w:r>
      <w:r w:rsidR="0077296A" w:rsidRPr="00AC1A14">
        <w:t>)</w:t>
      </w:r>
      <w:r w:rsidRPr="00AC1A14">
        <w:t xml:space="preserve"> </w:t>
      </w:r>
      <w:r w:rsidR="0077296A" w:rsidRPr="00AC1A14">
        <w:t>‘</w:t>
      </w:r>
      <w:r w:rsidRPr="00AC1A14">
        <w:t>Personalisation and social care assessment–the Care Act 2014</w:t>
      </w:r>
      <w:r w:rsidR="0077296A" w:rsidRPr="00AC1A14">
        <w:t>’</w:t>
      </w:r>
      <w:r w:rsidRPr="00AC1A14">
        <w:t> </w:t>
      </w:r>
      <w:proofErr w:type="spellStart"/>
      <w:r w:rsidRPr="00AC1A14">
        <w:rPr>
          <w:i/>
          <w:iCs/>
        </w:rPr>
        <w:t>BJPsych</w:t>
      </w:r>
      <w:proofErr w:type="spellEnd"/>
      <w:r w:rsidRPr="00AC1A14">
        <w:rPr>
          <w:i/>
          <w:iCs/>
        </w:rPr>
        <w:t xml:space="preserve"> Bulletin</w:t>
      </w:r>
      <w:r w:rsidRPr="00AC1A14">
        <w:t>, </w:t>
      </w:r>
      <w:r w:rsidRPr="00AC1A14">
        <w:rPr>
          <w:i/>
          <w:iCs/>
        </w:rPr>
        <w:t>41</w:t>
      </w:r>
      <w:r w:rsidRPr="00AC1A14">
        <w:t>(3), pp.176-180.</w:t>
      </w:r>
    </w:p>
    <w:p w14:paraId="708D1EFC" w14:textId="77777777" w:rsidR="002B1B65" w:rsidRPr="00AC1A14" w:rsidRDefault="002B1B65" w:rsidP="002B1B65">
      <w:pPr>
        <w:jc w:val="both"/>
      </w:pPr>
      <w:r w:rsidRPr="00AC1A14">
        <w:t xml:space="preserve">Beauchamp, T.L. and Childress, J.F. (2019) </w:t>
      </w:r>
      <w:r w:rsidRPr="00AC1A14">
        <w:rPr>
          <w:i/>
          <w:iCs/>
        </w:rPr>
        <w:t>Principles of Biomedical Ethics</w:t>
      </w:r>
      <w:r w:rsidRPr="00AC1A14">
        <w:t xml:space="preserve">. 8th </w:t>
      </w:r>
      <w:proofErr w:type="spellStart"/>
      <w:r w:rsidRPr="00AC1A14">
        <w:t>edn</w:t>
      </w:r>
      <w:proofErr w:type="spellEnd"/>
      <w:r w:rsidRPr="00AC1A14">
        <w:t>. Oxford: Oxford University Press.</w:t>
      </w:r>
    </w:p>
    <w:p w14:paraId="70EAAD91" w14:textId="03ECD68F" w:rsidR="002B1B65" w:rsidRPr="00AC1A14" w:rsidRDefault="002B1B65" w:rsidP="002B1B65">
      <w:pPr>
        <w:jc w:val="both"/>
      </w:pPr>
      <w:r w:rsidRPr="00AC1A14">
        <w:t xml:space="preserve">Coffey, A., Leahy-Warren, P., Savage, E., Hegarty, J., </w:t>
      </w:r>
      <w:proofErr w:type="spellStart"/>
      <w:r w:rsidRPr="00AC1A14">
        <w:t>Cornally</w:t>
      </w:r>
      <w:proofErr w:type="spellEnd"/>
      <w:r w:rsidRPr="00AC1A14">
        <w:t xml:space="preserve">, N., Day, M.R., Sahm, L., </w:t>
      </w:r>
      <w:proofErr w:type="spellStart"/>
      <w:r w:rsidRPr="00AC1A14">
        <w:t>O’connor</w:t>
      </w:r>
      <w:proofErr w:type="spellEnd"/>
      <w:r w:rsidRPr="00AC1A14">
        <w:t xml:space="preserve">, K., </w:t>
      </w:r>
      <w:proofErr w:type="spellStart"/>
      <w:r w:rsidRPr="00AC1A14">
        <w:t>O’doherty</w:t>
      </w:r>
      <w:proofErr w:type="spellEnd"/>
      <w:r w:rsidRPr="00AC1A14">
        <w:t xml:space="preserve">, J., Liew, A. and Sezgin, D. </w:t>
      </w:r>
      <w:r w:rsidR="0077296A" w:rsidRPr="00AC1A14">
        <w:t>(</w:t>
      </w:r>
      <w:r w:rsidRPr="00AC1A14">
        <w:t>2019</w:t>
      </w:r>
      <w:r w:rsidR="0077296A" w:rsidRPr="00AC1A14">
        <w:t>)</w:t>
      </w:r>
      <w:r w:rsidRPr="00AC1A14">
        <w:t xml:space="preserve"> </w:t>
      </w:r>
      <w:r w:rsidR="0077296A" w:rsidRPr="00AC1A14">
        <w:t>‘</w:t>
      </w:r>
      <w:r w:rsidRPr="00AC1A14">
        <w:t>Interventions to promote early discharge and avoid inappropriate hospital (re) admission: a systematic review</w:t>
      </w:r>
      <w:r w:rsidR="0077296A" w:rsidRPr="00AC1A14">
        <w:t>’</w:t>
      </w:r>
      <w:r w:rsidRPr="00AC1A14">
        <w:t> </w:t>
      </w:r>
      <w:r w:rsidRPr="00AC1A14">
        <w:rPr>
          <w:i/>
          <w:iCs/>
        </w:rPr>
        <w:t>International journal of environmental research and public health</w:t>
      </w:r>
      <w:r w:rsidRPr="00AC1A14">
        <w:t>, </w:t>
      </w:r>
      <w:r w:rsidRPr="00AC1A14">
        <w:rPr>
          <w:i/>
          <w:iCs/>
        </w:rPr>
        <w:t>16</w:t>
      </w:r>
      <w:r w:rsidRPr="00AC1A14">
        <w:t>(14), p.2457.</w:t>
      </w:r>
    </w:p>
    <w:p w14:paraId="761195F9" w14:textId="5416442A" w:rsidR="002B1B65" w:rsidRPr="00AC1A14" w:rsidRDefault="002B1B65" w:rsidP="002B1B65">
      <w:pPr>
        <w:jc w:val="both"/>
      </w:pPr>
      <w:r w:rsidRPr="00AC1A14">
        <w:t xml:space="preserve">Coulter, A., Entwistle, V.A., Eccles, A., Ryan, S., Shepperd, S. and Perera, R. </w:t>
      </w:r>
      <w:r w:rsidR="0077296A" w:rsidRPr="00AC1A14">
        <w:t>(</w:t>
      </w:r>
      <w:r w:rsidRPr="00AC1A14">
        <w:t>2015</w:t>
      </w:r>
      <w:r w:rsidR="0077296A" w:rsidRPr="00AC1A14">
        <w:t>) ‘</w:t>
      </w:r>
      <w:r w:rsidRPr="00AC1A14">
        <w:t>Personalised care planning for adults with chronic or long</w:t>
      </w:r>
      <w:r w:rsidRPr="00AC1A14">
        <w:rPr>
          <w:rFonts w:ascii="Cambria Math" w:hAnsi="Cambria Math" w:cs="Cambria Math"/>
        </w:rPr>
        <w:t>‐</w:t>
      </w:r>
      <w:r w:rsidRPr="00AC1A14">
        <w:t>term health conditions</w:t>
      </w:r>
      <w:r w:rsidR="0077296A" w:rsidRPr="00AC1A14">
        <w:t>’</w:t>
      </w:r>
      <w:r w:rsidRPr="00AC1A14">
        <w:rPr>
          <w:rFonts w:ascii="Aptos" w:hAnsi="Aptos" w:cs="Aptos"/>
        </w:rPr>
        <w:t> </w:t>
      </w:r>
      <w:r w:rsidRPr="00AC1A14">
        <w:rPr>
          <w:i/>
          <w:iCs/>
        </w:rPr>
        <w:t>Cochrane Database of Systematic Reviews</w:t>
      </w:r>
      <w:r w:rsidRPr="00AC1A14">
        <w:t>, (3).</w:t>
      </w:r>
    </w:p>
    <w:p w14:paraId="1BB36CDE" w14:textId="44AD363C" w:rsidR="002B1B65" w:rsidRPr="00AC1A14" w:rsidRDefault="002B1B65" w:rsidP="002B1B65">
      <w:pPr>
        <w:jc w:val="both"/>
      </w:pPr>
      <w:r w:rsidRPr="00AC1A14">
        <w:t xml:space="preserve">Curreri, N.A. </w:t>
      </w:r>
      <w:r w:rsidR="0077296A" w:rsidRPr="00AC1A14">
        <w:t>(</w:t>
      </w:r>
      <w:r w:rsidRPr="00AC1A14">
        <w:t>2019</w:t>
      </w:r>
      <w:r w:rsidR="0077296A" w:rsidRPr="00AC1A14">
        <w:t>)</w:t>
      </w:r>
      <w:r w:rsidRPr="00AC1A14">
        <w:t xml:space="preserve"> </w:t>
      </w:r>
      <w:r w:rsidR="0077296A" w:rsidRPr="00AC1A14">
        <w:t>‘</w:t>
      </w:r>
      <w:r w:rsidRPr="00AC1A14">
        <w:t>Partnership Working in Health and Social Care: 2014, Jon Glasby and Helen Dickinson, Publisher: Policy Press</w:t>
      </w:r>
      <w:r w:rsidR="0077296A" w:rsidRPr="00AC1A14">
        <w:t>’</w:t>
      </w:r>
      <w:r w:rsidRPr="00AC1A14">
        <w:t> </w:t>
      </w:r>
      <w:r w:rsidRPr="00AC1A14">
        <w:rPr>
          <w:i/>
          <w:iCs/>
        </w:rPr>
        <w:t>International Journal of Integrated Care</w:t>
      </w:r>
      <w:r w:rsidRPr="00AC1A14">
        <w:t>, </w:t>
      </w:r>
      <w:r w:rsidRPr="00AC1A14">
        <w:rPr>
          <w:i/>
          <w:iCs/>
        </w:rPr>
        <w:t>19</w:t>
      </w:r>
      <w:r w:rsidRPr="00AC1A14">
        <w:t>(2), p.12.</w:t>
      </w:r>
    </w:p>
    <w:p w14:paraId="4D643A6B" w14:textId="1BB7C0C6" w:rsidR="002B1B65" w:rsidRPr="00AC1A14" w:rsidRDefault="002B1B65" w:rsidP="002B1B65">
      <w:pPr>
        <w:jc w:val="both"/>
      </w:pPr>
      <w:r w:rsidRPr="00AC1A14">
        <w:t xml:space="preserve">Dickinson, H. and Glasby, J. </w:t>
      </w:r>
      <w:r w:rsidR="0077296A" w:rsidRPr="00AC1A14">
        <w:t>(</w:t>
      </w:r>
      <w:r w:rsidRPr="00AC1A14">
        <w:t>2010</w:t>
      </w:r>
      <w:r w:rsidR="0077296A" w:rsidRPr="00AC1A14">
        <w:t>)</w:t>
      </w:r>
      <w:r w:rsidRPr="00AC1A14">
        <w:t xml:space="preserve"> ‘Why Partnership Working Doesn't Work’ Pitfalls, problems and possibilities in English health and social care</w:t>
      </w:r>
      <w:r w:rsidR="0077296A" w:rsidRPr="00AC1A14">
        <w:t>’</w:t>
      </w:r>
      <w:r w:rsidRPr="00AC1A14">
        <w:t> </w:t>
      </w:r>
      <w:r w:rsidRPr="00AC1A14">
        <w:rPr>
          <w:i/>
          <w:iCs/>
        </w:rPr>
        <w:t>Public management review</w:t>
      </w:r>
      <w:r w:rsidRPr="00AC1A14">
        <w:t>, </w:t>
      </w:r>
      <w:r w:rsidRPr="00AC1A14">
        <w:rPr>
          <w:i/>
          <w:iCs/>
        </w:rPr>
        <w:t>12</w:t>
      </w:r>
      <w:r w:rsidRPr="00AC1A14">
        <w:t>(6), pp.811-828.</w:t>
      </w:r>
    </w:p>
    <w:p w14:paraId="1921F670" w14:textId="231F4E8A" w:rsidR="002B1B65" w:rsidRPr="00AC1A14" w:rsidRDefault="002B1B65" w:rsidP="002B1B65">
      <w:pPr>
        <w:jc w:val="both"/>
      </w:pPr>
      <w:r w:rsidRPr="00AC1A14">
        <w:t xml:space="preserve">Glasby, J. </w:t>
      </w:r>
      <w:r w:rsidR="0077296A" w:rsidRPr="00AC1A14">
        <w:t>(</w:t>
      </w:r>
      <w:r w:rsidRPr="00AC1A14">
        <w:t>2017</w:t>
      </w:r>
      <w:r w:rsidR="0077296A" w:rsidRPr="00AC1A14">
        <w:t>)</w:t>
      </w:r>
      <w:r w:rsidRPr="00AC1A14">
        <w:t> </w:t>
      </w:r>
      <w:r w:rsidRPr="00AC1A14">
        <w:rPr>
          <w:i/>
          <w:iCs/>
        </w:rPr>
        <w:t>Partnership working in health and social care</w:t>
      </w:r>
      <w:r w:rsidRPr="00AC1A14">
        <w:t> (pp. 71-94). Policy Press.</w:t>
      </w:r>
    </w:p>
    <w:p w14:paraId="46F7D8D0" w14:textId="383876F0" w:rsidR="002B1B65" w:rsidRPr="00AC1A14" w:rsidRDefault="002B1B65" w:rsidP="002B1B65">
      <w:pPr>
        <w:jc w:val="both"/>
      </w:pPr>
      <w:r w:rsidRPr="00AC1A14">
        <w:t xml:space="preserve">Johnstone, M.J. </w:t>
      </w:r>
      <w:r w:rsidR="0077296A" w:rsidRPr="00AC1A14">
        <w:t>(</w:t>
      </w:r>
      <w:r w:rsidRPr="00AC1A14">
        <w:t>2022</w:t>
      </w:r>
      <w:r w:rsidR="0077296A" w:rsidRPr="00AC1A14">
        <w:t>)</w:t>
      </w:r>
      <w:r w:rsidRPr="00AC1A14">
        <w:t> </w:t>
      </w:r>
      <w:r w:rsidRPr="00AC1A14">
        <w:rPr>
          <w:i/>
          <w:iCs/>
        </w:rPr>
        <w:t>Bioethics: a nursing perspective</w:t>
      </w:r>
      <w:r w:rsidRPr="00AC1A14">
        <w:t>. Elsevier Health Sciences.</w:t>
      </w:r>
    </w:p>
    <w:p w14:paraId="2D459142" w14:textId="231644CD" w:rsidR="002B1B65" w:rsidRPr="00AC1A14" w:rsidRDefault="002B1B65" w:rsidP="002B1B65">
      <w:pPr>
        <w:jc w:val="both"/>
      </w:pPr>
      <w:proofErr w:type="spellStart"/>
      <w:r w:rsidRPr="00AC1A14">
        <w:t>Kitwood</w:t>
      </w:r>
      <w:proofErr w:type="spellEnd"/>
      <w:r w:rsidRPr="00AC1A14">
        <w:t xml:space="preserve">, T. </w:t>
      </w:r>
      <w:r w:rsidR="0077296A" w:rsidRPr="00AC1A14">
        <w:t>(</w:t>
      </w:r>
      <w:r w:rsidRPr="00AC1A14">
        <w:t>2019</w:t>
      </w:r>
      <w:r w:rsidR="0077296A" w:rsidRPr="00AC1A14">
        <w:t>)</w:t>
      </w:r>
      <w:r w:rsidRPr="00AC1A14">
        <w:t xml:space="preserve"> </w:t>
      </w:r>
      <w:r w:rsidR="0077296A" w:rsidRPr="00AC1A14">
        <w:t>‘</w:t>
      </w:r>
      <w:r w:rsidRPr="00AC1A14">
        <w:t>The experience of dementia</w:t>
      </w:r>
      <w:r w:rsidR="0077296A" w:rsidRPr="00AC1A14">
        <w:t>’</w:t>
      </w:r>
      <w:r w:rsidRPr="00AC1A14">
        <w:t> </w:t>
      </w:r>
      <w:r w:rsidRPr="00AC1A14">
        <w:rPr>
          <w:i/>
          <w:iCs/>
        </w:rPr>
        <w:t>Dementia reconsidered, revisited: The person still comes first</w:t>
      </w:r>
      <w:r w:rsidRPr="00AC1A14">
        <w:t>, pp.83-96.</w:t>
      </w:r>
    </w:p>
    <w:p w14:paraId="60E267D1" w14:textId="0751FA2B" w:rsidR="002B1B65" w:rsidRPr="00AC1A14" w:rsidRDefault="002B1B65" w:rsidP="002B1B65">
      <w:pPr>
        <w:jc w:val="both"/>
      </w:pPr>
      <w:r w:rsidRPr="00AC1A14">
        <w:t xml:space="preserve">McCormack, B. and McCance, T. </w:t>
      </w:r>
      <w:r w:rsidR="0077296A" w:rsidRPr="00AC1A14">
        <w:t>(</w:t>
      </w:r>
      <w:r w:rsidRPr="00AC1A14">
        <w:t>2016</w:t>
      </w:r>
      <w:r w:rsidR="0077296A" w:rsidRPr="00AC1A14">
        <w:t>)</w:t>
      </w:r>
      <w:r w:rsidRPr="00AC1A14">
        <w:t> </w:t>
      </w:r>
      <w:r w:rsidRPr="00AC1A14">
        <w:rPr>
          <w:i/>
          <w:iCs/>
        </w:rPr>
        <w:t>Person-centred practice in nursing and health care: theory and practice</w:t>
      </w:r>
      <w:r w:rsidRPr="00AC1A14">
        <w:t>. John Wiley &amp; Sons.</w:t>
      </w:r>
    </w:p>
    <w:p w14:paraId="1C652C59" w14:textId="6D8A4401" w:rsidR="002B1B65" w:rsidRPr="00AC1A14" w:rsidRDefault="002B1B65" w:rsidP="002B1B65">
      <w:pPr>
        <w:jc w:val="both"/>
      </w:pPr>
      <w:r w:rsidRPr="00AC1A14">
        <w:t xml:space="preserve">Rowe, G. </w:t>
      </w:r>
      <w:r w:rsidR="0077296A" w:rsidRPr="00AC1A14">
        <w:t>(</w:t>
      </w:r>
      <w:r w:rsidRPr="00AC1A14">
        <w:t>2023</w:t>
      </w:r>
      <w:r w:rsidR="0077296A" w:rsidRPr="00AC1A14">
        <w:t>)</w:t>
      </w:r>
      <w:r w:rsidRPr="00AC1A14">
        <w:t xml:space="preserve"> </w:t>
      </w:r>
      <w:r w:rsidR="0077296A" w:rsidRPr="00AC1A14">
        <w:t>‘</w:t>
      </w:r>
      <w:r w:rsidRPr="00AC1A14">
        <w:t>Practising values and ethics in health and care settings</w:t>
      </w:r>
      <w:r w:rsidR="0077296A" w:rsidRPr="00AC1A14">
        <w:t>’</w:t>
      </w:r>
      <w:r w:rsidRPr="00AC1A14">
        <w:t> </w:t>
      </w:r>
      <w:r w:rsidRPr="00AC1A14">
        <w:rPr>
          <w:i/>
          <w:iCs/>
        </w:rPr>
        <w:t xml:space="preserve">The handbook for nursing associates and assistant practitioners. 3rd </w:t>
      </w:r>
      <w:proofErr w:type="spellStart"/>
      <w:r w:rsidRPr="00AC1A14">
        <w:rPr>
          <w:i/>
          <w:iCs/>
        </w:rPr>
        <w:t>edn</w:t>
      </w:r>
      <w:proofErr w:type="spellEnd"/>
      <w:r w:rsidRPr="00AC1A14">
        <w:rPr>
          <w:i/>
          <w:iCs/>
        </w:rPr>
        <w:t>. London: Sage</w:t>
      </w:r>
      <w:r w:rsidRPr="00AC1A14">
        <w:t>, pp.82-107.</w:t>
      </w:r>
    </w:p>
    <w:p w14:paraId="70631192" w14:textId="444CAE0F" w:rsidR="002B1B65" w:rsidRPr="00AC1A14" w:rsidRDefault="002B1B65" w:rsidP="002B1B65">
      <w:pPr>
        <w:jc w:val="both"/>
      </w:pPr>
      <w:r w:rsidRPr="00AC1A14">
        <w:t xml:space="preserve">Zhao, J., Gao, S., Wang, J., Liu, X. and Hao, Y. </w:t>
      </w:r>
      <w:r w:rsidR="0077296A" w:rsidRPr="00AC1A14">
        <w:t>(</w:t>
      </w:r>
      <w:r w:rsidRPr="00AC1A14">
        <w:t>2016</w:t>
      </w:r>
      <w:r w:rsidR="0077296A" w:rsidRPr="00AC1A14">
        <w:t>)</w:t>
      </w:r>
      <w:r w:rsidRPr="00AC1A14">
        <w:t xml:space="preserve"> </w:t>
      </w:r>
      <w:r w:rsidR="0077296A" w:rsidRPr="00AC1A14">
        <w:t>‘</w:t>
      </w:r>
      <w:r w:rsidRPr="00AC1A14">
        <w:t>Differentiation between two healthcare concepts: Person-</w:t>
      </w:r>
      <w:proofErr w:type="spellStart"/>
      <w:r w:rsidRPr="00AC1A14">
        <w:t>centered</w:t>
      </w:r>
      <w:proofErr w:type="spellEnd"/>
      <w:r w:rsidRPr="00AC1A14">
        <w:t xml:space="preserve"> and patient-</w:t>
      </w:r>
      <w:proofErr w:type="spellStart"/>
      <w:r w:rsidRPr="00AC1A14">
        <w:t>centered</w:t>
      </w:r>
      <w:proofErr w:type="spellEnd"/>
      <w:r w:rsidRPr="00AC1A14">
        <w:t xml:space="preserve"> care</w:t>
      </w:r>
      <w:r w:rsidR="0077296A" w:rsidRPr="00AC1A14">
        <w:t>’</w:t>
      </w:r>
      <w:r w:rsidRPr="00AC1A14">
        <w:t> </w:t>
      </w:r>
      <w:r w:rsidRPr="00AC1A14">
        <w:rPr>
          <w:i/>
          <w:iCs/>
        </w:rPr>
        <w:t>International Journal of nursing sciences</w:t>
      </w:r>
      <w:r w:rsidRPr="00AC1A14">
        <w:t>, </w:t>
      </w:r>
      <w:r w:rsidRPr="00AC1A14">
        <w:rPr>
          <w:i/>
          <w:iCs/>
        </w:rPr>
        <w:t>3</w:t>
      </w:r>
      <w:r w:rsidRPr="00AC1A14">
        <w:t>(4), pp.398-402.</w:t>
      </w:r>
    </w:p>
    <w:p w14:paraId="52AE8549" w14:textId="23A5F392" w:rsidR="002B1B65" w:rsidRPr="00AC1A14" w:rsidRDefault="002B1B65" w:rsidP="00196357">
      <w:pPr>
        <w:spacing w:line="360" w:lineRule="auto"/>
        <w:jc w:val="both"/>
        <w:rPr>
          <w:rFonts w:ascii="Arial" w:hAnsi="Arial" w:cs="Arial"/>
          <w:sz w:val="22"/>
          <w:szCs w:val="22"/>
        </w:rPr>
      </w:pPr>
    </w:p>
    <w:sectPr w:rsidR="002B1B65" w:rsidRPr="00AC1A1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B1EA43" w14:textId="77777777" w:rsidR="00F875BD" w:rsidRDefault="00F875BD" w:rsidP="004327A5">
      <w:pPr>
        <w:spacing w:after="0" w:line="240" w:lineRule="auto"/>
      </w:pPr>
      <w:r>
        <w:separator/>
      </w:r>
    </w:p>
  </w:endnote>
  <w:endnote w:type="continuationSeparator" w:id="0">
    <w:p w14:paraId="0F0D9DAA" w14:textId="77777777" w:rsidR="00F875BD" w:rsidRDefault="00F875BD" w:rsidP="00432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8281209"/>
      <w:docPartObj>
        <w:docPartGallery w:val="Page Numbers (Bottom of Page)"/>
        <w:docPartUnique/>
      </w:docPartObj>
    </w:sdtPr>
    <w:sdtContent>
      <w:p w14:paraId="640A629B" w14:textId="295E5A2E" w:rsidR="004327A5" w:rsidRDefault="004327A5">
        <w:pPr>
          <w:pStyle w:val="Footer"/>
          <w:jc w:val="center"/>
        </w:pPr>
        <w:r>
          <w:fldChar w:fldCharType="begin"/>
        </w:r>
        <w:r>
          <w:instrText>PAGE   \* MERGEFORMAT</w:instrText>
        </w:r>
        <w:r>
          <w:fldChar w:fldCharType="separate"/>
        </w:r>
        <w:r>
          <w:t>2</w:t>
        </w:r>
        <w:r>
          <w:fldChar w:fldCharType="end"/>
        </w:r>
      </w:p>
    </w:sdtContent>
  </w:sdt>
  <w:p w14:paraId="160A9D05" w14:textId="77777777" w:rsidR="004327A5" w:rsidRDefault="00432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7F7A8" w14:textId="77777777" w:rsidR="00F875BD" w:rsidRDefault="00F875BD" w:rsidP="004327A5">
      <w:pPr>
        <w:spacing w:after="0" w:line="240" w:lineRule="auto"/>
      </w:pPr>
      <w:r>
        <w:separator/>
      </w:r>
    </w:p>
  </w:footnote>
  <w:footnote w:type="continuationSeparator" w:id="0">
    <w:p w14:paraId="25EFBA04" w14:textId="77777777" w:rsidR="00F875BD" w:rsidRDefault="00F875BD" w:rsidP="004327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12C"/>
    <w:rsid w:val="00106C14"/>
    <w:rsid w:val="00196357"/>
    <w:rsid w:val="00203F53"/>
    <w:rsid w:val="002B1B65"/>
    <w:rsid w:val="003E15F7"/>
    <w:rsid w:val="004327A5"/>
    <w:rsid w:val="0077296A"/>
    <w:rsid w:val="00826167"/>
    <w:rsid w:val="008E3B42"/>
    <w:rsid w:val="009601D8"/>
    <w:rsid w:val="00A07E7E"/>
    <w:rsid w:val="00A16A76"/>
    <w:rsid w:val="00A40862"/>
    <w:rsid w:val="00AC1A14"/>
    <w:rsid w:val="00B00896"/>
    <w:rsid w:val="00BC7D90"/>
    <w:rsid w:val="00BF12B0"/>
    <w:rsid w:val="00C563A3"/>
    <w:rsid w:val="00CD2C1E"/>
    <w:rsid w:val="00D1412C"/>
    <w:rsid w:val="00D4373E"/>
    <w:rsid w:val="00DC19AF"/>
    <w:rsid w:val="00DE352D"/>
    <w:rsid w:val="00EC6113"/>
    <w:rsid w:val="00F875BD"/>
    <w:rsid w:val="00FE6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1AC50"/>
  <w15:chartTrackingRefBased/>
  <w15:docId w15:val="{0092738F-903D-49BB-A0ED-8351D29EC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1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41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1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1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1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1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1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1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1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1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41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1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1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1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1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1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1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12C"/>
    <w:rPr>
      <w:rFonts w:eastAsiaTheme="majorEastAsia" w:cstheme="majorBidi"/>
      <w:color w:val="272727" w:themeColor="text1" w:themeTint="D8"/>
    </w:rPr>
  </w:style>
  <w:style w:type="paragraph" w:styleId="Title">
    <w:name w:val="Title"/>
    <w:basedOn w:val="Normal"/>
    <w:next w:val="Normal"/>
    <w:link w:val="TitleChar"/>
    <w:uiPriority w:val="10"/>
    <w:qFormat/>
    <w:rsid w:val="00D141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1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1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1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12C"/>
    <w:pPr>
      <w:spacing w:before="160"/>
      <w:jc w:val="center"/>
    </w:pPr>
    <w:rPr>
      <w:i/>
      <w:iCs/>
      <w:color w:val="404040" w:themeColor="text1" w:themeTint="BF"/>
    </w:rPr>
  </w:style>
  <w:style w:type="character" w:customStyle="1" w:styleId="QuoteChar">
    <w:name w:val="Quote Char"/>
    <w:basedOn w:val="DefaultParagraphFont"/>
    <w:link w:val="Quote"/>
    <w:uiPriority w:val="29"/>
    <w:rsid w:val="00D1412C"/>
    <w:rPr>
      <w:i/>
      <w:iCs/>
      <w:color w:val="404040" w:themeColor="text1" w:themeTint="BF"/>
    </w:rPr>
  </w:style>
  <w:style w:type="paragraph" w:styleId="ListParagraph">
    <w:name w:val="List Paragraph"/>
    <w:basedOn w:val="Normal"/>
    <w:uiPriority w:val="34"/>
    <w:qFormat/>
    <w:rsid w:val="00D1412C"/>
    <w:pPr>
      <w:ind w:left="720"/>
      <w:contextualSpacing/>
    </w:pPr>
  </w:style>
  <w:style w:type="character" w:styleId="IntenseEmphasis">
    <w:name w:val="Intense Emphasis"/>
    <w:basedOn w:val="DefaultParagraphFont"/>
    <w:uiPriority w:val="21"/>
    <w:qFormat/>
    <w:rsid w:val="00D1412C"/>
    <w:rPr>
      <w:i/>
      <w:iCs/>
      <w:color w:val="0F4761" w:themeColor="accent1" w:themeShade="BF"/>
    </w:rPr>
  </w:style>
  <w:style w:type="paragraph" w:styleId="IntenseQuote">
    <w:name w:val="Intense Quote"/>
    <w:basedOn w:val="Normal"/>
    <w:next w:val="Normal"/>
    <w:link w:val="IntenseQuoteChar"/>
    <w:uiPriority w:val="30"/>
    <w:qFormat/>
    <w:rsid w:val="00D141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12C"/>
    <w:rPr>
      <w:i/>
      <w:iCs/>
      <w:color w:val="0F4761" w:themeColor="accent1" w:themeShade="BF"/>
    </w:rPr>
  </w:style>
  <w:style w:type="character" w:styleId="IntenseReference">
    <w:name w:val="Intense Reference"/>
    <w:basedOn w:val="DefaultParagraphFont"/>
    <w:uiPriority w:val="32"/>
    <w:qFormat/>
    <w:rsid w:val="00D1412C"/>
    <w:rPr>
      <w:b/>
      <w:bCs/>
      <w:smallCaps/>
      <w:color w:val="0F4761" w:themeColor="accent1" w:themeShade="BF"/>
      <w:spacing w:val="5"/>
    </w:rPr>
  </w:style>
  <w:style w:type="paragraph" w:styleId="Header">
    <w:name w:val="header"/>
    <w:basedOn w:val="Normal"/>
    <w:link w:val="HeaderChar"/>
    <w:uiPriority w:val="99"/>
    <w:unhideWhenUsed/>
    <w:rsid w:val="00432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7A5"/>
  </w:style>
  <w:style w:type="paragraph" w:styleId="Footer">
    <w:name w:val="footer"/>
    <w:basedOn w:val="Normal"/>
    <w:link w:val="FooterChar"/>
    <w:uiPriority w:val="99"/>
    <w:unhideWhenUsed/>
    <w:rsid w:val="00432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7A5"/>
  </w:style>
  <w:style w:type="paragraph" w:styleId="TOCHeading">
    <w:name w:val="TOC Heading"/>
    <w:basedOn w:val="Heading1"/>
    <w:next w:val="Normal"/>
    <w:uiPriority w:val="39"/>
    <w:unhideWhenUsed/>
    <w:qFormat/>
    <w:rsid w:val="00AC1A1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C1A14"/>
    <w:pPr>
      <w:spacing w:after="100"/>
    </w:pPr>
  </w:style>
  <w:style w:type="character" w:styleId="Hyperlink">
    <w:name w:val="Hyperlink"/>
    <w:basedOn w:val="DefaultParagraphFont"/>
    <w:uiPriority w:val="99"/>
    <w:unhideWhenUsed/>
    <w:rsid w:val="00AC1A1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507A6-80E6-4F62-B9D5-6BEDA3494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2940</Words>
  <Characters>16759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LINDA TEKYI</cp:lastModifiedBy>
  <cp:revision>3</cp:revision>
  <dcterms:created xsi:type="dcterms:W3CDTF">2026-03-02T05:37:00Z</dcterms:created>
  <dcterms:modified xsi:type="dcterms:W3CDTF">2026-03-02T06:11:00Z</dcterms:modified>
</cp:coreProperties>
</file>