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word/_rels/header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ahoma" w:hAnsi="Tahoma" w:cs="Tahoma"/>
          <w:b/>
          <w:b/>
          <w:u w:val="single"/>
        </w:rPr>
      </w:pPr>
      <w:r>
        <w:rPr>
          <w:rFonts w:cs="Tahoma" w:ascii="Tahoma" w:hAnsi="Tahoma"/>
          <w:b/>
          <w:u w:val="single"/>
        </w:rPr>
      </w:r>
    </w:p>
    <w:p>
      <w:pPr>
        <w:pStyle w:val="Normal"/>
        <w:jc w:val="both"/>
        <w:rPr>
          <w:rFonts w:ascii="Tahoma" w:hAnsi="Tahoma" w:cs="Tahoma"/>
          <w:b/>
          <w:b/>
          <w:u w:val="single"/>
        </w:rPr>
      </w:pPr>
      <w:r>
        <w:rPr>
          <w:rFonts w:cs="Tahoma" w:ascii="Tahoma" w:hAnsi="Tahoma"/>
          <w:b/>
          <w:u w:val="single"/>
        </w:rPr>
      </w:r>
    </w:p>
    <w:p>
      <w:pPr>
        <w:pStyle w:val="Normal"/>
        <w:jc w:val="both"/>
        <w:rPr>
          <w:rFonts w:ascii="Tahoma" w:hAnsi="Tahoma" w:cs="Tahoma"/>
          <w:b/>
          <w:b/>
          <w:u w:val="single"/>
        </w:rPr>
      </w:pPr>
      <w:r>
        <w:rPr>
          <w:rFonts w:cs="Tahoma" w:ascii="Tahoma" w:hAnsi="Tahoma"/>
          <w:b/>
          <w:u w:val="single"/>
        </w:rPr>
      </w:r>
    </w:p>
    <w:p>
      <w:pPr>
        <w:pStyle w:val="Normal"/>
        <w:jc w:val="both"/>
        <w:rPr>
          <w:rFonts w:ascii="Tahoma" w:hAnsi="Tahoma" w:cs="Tahoma"/>
          <w:b/>
          <w:b/>
          <w:u w:val="single"/>
        </w:rPr>
      </w:pPr>
      <w:r>
        <w:rPr>
          <w:rFonts w:cs="Tahoma" w:ascii="Tahoma" w:hAnsi="Tahoma"/>
          <w:b/>
          <w:u w:val="single"/>
        </w:rPr>
        <w:t>LEVEL 4 – Student Journal (750 words)</w:t>
      </w:r>
    </w:p>
    <w:p>
      <w:pPr>
        <w:pStyle w:val="Normal"/>
        <w:jc w:val="both"/>
        <w:rPr>
          <w:rFonts w:ascii="Tahoma" w:hAnsi="Tahoma" w:cs="Tahoma"/>
          <w:b/>
          <w:b/>
          <w:u w:val="single"/>
        </w:rPr>
      </w:pPr>
      <w:r>
        <w:rPr>
          <w:rFonts w:cs="Tahoma" w:ascii="Tahoma" w:hAnsi="Tahoma"/>
          <w:b/>
          <w:u w:val="single"/>
        </w:rPr>
      </w:r>
    </w:p>
    <w:p>
      <w:pPr>
        <w:pStyle w:val="Normal"/>
        <w:jc w:val="both"/>
        <w:rPr>
          <w:rFonts w:ascii="Tahoma" w:hAnsi="Tahoma" w:cs="Tahoma"/>
        </w:rPr>
      </w:pPr>
      <w:r>
        <w:rPr>
          <w:rFonts w:cs="Tahoma" w:ascii="Tahoma" w:hAnsi="Tahoma"/>
        </w:rPr>
        <w:t>You are required to complete a journal entry to capture the learning experience and knowledge you have acquiring during a particular lecture.  You may choose from the following topics:</w:t>
      </w:r>
    </w:p>
    <w:p>
      <w:pPr>
        <w:pStyle w:val="NormalWeb"/>
        <w:numPr>
          <w:ilvl w:val="0"/>
          <w:numId w:val="2"/>
        </w:numPr>
        <w:spacing w:before="280" w:after="0"/>
        <w:rPr>
          <w:rFonts w:ascii="SymbolMT" w:hAnsi="SymbolMT"/>
        </w:rPr>
      </w:pPr>
      <w:bookmarkStart w:id="0" w:name="__DdeLink__215_1835187365"/>
      <w:r>
        <w:rPr>
          <w:rFonts w:cs="Calibri" w:ascii="Calibri" w:hAnsi="Calibri"/>
        </w:rPr>
        <w:t xml:space="preserve">Allergies and Intolerances and the importance within the industry </w:t>
      </w:r>
      <w:bookmarkEnd w:id="0"/>
    </w:p>
    <w:p>
      <w:pPr>
        <w:pStyle w:val="NormalWeb"/>
        <w:numPr>
          <w:ilvl w:val="0"/>
          <w:numId w:val="2"/>
        </w:numPr>
        <w:spacing w:before="280" w:after="280"/>
        <w:rPr>
          <w:rFonts w:ascii="SymbolMT" w:hAnsi="SymbolMT"/>
        </w:rPr>
      </w:pPr>
      <w:r>
        <w:rPr>
          <w:rFonts w:cs="Calibri" w:ascii="Calibri" w:hAnsi="Calibri"/>
        </w:rPr>
        <w:t xml:space="preserve">Ratings, Inspections and Reporting Procedures </w:t>
      </w:r>
    </w:p>
    <w:p>
      <w:pPr>
        <w:pStyle w:val="Normal"/>
        <w:jc w:val="both"/>
        <w:rPr>
          <w:rFonts w:ascii="Tahoma" w:hAnsi="Tahoma" w:cs="Tahoma"/>
        </w:rPr>
      </w:pPr>
      <w:r>
        <w:rPr>
          <w:rFonts w:cs="Tahoma" w:ascii="Tahoma" w:hAnsi="Tahoma"/>
        </w:rPr>
      </w:r>
    </w:p>
    <w:p>
      <w:pPr>
        <w:pStyle w:val="Normal"/>
        <w:jc w:val="both"/>
        <w:rPr>
          <w:rFonts w:ascii="Tahoma" w:hAnsi="Tahoma" w:cs="Tahoma"/>
        </w:rPr>
      </w:pPr>
      <w:r>
        <w:rPr>
          <w:rFonts w:cs="Tahoma" w:ascii="Tahoma" w:hAnsi="Tahoma"/>
        </w:rPr>
        <w:t xml:space="preserve">Consider the appropriate lectures. What was the topic and what have you learnt? Provide a </w:t>
      </w:r>
      <w:r>
        <w:rPr>
          <w:rFonts w:cs="Tahoma" w:ascii="Tahoma" w:hAnsi="Tahoma"/>
          <w:b/>
          <w:bCs/>
        </w:rPr>
        <w:t>brief summary</w:t>
      </w:r>
      <w:r>
        <w:rPr>
          <w:rFonts w:cs="Tahoma" w:ascii="Tahoma" w:hAnsi="Tahoma"/>
        </w:rPr>
        <w:t xml:space="preserve">. What </w:t>
      </w:r>
      <w:r>
        <w:rPr>
          <w:rFonts w:cs="Tahoma" w:ascii="Tahoma" w:hAnsi="Tahoma"/>
          <w:b/>
          <w:bCs/>
        </w:rPr>
        <w:t>new skills / knowledge have you acquired</w:t>
      </w:r>
      <w:r>
        <w:rPr>
          <w:rFonts w:cs="Tahoma" w:ascii="Tahoma" w:hAnsi="Tahoma"/>
        </w:rPr>
        <w:t xml:space="preserve">? How will you </w:t>
      </w:r>
      <w:r>
        <w:rPr>
          <w:rFonts w:cs="Tahoma" w:ascii="Tahoma" w:hAnsi="Tahoma"/>
          <w:b/>
          <w:bCs/>
        </w:rPr>
        <w:t>apply your knowledge in the future</w:t>
      </w:r>
      <w:r>
        <w:rPr>
          <w:rFonts w:cs="Tahoma" w:ascii="Tahoma" w:hAnsi="Tahoma"/>
        </w:rPr>
        <w:t xml:space="preserve">? What are your </w:t>
      </w:r>
      <w:r>
        <w:rPr>
          <w:rFonts w:cs="Tahoma" w:ascii="Tahoma" w:hAnsi="Tahoma"/>
          <w:b/>
          <w:bCs/>
        </w:rPr>
        <w:t>personal reflections</w:t>
      </w:r>
      <w:r>
        <w:rPr>
          <w:rFonts w:cs="Tahoma" w:ascii="Tahoma" w:hAnsi="Tahoma"/>
        </w:rPr>
        <w:t xml:space="preserve"> on the subject? Why is this </w:t>
      </w:r>
      <w:r>
        <w:rPr>
          <w:rFonts w:cs="Tahoma" w:ascii="Tahoma" w:hAnsi="Tahoma"/>
          <w:b/>
          <w:bCs/>
        </w:rPr>
        <w:t>topic important within the industry</w:t>
      </w:r>
      <w:r>
        <w:rPr>
          <w:rFonts w:cs="Tahoma" w:ascii="Tahoma" w:hAnsi="Tahoma"/>
        </w:rPr>
        <w:t xml:space="preserve">? Provide </w:t>
      </w:r>
      <w:r>
        <w:rPr>
          <w:rFonts w:cs="Tahoma" w:ascii="Tahoma" w:hAnsi="Tahoma"/>
          <w:b/>
          <w:bCs/>
        </w:rPr>
        <w:t>evidence of further reading</w:t>
      </w:r>
      <w:r>
        <w:rPr>
          <w:rFonts w:cs="Tahoma" w:ascii="Tahoma" w:hAnsi="Tahoma"/>
        </w:rPr>
        <w:t>. Include a minimum of 5 references.</w:t>
      </w:r>
    </w:p>
    <w:p>
      <w:pPr>
        <w:pStyle w:val="Normal"/>
        <w:rPr>
          <w:rFonts w:ascii="Tahoma" w:hAnsi="Tahoma" w:cs="Tahoma"/>
          <w:sz w:val="20"/>
          <w:szCs w:val="20"/>
        </w:rPr>
      </w:pPr>
      <w:r>
        <w:rPr>
          <w:rFonts w:cs="Tahoma" w:ascii="Tahoma" w:hAnsi="Tahoma"/>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986"/>
        <w:gridCol w:w="7195"/>
      </w:tblGrid>
      <w:tr>
        <w:trPr/>
        <w:tc>
          <w:tcPr>
            <w:tcW w:w="3986" w:type="dxa"/>
            <w:tcBorders/>
            <w:shd w:color="auto" w:fill="8DB3E2" w:themeFill="text2" w:themeFillTint="66" w:val="clear"/>
          </w:tcPr>
          <w:p>
            <w:pPr>
              <w:pStyle w:val="Normal"/>
              <w:rPr/>
            </w:pPr>
            <w:r>
              <w:rPr>
                <w:rFonts w:cs="Tahoma" w:ascii="Tahoma" w:hAnsi="Tahoma"/>
                <w:b/>
                <w:sz w:val="20"/>
                <w:szCs w:val="20"/>
              </w:rPr>
              <w:t xml:space="preserve">Student Name: </w:t>
            </w:r>
            <w:r>
              <w:rPr>
                <w:rFonts w:cs="Tahoma" w:ascii="Arial" w:hAnsi="Arial"/>
                <w:b w:val="false"/>
                <w:bCs w:val="false"/>
                <w:sz w:val="24"/>
                <w:szCs w:val="24"/>
              </w:rPr>
              <w:t>Bence Csapo</w:t>
            </w:r>
          </w:p>
          <w:p>
            <w:pPr>
              <w:pStyle w:val="Normal"/>
              <w:rPr>
                <w:rFonts w:ascii="Tahoma" w:hAnsi="Tahoma" w:cs="Tahoma"/>
                <w:b/>
                <w:b/>
                <w:sz w:val="20"/>
                <w:szCs w:val="20"/>
              </w:rPr>
            </w:pPr>
            <w:r>
              <w:rPr>
                <w:rFonts w:cs="Tahoma" w:ascii="Tahoma" w:hAnsi="Tahoma"/>
                <w:b/>
                <w:sz w:val="20"/>
                <w:szCs w:val="20"/>
              </w:rPr>
            </w:r>
          </w:p>
          <w:p>
            <w:pPr>
              <w:pStyle w:val="Normal"/>
              <w:rPr/>
            </w:pPr>
            <w:r>
              <w:rPr>
                <w:rFonts w:cs="Tahoma" w:ascii="Tahoma" w:hAnsi="Tahoma"/>
                <w:b/>
                <w:sz w:val="20"/>
                <w:szCs w:val="20"/>
              </w:rPr>
              <w:t xml:space="preserve">Student Number: </w:t>
            </w:r>
            <w:r>
              <w:rPr>
                <w:rFonts w:cs="Tahoma" w:ascii="Arial" w:hAnsi="Arial"/>
                <w:b w:val="false"/>
                <w:bCs w:val="false"/>
                <w:sz w:val="24"/>
                <w:szCs w:val="24"/>
              </w:rPr>
              <w:t>2025411</w:t>
            </w:r>
          </w:p>
          <w:p>
            <w:pPr>
              <w:pStyle w:val="Normal"/>
              <w:rPr>
                <w:rFonts w:ascii="Tahoma" w:hAnsi="Tahoma" w:cs="Tahoma"/>
                <w:b/>
                <w:b/>
                <w:sz w:val="20"/>
                <w:szCs w:val="20"/>
              </w:rPr>
            </w:pPr>
            <w:r>
              <w:rPr>
                <w:rFonts w:cs="Tahoma" w:ascii="Tahoma" w:hAnsi="Tahoma"/>
                <w:b/>
                <w:sz w:val="20"/>
                <w:szCs w:val="20"/>
              </w:rPr>
            </w:r>
          </w:p>
        </w:tc>
        <w:tc>
          <w:tcPr>
            <w:tcW w:w="7195" w:type="dxa"/>
            <w:tcBorders/>
            <w:shd w:color="auto" w:fill="8DB3E2" w:themeFill="text2" w:themeFillTint="66" w:val="clear"/>
          </w:tcPr>
          <w:p>
            <w:pPr>
              <w:pStyle w:val="Normal"/>
              <w:rPr/>
            </w:pPr>
            <w:r>
              <w:rPr>
                <w:rFonts w:cs="Tahoma" w:ascii="Tahoma" w:hAnsi="Tahoma"/>
                <w:b/>
                <w:sz w:val="20"/>
                <w:szCs w:val="20"/>
              </w:rPr>
              <w:t xml:space="preserve">Module: </w:t>
            </w:r>
            <w:r>
              <w:rPr>
                <w:rFonts w:cs="Tahoma" w:ascii="Arial" w:hAnsi="Arial"/>
                <w:b w:val="false"/>
                <w:bCs w:val="false"/>
                <w:sz w:val="24"/>
                <w:szCs w:val="24"/>
              </w:rPr>
              <w:t>Food &amp; Beverage Operation (BMIH4002)</w:t>
            </w:r>
          </w:p>
          <w:p>
            <w:pPr>
              <w:pStyle w:val="Normal"/>
              <w:rPr>
                <w:rFonts w:ascii="Tahoma" w:hAnsi="Tahoma" w:cs="Tahoma"/>
                <w:b/>
                <w:b/>
                <w:sz w:val="20"/>
                <w:szCs w:val="20"/>
              </w:rPr>
            </w:pPr>
            <w:r>
              <w:rPr>
                <w:rFonts w:cs="Tahoma" w:ascii="Tahoma" w:hAnsi="Tahoma"/>
                <w:b/>
                <w:sz w:val="20"/>
                <w:szCs w:val="20"/>
              </w:rPr>
            </w:r>
          </w:p>
          <w:p>
            <w:pPr>
              <w:pStyle w:val="Normal"/>
              <w:rPr/>
            </w:pPr>
            <w:r>
              <w:rPr>
                <w:rFonts w:cs="Tahoma" w:ascii="Tahoma" w:hAnsi="Tahoma"/>
                <w:b/>
                <w:sz w:val="20"/>
                <w:szCs w:val="20"/>
              </w:rPr>
              <w:t>Lecturer:</w:t>
            </w:r>
            <w:r>
              <w:rPr>
                <w:rFonts w:cs="Tahoma" w:ascii="Arial" w:hAnsi="Arial"/>
                <w:b/>
                <w:sz w:val="24"/>
                <w:szCs w:val="24"/>
              </w:rPr>
              <w:t xml:space="preserve"> </w:t>
            </w:r>
            <w:r>
              <w:rPr>
                <w:rFonts w:cs="Tahoma" w:ascii="Arial" w:hAnsi="Arial"/>
                <w:b w:val="false"/>
                <w:bCs w:val="false"/>
                <w:sz w:val="24"/>
                <w:szCs w:val="24"/>
              </w:rPr>
              <w:t>Ryan Peters</w:t>
            </w:r>
          </w:p>
        </w:tc>
      </w:tr>
    </w:tbl>
    <w:p>
      <w:pPr>
        <w:pStyle w:val="Normal"/>
        <w:rPr>
          <w:rFonts w:ascii="Tahoma" w:hAnsi="Tahoma" w:cs="Tahoma"/>
          <w:sz w:val="20"/>
          <w:szCs w:val="20"/>
        </w:rPr>
      </w:pPr>
      <w:r>
        <w:rPr>
          <w:rFonts w:cs="Tahoma" w:ascii="Tahoma" w:hAnsi="Tahoma"/>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983"/>
        <w:gridCol w:w="7198"/>
      </w:tblGrid>
      <w:tr>
        <w:trPr/>
        <w:tc>
          <w:tcPr>
            <w:tcW w:w="3983" w:type="dxa"/>
            <w:tcBorders/>
            <w:shd w:color="auto" w:fill="FBD4B4" w:themeFill="accent6" w:themeFillTint="66" w:val="clear"/>
          </w:tcPr>
          <w:p>
            <w:pPr>
              <w:pStyle w:val="Normal"/>
              <w:rPr/>
            </w:pPr>
            <w:r>
              <w:rPr>
                <w:rFonts w:cs="Tahoma" w:ascii="Tahoma" w:hAnsi="Tahoma"/>
                <w:b/>
                <w:sz w:val="20"/>
                <w:szCs w:val="20"/>
              </w:rPr>
              <w:t>Topic of choice:</w:t>
            </w:r>
            <w:r>
              <w:rPr>
                <w:rFonts w:cs="Tahoma" w:ascii="Arial" w:hAnsi="Arial"/>
                <w:b w:val="false"/>
                <w:bCs w:val="false"/>
                <w:sz w:val="24"/>
                <w:szCs w:val="24"/>
              </w:rPr>
              <w:t xml:space="preserve"> </w:t>
            </w:r>
            <w:r>
              <w:rPr>
                <w:rFonts w:cs="Calibri" w:ascii="Arial" w:hAnsi="Arial"/>
                <w:b w:val="false"/>
                <w:bCs w:val="false"/>
                <w:sz w:val="24"/>
                <w:szCs w:val="24"/>
              </w:rPr>
              <w:t xml:space="preserve">Allergies and Intolerances and the importance within the industry </w:t>
            </w:r>
          </w:p>
        </w:tc>
        <w:tc>
          <w:tcPr>
            <w:tcW w:w="7198" w:type="dxa"/>
            <w:tcBorders/>
            <w:shd w:color="auto" w:fill="FBD4B4" w:themeFill="accent6" w:themeFillTint="66" w:val="clear"/>
          </w:tcPr>
          <w:p>
            <w:pPr>
              <w:pStyle w:val="Normal"/>
              <w:rPr>
                <w:rFonts w:ascii="Tahoma" w:hAnsi="Tahoma" w:cs="Tahoma"/>
                <w:b/>
                <w:b/>
                <w:sz w:val="20"/>
                <w:szCs w:val="20"/>
              </w:rPr>
            </w:pPr>
            <w:r>
              <w:rPr>
                <w:rFonts w:cs="Tahoma" w:ascii="Tahoma" w:hAnsi="Tahoma"/>
                <w:b/>
                <w:sz w:val="20"/>
                <w:szCs w:val="20"/>
              </w:rPr>
              <w:t xml:space="preserve">Date Completed: </w:t>
            </w:r>
            <w:r>
              <w:rPr>
                <w:rFonts w:cs="Tahoma" w:ascii="Arial" w:hAnsi="Arial"/>
                <w:b w:val="false"/>
                <w:bCs w:val="false"/>
                <w:sz w:val="24"/>
                <w:szCs w:val="24"/>
              </w:rPr>
              <w:t>08/02/2022</w:t>
            </w:r>
          </w:p>
          <w:p>
            <w:pPr>
              <w:pStyle w:val="Normal"/>
              <w:jc w:val="center"/>
              <w:rPr>
                <w:rFonts w:ascii="Tahoma" w:hAnsi="Tahoma" w:cs="Tahoma"/>
                <w:b/>
                <w:b/>
                <w:sz w:val="20"/>
                <w:szCs w:val="20"/>
              </w:rPr>
            </w:pPr>
            <w:r>
              <w:rPr>
                <w:rFonts w:cs="Tahoma" w:ascii="Tahoma" w:hAnsi="Tahoma"/>
                <w:b/>
                <w:sz w:val="20"/>
                <w:szCs w:val="20"/>
              </w:rPr>
            </w:r>
          </w:p>
          <w:p>
            <w:pPr>
              <w:pStyle w:val="Normal"/>
              <w:jc w:val="center"/>
              <w:rPr>
                <w:rFonts w:ascii="Tahoma" w:hAnsi="Tahoma" w:cs="Tahoma"/>
                <w:b/>
                <w:b/>
                <w:sz w:val="20"/>
                <w:szCs w:val="20"/>
              </w:rPr>
            </w:pPr>
            <w:r>
              <w:rPr>
                <w:rFonts w:cs="Tahoma" w:ascii="Tahoma" w:hAnsi="Tahoma"/>
                <w:b/>
                <w:sz w:val="20"/>
                <w:szCs w:val="20"/>
              </w:rPr>
            </w:r>
          </w:p>
        </w:tc>
      </w:tr>
      <w:tr>
        <w:trPr>
          <w:trHeight w:val="2494" w:hRule="atLeast"/>
        </w:trPr>
        <w:tc>
          <w:tcPr>
            <w:tcW w:w="11181" w:type="dxa"/>
            <w:gridSpan w:val="2"/>
            <w:tcBorders/>
            <w:shd w:fill="auto" w:val="clear"/>
          </w:tcPr>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spacing w:lineRule="auto" w:line="360"/>
              <w:rPr/>
            </w:pPr>
            <w:r>
              <w:rPr>
                <w:rFonts w:cs="Arial" w:ascii="Arial" w:hAnsi="Arial"/>
              </w:rPr>
              <w:t>My chosen topic is allergies and intolerances. The lecture revealed a lot of useful information about allergies and food intolerances. Allergies and intolerances not jock, amazingly important, for guest with food intolerance, even small mistake can be fatal on the part of the staff and can even have fatal consequences. The lecture we learned from a sad example that the label can save lives. Natasha lost her life at a tragically young age during a trip because the packing of a food did not say exactly what the food contained! Natasha’s death was tragical and caused great outrage. For this reason, the Natasha Act was enacted which states that all pre-packaged products and all foods must be accurately label whit all ingredients. Some products are special and cannot be sold in packaging, for example bakery or fresh cakes. In this case the consumer must be informed in detail about the composition of the food.</w:t>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pPr>
            <w:r>
              <w:rPr>
                <w:rFonts w:cs="Arial" w:ascii="Arial" w:hAnsi="Arial"/>
              </w:rPr>
              <w:t xml:space="preserve">Natasha’s death evoked terrible emotions in her parents. This motivated parents not to have this happen again. The Natasha law also created thanks to the work of the parents. I think everyone with a food allergy can buy pre-packaged food more confidently after the law comes into force. Reassuring if it is described exactly what the exact ingredients are. The lecture we learned following information. Unfortunately the number of hospital admissions in the UK has increased by 500% in the last 15 years due to food allergies and 10 people die each year from food allergic reactions. The mortality rate is on a declining trend over the last 20 years. FSA estimate that there were 2.4 million cases of food borne disease in the UK in 2018. More then 160 foods can cause allergic reaction, 14 different food types which are identified as major allergens and these are the ones which consumers must be made aware of if they are present in foods, here in the UK. Each food type is paired with a food allergen icon.  </w:t>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pPr>
            <w:r>
              <w:rPr>
                <w:rFonts w:cs="Arial" w:ascii="Arial" w:hAnsi="Arial"/>
              </w:rPr>
              <w:t xml:space="preserve">Natasha’s father Nadim said the following about the law: </w:t>
            </w:r>
            <w:r>
              <w:rPr>
                <w:rStyle w:val="Emphasis"/>
                <w:rFonts w:cs="Arial" w:ascii="Arial" w:hAnsi="Arial"/>
                <w:color w:val="auto"/>
                <w:spacing w:val="0"/>
                <w:sz w:val="24"/>
                <w:szCs w:val="24"/>
              </w:rPr>
              <w:t>“</w:t>
            </w:r>
            <w:r>
              <w:rPr>
                <w:rStyle w:val="Emphasis"/>
                <w:rFonts w:cs="Arial" w:ascii="Arial" w:hAnsi="Arial"/>
                <w:b w:val="false"/>
                <w:i/>
                <w:color w:val="auto"/>
                <w:spacing w:val="0"/>
                <w:sz w:val="24"/>
                <w:szCs w:val="24"/>
              </w:rPr>
              <w:t xml:space="preserve">Natasha’s Law marks a major milestone in our campaign to support the two to three million people in this country living with food allergies. Is vital to help protect people with food allergies from life-threatening allergic reactions. This is about saving lives.” </w:t>
            </w:r>
            <w:r>
              <w:rPr>
                <w:rStyle w:val="Emphasis"/>
                <w:rFonts w:cs="Arial" w:ascii="Arial" w:hAnsi="Arial"/>
                <w:b w:val="false"/>
                <w:i w:val="false"/>
                <w:iCs w:val="false"/>
                <w:color w:val="auto"/>
                <w:spacing w:val="0"/>
                <w:sz w:val="24"/>
                <w:szCs w:val="24"/>
              </w:rPr>
              <w:t>I agree whit the words of Nadim. After the tragedy the general manager of the Pret (the company from which the sandwich that resulted in the death originated) promised that the company would be at the forefront of change. For anaphylaxis and competent assistance is important. If someone can't help you on the merits immediately call an emergency (999) remember every minute can save lives!</w:t>
            </w:r>
          </w:p>
          <w:p>
            <w:pPr>
              <w:pStyle w:val="Normal"/>
              <w:spacing w:lineRule="auto" w:line="360"/>
              <w:rPr>
                <w:rStyle w:val="Emphasis"/>
                <w:rFonts w:ascii="Arial" w:hAnsi="Arial" w:cs="Arial"/>
                <w:b w:val="false"/>
                <w:b w:val="false"/>
                <w:i w:val="false"/>
                <w:i w:val="false"/>
                <w:iCs w:val="false"/>
                <w:color w:val="auto"/>
                <w:spacing w:val="0"/>
                <w:sz w:val="24"/>
                <w:szCs w:val="24"/>
              </w:rPr>
            </w:pPr>
            <w:r>
              <w:rPr>
                <w:rFonts w:cs="Arial" w:ascii="Arial" w:hAnsi="Arial"/>
                <w:b w:val="false"/>
                <w:i w:val="false"/>
                <w:iCs w:val="false"/>
                <w:color w:val="auto"/>
                <w:spacing w:val="0"/>
                <w:sz w:val="24"/>
                <w:szCs w:val="24"/>
              </w:rPr>
            </w:r>
          </w:p>
          <w:p>
            <w:pPr>
              <w:pStyle w:val="Normal"/>
              <w:spacing w:lineRule="auto" w:line="360"/>
              <w:rPr/>
            </w:pPr>
            <w:r>
              <w:rPr>
                <w:rStyle w:val="Emphasis"/>
                <w:rFonts w:cs="Arial" w:ascii="Arial" w:hAnsi="Arial"/>
                <w:b w:val="false"/>
                <w:i w:val="false"/>
                <w:iCs w:val="false"/>
                <w:color w:val="auto"/>
                <w:spacing w:val="0"/>
                <w:sz w:val="24"/>
                <w:szCs w:val="24"/>
              </w:rPr>
              <w:t>Much could have been done to avoid tragedy but I also consider individual responsibility important. All people with food allergies should pay extra attention to what food they buy this is especially true during a trip when one is not consuming the usual things one is buying. Pay extra attention to consuming dubious food when we know in advance that we will be in a place where they can’t be completely cured in the event if an allergic attack.</w:t>
            </w:r>
          </w:p>
          <w:p>
            <w:pPr>
              <w:pStyle w:val="Normal"/>
              <w:spacing w:lineRule="auto" w:line="360"/>
              <w:rPr>
                <w:rStyle w:val="Emphasis"/>
                <w:rFonts w:ascii="Arial" w:hAnsi="Arial" w:cs="Arial"/>
                <w:b w:val="false"/>
                <w:b w:val="false"/>
                <w:i w:val="false"/>
                <w:i w:val="false"/>
                <w:iCs w:val="false"/>
                <w:color w:val="auto"/>
                <w:spacing w:val="0"/>
                <w:sz w:val="24"/>
                <w:szCs w:val="24"/>
              </w:rPr>
            </w:pPr>
            <w:r>
              <w:rPr>
                <w:rFonts w:cs="Arial" w:ascii="Arial" w:hAnsi="Arial"/>
                <w:b w:val="false"/>
                <w:i w:val="false"/>
                <w:iCs w:val="false"/>
                <w:color w:val="auto"/>
                <w:spacing w:val="0"/>
                <w:sz w:val="24"/>
                <w:szCs w:val="24"/>
              </w:rPr>
            </w:r>
          </w:p>
          <w:p>
            <w:pPr>
              <w:pStyle w:val="Normal"/>
              <w:spacing w:lineRule="auto" w:line="360"/>
              <w:rPr/>
            </w:pPr>
            <w:r>
              <w:rPr>
                <w:rStyle w:val="Emphasis"/>
                <w:rFonts w:cs="Arial" w:ascii="Arial" w:hAnsi="Arial"/>
                <w:b w:val="false"/>
                <w:i w:val="false"/>
                <w:iCs w:val="false"/>
                <w:color w:val="auto"/>
                <w:spacing w:val="0"/>
                <w:sz w:val="24"/>
                <w:szCs w:val="24"/>
              </w:rPr>
              <w:t xml:space="preserve">In order to prevent from happening in the future and to minimize the risk of food poisoning we can do the following if you are restaurant workers. All guest entering the restaurant should be asked if they have any food allergies or intolerances and placement of additional attention signs in a conspicuous place with the following inscription: </w:t>
            </w:r>
            <w:r>
              <w:rPr>
                <w:rStyle w:val="Emphasis"/>
                <w:rFonts w:cs="Arial" w:ascii="Arial" w:hAnsi="Arial"/>
                <w:b/>
                <w:bCs/>
                <w:i w:val="false"/>
                <w:iCs w:val="false"/>
                <w:color w:val="auto"/>
                <w:spacing w:val="0"/>
                <w:sz w:val="24"/>
                <w:szCs w:val="24"/>
              </w:rPr>
              <w:t xml:space="preserve">FOOD ALLERGIES AND INTOLERANCES, Please speak our staff about the ingredients in your meal, when making your order. Thank you. </w:t>
            </w:r>
            <w:r>
              <w:rPr>
                <w:rStyle w:val="Emphasis"/>
                <w:rFonts w:cs="Arial" w:ascii="Arial" w:hAnsi="Arial"/>
                <w:b w:val="false"/>
                <w:bCs w:val="false"/>
                <w:i w:val="false"/>
                <w:iCs w:val="false"/>
                <w:color w:val="auto"/>
                <w:spacing w:val="0"/>
                <w:sz w:val="24"/>
                <w:szCs w:val="24"/>
              </w:rPr>
              <w:t>The lecture we learned that the following protocol should be followed in this case. The chef should extra attention to hygiene. The process starts whit a thorough hand washing and the food must be prepared in a separate place which of course is thoroughly</w:t>
            </w:r>
            <w:r>
              <w:rPr>
                <w:rStyle w:val="Emphasis"/>
                <w:rFonts w:cs="Arial" w:ascii="Arial" w:hAnsi="Arial"/>
                <w:b w:val="false"/>
                <w:bCs w:val="false"/>
                <w:color w:val="auto"/>
                <w:spacing w:val="0"/>
                <w:sz w:val="24"/>
                <w:szCs w:val="24"/>
              </w:rPr>
              <w:t xml:space="preserve"> </w:t>
            </w:r>
            <w:r>
              <w:rPr>
                <w:rStyle w:val="Emphasis"/>
                <w:rFonts w:cs="Arial" w:ascii="Arial" w:hAnsi="Arial"/>
                <w:b w:val="false"/>
                <w:bCs w:val="false"/>
                <w:i w:val="false"/>
                <w:iCs w:val="false"/>
                <w:color w:val="auto"/>
                <w:spacing w:val="0"/>
                <w:sz w:val="24"/>
                <w:szCs w:val="24"/>
              </w:rPr>
              <w:t xml:space="preserve">cleaned. Thus we can reduce the risk of cross-contamination. After this the food must be prepared with equipment specially set aside for this purpose. </w:t>
            </w:r>
          </w:p>
          <w:p>
            <w:pPr>
              <w:pStyle w:val="Normal"/>
              <w:spacing w:lineRule="auto" w:line="360"/>
              <w:rPr>
                <w:rStyle w:val="Emphasis"/>
                <w:rFonts w:ascii="Arial" w:hAnsi="Arial" w:cs="Arial"/>
                <w:b w:val="false"/>
                <w:b w:val="false"/>
                <w:bCs w:val="false"/>
                <w:i w:val="false"/>
                <w:i w:val="false"/>
                <w:iCs w:val="false"/>
                <w:color w:val="auto"/>
                <w:spacing w:val="0"/>
                <w:sz w:val="24"/>
                <w:szCs w:val="24"/>
              </w:rPr>
            </w:pPr>
            <w:r>
              <w:rPr>
                <w:rFonts w:cs="Arial" w:ascii="Arial" w:hAnsi="Arial"/>
                <w:b w:val="false"/>
                <w:bCs w:val="false"/>
                <w:i w:val="false"/>
                <w:iCs w:val="false"/>
                <w:color w:val="auto"/>
                <w:spacing w:val="0"/>
                <w:sz w:val="24"/>
                <w:szCs w:val="24"/>
              </w:rPr>
            </w:r>
          </w:p>
          <w:p>
            <w:pPr>
              <w:pStyle w:val="Normal"/>
              <w:spacing w:lineRule="auto" w:line="360"/>
              <w:rPr>
                <w:rStyle w:val="Emphasis"/>
                <w:rFonts w:ascii="Arial" w:hAnsi="Arial" w:cs="Arial"/>
                <w:b w:val="false"/>
                <w:b w:val="false"/>
                <w:bCs w:val="false"/>
                <w:i w:val="false"/>
                <w:i w:val="false"/>
                <w:iCs w:val="false"/>
                <w:color w:val="auto"/>
                <w:spacing w:val="0"/>
                <w:sz w:val="24"/>
                <w:szCs w:val="24"/>
              </w:rPr>
            </w:pPr>
            <w:r>
              <w:rPr>
                <w:rFonts w:cs="Arial" w:ascii="Arial" w:hAnsi="Arial"/>
                <w:b w:val="false"/>
                <w:bCs w:val="false"/>
                <w:i w:val="false"/>
                <w:iCs w:val="false"/>
                <w:color w:val="auto"/>
                <w:spacing w:val="0"/>
                <w:sz w:val="24"/>
                <w:szCs w:val="24"/>
              </w:rPr>
            </w:r>
          </w:p>
          <w:p>
            <w:pPr>
              <w:pStyle w:val="Normal"/>
              <w:spacing w:lineRule="auto" w:line="360"/>
              <w:rPr>
                <w:rStyle w:val="Emphasis"/>
                <w:rFonts w:ascii="Arial" w:hAnsi="Arial" w:cs="Arial"/>
                <w:b w:val="false"/>
                <w:b w:val="false"/>
                <w:bCs w:val="false"/>
                <w:i w:val="false"/>
                <w:i w:val="false"/>
                <w:iCs w:val="false"/>
                <w:color w:val="auto"/>
                <w:spacing w:val="0"/>
                <w:sz w:val="24"/>
                <w:szCs w:val="24"/>
              </w:rPr>
            </w:pPr>
            <w:r>
              <w:rPr>
                <w:rFonts w:cs="Arial" w:ascii="Arial" w:hAnsi="Arial"/>
                <w:b w:val="false"/>
                <w:bCs w:val="false"/>
                <w:i w:val="false"/>
                <w:iCs w:val="false"/>
                <w:color w:val="auto"/>
                <w:spacing w:val="0"/>
                <w:sz w:val="24"/>
                <w:szCs w:val="24"/>
              </w:rPr>
            </w:r>
          </w:p>
          <w:p>
            <w:pPr>
              <w:pStyle w:val="Normal"/>
              <w:spacing w:lineRule="auto" w:line="360"/>
              <w:rPr/>
            </w:pPr>
            <w:bookmarkStart w:id="1" w:name="__DdeLink__101_1340804857"/>
            <w:bookmarkStart w:id="2" w:name="__DdeLink__293_520827827"/>
            <w:r>
              <w:rPr>
                <w:rStyle w:val="Emphasis"/>
                <w:rFonts w:cs="Arial" w:ascii="Arial" w:hAnsi="Arial"/>
                <w:b w:val="false"/>
                <w:bCs w:val="false"/>
                <w:i w:val="false"/>
                <w:iCs w:val="false"/>
                <w:color w:val="auto"/>
                <w:spacing w:val="0"/>
                <w:sz w:val="24"/>
                <w:szCs w:val="24"/>
              </w:rPr>
              <w:t xml:space="preserve">I think the knowledge gained from the lecture is not only useful but also essential. If I am a manager in a hotel restaurant in future I will pay close attention to all things related to food allergies and I will expect the same from my staff. It is very important to know the composition of all raw materials, constant contact with suppliers due to change in food allergies, separate storage of allergen-containing ingredients and equipment, continuous training of staff in connection with changes in food allergy legislation. Personally I’m glad that the Natasha law has been enacted and I hope it will help all those who have some kind of food allergy. </w:t>
            </w:r>
            <w:bookmarkEnd w:id="1"/>
            <w:bookmarkEnd w:id="2"/>
          </w:p>
          <w:p>
            <w:pPr>
              <w:pStyle w:val="Normal"/>
              <w:spacing w:lineRule="auto" w:line="360"/>
              <w:rPr>
                <w:rStyle w:val="Emphasis"/>
                <w:rFonts w:ascii="Arial" w:hAnsi="Arial" w:cs="Arial"/>
                <w:b w:val="false"/>
                <w:b w:val="false"/>
                <w:bCs w:val="false"/>
                <w:i w:val="false"/>
                <w:i w:val="false"/>
                <w:iCs w:val="false"/>
                <w:color w:val="auto"/>
                <w:spacing w:val="0"/>
                <w:sz w:val="24"/>
                <w:szCs w:val="24"/>
              </w:rPr>
            </w:pPr>
            <w:r>
              <w:rPr>
                <w:rFonts w:cs="Arial" w:ascii="Arial" w:hAnsi="Arial"/>
                <w:b w:val="false"/>
                <w:bCs w:val="false"/>
                <w:i w:val="false"/>
                <w:iCs w:val="false"/>
                <w:color w:val="auto"/>
                <w:spacing w:val="0"/>
                <w:sz w:val="24"/>
                <w:szCs w:val="24"/>
              </w:rPr>
            </w:r>
          </w:p>
          <w:p>
            <w:pPr>
              <w:pStyle w:val="Normal"/>
              <w:spacing w:lineRule="auto" w:line="360"/>
              <w:rPr>
                <w:rStyle w:val="Emphasis"/>
                <w:rFonts w:ascii="Arial" w:hAnsi="Arial" w:cs="Arial"/>
                <w:b w:val="false"/>
                <w:b w:val="false"/>
                <w:i w:val="false"/>
                <w:i w:val="false"/>
                <w:iCs w:val="false"/>
                <w:color w:val="auto"/>
                <w:spacing w:val="0"/>
                <w:sz w:val="24"/>
                <w:szCs w:val="24"/>
              </w:rPr>
            </w:pPr>
            <w:r>
              <w:rPr>
                <w:rFonts w:cs="Arial" w:ascii="Arial" w:hAnsi="Arial"/>
                <w:b w:val="false"/>
                <w:i w:val="false"/>
                <w:iCs w:val="false"/>
                <w:color w:val="auto"/>
                <w:spacing w:val="0"/>
                <w:sz w:val="24"/>
                <w:szCs w:val="24"/>
              </w:rPr>
            </w:r>
          </w:p>
          <w:p>
            <w:pPr>
              <w:pStyle w:val="Normal"/>
              <w:spacing w:lineRule="auto" w:line="360"/>
              <w:rPr>
                <w:rStyle w:val="Emphasis"/>
                <w:rFonts w:ascii="Arial" w:hAnsi="Arial" w:cs="Arial"/>
                <w:b w:val="false"/>
                <w:b w:val="false"/>
                <w:i w:val="false"/>
                <w:i w:val="false"/>
                <w:iCs w:val="false"/>
                <w:color w:val="auto"/>
                <w:spacing w:val="0"/>
                <w:sz w:val="24"/>
                <w:szCs w:val="24"/>
              </w:rPr>
            </w:pPr>
            <w:r>
              <w:rPr>
                <w:rFonts w:cs="Arial" w:ascii="Arial" w:hAnsi="Arial"/>
                <w:b w:val="false"/>
                <w:i w:val="false"/>
                <w:iCs w:val="false"/>
                <w:color w:val="auto"/>
                <w:spacing w:val="0"/>
                <w:sz w:val="24"/>
                <w:szCs w:val="24"/>
              </w:rPr>
            </w:r>
          </w:p>
          <w:p>
            <w:pPr>
              <w:pStyle w:val="Normal"/>
              <w:spacing w:lineRule="auto" w:line="360"/>
              <w:jc w:val="both"/>
              <w:rPr>
                <w:rFonts w:ascii="Arial" w:hAnsi="Arial" w:cs="Arial"/>
              </w:rPr>
            </w:pPr>
            <w:r>
              <w:rPr>
                <w:rFonts w:cs="Arial" w:ascii="Arial" w:hAnsi="Arial"/>
              </w:rPr>
            </w:r>
            <w:bookmarkStart w:id="3" w:name="__DdeLink__314_18351873651"/>
            <w:bookmarkStart w:id="4" w:name="__DdeLink__314_18351873651"/>
            <w:bookmarkEnd w:id="4"/>
          </w:p>
          <w:p>
            <w:pPr>
              <w:pStyle w:val="Normal"/>
              <w:spacing w:lineRule="auto" w:line="360"/>
              <w:jc w:val="both"/>
              <w:rPr>
                <w:rFonts w:ascii="Arial" w:hAnsi="Arial" w:cs="Arial"/>
              </w:rPr>
            </w:pPr>
            <w:r>
              <w:rPr>
                <w:rFonts w:cs="Arial" w:ascii="Arial" w:hAnsi="Arial"/>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tc>
      </w:tr>
    </w:tbl>
    <w:p>
      <w:pPr>
        <w:pStyle w:val="Normal"/>
        <w:rPr>
          <w:rFonts w:ascii="Tahoma" w:hAnsi="Tahoma" w:cs="Tahoma"/>
          <w:b/>
          <w:b/>
        </w:rPr>
      </w:pPr>
      <w:r>
        <w:rPr>
          <w:rFonts w:cs="Tahoma" w:ascii="Tahoma" w:hAnsi="Tahoma"/>
          <w:b/>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10909"/>
        <w:gridCol w:w="272"/>
      </w:tblGrid>
      <w:tr>
        <w:trPr/>
        <w:tc>
          <w:tcPr>
            <w:tcW w:w="10909" w:type="dxa"/>
            <w:tcBorders/>
            <w:shd w:color="auto" w:fill="FBD4B4" w:themeFill="accent6" w:themeFillTint="66" w:val="clear"/>
          </w:tcPr>
          <w:p>
            <w:pPr>
              <w:pStyle w:val="Normal"/>
              <w:rPr>
                <w:rFonts w:ascii="Tahoma" w:hAnsi="Tahoma" w:cs="Tahoma"/>
                <w:b/>
                <w:b/>
                <w:sz w:val="20"/>
                <w:szCs w:val="20"/>
              </w:rPr>
            </w:pPr>
            <w:r>
              <w:rPr>
                <w:rFonts w:cs="Tahoma" w:ascii="Tahoma" w:hAnsi="Tahoma"/>
                <w:b/>
                <w:sz w:val="20"/>
                <w:szCs w:val="20"/>
              </w:rPr>
              <w:t>REFERENCE LIST (not included in word count)</w:t>
            </w:r>
          </w:p>
        </w:tc>
        <w:tc>
          <w:tcPr>
            <w:tcW w:w="272" w:type="dxa"/>
            <w:tcBorders/>
            <w:shd w:color="auto" w:fill="FBD4B4" w:themeFill="accent6" w:themeFillTint="66" w:val="clear"/>
          </w:tcPr>
          <w:p>
            <w:pPr>
              <w:pStyle w:val="Normal"/>
              <w:jc w:val="center"/>
              <w:rPr>
                <w:rFonts w:ascii="Tahoma" w:hAnsi="Tahoma" w:cs="Tahoma"/>
                <w:b/>
                <w:b/>
                <w:sz w:val="20"/>
                <w:szCs w:val="20"/>
              </w:rPr>
            </w:pPr>
            <w:r>
              <w:rPr>
                <w:rFonts w:cs="Tahoma" w:ascii="Tahoma" w:hAnsi="Tahoma"/>
                <w:b/>
                <w:sz w:val="20"/>
                <w:szCs w:val="20"/>
              </w:rPr>
            </w:r>
          </w:p>
          <w:p>
            <w:pPr>
              <w:pStyle w:val="Normal"/>
              <w:jc w:val="center"/>
              <w:rPr>
                <w:rFonts w:ascii="Tahoma" w:hAnsi="Tahoma" w:cs="Tahoma"/>
                <w:b/>
                <w:b/>
                <w:sz w:val="20"/>
                <w:szCs w:val="20"/>
              </w:rPr>
            </w:pPr>
            <w:r>
              <w:rPr>
                <w:rFonts w:cs="Tahoma" w:ascii="Tahoma" w:hAnsi="Tahoma"/>
                <w:b/>
                <w:sz w:val="20"/>
                <w:szCs w:val="20"/>
              </w:rPr>
            </w:r>
          </w:p>
        </w:tc>
      </w:tr>
      <w:tr>
        <w:trPr>
          <w:trHeight w:val="2494" w:hRule="atLeast"/>
        </w:trPr>
        <w:tc>
          <w:tcPr>
            <w:tcW w:w="11181" w:type="dxa"/>
            <w:gridSpan w:val="2"/>
            <w:tcBorders/>
            <w:shd w:fill="auto" w:val="clear"/>
          </w:tcPr>
          <w:p>
            <w:pPr>
              <w:pStyle w:val="Normal"/>
              <w:rPr>
                <w:rFonts w:ascii="Tahoma" w:hAnsi="Tahoma" w:cs="Tahoma"/>
                <w:sz w:val="20"/>
                <w:szCs w:val="20"/>
              </w:rPr>
            </w:pPr>
            <w:r>
              <w:rPr>
                <w:rFonts w:cs="Tahoma" w:ascii="Tahoma" w:hAnsi="Tahoma"/>
                <w:sz w:val="20"/>
                <w:szCs w:val="20"/>
              </w:rPr>
            </w:r>
          </w:p>
          <w:p>
            <w:pPr>
              <w:pStyle w:val="Normal"/>
              <w:spacing w:lineRule="auto" w:line="360"/>
              <w:jc w:val="both"/>
              <w:rPr>
                <w:rFonts w:ascii="Arial" w:hAnsi="Arial" w:cs="Arial"/>
              </w:rPr>
            </w:pPr>
            <w:r>
              <w:rPr>
                <w:rFonts w:cs="Arial" w:ascii="Arial" w:hAnsi="Arial"/>
              </w:rPr>
            </w:r>
          </w:p>
          <w:p>
            <w:pPr>
              <w:pStyle w:val="Normal"/>
              <w:spacing w:lineRule="auto" w:line="360"/>
              <w:jc w:val="both"/>
              <w:rPr/>
            </w:pPr>
            <w:r>
              <w:rPr>
                <w:rFonts w:cs="Arial" w:ascii="Arial" w:hAnsi="Arial"/>
              </w:rPr>
              <w:t xml:space="preserve">Wighton, K. (2021) </w:t>
            </w:r>
            <w:r>
              <w:rPr>
                <w:rFonts w:ascii="Arial" w:hAnsi="Arial"/>
                <w:i/>
                <w:iCs/>
              </w:rPr>
              <w:t>Deaths from food allergy rare and decreasing in the UK, finds study.</w:t>
            </w:r>
            <w:r>
              <w:rPr>
                <w:rFonts w:ascii="Arial" w:hAnsi="Arial"/>
              </w:rPr>
              <w:t xml:space="preserve"> Available at: https://www.imperial.ac.uk/news/215053/deaths-from-food-allergy-rare-decreasing/ (Accessed: 7 February 2022).</w:t>
            </w:r>
          </w:p>
          <w:p>
            <w:pPr>
              <w:pStyle w:val="Normal"/>
              <w:spacing w:lineRule="auto" w:line="360"/>
              <w:jc w:val="both"/>
              <w:rPr>
                <w:rFonts w:ascii="Arial" w:hAnsi="Arial"/>
              </w:rPr>
            </w:pPr>
            <w:r>
              <w:rPr>
                <w:rFonts w:ascii="Arial" w:hAnsi="Arial"/>
              </w:rPr>
            </w:r>
          </w:p>
          <w:p>
            <w:pPr>
              <w:pStyle w:val="Normal"/>
              <w:spacing w:lineRule="auto" w:line="360"/>
              <w:jc w:val="both"/>
              <w:rPr/>
            </w:pPr>
            <w:r>
              <w:rPr>
                <w:rFonts w:ascii="Arial" w:hAnsi="Arial"/>
              </w:rPr>
              <w:t xml:space="preserve">BMJ Open Gastroenterol (2020) </w:t>
            </w:r>
            <w:r>
              <w:rPr>
                <w:rFonts w:ascii="Arial" w:hAnsi="Arial"/>
                <w:b w:val="false"/>
                <w:i/>
                <w:iCs/>
                <w:caps w:val="false"/>
                <w:smallCaps w:val="false"/>
                <w:color w:val="000000"/>
                <w:spacing w:val="0"/>
              </w:rPr>
              <w:t>Estimating deaths from foodborne disease in the UK for 11 key pathogens.</w:t>
            </w:r>
            <w:r>
              <w:rPr>
                <w:rFonts w:ascii="Arial" w:hAnsi="Arial"/>
                <w:b w:val="false"/>
                <w:i w:val="false"/>
                <w:caps w:val="false"/>
                <w:smallCaps w:val="false"/>
                <w:color w:val="000000"/>
                <w:spacing w:val="0"/>
              </w:rPr>
              <w:t xml:space="preserve"> Available at: https://www.ncbi.nlm.nih.gov/pmc/articles/PMC7319714/ (Accessed: 7 February 2022).</w:t>
            </w:r>
          </w:p>
          <w:p>
            <w:pPr>
              <w:pStyle w:val="Normal"/>
              <w:spacing w:lineRule="auto" w:line="360"/>
              <w:jc w:val="both"/>
              <w:rPr>
                <w:rFonts w:ascii="Arial" w:hAnsi="Arial"/>
                <w:b w:val="false"/>
                <w:b w:val="false"/>
                <w:i w:val="false"/>
                <w:i w:val="false"/>
                <w:caps w:val="false"/>
                <w:smallCaps w:val="false"/>
                <w:color w:val="000000"/>
                <w:spacing w:val="0"/>
              </w:rPr>
            </w:pPr>
            <w:r>
              <w:rPr>
                <w:rFonts w:ascii="Arial" w:hAnsi="Arial"/>
                <w:b w:val="false"/>
                <w:i w:val="false"/>
                <w:caps w:val="false"/>
                <w:smallCaps w:val="false"/>
                <w:color w:val="000000"/>
                <w:spacing w:val="0"/>
              </w:rPr>
            </w:r>
          </w:p>
          <w:p>
            <w:pPr>
              <w:pStyle w:val="Normal"/>
              <w:spacing w:lineRule="auto" w:line="360"/>
              <w:jc w:val="both"/>
              <w:rPr/>
            </w:pPr>
            <w:r>
              <w:rPr>
                <w:rFonts w:ascii="Arial" w:hAnsi="Arial"/>
                <w:b w:val="false"/>
                <w:i w:val="false"/>
                <w:caps w:val="false"/>
                <w:smallCaps w:val="false"/>
                <w:color w:val="000000"/>
                <w:spacing w:val="0"/>
              </w:rPr>
              <w:t xml:space="preserve">Food Satandarts Agency (2018) </w:t>
            </w:r>
            <w:r>
              <w:rPr>
                <w:rFonts w:ascii="Arial" w:hAnsi="Arial"/>
                <w:b w:val="false"/>
                <w:i/>
                <w:iCs/>
                <w:caps w:val="false"/>
                <w:smallCaps w:val="false"/>
                <w:color w:val="000000"/>
                <w:spacing w:val="0"/>
              </w:rPr>
              <w:t>The Burden of Foodborne Disease in the UK 2018.</w:t>
            </w:r>
            <w:r>
              <w:rPr>
                <w:rFonts w:ascii="Arial" w:hAnsi="Arial"/>
                <w:b w:val="false"/>
                <w:i w:val="false"/>
                <w:caps w:val="false"/>
                <w:smallCaps w:val="false"/>
                <w:color w:val="000000"/>
                <w:spacing w:val="0"/>
              </w:rPr>
              <w:t xml:space="preserve"> Available at: https://www.food.gov.uk/research/research-projects/the-burden-of-foodborne-disease-in-the-uk-2018 (Accessed: 7 February 2022).</w:t>
            </w:r>
          </w:p>
          <w:p>
            <w:pPr>
              <w:pStyle w:val="Normal"/>
              <w:spacing w:lineRule="auto" w:line="360"/>
              <w:jc w:val="both"/>
              <w:rPr>
                <w:rFonts w:ascii="Arial" w:hAnsi="Arial"/>
                <w:b w:val="false"/>
                <w:b w:val="false"/>
                <w:i w:val="false"/>
                <w:i w:val="false"/>
                <w:caps w:val="false"/>
                <w:smallCaps w:val="false"/>
                <w:color w:val="000000"/>
                <w:spacing w:val="0"/>
              </w:rPr>
            </w:pPr>
            <w:r>
              <w:rPr>
                <w:rFonts w:ascii="Arial" w:hAnsi="Arial"/>
                <w:b w:val="false"/>
                <w:i w:val="false"/>
                <w:caps w:val="false"/>
                <w:smallCaps w:val="false"/>
                <w:color w:val="000000"/>
                <w:spacing w:val="0"/>
              </w:rPr>
            </w:r>
          </w:p>
          <w:p>
            <w:pPr>
              <w:pStyle w:val="Normal"/>
              <w:spacing w:lineRule="auto" w:line="360"/>
              <w:jc w:val="both"/>
              <w:rPr/>
            </w:pPr>
            <w:r>
              <w:rPr>
                <w:rFonts w:ascii="Arial" w:hAnsi="Arial"/>
                <w:b w:val="false"/>
                <w:i w:val="false"/>
                <w:caps w:val="false"/>
                <w:smallCaps w:val="false"/>
                <w:color w:val="000000"/>
                <w:spacing w:val="0"/>
              </w:rPr>
              <w:t xml:space="preserve">Baracaia, A. (2021) </w:t>
            </w:r>
            <w:r>
              <w:rPr>
                <w:rFonts w:ascii="Arial" w:hAnsi="Arial"/>
                <w:b w:val="false"/>
                <w:i/>
                <w:iCs/>
                <w:caps w:val="false"/>
                <w:smallCaps w:val="false"/>
                <w:color w:val="000000"/>
                <w:spacing w:val="0"/>
              </w:rPr>
              <w:t>WHAT IS A NATASHA’S LOW?</w:t>
            </w:r>
            <w:r>
              <w:rPr>
                <w:rFonts w:ascii="Arial" w:hAnsi="Arial"/>
                <w:b w:val="false"/>
                <w:i w:val="false"/>
                <w:caps w:val="false"/>
                <w:smallCaps w:val="false"/>
                <w:color w:val="000000"/>
                <w:spacing w:val="0"/>
              </w:rPr>
              <w:t xml:space="preserve"> Available at: https://theallergyteam.com/what-is-natashas-law/ (Accessed 7 February 2022).</w:t>
            </w:r>
          </w:p>
          <w:p>
            <w:pPr>
              <w:pStyle w:val="Normal"/>
              <w:spacing w:lineRule="auto" w:line="360"/>
              <w:jc w:val="both"/>
              <w:rPr>
                <w:rFonts w:ascii="Arial" w:hAnsi="Arial"/>
                <w:b w:val="false"/>
                <w:b w:val="false"/>
                <w:i w:val="false"/>
                <w:i w:val="false"/>
                <w:caps w:val="false"/>
                <w:smallCaps w:val="false"/>
                <w:color w:val="000000"/>
                <w:spacing w:val="0"/>
              </w:rPr>
            </w:pPr>
            <w:r>
              <w:rPr>
                <w:rFonts w:ascii="Arial" w:hAnsi="Arial"/>
                <w:b w:val="false"/>
                <w:i w:val="false"/>
                <w:caps w:val="false"/>
                <w:smallCaps w:val="false"/>
                <w:color w:val="000000"/>
                <w:spacing w:val="0"/>
              </w:rPr>
            </w:r>
          </w:p>
          <w:p>
            <w:pPr>
              <w:pStyle w:val="Normal"/>
              <w:spacing w:lineRule="auto" w:line="360"/>
              <w:jc w:val="both"/>
              <w:rPr/>
            </w:pPr>
            <w:r>
              <w:rPr>
                <w:rFonts w:ascii="Arial" w:hAnsi="Arial"/>
                <w:b w:val="false"/>
                <w:i w:val="false"/>
                <w:caps w:val="false"/>
                <w:smallCaps w:val="false"/>
                <w:color w:val="000000"/>
                <w:spacing w:val="0"/>
              </w:rPr>
              <w:t xml:space="preserve">NARF (2020) </w:t>
            </w:r>
            <w:r>
              <w:rPr>
                <w:rFonts w:ascii="Arial" w:hAnsi="Arial"/>
                <w:b w:val="false"/>
                <w:i/>
                <w:iCs/>
                <w:caps w:val="false"/>
                <w:smallCaps w:val="false"/>
                <w:color w:val="000000"/>
                <w:spacing w:val="0"/>
                <w:sz w:val="24"/>
                <w:szCs w:val="24"/>
              </w:rPr>
              <w:t xml:space="preserve">Natasha’s Law came into effect on the 1st October 2021. </w:t>
            </w:r>
            <w:r>
              <w:rPr>
                <w:rFonts w:ascii="Arial" w:hAnsi="Arial"/>
                <w:b w:val="false"/>
                <w:i w:val="false"/>
                <w:iCs w:val="false"/>
                <w:caps w:val="false"/>
                <w:smallCaps w:val="false"/>
                <w:color w:val="000000"/>
                <w:spacing w:val="0"/>
                <w:sz w:val="24"/>
                <w:szCs w:val="24"/>
              </w:rPr>
              <w:t>Available at: https://www.narf.org.uk/natashaslaw (Accessed 7 February 2022).</w:t>
            </w:r>
          </w:p>
          <w:p>
            <w:pPr>
              <w:pStyle w:val="Normal"/>
              <w:spacing w:lineRule="auto" w:line="360"/>
              <w:jc w:val="both"/>
              <w:rPr>
                <w:rFonts w:ascii="Arial" w:hAnsi="Arial"/>
                <w:b w:val="false"/>
                <w:b w:val="false"/>
                <w:i w:val="false"/>
                <w:i w:val="false"/>
                <w:iCs w:val="false"/>
                <w:caps w:val="false"/>
                <w:smallCaps w:val="false"/>
                <w:color w:val="000000"/>
                <w:spacing w:val="0"/>
                <w:sz w:val="24"/>
                <w:szCs w:val="24"/>
              </w:rPr>
            </w:pPr>
            <w:r>
              <w:rPr>
                <w:rFonts w:ascii="Arial" w:hAnsi="Arial"/>
                <w:b w:val="false"/>
                <w:i w:val="false"/>
                <w:iCs w:val="false"/>
                <w:caps w:val="false"/>
                <w:smallCaps w:val="false"/>
                <w:color w:val="000000"/>
                <w:spacing w:val="0"/>
                <w:sz w:val="24"/>
                <w:szCs w:val="24"/>
              </w:rPr>
            </w:r>
          </w:p>
          <w:p>
            <w:pPr>
              <w:pStyle w:val="Normal"/>
              <w:spacing w:lineRule="auto" w:line="360"/>
              <w:jc w:val="both"/>
              <w:rPr>
                <w:rFonts w:ascii="Arial" w:hAnsi="Arial"/>
                <w:b w:val="false"/>
                <w:b w:val="false"/>
                <w:i w:val="false"/>
                <w:i w:val="false"/>
                <w:iCs w:val="false"/>
                <w:caps w:val="false"/>
                <w:smallCaps w:val="false"/>
                <w:color w:val="000000"/>
                <w:spacing w:val="0"/>
                <w:sz w:val="24"/>
                <w:szCs w:val="24"/>
              </w:rPr>
            </w:pPr>
            <w:r>
              <w:rPr>
                <w:rFonts w:ascii="Arial" w:hAnsi="Arial"/>
                <w:b w:val="false"/>
                <w:i w:val="false"/>
                <w:iCs w:val="false"/>
                <w:caps w:val="false"/>
                <w:smallCaps w:val="false"/>
                <w:color w:val="000000"/>
                <w:spacing w:val="0"/>
                <w:sz w:val="24"/>
                <w:szCs w:val="24"/>
              </w:rPr>
            </w:r>
          </w:p>
          <w:p>
            <w:pPr>
              <w:pStyle w:val="Normal"/>
              <w:spacing w:lineRule="auto" w:line="360"/>
              <w:jc w:val="both"/>
              <w:rPr/>
            </w:pPr>
            <w:r>
              <w:rPr>
                <w:rFonts w:ascii="Arial" w:hAnsi="Arial"/>
              </w:rPr>
              <w:t xml:space="preserve">ITV News (2021) </w:t>
            </w:r>
            <w:r>
              <w:rPr>
                <w:rFonts w:ascii="Arial" w:hAnsi="Arial"/>
                <w:b w:val="false"/>
                <w:i/>
                <w:iCs/>
              </w:rPr>
              <w:t>Natasha's Law Comes Into Effect 1st October 2021</w:t>
            </w:r>
            <w:r>
              <w:rPr>
                <w:b w:val="false"/>
              </w:rPr>
              <w:t xml:space="preserve"> </w:t>
            </w:r>
            <w:r>
              <w:rPr>
                <w:rFonts w:ascii="Arial" w:hAnsi="Arial"/>
                <w:b w:val="false"/>
              </w:rPr>
              <w:t>[video]. Available at: https://www.youtube.com/watch?v=ycM0FMHeG5o&amp;t=2s (Accessed 8 February 2022).</w:t>
            </w:r>
          </w:p>
          <w:p>
            <w:pPr>
              <w:pStyle w:val="Normal"/>
              <w:spacing w:lineRule="auto" w:line="360"/>
              <w:jc w:val="both"/>
              <w:rPr>
                <w:rFonts w:ascii="Arial" w:hAnsi="Arial"/>
              </w:rPr>
            </w:pPr>
            <w:r>
              <w:rPr>
                <w:rFonts w:ascii="Arial" w:hAnsi="Arial"/>
              </w:rPr>
            </w:r>
          </w:p>
          <w:p>
            <w:pPr>
              <w:pStyle w:val="Normal"/>
              <w:spacing w:lineRule="auto" w:line="360"/>
              <w:jc w:val="both"/>
              <w:rPr/>
            </w:pPr>
            <w:r>
              <w:rPr>
                <w:rFonts w:ascii="Arial" w:hAnsi="Arial"/>
              </w:rPr>
              <w:t xml:space="preserve">NARF (2019) </w:t>
            </w:r>
            <w:r>
              <w:rPr>
                <w:rFonts w:ascii="Arial" w:hAnsi="Arial"/>
                <w:b w:val="false"/>
                <w:i/>
                <w:iCs/>
              </w:rPr>
              <w:t xml:space="preserve">What is Natasha's Law? </w:t>
            </w:r>
            <w:r>
              <w:rPr>
                <w:rFonts w:ascii="Arial" w:hAnsi="Arial"/>
                <w:b w:val="false"/>
              </w:rPr>
              <w:t>[video]. Available at: https://www.youtube.com/watch?v=5y0-Ko8TiNI (Accessed: 8 February 2022).</w:t>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t xml:space="preserve">MAYO CLINIC (2021) </w:t>
            </w:r>
            <w:r>
              <w:rPr>
                <w:rFonts w:ascii="Arial" w:hAnsi="Arial"/>
                <w:i/>
                <w:iCs/>
              </w:rPr>
              <w:t xml:space="preserve">Food allergy </w:t>
            </w:r>
            <w:r>
              <w:rPr>
                <w:rFonts w:ascii="Arial" w:hAnsi="Arial"/>
              </w:rPr>
              <w:t xml:space="preserve">Available at: https://www.mayoclinic.org/diseases-conditions/food-allergy/symptoms-causes/syc-20355095 (Accessed: 8 February 2022). </w:t>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jc w:val="both"/>
              <w:rPr>
                <w:rFonts w:ascii="Tahoma" w:hAnsi="Tahoma" w:cs="Tahoma"/>
                <w:sz w:val="20"/>
                <w:szCs w:val="20"/>
              </w:rPr>
            </w:pPr>
            <w:r>
              <w:rPr>
                <w:rFonts w:cs="Tahoma" w:ascii="Tahoma" w:hAnsi="Tahoma"/>
                <w:sz w:val="20"/>
                <w:szCs w:val="20"/>
              </w:rPr>
            </w:r>
          </w:p>
        </w:tc>
      </w:tr>
    </w:tbl>
    <w:p>
      <w:pPr>
        <w:pStyle w:val="Normal"/>
        <w:rPr>
          <w:rFonts w:ascii="Tahoma" w:hAnsi="Tahoma" w:cs="Tahoma"/>
          <w:b/>
          <w:b/>
        </w:rPr>
      </w:pPr>
      <w:r>
        <w:rPr>
          <w:rFonts w:cs="Tahoma" w:ascii="Tahoma" w:hAnsi="Tahoma"/>
          <w:b/>
        </w:rPr>
      </w:r>
    </w:p>
    <w:p>
      <w:pPr>
        <w:pStyle w:val="Normal"/>
        <w:rPr>
          <w:rFonts w:ascii="Tahoma" w:hAnsi="Tahoma" w:cs="Tahoma"/>
          <w:b/>
          <w:b/>
        </w:rPr>
      </w:pPr>
      <w:r>
        <w:rPr>
          <w:rFonts w:cs="Tahoma" w:ascii="Tahoma" w:hAnsi="Tahoma"/>
          <w:b/>
        </w:rPr>
      </w:r>
    </w:p>
    <w:p>
      <w:pPr>
        <w:pStyle w:val="Normal"/>
        <w:rPr>
          <w:rFonts w:ascii="Tahoma" w:hAnsi="Tahoma" w:cs="Tahoma"/>
          <w:b/>
          <w:b/>
        </w:rPr>
      </w:pPr>
      <w:r>
        <w:rPr>
          <w:rFonts w:cs="Tahoma" w:ascii="Tahoma" w:hAnsi="Tahoma"/>
          <w:b/>
        </w:rPr>
      </w:r>
    </w:p>
    <w:p>
      <w:pPr>
        <w:pStyle w:val="Normal"/>
        <w:rPr>
          <w:rFonts w:ascii="Tahoma" w:hAnsi="Tahoma" w:cs="Tahoma"/>
          <w:b/>
          <w:b/>
        </w:rPr>
      </w:pPr>
      <w:r>
        <w:rPr>
          <w:rFonts w:cs="Tahoma" w:ascii="Tahoma" w:hAnsi="Tahoma"/>
          <w:b/>
        </w:rPr>
      </w:r>
    </w:p>
    <w:p>
      <w:pPr>
        <w:pStyle w:val="Normal"/>
        <w:rPr>
          <w:rFonts w:ascii="Tahoma" w:hAnsi="Tahoma" w:cs="Tahoma"/>
          <w:b/>
          <w:b/>
        </w:rPr>
      </w:pPr>
      <w:r>
        <w:rPr>
          <w:rFonts w:cs="Tahoma" w:ascii="Tahoma" w:hAnsi="Tahoma"/>
          <w:b/>
        </w:rPr>
      </w:r>
    </w:p>
    <w:p>
      <w:pPr>
        <w:pStyle w:val="Normal"/>
        <w:rPr>
          <w:rFonts w:ascii="Tahoma" w:hAnsi="Tahoma" w:cs="Tahoma"/>
          <w:b/>
          <w:b/>
        </w:rPr>
      </w:pPr>
      <w:r>
        <w:rPr>
          <w:rFonts w:cs="Tahoma" w:ascii="Tahoma" w:hAnsi="Tahoma"/>
          <w:b/>
        </w:rPr>
      </w:r>
    </w:p>
    <w:p>
      <w:pPr>
        <w:pStyle w:val="Normal"/>
        <w:rPr/>
      </w:pPr>
      <w:r>
        <w:rPr/>
      </w:r>
    </w:p>
    <w:sectPr>
      <w:headerReference w:type="default" r:id="rId2"/>
      <w:footerReference w:type="default" r:id="rId3"/>
      <w:type w:val="nextPage"/>
      <w:pgSz w:w="11906" w:h="16838"/>
      <w:pgMar w:left="357" w:right="357" w:header="709" w:top="766" w:footer="709" w:bottom="766"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00"/>
    <w:family w:val="swiss"/>
    <w:pitch w:val="variable"/>
  </w:font>
  <w:font w:name="SymbolMT">
    <w:charset w:val="00"/>
    <w:family w:val="roman"/>
    <w:pitch w:val="variable"/>
  </w:font>
  <w:font w:name="Arial">
    <w:charset w:val="00"/>
    <w:family w:val="roman"/>
    <w:pitch w:val="variable"/>
  </w:font>
  <w:font w:name="Tahoma">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545226958"/>
    </w:sdtPr>
    <w:sdtContent>
      <w:p>
        <w:pPr>
          <w:pStyle w:val="Footer"/>
          <w:jc w:val="right"/>
          <w:rPr/>
        </w:pPr>
        <w:r>
          <w:rPr/>
          <w:fldChar w:fldCharType="begin"/>
        </w:r>
        <w:r>
          <w:rPr/>
          <w:instrText> PAGE </w:instrText>
        </w:r>
        <w:r>
          <w:rPr/>
          <w:fldChar w:fldCharType="separate"/>
        </w:r>
        <w:r>
          <w:rPr/>
          <w:t>5</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rFonts w:ascii="Calibri" w:hAnsi="Calibri" w:asciiTheme="minorHAnsi" w:hAnsiTheme="minorHAnsi"/>
      </w:rPr>
    </w:pPr>
    <w:r>
      <w:drawing>
        <wp:anchor behindDoc="1" distT="0" distB="0" distL="114300" distR="114300" simplePos="0" locked="0" layoutInCell="1" allowOverlap="1" relativeHeight="6">
          <wp:simplePos x="0" y="0"/>
          <wp:positionH relativeFrom="margin">
            <wp:posOffset>1270</wp:posOffset>
          </wp:positionH>
          <wp:positionV relativeFrom="margin">
            <wp:posOffset>-357505</wp:posOffset>
          </wp:positionV>
          <wp:extent cx="2303780" cy="765175"/>
          <wp:effectExtent l="0" t="0" r="0" b="0"/>
          <wp:wrapSquare wrapText="bothSides"/>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1"/>
                  <a:stretch>
                    <a:fillRect/>
                  </a:stretch>
                </pic:blipFill>
                <pic:spPr bwMode="auto">
                  <a:xfrm>
                    <a:off x="0" y="0"/>
                    <a:ext cx="2303780" cy="765175"/>
                  </a:xfrm>
                  <a:prstGeom prst="rect">
                    <a:avLst/>
                  </a:prstGeom>
                </pic:spPr>
              </pic:pic>
            </a:graphicData>
          </a:graphic>
        </wp:anchor>
      </w:drawing>
    </w:r>
    <w:r>
      <w:rPr>
        <w:rFonts w:ascii="Calibri" w:hAnsi="Calibri" w:asciiTheme="minorHAnsi" w:hAnsiTheme="minorHAnsi"/>
      </w:rPr>
      <w:t>I</w:t>
    </w:r>
    <w:r>
      <w:rPr>
        <w:rFonts w:ascii="Calibri" w:hAnsi="Calibri" w:asciiTheme="minorHAnsi" w:hAnsiTheme="minorHAnsi"/>
      </w:rPr>
      <w:t>nternational Hotel Management</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pStyle w:val="Heading1"/>
      <w:numFmt w:val="none"/>
      <w:suff w:val="nothing"/>
      <w:lvlText w:val=""/>
      <w:lvlJc w:val="left"/>
      <w:pPr>
        <w:ind w:left="0" w:hanging="0"/>
      </w:pPr>
    </w:lvl>
    <w:lvl w:ilvl="1">
      <w:start w:val="1"/>
      <w:pStyle w:val="Heading2"/>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bullet"/>
      <w:lvlText w:val=""/>
      <w:lvlJc w:val="left"/>
      <w:pPr>
        <w:tabs>
          <w:tab w:val="num" w:pos="720"/>
        </w:tabs>
        <w:ind w:left="720" w:hanging="360"/>
      </w:pPr>
      <w:rPr>
        <w:rFonts w:ascii="Symbol" w:hAnsi="Symbol" w:cs="Symbol" w:hint="default"/>
        <w:sz w:val="20"/>
        <w:rFonts w:cs="Symbol"/>
      </w:rPr>
    </w:lvl>
    <w:lvl w:ilvl="1">
      <w:start w:val="1"/>
      <w:numFmt w:val="bullet"/>
      <w:lvlText w:val=""/>
      <w:lvlJc w:val="left"/>
      <w:pPr>
        <w:tabs>
          <w:tab w:val="num" w:pos="1440"/>
        </w:tabs>
        <w:ind w:left="1440" w:hanging="360"/>
      </w:pPr>
      <w:rPr>
        <w:rFonts w:ascii="Symbol" w:hAnsi="Symbol" w:cs="Symbol" w:hint="default"/>
        <w:sz w:val="20"/>
        <w:rFonts w:cs="Symbol"/>
      </w:rPr>
    </w:lvl>
    <w:lvl w:ilvl="2">
      <w:start w:val="1"/>
      <w:numFmt w:val="bullet"/>
      <w:lvlText w:val=""/>
      <w:lvlJc w:val="left"/>
      <w:pPr>
        <w:tabs>
          <w:tab w:val="num" w:pos="2160"/>
        </w:tabs>
        <w:ind w:left="2160" w:hanging="360"/>
      </w:pPr>
      <w:rPr>
        <w:rFonts w:ascii="Symbol" w:hAnsi="Symbol" w:cs="Symbol" w:hint="default"/>
        <w:sz w:val="20"/>
        <w:rFonts w:cs="Symbol"/>
      </w:rPr>
    </w:lvl>
    <w:lvl w:ilvl="3">
      <w:start w:val="1"/>
      <w:numFmt w:val="bullet"/>
      <w:lvlText w:val=""/>
      <w:lvlJc w:val="left"/>
      <w:pPr>
        <w:tabs>
          <w:tab w:val="num" w:pos="2880"/>
        </w:tabs>
        <w:ind w:left="2880" w:hanging="360"/>
      </w:pPr>
      <w:rPr>
        <w:rFonts w:ascii="Symbol" w:hAnsi="Symbol" w:cs="Symbol" w:hint="default"/>
        <w:sz w:val="20"/>
        <w:rFonts w:cs="Symbol"/>
      </w:rPr>
    </w:lvl>
    <w:lvl w:ilvl="4">
      <w:start w:val="1"/>
      <w:numFmt w:val="bullet"/>
      <w:lvlText w:val=""/>
      <w:lvlJc w:val="left"/>
      <w:pPr>
        <w:tabs>
          <w:tab w:val="num" w:pos="3600"/>
        </w:tabs>
        <w:ind w:left="3600" w:hanging="360"/>
      </w:pPr>
      <w:rPr>
        <w:rFonts w:ascii="Symbol" w:hAnsi="Symbol" w:cs="Symbol" w:hint="default"/>
        <w:sz w:val="20"/>
        <w:rFonts w:cs="Symbol"/>
      </w:rPr>
    </w:lvl>
    <w:lvl w:ilvl="5">
      <w:start w:val="1"/>
      <w:numFmt w:val="bullet"/>
      <w:lvlText w:val=""/>
      <w:lvlJc w:val="left"/>
      <w:pPr>
        <w:tabs>
          <w:tab w:val="num" w:pos="4320"/>
        </w:tabs>
        <w:ind w:left="4320" w:hanging="360"/>
      </w:pPr>
      <w:rPr>
        <w:rFonts w:ascii="Symbol" w:hAnsi="Symbol" w:cs="Symbol" w:hint="default"/>
        <w:sz w:val="20"/>
        <w:rFonts w:cs="Symbol"/>
      </w:rPr>
    </w:lvl>
    <w:lvl w:ilvl="6">
      <w:start w:val="1"/>
      <w:numFmt w:val="bullet"/>
      <w:lvlText w:val=""/>
      <w:lvlJc w:val="left"/>
      <w:pPr>
        <w:tabs>
          <w:tab w:val="num" w:pos="5040"/>
        </w:tabs>
        <w:ind w:left="5040" w:hanging="360"/>
      </w:pPr>
      <w:rPr>
        <w:rFonts w:ascii="Symbol" w:hAnsi="Symbol" w:cs="Symbol" w:hint="default"/>
        <w:sz w:val="20"/>
        <w:rFonts w:cs="Symbol"/>
      </w:rPr>
    </w:lvl>
    <w:lvl w:ilvl="7">
      <w:start w:val="1"/>
      <w:numFmt w:val="bullet"/>
      <w:lvlText w:val=""/>
      <w:lvlJc w:val="left"/>
      <w:pPr>
        <w:tabs>
          <w:tab w:val="num" w:pos="5760"/>
        </w:tabs>
        <w:ind w:left="5760" w:hanging="360"/>
      </w:pPr>
      <w:rPr>
        <w:rFonts w:ascii="Symbol" w:hAnsi="Symbol" w:cs="Symbol" w:hint="default"/>
        <w:sz w:val="20"/>
        <w:rFonts w:cs="Symbol"/>
      </w:rPr>
    </w:lvl>
    <w:lvl w:ilvl="8">
      <w:start w:val="1"/>
      <w:numFmt w:val="bullet"/>
      <w:lvlText w:val=""/>
      <w:lvlJc w:val="left"/>
      <w:pPr>
        <w:tabs>
          <w:tab w:val="num" w:pos="6480"/>
        </w:tabs>
        <w:ind w:left="6480" w:hanging="360"/>
      </w:pPr>
      <w:rPr>
        <w:rFonts w:ascii="Symbol" w:hAnsi="Symbol" w:cs="Symbol" w:hint="default"/>
        <w:sz w:val="20"/>
        <w:rFonts w:cs="Symbol"/>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478ce"/>
    <w:pPr>
      <w:widowControl/>
      <w:bidi w:val="0"/>
      <w:jc w:val="left"/>
    </w:pPr>
    <w:rPr>
      <w:rFonts w:ascii="Times New Roman" w:hAnsi="Times New Roman" w:eastAsia="Times New Roman" w:cs="Times New Roman"/>
      <w:color w:val="auto"/>
      <w:kern w:val="0"/>
      <w:sz w:val="24"/>
      <w:szCs w:val="24"/>
      <w:lang w:val="en-GB" w:eastAsia="en-GB" w:bidi="ar-SA"/>
    </w:rPr>
  </w:style>
  <w:style w:type="paragraph" w:styleId="Heading1">
    <w:name w:val="Heading 1"/>
    <w:basedOn w:val="Heading"/>
    <w:next w:val="TextBody"/>
    <w:qFormat/>
    <w:pPr>
      <w:numPr>
        <w:ilvl w:val="0"/>
        <w:numId w:val="1"/>
      </w:numPr>
      <w:spacing w:before="240" w:after="120"/>
      <w:outlineLvl w:val="0"/>
    </w:pPr>
    <w:rPr>
      <w:rFonts w:ascii="Times New Roman" w:hAnsi="Times New Roman" w:eastAsia="Segoe UI" w:cs="Tahoma"/>
      <w:b/>
      <w:bCs/>
      <w:sz w:val="48"/>
      <w:szCs w:val="48"/>
    </w:rPr>
  </w:style>
  <w:style w:type="paragraph" w:styleId="Heading2">
    <w:name w:val="Heading 2"/>
    <w:basedOn w:val="Heading"/>
    <w:next w:val="TextBody"/>
    <w:qFormat/>
    <w:pPr>
      <w:numPr>
        <w:ilvl w:val="1"/>
        <w:numId w:val="1"/>
      </w:numPr>
      <w:spacing w:before="200" w:after="120"/>
      <w:outlineLvl w:val="1"/>
    </w:pPr>
    <w:rPr>
      <w:rFonts w:ascii="Times New Roman" w:hAnsi="Times New Roman" w:eastAsia="Segoe UI" w:cs="Tahoma"/>
      <w:b/>
      <w:bCs/>
      <w:sz w:val="36"/>
      <w:szCs w:val="36"/>
    </w:rPr>
  </w:style>
  <w:style w:type="character" w:styleId="DefaultParagraphFont" w:default="1">
    <w:name w:val="Default Paragraph Font"/>
    <w:uiPriority w:val="1"/>
    <w:semiHidden/>
    <w:unhideWhenUsed/>
    <w:qFormat/>
    <w:rPr/>
  </w:style>
  <w:style w:type="character" w:styleId="FooterChar" w:customStyle="1">
    <w:name w:val="Footer Char"/>
    <w:basedOn w:val="DefaultParagraphFont"/>
    <w:link w:val="Footer"/>
    <w:uiPriority w:val="99"/>
    <w:qFormat/>
    <w:rsid w:val="00b44b68"/>
    <w:rPr>
      <w:sz w:val="24"/>
      <w:szCs w:val="24"/>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ascii="SymbolMT" w:hAnsi="SymbolMT"/>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InternetLink">
    <w:name w:val="Internet Link"/>
    <w:rPr>
      <w:color w:val="000080"/>
      <w:u w:val="single"/>
      <w:lang w:val="zxx" w:eastAsia="zxx" w:bidi="zxx"/>
    </w:rPr>
  </w:style>
  <w:style w:type="character" w:styleId="Emphasis">
    <w:name w:val="Emphasis"/>
    <w:qFormat/>
    <w:rPr>
      <w:i/>
      <w:iCs/>
    </w:rPr>
  </w:style>
  <w:style w:type="character" w:styleId="ListLabel64">
    <w:name w:val="ListLabel 64"/>
    <w:qFormat/>
    <w:rPr>
      <w:rFonts w:ascii="SymbolMT" w:hAnsi="SymbolMT" w:cs="Symbol"/>
      <w:sz w:val="20"/>
    </w:rPr>
  </w:style>
  <w:style w:type="character" w:styleId="ListLabel65">
    <w:name w:val="ListLabel 65"/>
    <w:qFormat/>
    <w:rPr>
      <w:rFonts w:cs="Symbol"/>
      <w:sz w:val="20"/>
    </w:rPr>
  </w:style>
  <w:style w:type="character" w:styleId="ListLabel66">
    <w:name w:val="ListLabel 66"/>
    <w:qFormat/>
    <w:rPr>
      <w:rFonts w:cs="Symbol"/>
      <w:sz w:val="20"/>
    </w:rPr>
  </w:style>
  <w:style w:type="character" w:styleId="ListLabel67">
    <w:name w:val="ListLabel 67"/>
    <w:qFormat/>
    <w:rPr>
      <w:rFonts w:cs="Symbol"/>
      <w:sz w:val="20"/>
    </w:rPr>
  </w:style>
  <w:style w:type="character" w:styleId="ListLabel68">
    <w:name w:val="ListLabel 68"/>
    <w:qFormat/>
    <w:rPr>
      <w:rFonts w:cs="Symbol"/>
      <w:sz w:val="20"/>
    </w:rPr>
  </w:style>
  <w:style w:type="character" w:styleId="ListLabel69">
    <w:name w:val="ListLabel 69"/>
    <w:qFormat/>
    <w:rPr>
      <w:rFonts w:cs="Symbol"/>
      <w:sz w:val="20"/>
    </w:rPr>
  </w:style>
  <w:style w:type="character" w:styleId="ListLabel70">
    <w:name w:val="ListLabel 70"/>
    <w:qFormat/>
    <w:rPr>
      <w:rFonts w:cs="Symbol"/>
      <w:sz w:val="20"/>
    </w:rPr>
  </w:style>
  <w:style w:type="character" w:styleId="ListLabel71">
    <w:name w:val="ListLabel 71"/>
    <w:qFormat/>
    <w:rPr>
      <w:rFonts w:cs="Symbol"/>
      <w:sz w:val="20"/>
    </w:rPr>
  </w:style>
  <w:style w:type="character" w:styleId="ListLabel72">
    <w:name w:val="ListLabel 72"/>
    <w:qFormat/>
    <w:rPr>
      <w:rFonts w:cs="Symbol"/>
      <w:sz w:val="20"/>
    </w:rPr>
  </w:style>
  <w:style w:type="character" w:styleId="ListLabel73">
    <w:name w:val="ListLabel 73"/>
    <w:qFormat/>
    <w:rPr>
      <w:rFonts w:ascii="SymbolMT" w:hAnsi="SymbolMT" w:cs="Symbol"/>
      <w:sz w:val="20"/>
    </w:rPr>
  </w:style>
  <w:style w:type="character" w:styleId="ListLabel74">
    <w:name w:val="ListLabel 74"/>
    <w:qFormat/>
    <w:rPr>
      <w:rFonts w:cs="Symbol"/>
      <w:sz w:val="20"/>
    </w:rPr>
  </w:style>
  <w:style w:type="character" w:styleId="ListLabel75">
    <w:name w:val="ListLabel 75"/>
    <w:qFormat/>
    <w:rPr>
      <w:rFonts w:cs="Symbol"/>
      <w:sz w:val="20"/>
    </w:rPr>
  </w:style>
  <w:style w:type="character" w:styleId="ListLabel76">
    <w:name w:val="ListLabel 76"/>
    <w:qFormat/>
    <w:rPr>
      <w:rFonts w:cs="Symbol"/>
      <w:sz w:val="20"/>
    </w:rPr>
  </w:style>
  <w:style w:type="character" w:styleId="ListLabel77">
    <w:name w:val="ListLabel 77"/>
    <w:qFormat/>
    <w:rPr>
      <w:rFonts w:cs="Symbol"/>
      <w:sz w:val="20"/>
    </w:rPr>
  </w:style>
  <w:style w:type="character" w:styleId="ListLabel78">
    <w:name w:val="ListLabel 78"/>
    <w:qFormat/>
    <w:rPr>
      <w:rFonts w:cs="Symbol"/>
      <w:sz w:val="20"/>
    </w:rPr>
  </w:style>
  <w:style w:type="character" w:styleId="ListLabel79">
    <w:name w:val="ListLabel 79"/>
    <w:qFormat/>
    <w:rPr>
      <w:rFonts w:cs="Symbol"/>
      <w:sz w:val="20"/>
    </w:rPr>
  </w:style>
  <w:style w:type="character" w:styleId="ListLabel80">
    <w:name w:val="ListLabel 80"/>
    <w:qFormat/>
    <w:rPr>
      <w:rFonts w:cs="Symbol"/>
      <w:sz w:val="20"/>
    </w:rPr>
  </w:style>
  <w:style w:type="character" w:styleId="ListLabel81">
    <w:name w:val="ListLabel 81"/>
    <w:qFormat/>
    <w:rPr>
      <w:rFonts w:cs="Symbol"/>
      <w:sz w:val="20"/>
    </w:rPr>
  </w:style>
  <w:style w:type="character" w:styleId="ListLabel82">
    <w:name w:val="ListLabel 82"/>
    <w:qFormat/>
    <w:rPr>
      <w:rFonts w:ascii="SymbolMT" w:hAnsi="SymbolMT" w:cs="Symbol"/>
      <w:sz w:val="20"/>
    </w:rPr>
  </w:style>
  <w:style w:type="character" w:styleId="ListLabel83">
    <w:name w:val="ListLabel 83"/>
    <w:qFormat/>
    <w:rPr>
      <w:rFonts w:cs="Symbol"/>
      <w:sz w:val="20"/>
    </w:rPr>
  </w:style>
  <w:style w:type="character" w:styleId="ListLabel84">
    <w:name w:val="ListLabel 84"/>
    <w:qFormat/>
    <w:rPr>
      <w:rFonts w:cs="Symbol"/>
      <w:sz w:val="20"/>
    </w:rPr>
  </w:style>
  <w:style w:type="character" w:styleId="ListLabel85">
    <w:name w:val="ListLabel 85"/>
    <w:qFormat/>
    <w:rPr>
      <w:rFonts w:cs="Symbol"/>
      <w:sz w:val="20"/>
    </w:rPr>
  </w:style>
  <w:style w:type="character" w:styleId="ListLabel86">
    <w:name w:val="ListLabel 86"/>
    <w:qFormat/>
    <w:rPr>
      <w:rFonts w:cs="Symbol"/>
      <w:sz w:val="20"/>
    </w:rPr>
  </w:style>
  <w:style w:type="character" w:styleId="ListLabel87">
    <w:name w:val="ListLabel 87"/>
    <w:qFormat/>
    <w:rPr>
      <w:rFonts w:cs="Symbol"/>
      <w:sz w:val="20"/>
    </w:rPr>
  </w:style>
  <w:style w:type="character" w:styleId="ListLabel88">
    <w:name w:val="ListLabel 88"/>
    <w:qFormat/>
    <w:rPr>
      <w:rFonts w:cs="Symbol"/>
      <w:sz w:val="20"/>
    </w:rPr>
  </w:style>
  <w:style w:type="character" w:styleId="ListLabel89">
    <w:name w:val="ListLabel 89"/>
    <w:qFormat/>
    <w:rPr>
      <w:rFonts w:cs="Symbol"/>
      <w:sz w:val="20"/>
    </w:rPr>
  </w:style>
  <w:style w:type="character" w:styleId="ListLabel90">
    <w:name w:val="ListLabel 90"/>
    <w:qFormat/>
    <w:rPr>
      <w:rFonts w:cs="Symbol"/>
      <w:sz w:val="20"/>
    </w:rPr>
  </w:style>
  <w:style w:type="character" w:styleId="ListLabel91">
    <w:name w:val="ListLabel 91"/>
    <w:qFormat/>
    <w:rPr>
      <w:rFonts w:ascii="SymbolMT" w:hAnsi="SymbolMT" w:cs="Symbol"/>
      <w:sz w:val="20"/>
    </w:rPr>
  </w:style>
  <w:style w:type="character" w:styleId="ListLabel92">
    <w:name w:val="ListLabel 92"/>
    <w:qFormat/>
    <w:rPr>
      <w:rFonts w:cs="Symbol"/>
      <w:sz w:val="20"/>
    </w:rPr>
  </w:style>
  <w:style w:type="character" w:styleId="ListLabel93">
    <w:name w:val="ListLabel 93"/>
    <w:qFormat/>
    <w:rPr>
      <w:rFonts w:cs="Symbol"/>
      <w:sz w:val="20"/>
    </w:rPr>
  </w:style>
  <w:style w:type="character" w:styleId="ListLabel94">
    <w:name w:val="ListLabel 94"/>
    <w:qFormat/>
    <w:rPr>
      <w:rFonts w:cs="Symbol"/>
      <w:sz w:val="20"/>
    </w:rPr>
  </w:style>
  <w:style w:type="character" w:styleId="ListLabel95">
    <w:name w:val="ListLabel 95"/>
    <w:qFormat/>
    <w:rPr>
      <w:rFonts w:cs="Symbol"/>
      <w:sz w:val="20"/>
    </w:rPr>
  </w:style>
  <w:style w:type="character" w:styleId="ListLabel96">
    <w:name w:val="ListLabel 96"/>
    <w:qFormat/>
    <w:rPr>
      <w:rFonts w:cs="Symbol"/>
      <w:sz w:val="20"/>
    </w:rPr>
  </w:style>
  <w:style w:type="character" w:styleId="ListLabel97">
    <w:name w:val="ListLabel 97"/>
    <w:qFormat/>
    <w:rPr>
      <w:rFonts w:cs="Symbol"/>
      <w:sz w:val="20"/>
    </w:rPr>
  </w:style>
  <w:style w:type="character" w:styleId="ListLabel98">
    <w:name w:val="ListLabel 98"/>
    <w:qFormat/>
    <w:rPr>
      <w:rFonts w:cs="Symbol"/>
      <w:sz w:val="20"/>
    </w:rPr>
  </w:style>
  <w:style w:type="character" w:styleId="ListLabel99">
    <w:name w:val="ListLabel 99"/>
    <w:qFormat/>
    <w:rPr>
      <w:rFonts w:cs="Symbol"/>
      <w:sz w:val="20"/>
    </w:rPr>
  </w:style>
  <w:style w:type="character" w:styleId="ListLabel100">
    <w:name w:val="ListLabel 100"/>
    <w:qFormat/>
    <w:rPr>
      <w:rFonts w:ascii="SymbolMT" w:hAnsi="SymbolMT" w:cs="Symbol"/>
      <w:sz w:val="20"/>
    </w:rPr>
  </w:style>
  <w:style w:type="character" w:styleId="ListLabel101">
    <w:name w:val="ListLabel 101"/>
    <w:qFormat/>
    <w:rPr>
      <w:rFonts w:cs="Symbol"/>
      <w:sz w:val="20"/>
    </w:rPr>
  </w:style>
  <w:style w:type="character" w:styleId="ListLabel102">
    <w:name w:val="ListLabel 102"/>
    <w:qFormat/>
    <w:rPr>
      <w:rFonts w:cs="Symbol"/>
      <w:sz w:val="20"/>
    </w:rPr>
  </w:style>
  <w:style w:type="character" w:styleId="ListLabel103">
    <w:name w:val="ListLabel 103"/>
    <w:qFormat/>
    <w:rPr>
      <w:rFonts w:cs="Symbol"/>
      <w:sz w:val="20"/>
    </w:rPr>
  </w:style>
  <w:style w:type="character" w:styleId="ListLabel104">
    <w:name w:val="ListLabel 104"/>
    <w:qFormat/>
    <w:rPr>
      <w:rFonts w:cs="Symbol"/>
      <w:sz w:val="20"/>
    </w:rPr>
  </w:style>
  <w:style w:type="character" w:styleId="ListLabel105">
    <w:name w:val="ListLabel 105"/>
    <w:qFormat/>
    <w:rPr>
      <w:rFonts w:cs="Symbol"/>
      <w:sz w:val="20"/>
    </w:rPr>
  </w:style>
  <w:style w:type="character" w:styleId="ListLabel106">
    <w:name w:val="ListLabel 106"/>
    <w:qFormat/>
    <w:rPr>
      <w:rFonts w:cs="Symbol"/>
      <w:sz w:val="20"/>
    </w:rPr>
  </w:style>
  <w:style w:type="character" w:styleId="ListLabel107">
    <w:name w:val="ListLabel 107"/>
    <w:qFormat/>
    <w:rPr>
      <w:rFonts w:cs="Symbol"/>
      <w:sz w:val="20"/>
    </w:rPr>
  </w:style>
  <w:style w:type="character" w:styleId="ListLabel108">
    <w:name w:val="ListLabel 108"/>
    <w:qFormat/>
    <w:rPr>
      <w:rFonts w:cs="Symbol"/>
      <w:sz w:val="20"/>
    </w:rPr>
  </w:style>
  <w:style w:type="character" w:styleId="ListLabel109">
    <w:name w:val="ListLabel 109"/>
    <w:qFormat/>
    <w:rPr>
      <w:rFonts w:ascii="SymbolMT" w:hAnsi="SymbolMT" w:cs="Symbol"/>
      <w:sz w:val="20"/>
    </w:rPr>
  </w:style>
  <w:style w:type="character" w:styleId="ListLabel110">
    <w:name w:val="ListLabel 110"/>
    <w:qFormat/>
    <w:rPr>
      <w:rFonts w:cs="Symbol"/>
      <w:sz w:val="20"/>
    </w:rPr>
  </w:style>
  <w:style w:type="character" w:styleId="ListLabel111">
    <w:name w:val="ListLabel 111"/>
    <w:qFormat/>
    <w:rPr>
      <w:rFonts w:cs="Symbol"/>
      <w:sz w:val="20"/>
    </w:rPr>
  </w:style>
  <w:style w:type="character" w:styleId="ListLabel112">
    <w:name w:val="ListLabel 112"/>
    <w:qFormat/>
    <w:rPr>
      <w:rFonts w:cs="Symbol"/>
      <w:sz w:val="20"/>
    </w:rPr>
  </w:style>
  <w:style w:type="character" w:styleId="ListLabel113">
    <w:name w:val="ListLabel 113"/>
    <w:qFormat/>
    <w:rPr>
      <w:rFonts w:cs="Symbol"/>
      <w:sz w:val="20"/>
    </w:rPr>
  </w:style>
  <w:style w:type="character" w:styleId="ListLabel114">
    <w:name w:val="ListLabel 114"/>
    <w:qFormat/>
    <w:rPr>
      <w:rFonts w:cs="Symbol"/>
      <w:sz w:val="20"/>
    </w:rPr>
  </w:style>
  <w:style w:type="character" w:styleId="ListLabel115">
    <w:name w:val="ListLabel 115"/>
    <w:qFormat/>
    <w:rPr>
      <w:rFonts w:cs="Symbol"/>
      <w:sz w:val="20"/>
    </w:rPr>
  </w:style>
  <w:style w:type="character" w:styleId="ListLabel116">
    <w:name w:val="ListLabel 116"/>
    <w:qFormat/>
    <w:rPr>
      <w:rFonts w:cs="Symbol"/>
      <w:sz w:val="20"/>
    </w:rPr>
  </w:style>
  <w:style w:type="character" w:styleId="ListLabel117">
    <w:name w:val="ListLabel 117"/>
    <w:qFormat/>
    <w:rPr>
      <w:rFonts w:cs="Symbol"/>
      <w:sz w:val="20"/>
    </w:rPr>
  </w:style>
  <w:style w:type="character" w:styleId="ListLabel118">
    <w:name w:val="ListLabel 118"/>
    <w:qFormat/>
    <w:rPr>
      <w:rFonts w:ascii="SymbolMT" w:hAnsi="SymbolMT" w:cs="Symbol"/>
      <w:sz w:val="20"/>
    </w:rPr>
  </w:style>
  <w:style w:type="character" w:styleId="ListLabel119">
    <w:name w:val="ListLabel 119"/>
    <w:qFormat/>
    <w:rPr>
      <w:rFonts w:cs="Symbol"/>
      <w:sz w:val="20"/>
    </w:rPr>
  </w:style>
  <w:style w:type="character" w:styleId="ListLabel120">
    <w:name w:val="ListLabel 120"/>
    <w:qFormat/>
    <w:rPr>
      <w:rFonts w:cs="Symbol"/>
      <w:sz w:val="20"/>
    </w:rPr>
  </w:style>
  <w:style w:type="character" w:styleId="ListLabel121">
    <w:name w:val="ListLabel 121"/>
    <w:qFormat/>
    <w:rPr>
      <w:rFonts w:cs="Symbol"/>
      <w:sz w:val="20"/>
    </w:rPr>
  </w:style>
  <w:style w:type="character" w:styleId="ListLabel122">
    <w:name w:val="ListLabel 122"/>
    <w:qFormat/>
    <w:rPr>
      <w:rFonts w:cs="Symbol"/>
      <w:sz w:val="20"/>
    </w:rPr>
  </w:style>
  <w:style w:type="character" w:styleId="ListLabel123">
    <w:name w:val="ListLabel 123"/>
    <w:qFormat/>
    <w:rPr>
      <w:rFonts w:cs="Symbol"/>
      <w:sz w:val="20"/>
    </w:rPr>
  </w:style>
  <w:style w:type="character" w:styleId="ListLabel124">
    <w:name w:val="ListLabel 124"/>
    <w:qFormat/>
    <w:rPr>
      <w:rFonts w:cs="Symbol"/>
      <w:sz w:val="20"/>
    </w:rPr>
  </w:style>
  <w:style w:type="character" w:styleId="ListLabel125">
    <w:name w:val="ListLabel 125"/>
    <w:qFormat/>
    <w:rPr>
      <w:rFonts w:cs="Symbol"/>
      <w:sz w:val="20"/>
    </w:rPr>
  </w:style>
  <w:style w:type="character" w:styleId="ListLabel126">
    <w:name w:val="ListLabel 126"/>
    <w:qFormat/>
    <w:rPr>
      <w:rFonts w:cs="Symbol"/>
      <w:sz w:val="20"/>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rsid w:val="00301ad0"/>
    <w:pPr>
      <w:tabs>
        <w:tab w:val="clear" w:pos="720"/>
        <w:tab w:val="center" w:pos="4153" w:leader="none"/>
        <w:tab w:val="right" w:pos="8306" w:leader="none"/>
      </w:tabs>
    </w:pPr>
    <w:rPr/>
  </w:style>
  <w:style w:type="paragraph" w:styleId="Footer">
    <w:name w:val="Footer"/>
    <w:basedOn w:val="Normal"/>
    <w:link w:val="FooterChar"/>
    <w:uiPriority w:val="99"/>
    <w:rsid w:val="00301ad0"/>
    <w:pPr>
      <w:tabs>
        <w:tab w:val="clear" w:pos="720"/>
        <w:tab w:val="center" w:pos="4153" w:leader="none"/>
        <w:tab w:val="right" w:pos="8306" w:leader="none"/>
      </w:tabs>
    </w:pPr>
    <w:rPr/>
  </w:style>
  <w:style w:type="paragraph" w:styleId="BalloonText">
    <w:name w:val="Balloon Text"/>
    <w:basedOn w:val="Normal"/>
    <w:semiHidden/>
    <w:qFormat/>
    <w:rsid w:val="00294842"/>
    <w:pPr/>
    <w:rPr>
      <w:rFonts w:ascii="Tahoma" w:hAnsi="Tahoma" w:cs="Tahoma"/>
      <w:sz w:val="16"/>
      <w:szCs w:val="16"/>
    </w:rPr>
  </w:style>
  <w:style w:type="paragraph" w:styleId="ListParagraph">
    <w:name w:val="List Paragraph"/>
    <w:basedOn w:val="Normal"/>
    <w:uiPriority w:val="34"/>
    <w:qFormat/>
    <w:rsid w:val="00162fe2"/>
    <w:pPr>
      <w:spacing w:before="0" w:after="0"/>
      <w:ind w:left="720" w:hanging="0"/>
      <w:contextualSpacing/>
    </w:pPr>
    <w:rPr/>
  </w:style>
  <w:style w:type="paragraph" w:styleId="NormalWeb">
    <w:name w:val="Normal (Web)"/>
    <w:basedOn w:val="Normal"/>
    <w:uiPriority w:val="99"/>
    <w:semiHidden/>
    <w:unhideWhenUsed/>
    <w:qFormat/>
    <w:rsid w:val="0079230b"/>
    <w:pPr>
      <w:spacing w:beforeAutospacing="1" w:afterAutospacing="1"/>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_rels/header1.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Application>Trio_Office/6.2.8.2$Windows_x86 LibreOffice_project/</Application>
  <Pages>4</Pages>
  <Words>1082</Words>
  <Characters>5927</Characters>
  <CharactersWithSpaces>6989</CharactersWithSpaces>
  <Paragraphs>28</Paragraphs>
  <Company>Marriott International</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2022-01-12T15:50:00Z</dcterms:created>
  <dc:creator>lrbal454</dc:creator>
  <dc:description/>
  <dc:language>en-US</dc:language>
  <cp:lastModifiedBy/>
  <cp:lastPrinted>2020-09-28T20:53:00Z</cp:lastPrinted>
  <dcterms:modified xsi:type="dcterms:W3CDTF">2022-02-09T18:11:26Z</dcterms:modified>
  <cp:revision>9</cp:revision>
  <dc:subject/>
  <dc:title>West Cluster Probationary Period Development Plan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Marriott International</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