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950FB" w14:textId="1AE3A8B6" w:rsidR="00EA4B91" w:rsidRDefault="006A4EB5" w:rsidP="009701E6">
      <w:pPr>
        <w:pStyle w:val="Title"/>
        <w:spacing w:line="360" w:lineRule="auto"/>
        <w:jc w:val="center"/>
        <w:rPr>
          <w:rFonts w:ascii="Arial" w:eastAsia="Arial" w:hAnsi="Arial" w:cs="Arial"/>
          <w:b/>
          <w:bCs/>
          <w:color w:val="000000" w:themeColor="text1"/>
          <w:sz w:val="54"/>
          <w:szCs w:val="54"/>
          <w:u w:val="single"/>
        </w:rPr>
      </w:pPr>
      <w:r>
        <w:rPr>
          <w:rFonts w:ascii="Arial" w:eastAsia="Arial" w:hAnsi="Arial" w:cs="Arial"/>
          <w:b/>
          <w:bCs/>
          <w:color w:val="000000" w:themeColor="text1"/>
          <w:sz w:val="54"/>
          <w:szCs w:val="54"/>
          <w:u w:val="single"/>
        </w:rPr>
        <w:t>Psychological Classi</w:t>
      </w:r>
      <w:r w:rsidR="0077154B">
        <w:rPr>
          <w:rFonts w:ascii="Arial" w:eastAsia="Arial" w:hAnsi="Arial" w:cs="Arial"/>
          <w:b/>
          <w:bCs/>
          <w:color w:val="000000" w:themeColor="text1"/>
          <w:sz w:val="54"/>
          <w:szCs w:val="54"/>
          <w:u w:val="single"/>
        </w:rPr>
        <w:t>fication and Provisions</w:t>
      </w:r>
    </w:p>
    <w:p w14:paraId="61A497E1" w14:textId="77777777" w:rsidR="00EA4B91" w:rsidRDefault="00EA4B91" w:rsidP="009701E6">
      <w:pPr>
        <w:spacing w:line="360" w:lineRule="auto"/>
        <w:jc w:val="center"/>
        <w:rPr>
          <w:rFonts w:ascii="Arial" w:eastAsia="Arial" w:hAnsi="Arial" w:cs="Arial"/>
          <w:b/>
          <w:color w:val="000000" w:themeColor="text1"/>
          <w:sz w:val="54"/>
          <w:szCs w:val="54"/>
          <w:u w:val="single"/>
        </w:rPr>
      </w:pPr>
    </w:p>
    <w:p w14:paraId="026385C2" w14:textId="4774F4F0" w:rsidR="00EA4B91" w:rsidRDefault="00EA4B91" w:rsidP="009701E6">
      <w:pPr>
        <w:spacing w:line="360" w:lineRule="auto"/>
        <w:jc w:val="center"/>
        <w:rPr>
          <w:rFonts w:ascii="Arial" w:eastAsia="Arial" w:hAnsi="Arial" w:cs="Arial"/>
          <w:color w:val="000000" w:themeColor="text1"/>
          <w:sz w:val="54"/>
          <w:szCs w:val="54"/>
        </w:rPr>
      </w:pPr>
      <w:r w:rsidRPr="756BF97F">
        <w:rPr>
          <w:rFonts w:ascii="Arial" w:eastAsia="Arial" w:hAnsi="Arial" w:cs="Arial"/>
          <w:b/>
          <w:bCs/>
          <w:color w:val="000000" w:themeColor="text1"/>
          <w:sz w:val="54"/>
          <w:szCs w:val="54"/>
          <w:u w:val="single"/>
        </w:rPr>
        <w:t xml:space="preserve">Component </w:t>
      </w:r>
      <w:r w:rsidR="00873A3B">
        <w:rPr>
          <w:rFonts w:ascii="Arial" w:eastAsia="Arial" w:hAnsi="Arial" w:cs="Arial"/>
          <w:b/>
          <w:bCs/>
          <w:color w:val="000000" w:themeColor="text1"/>
          <w:sz w:val="54"/>
          <w:szCs w:val="54"/>
          <w:u w:val="single"/>
        </w:rPr>
        <w:t>2</w:t>
      </w:r>
      <w:r w:rsidRPr="756BF97F">
        <w:rPr>
          <w:rFonts w:ascii="Arial" w:eastAsia="Arial" w:hAnsi="Arial" w:cs="Arial"/>
          <w:b/>
          <w:bCs/>
          <w:color w:val="000000" w:themeColor="text1"/>
          <w:sz w:val="54"/>
          <w:szCs w:val="54"/>
          <w:u w:val="single"/>
        </w:rPr>
        <w:t xml:space="preserve">: </w:t>
      </w:r>
    </w:p>
    <w:p w14:paraId="3F0F0FFC" w14:textId="79AA63D2" w:rsidR="00EA4B91" w:rsidRDefault="00EA4B91" w:rsidP="009701E6">
      <w:pPr>
        <w:spacing w:line="360" w:lineRule="auto"/>
        <w:jc w:val="center"/>
        <w:rPr>
          <w:rFonts w:ascii="Arial" w:eastAsia="Arial" w:hAnsi="Arial" w:cs="Arial"/>
          <w:b/>
          <w:bCs/>
          <w:color w:val="000000" w:themeColor="text1"/>
          <w:sz w:val="54"/>
          <w:szCs w:val="54"/>
          <w:u w:val="single"/>
        </w:rPr>
      </w:pPr>
      <w:r w:rsidRPr="756BF97F">
        <w:rPr>
          <w:rFonts w:ascii="Arial" w:eastAsia="Arial" w:hAnsi="Arial" w:cs="Arial"/>
          <w:b/>
          <w:bCs/>
          <w:color w:val="000000" w:themeColor="text1"/>
          <w:sz w:val="54"/>
          <w:szCs w:val="54"/>
          <w:u w:val="single"/>
        </w:rPr>
        <w:t>Written Assignment- Report</w:t>
      </w:r>
    </w:p>
    <w:p w14:paraId="3FE50C58" w14:textId="77777777" w:rsidR="00EA4B91" w:rsidRDefault="00EA4B91" w:rsidP="009701E6">
      <w:pPr>
        <w:spacing w:line="360" w:lineRule="auto"/>
        <w:jc w:val="center"/>
        <w:rPr>
          <w:rFonts w:ascii="Arial" w:eastAsia="Arial" w:hAnsi="Arial" w:cs="Arial"/>
          <w:color w:val="000000" w:themeColor="text1"/>
          <w:sz w:val="54"/>
          <w:szCs w:val="54"/>
        </w:rPr>
      </w:pPr>
    </w:p>
    <w:p w14:paraId="5117559F" w14:textId="77777777" w:rsidR="00EA4B91" w:rsidRDefault="00EA4B91" w:rsidP="009701E6">
      <w:pPr>
        <w:spacing w:line="360" w:lineRule="auto"/>
        <w:jc w:val="center"/>
        <w:rPr>
          <w:rFonts w:ascii="Arial" w:eastAsia="Arial" w:hAnsi="Arial" w:cs="Arial"/>
          <w:color w:val="000000" w:themeColor="text1"/>
          <w:sz w:val="54"/>
          <w:szCs w:val="54"/>
        </w:rPr>
      </w:pPr>
      <w:r w:rsidRPr="756BF97F">
        <w:rPr>
          <w:rFonts w:ascii="Arial" w:eastAsia="Arial" w:hAnsi="Arial" w:cs="Arial"/>
          <w:b/>
          <w:bCs/>
          <w:color w:val="000000" w:themeColor="text1"/>
          <w:sz w:val="54"/>
          <w:szCs w:val="54"/>
          <w:u w:val="single"/>
        </w:rPr>
        <w:t>Student Name: Shakan Pitters</w:t>
      </w:r>
    </w:p>
    <w:p w14:paraId="073CA3CF" w14:textId="77777777" w:rsidR="00EA4B91" w:rsidRDefault="00EA4B91" w:rsidP="009701E6">
      <w:pPr>
        <w:spacing w:line="360" w:lineRule="auto"/>
        <w:jc w:val="center"/>
        <w:rPr>
          <w:rFonts w:ascii="Arial" w:eastAsia="Arial" w:hAnsi="Arial" w:cs="Arial"/>
          <w:color w:val="000000" w:themeColor="text1"/>
          <w:sz w:val="54"/>
          <w:szCs w:val="54"/>
        </w:rPr>
      </w:pPr>
    </w:p>
    <w:p w14:paraId="3C64F705" w14:textId="77777777" w:rsidR="00EA4B91" w:rsidRDefault="00EA4B91" w:rsidP="009701E6">
      <w:pPr>
        <w:spacing w:line="360" w:lineRule="auto"/>
        <w:jc w:val="center"/>
        <w:rPr>
          <w:rFonts w:ascii="Arial" w:eastAsia="Arial" w:hAnsi="Arial" w:cs="Arial"/>
          <w:color w:val="000000" w:themeColor="text1"/>
          <w:sz w:val="54"/>
          <w:szCs w:val="54"/>
        </w:rPr>
      </w:pPr>
      <w:r w:rsidRPr="756BF97F">
        <w:rPr>
          <w:rFonts w:ascii="Arial" w:eastAsia="Arial" w:hAnsi="Arial" w:cs="Arial"/>
          <w:b/>
          <w:bCs/>
          <w:color w:val="000000" w:themeColor="text1"/>
          <w:sz w:val="54"/>
          <w:szCs w:val="54"/>
          <w:u w:val="single"/>
        </w:rPr>
        <w:t>Student ID: 2319072</w:t>
      </w:r>
    </w:p>
    <w:p w14:paraId="086544D9" w14:textId="77777777" w:rsidR="00EA4B91" w:rsidRDefault="00EA4B91" w:rsidP="009701E6">
      <w:pPr>
        <w:spacing w:line="360" w:lineRule="auto"/>
        <w:jc w:val="center"/>
        <w:rPr>
          <w:rFonts w:ascii="Arial" w:eastAsia="Arial" w:hAnsi="Arial" w:cs="Arial"/>
          <w:color w:val="000000" w:themeColor="text1"/>
          <w:sz w:val="54"/>
          <w:szCs w:val="54"/>
        </w:rPr>
      </w:pPr>
    </w:p>
    <w:p w14:paraId="300EFDFE" w14:textId="0E73B5E4" w:rsidR="00EA4B91" w:rsidRDefault="00EA4B91" w:rsidP="009701E6">
      <w:pPr>
        <w:spacing w:line="360" w:lineRule="auto"/>
        <w:jc w:val="center"/>
        <w:rPr>
          <w:rFonts w:ascii="Arial" w:eastAsia="Arial" w:hAnsi="Arial" w:cs="Arial"/>
          <w:b/>
          <w:bCs/>
          <w:color w:val="000000" w:themeColor="text1"/>
          <w:sz w:val="54"/>
          <w:szCs w:val="54"/>
          <w:u w:val="single"/>
        </w:rPr>
      </w:pPr>
      <w:r w:rsidRPr="756BF97F">
        <w:rPr>
          <w:rFonts w:ascii="Arial" w:eastAsia="Arial" w:hAnsi="Arial" w:cs="Arial"/>
          <w:b/>
          <w:bCs/>
          <w:color w:val="000000" w:themeColor="text1"/>
          <w:sz w:val="54"/>
          <w:szCs w:val="54"/>
          <w:u w:val="single"/>
        </w:rPr>
        <w:t xml:space="preserve">Lecturer: </w:t>
      </w:r>
      <w:r w:rsidR="00C13150">
        <w:rPr>
          <w:rFonts w:ascii="Arial" w:eastAsia="Arial" w:hAnsi="Arial" w:cs="Arial"/>
          <w:b/>
          <w:bCs/>
          <w:color w:val="000000" w:themeColor="text1"/>
          <w:sz w:val="54"/>
          <w:szCs w:val="54"/>
          <w:u w:val="single"/>
        </w:rPr>
        <w:t xml:space="preserve">Kennedy </w:t>
      </w:r>
      <w:proofErr w:type="spellStart"/>
      <w:r w:rsidR="00C13150">
        <w:rPr>
          <w:rFonts w:ascii="Arial" w:eastAsia="Arial" w:hAnsi="Arial" w:cs="Arial"/>
          <w:b/>
          <w:bCs/>
          <w:color w:val="000000" w:themeColor="text1"/>
          <w:sz w:val="54"/>
          <w:szCs w:val="54"/>
          <w:u w:val="single"/>
        </w:rPr>
        <w:t>Oboh</w:t>
      </w:r>
      <w:r w:rsidR="00D6310D">
        <w:rPr>
          <w:rFonts w:ascii="Arial" w:eastAsia="Arial" w:hAnsi="Arial" w:cs="Arial"/>
          <w:b/>
          <w:bCs/>
          <w:color w:val="000000" w:themeColor="text1"/>
          <w:sz w:val="54"/>
          <w:szCs w:val="54"/>
          <w:u w:val="single"/>
        </w:rPr>
        <w:t>wemu</w:t>
      </w:r>
      <w:proofErr w:type="spellEnd"/>
    </w:p>
    <w:p w14:paraId="4A32C5DA" w14:textId="77777777" w:rsidR="00EA4B91" w:rsidRDefault="00EA4B91" w:rsidP="009701E6">
      <w:pPr>
        <w:spacing w:line="360" w:lineRule="auto"/>
        <w:jc w:val="center"/>
        <w:rPr>
          <w:rFonts w:ascii="Arial" w:eastAsia="Arial" w:hAnsi="Arial" w:cs="Arial"/>
          <w:color w:val="000000" w:themeColor="text1"/>
          <w:sz w:val="54"/>
          <w:szCs w:val="54"/>
        </w:rPr>
      </w:pPr>
    </w:p>
    <w:p w14:paraId="18DD081A" w14:textId="3CDCFC04" w:rsidR="00EA4B91" w:rsidRDefault="00EA4B91" w:rsidP="009701E6">
      <w:pPr>
        <w:spacing w:line="360" w:lineRule="auto"/>
        <w:jc w:val="center"/>
        <w:rPr>
          <w:rFonts w:ascii="Arial" w:eastAsia="Arial" w:hAnsi="Arial" w:cs="Arial"/>
          <w:b/>
          <w:bCs/>
          <w:color w:val="000000" w:themeColor="text1"/>
          <w:sz w:val="54"/>
          <w:szCs w:val="54"/>
          <w:u w:val="single"/>
        </w:rPr>
      </w:pPr>
      <w:r w:rsidRPr="756BF97F">
        <w:rPr>
          <w:rFonts w:ascii="Arial" w:eastAsia="Arial" w:hAnsi="Arial" w:cs="Arial"/>
          <w:b/>
          <w:bCs/>
          <w:color w:val="000000" w:themeColor="text1"/>
          <w:sz w:val="54"/>
          <w:szCs w:val="54"/>
          <w:u w:val="single"/>
        </w:rPr>
        <w:t>Module: BMH</w:t>
      </w:r>
      <w:r w:rsidR="00E72933">
        <w:rPr>
          <w:rFonts w:ascii="Arial" w:eastAsia="Arial" w:hAnsi="Arial" w:cs="Arial"/>
          <w:b/>
          <w:bCs/>
          <w:color w:val="000000" w:themeColor="text1"/>
          <w:sz w:val="54"/>
          <w:szCs w:val="54"/>
          <w:u w:val="single"/>
        </w:rPr>
        <w:t>P6029</w:t>
      </w:r>
    </w:p>
    <w:p w14:paraId="728C80FE" w14:textId="77777777" w:rsidR="00EA4B91" w:rsidRDefault="00EA4B91" w:rsidP="009701E6">
      <w:pPr>
        <w:spacing w:line="360" w:lineRule="auto"/>
        <w:rPr>
          <w:rFonts w:ascii="Arial" w:eastAsia="Arial" w:hAnsi="Arial" w:cs="Arial"/>
          <w:b/>
          <w:bCs/>
          <w:color w:val="000000" w:themeColor="text1"/>
          <w:sz w:val="54"/>
          <w:szCs w:val="54"/>
          <w:u w:val="single"/>
        </w:rPr>
      </w:pPr>
    </w:p>
    <w:p w14:paraId="133D8F48" w14:textId="77777777" w:rsidR="00EA4B91" w:rsidRDefault="00EA4B91" w:rsidP="009701E6">
      <w:pPr>
        <w:pStyle w:val="Title"/>
        <w:spacing w:line="360" w:lineRule="auto"/>
        <w:rPr>
          <w:rFonts w:ascii="Arial" w:eastAsia="Arial" w:hAnsi="Arial" w:cs="Arial"/>
          <w:b/>
          <w:bCs/>
          <w:color w:val="000000" w:themeColor="text1"/>
          <w:sz w:val="60"/>
          <w:szCs w:val="60"/>
        </w:rPr>
      </w:pPr>
      <w:r w:rsidRPr="1901FA3A">
        <w:rPr>
          <w:rFonts w:ascii="Arial" w:eastAsia="Arial" w:hAnsi="Arial" w:cs="Arial"/>
          <w:b/>
          <w:bCs/>
          <w:color w:val="000000" w:themeColor="text1"/>
          <w:sz w:val="60"/>
          <w:szCs w:val="60"/>
        </w:rPr>
        <w:t xml:space="preserve">            </w:t>
      </w:r>
    </w:p>
    <w:p w14:paraId="3BAE6C23" w14:textId="77777777" w:rsidR="00EA4B91" w:rsidRPr="009A0813" w:rsidRDefault="00EA4B91" w:rsidP="009701E6">
      <w:pPr>
        <w:pStyle w:val="Title"/>
        <w:spacing w:line="360" w:lineRule="auto"/>
        <w:rPr>
          <w:rFonts w:ascii="Arial" w:eastAsia="Arial" w:hAnsi="Arial" w:cs="Arial"/>
          <w:b/>
          <w:color w:val="000000" w:themeColor="text1"/>
          <w:sz w:val="40"/>
          <w:szCs w:val="40"/>
          <w:u w:val="single"/>
        </w:rPr>
      </w:pPr>
      <w:r w:rsidRPr="4B69AD1A">
        <w:rPr>
          <w:rFonts w:ascii="Arial" w:eastAsia="Arial" w:hAnsi="Arial" w:cs="Arial"/>
          <w:b/>
          <w:bCs/>
          <w:color w:val="000000" w:themeColor="text1"/>
          <w:sz w:val="60"/>
          <w:szCs w:val="60"/>
        </w:rPr>
        <w:t xml:space="preserve">  </w:t>
      </w:r>
      <w:r w:rsidRPr="4B69AD1A">
        <w:rPr>
          <w:rFonts w:ascii="Arial" w:eastAsia="Arial" w:hAnsi="Arial" w:cs="Arial"/>
          <w:b/>
          <w:bCs/>
          <w:color w:val="000000" w:themeColor="text1"/>
          <w:sz w:val="40"/>
          <w:szCs w:val="40"/>
        </w:rPr>
        <w:t xml:space="preserve">     </w:t>
      </w:r>
      <w:r w:rsidRPr="4B69AD1A">
        <w:rPr>
          <w:rFonts w:ascii="Arial" w:eastAsia="Arial" w:hAnsi="Arial" w:cs="Arial"/>
          <w:b/>
          <w:color w:val="000000" w:themeColor="text1"/>
          <w:sz w:val="40"/>
          <w:szCs w:val="40"/>
        </w:rPr>
        <w:t xml:space="preserve">              </w:t>
      </w:r>
      <w:r w:rsidRPr="4B69AD1A">
        <w:rPr>
          <w:rFonts w:ascii="Arial" w:eastAsia="Arial" w:hAnsi="Arial" w:cs="Arial"/>
          <w:b/>
          <w:color w:val="000000" w:themeColor="text1"/>
          <w:sz w:val="40"/>
          <w:szCs w:val="40"/>
          <w:u w:val="single"/>
        </w:rPr>
        <w:t>Table of content</w:t>
      </w:r>
    </w:p>
    <w:p w14:paraId="2D775049" w14:textId="77777777" w:rsidR="00EA4B91" w:rsidRPr="009A0813" w:rsidRDefault="00EA4B91" w:rsidP="009701E6">
      <w:pPr>
        <w:spacing w:line="360" w:lineRule="auto"/>
        <w:rPr>
          <w:rFonts w:ascii="Arial" w:eastAsia="Arial" w:hAnsi="Arial" w:cs="Arial"/>
          <w:sz w:val="40"/>
          <w:szCs w:val="40"/>
        </w:rPr>
      </w:pPr>
    </w:p>
    <w:p w14:paraId="554FC4A1" w14:textId="77777777" w:rsidR="00EA4B91" w:rsidRPr="009A0813" w:rsidRDefault="00EA4B91" w:rsidP="009701E6">
      <w:pPr>
        <w:pStyle w:val="ListParagraph"/>
        <w:numPr>
          <w:ilvl w:val="0"/>
          <w:numId w:val="2"/>
        </w:numPr>
        <w:spacing w:line="360" w:lineRule="auto"/>
        <w:rPr>
          <w:rFonts w:ascii="Arial" w:eastAsia="Arial" w:hAnsi="Arial" w:cs="Arial"/>
          <w:color w:val="000000" w:themeColor="text1"/>
          <w:sz w:val="40"/>
          <w:szCs w:val="40"/>
        </w:rPr>
      </w:pPr>
      <w:r w:rsidRPr="4B69AD1A">
        <w:rPr>
          <w:rFonts w:ascii="Arial" w:eastAsia="Arial" w:hAnsi="Arial" w:cs="Arial"/>
          <w:b/>
          <w:color w:val="000000" w:themeColor="text1"/>
          <w:sz w:val="40"/>
          <w:szCs w:val="40"/>
        </w:rPr>
        <w:t>Introduction</w:t>
      </w:r>
    </w:p>
    <w:p w14:paraId="70373298" w14:textId="77777777" w:rsidR="00EA4B91" w:rsidRPr="009A0813" w:rsidRDefault="00EA4B91" w:rsidP="009701E6">
      <w:pPr>
        <w:pStyle w:val="ListParagraph"/>
        <w:spacing w:line="360" w:lineRule="auto"/>
        <w:rPr>
          <w:rFonts w:ascii="Arial" w:eastAsia="Arial" w:hAnsi="Arial" w:cs="Arial"/>
          <w:color w:val="000000" w:themeColor="text1"/>
          <w:sz w:val="40"/>
          <w:szCs w:val="40"/>
        </w:rPr>
      </w:pPr>
    </w:p>
    <w:p w14:paraId="109CF6D2" w14:textId="77777777" w:rsidR="00EA4B91" w:rsidRPr="009A0813" w:rsidRDefault="00EA4B91" w:rsidP="009701E6">
      <w:pPr>
        <w:pStyle w:val="ListParagraph"/>
        <w:numPr>
          <w:ilvl w:val="0"/>
          <w:numId w:val="2"/>
        </w:numPr>
        <w:spacing w:line="360" w:lineRule="auto"/>
        <w:rPr>
          <w:rFonts w:ascii="Arial" w:eastAsia="Arial" w:hAnsi="Arial" w:cs="Arial"/>
          <w:b/>
          <w:color w:val="000000" w:themeColor="text1"/>
          <w:sz w:val="40"/>
          <w:szCs w:val="40"/>
        </w:rPr>
      </w:pPr>
      <w:r w:rsidRPr="4B69AD1A">
        <w:rPr>
          <w:rFonts w:ascii="Arial" w:eastAsia="Arial" w:hAnsi="Arial" w:cs="Arial"/>
          <w:b/>
          <w:color w:val="000000" w:themeColor="text1"/>
          <w:sz w:val="40"/>
          <w:szCs w:val="40"/>
        </w:rPr>
        <w:t>Context and Healthcare setting</w:t>
      </w:r>
    </w:p>
    <w:p w14:paraId="70B584AB" w14:textId="77777777" w:rsidR="00EA4B91" w:rsidRDefault="00EA4B91" w:rsidP="009701E6">
      <w:pPr>
        <w:pStyle w:val="ListParagraph"/>
        <w:spacing w:line="360" w:lineRule="auto"/>
        <w:rPr>
          <w:rFonts w:ascii="Arial" w:eastAsia="Arial" w:hAnsi="Arial" w:cs="Arial"/>
          <w:b/>
          <w:bCs/>
          <w:color w:val="000000" w:themeColor="text1"/>
          <w:sz w:val="40"/>
          <w:szCs w:val="40"/>
        </w:rPr>
      </w:pPr>
    </w:p>
    <w:p w14:paraId="7EAF7EAA" w14:textId="0ACB3E66" w:rsidR="00EA4B91" w:rsidRDefault="00D6310D" w:rsidP="009701E6">
      <w:pPr>
        <w:pStyle w:val="ListParagraph"/>
        <w:numPr>
          <w:ilvl w:val="0"/>
          <w:numId w:val="2"/>
        </w:numPr>
        <w:spacing w:line="360" w:lineRule="auto"/>
        <w:rPr>
          <w:rFonts w:ascii="Arial" w:eastAsia="Arial" w:hAnsi="Arial" w:cs="Arial"/>
          <w:b/>
          <w:color w:val="000000" w:themeColor="text1"/>
          <w:sz w:val="40"/>
          <w:szCs w:val="40"/>
        </w:rPr>
      </w:pPr>
      <w:r>
        <w:rPr>
          <w:rFonts w:ascii="Arial" w:eastAsia="Arial" w:hAnsi="Arial" w:cs="Arial"/>
          <w:b/>
          <w:color w:val="000000" w:themeColor="text1"/>
          <w:sz w:val="40"/>
          <w:szCs w:val="40"/>
        </w:rPr>
        <w:t>Classification and Diagnosis</w:t>
      </w:r>
    </w:p>
    <w:p w14:paraId="2D9B4B33" w14:textId="77777777" w:rsidR="00EA4B91" w:rsidRPr="009A0813" w:rsidRDefault="00EA4B91" w:rsidP="009701E6">
      <w:pPr>
        <w:spacing w:line="360" w:lineRule="auto"/>
        <w:rPr>
          <w:rFonts w:ascii="Arial" w:eastAsia="Arial" w:hAnsi="Arial" w:cs="Arial"/>
          <w:b/>
          <w:color w:val="000000" w:themeColor="text1"/>
          <w:sz w:val="40"/>
          <w:szCs w:val="40"/>
        </w:rPr>
      </w:pPr>
    </w:p>
    <w:p w14:paraId="66C14E7E" w14:textId="6EAF6AB9" w:rsidR="00EA4B91" w:rsidRDefault="005961F0" w:rsidP="009701E6">
      <w:pPr>
        <w:pStyle w:val="ListParagraph"/>
        <w:numPr>
          <w:ilvl w:val="0"/>
          <w:numId w:val="2"/>
        </w:numPr>
        <w:spacing w:line="360" w:lineRule="auto"/>
        <w:rPr>
          <w:rFonts w:ascii="Arial" w:eastAsia="Arial" w:hAnsi="Arial" w:cs="Arial"/>
          <w:b/>
          <w:color w:val="000000" w:themeColor="text1"/>
          <w:sz w:val="40"/>
          <w:szCs w:val="40"/>
        </w:rPr>
      </w:pPr>
      <w:r>
        <w:rPr>
          <w:rFonts w:ascii="Arial" w:eastAsia="Arial" w:hAnsi="Arial" w:cs="Arial"/>
          <w:b/>
          <w:color w:val="000000" w:themeColor="text1"/>
          <w:sz w:val="40"/>
          <w:szCs w:val="40"/>
        </w:rPr>
        <w:t>Treatment and Rehabilitation</w:t>
      </w:r>
    </w:p>
    <w:p w14:paraId="042053E6" w14:textId="77777777" w:rsidR="00F60D43" w:rsidRPr="00AD45E6" w:rsidRDefault="00F60D43" w:rsidP="00AD45E6">
      <w:pPr>
        <w:spacing w:line="360" w:lineRule="auto"/>
        <w:rPr>
          <w:rFonts w:ascii="Arial" w:eastAsia="Arial" w:hAnsi="Arial" w:cs="Arial"/>
          <w:b/>
          <w:color w:val="000000" w:themeColor="text1"/>
          <w:sz w:val="40"/>
          <w:szCs w:val="40"/>
        </w:rPr>
      </w:pPr>
    </w:p>
    <w:p w14:paraId="421A0216" w14:textId="59F90C29" w:rsidR="00EA4B91" w:rsidRPr="009A0813" w:rsidRDefault="00F60D43" w:rsidP="009701E6">
      <w:pPr>
        <w:pStyle w:val="ListParagraph"/>
        <w:numPr>
          <w:ilvl w:val="0"/>
          <w:numId w:val="2"/>
        </w:numPr>
        <w:spacing w:line="360" w:lineRule="auto"/>
        <w:rPr>
          <w:rFonts w:ascii="Arial" w:eastAsia="Arial" w:hAnsi="Arial" w:cs="Arial"/>
          <w:b/>
          <w:color w:val="000000" w:themeColor="text1"/>
          <w:sz w:val="40"/>
          <w:szCs w:val="40"/>
        </w:rPr>
      </w:pPr>
      <w:r>
        <w:rPr>
          <w:rFonts w:ascii="Arial" w:eastAsia="Arial" w:hAnsi="Arial" w:cs="Arial"/>
          <w:b/>
          <w:color w:val="000000" w:themeColor="text1"/>
          <w:sz w:val="40"/>
          <w:szCs w:val="40"/>
        </w:rPr>
        <w:t xml:space="preserve">Current Debates and </w:t>
      </w:r>
      <w:r w:rsidR="00545447">
        <w:rPr>
          <w:rFonts w:ascii="Arial" w:eastAsia="Arial" w:hAnsi="Arial" w:cs="Arial"/>
          <w:b/>
          <w:color w:val="000000" w:themeColor="text1"/>
          <w:sz w:val="40"/>
          <w:szCs w:val="40"/>
        </w:rPr>
        <w:t>E</w:t>
      </w:r>
      <w:r>
        <w:rPr>
          <w:rFonts w:ascii="Arial" w:eastAsia="Arial" w:hAnsi="Arial" w:cs="Arial"/>
          <w:b/>
          <w:color w:val="000000" w:themeColor="text1"/>
          <w:sz w:val="40"/>
          <w:szCs w:val="40"/>
        </w:rPr>
        <w:t>merging Issues</w:t>
      </w:r>
    </w:p>
    <w:p w14:paraId="7ACEDF14" w14:textId="41AEFC75" w:rsidR="00EA4B91" w:rsidRDefault="00EA4B91" w:rsidP="009701E6">
      <w:pPr>
        <w:pStyle w:val="ListParagraph"/>
        <w:spacing w:line="360" w:lineRule="auto"/>
        <w:rPr>
          <w:rFonts w:ascii="Arial" w:eastAsia="Arial" w:hAnsi="Arial" w:cs="Arial"/>
          <w:b/>
          <w:color w:val="000000" w:themeColor="text1"/>
          <w:sz w:val="40"/>
          <w:szCs w:val="40"/>
        </w:rPr>
      </w:pPr>
    </w:p>
    <w:p w14:paraId="3CC68729" w14:textId="2560B3D6" w:rsidR="000D2D50" w:rsidRPr="009A0813" w:rsidRDefault="00545447" w:rsidP="009701E6">
      <w:pPr>
        <w:pStyle w:val="ListParagraph"/>
        <w:numPr>
          <w:ilvl w:val="0"/>
          <w:numId w:val="2"/>
        </w:numPr>
        <w:spacing w:line="360" w:lineRule="auto"/>
        <w:rPr>
          <w:rFonts w:ascii="Arial" w:eastAsia="Arial" w:hAnsi="Arial" w:cs="Arial"/>
          <w:b/>
          <w:color w:val="000000" w:themeColor="text1"/>
          <w:sz w:val="40"/>
          <w:szCs w:val="40"/>
        </w:rPr>
      </w:pPr>
      <w:r>
        <w:rPr>
          <w:rFonts w:ascii="Arial" w:eastAsia="Arial" w:hAnsi="Arial" w:cs="Arial"/>
          <w:b/>
          <w:color w:val="000000" w:themeColor="text1"/>
          <w:sz w:val="40"/>
          <w:szCs w:val="40"/>
        </w:rPr>
        <w:t>Recommendations</w:t>
      </w:r>
    </w:p>
    <w:p w14:paraId="6D510157" w14:textId="77777777" w:rsidR="00EA4B91" w:rsidRPr="009A0813" w:rsidRDefault="00EA4B91" w:rsidP="009701E6">
      <w:pPr>
        <w:pStyle w:val="ListParagraph"/>
        <w:spacing w:line="360" w:lineRule="auto"/>
        <w:rPr>
          <w:rFonts w:ascii="Arial" w:eastAsia="Arial" w:hAnsi="Arial" w:cs="Arial"/>
          <w:b/>
          <w:color w:val="000000" w:themeColor="text1"/>
          <w:sz w:val="40"/>
          <w:szCs w:val="40"/>
        </w:rPr>
      </w:pPr>
    </w:p>
    <w:p w14:paraId="57AD6934" w14:textId="77777777" w:rsidR="00EA4B91" w:rsidRPr="009A0813" w:rsidRDefault="00EA4B91" w:rsidP="009701E6">
      <w:pPr>
        <w:pStyle w:val="ListParagraph"/>
        <w:numPr>
          <w:ilvl w:val="0"/>
          <w:numId w:val="2"/>
        </w:numPr>
        <w:spacing w:line="360" w:lineRule="auto"/>
        <w:rPr>
          <w:rFonts w:ascii="Arial" w:eastAsia="Arial" w:hAnsi="Arial" w:cs="Arial"/>
          <w:b/>
          <w:color w:val="000000" w:themeColor="text1"/>
          <w:sz w:val="40"/>
          <w:szCs w:val="40"/>
        </w:rPr>
      </w:pPr>
      <w:r w:rsidRPr="4B69AD1A">
        <w:rPr>
          <w:rFonts w:ascii="Arial" w:eastAsia="Arial" w:hAnsi="Arial" w:cs="Arial"/>
          <w:b/>
          <w:color w:val="000000" w:themeColor="text1"/>
          <w:sz w:val="40"/>
          <w:szCs w:val="40"/>
        </w:rPr>
        <w:t>Conclusion</w:t>
      </w:r>
    </w:p>
    <w:p w14:paraId="32A9E0CF" w14:textId="77777777" w:rsidR="00EA4B91" w:rsidRPr="009A0813" w:rsidRDefault="00EA4B91" w:rsidP="009701E6">
      <w:pPr>
        <w:pStyle w:val="ListParagraph"/>
        <w:spacing w:line="360" w:lineRule="auto"/>
        <w:rPr>
          <w:rFonts w:ascii="Arial" w:eastAsia="Arial" w:hAnsi="Arial" w:cs="Arial"/>
          <w:b/>
          <w:color w:val="000000" w:themeColor="text1"/>
          <w:sz w:val="40"/>
          <w:szCs w:val="40"/>
        </w:rPr>
      </w:pPr>
    </w:p>
    <w:p w14:paraId="3A2234C6" w14:textId="77777777" w:rsidR="00EA4B91" w:rsidRPr="009A0813" w:rsidRDefault="00EA4B91" w:rsidP="009701E6">
      <w:pPr>
        <w:pStyle w:val="ListParagraph"/>
        <w:numPr>
          <w:ilvl w:val="0"/>
          <w:numId w:val="1"/>
        </w:numPr>
        <w:spacing w:line="360" w:lineRule="auto"/>
        <w:rPr>
          <w:rFonts w:ascii="Arial" w:eastAsia="Arial" w:hAnsi="Arial" w:cs="Arial"/>
          <w:b/>
          <w:color w:val="000000" w:themeColor="text1"/>
          <w:sz w:val="40"/>
          <w:szCs w:val="40"/>
        </w:rPr>
      </w:pPr>
      <w:r w:rsidRPr="4B69AD1A">
        <w:rPr>
          <w:rFonts w:ascii="Arial" w:eastAsia="Arial" w:hAnsi="Arial" w:cs="Arial"/>
          <w:b/>
          <w:color w:val="000000" w:themeColor="text1"/>
          <w:sz w:val="40"/>
          <w:szCs w:val="40"/>
        </w:rPr>
        <w:t>References</w:t>
      </w:r>
    </w:p>
    <w:p w14:paraId="0334CB23" w14:textId="77777777" w:rsidR="00EA4B91" w:rsidRDefault="00EA4B91" w:rsidP="009701E6">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0B847140" w14:textId="77777777" w:rsidR="00EA4B91" w:rsidRDefault="00EA4B91" w:rsidP="009701E6">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p>
    <w:p w14:paraId="57D2E474" w14:textId="1B61A1AF" w:rsidR="00407A6C" w:rsidRPr="00407A6C" w:rsidRDefault="00407A6C" w:rsidP="009701E6">
      <w:pPr>
        <w:spacing w:before="100" w:beforeAutospacing="1" w:after="100" w:afterAutospacing="1" w:line="360" w:lineRule="auto"/>
        <w:outlineLvl w:val="0"/>
        <w:rPr>
          <w:rFonts w:ascii="Times New Roman" w:eastAsia="Times New Roman" w:hAnsi="Times New Roman" w:cs="Times New Roman"/>
          <w:b/>
          <w:bCs/>
          <w:kern w:val="36"/>
          <w:sz w:val="48"/>
          <w:szCs w:val="48"/>
          <w14:ligatures w14:val="none"/>
        </w:rPr>
      </w:pPr>
      <w:r w:rsidRPr="00407A6C">
        <w:rPr>
          <w:rFonts w:ascii="Times New Roman" w:eastAsia="Times New Roman" w:hAnsi="Times New Roman" w:cs="Times New Roman"/>
          <w:b/>
          <w:bCs/>
          <w:kern w:val="36"/>
          <w:sz w:val="48"/>
          <w:szCs w:val="48"/>
          <w14:ligatures w14:val="none"/>
        </w:rPr>
        <w:t>A Critical Examination of the Classification, Diagnosis, Treatment and Contemporary Debates Surrounding Autism Spectrum Disorder in ICD-11</w:t>
      </w:r>
    </w:p>
    <w:p w14:paraId="50932B8D" w14:textId="6D700376" w:rsidR="00407A6C" w:rsidRPr="00407A6C" w:rsidRDefault="00407A6C" w:rsidP="009701E6">
      <w:pPr>
        <w:spacing w:after="0" w:line="360" w:lineRule="auto"/>
        <w:rPr>
          <w:rFonts w:ascii="Times New Roman" w:hAnsi="Times New Roman" w:cs="Times New Roman"/>
          <w:kern w:val="0"/>
          <w14:ligatures w14:val="none"/>
        </w:rPr>
      </w:pPr>
    </w:p>
    <w:p w14:paraId="38FAB244" w14:textId="77777777" w:rsidR="00407A6C" w:rsidRPr="003F7991"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3F7991">
        <w:rPr>
          <w:rFonts w:ascii="Times New Roman" w:eastAsia="Times New Roman" w:hAnsi="Times New Roman" w:cs="Times New Roman"/>
          <w:b/>
          <w:bCs/>
          <w:kern w:val="0"/>
          <w:sz w:val="36"/>
          <w:szCs w:val="36"/>
          <w:u w:val="single"/>
          <w14:ligatures w14:val="none"/>
        </w:rPr>
        <w:t>Introduction</w:t>
      </w:r>
    </w:p>
    <w:p w14:paraId="04959FB7"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7B1CEE1E" w14:textId="5FBA2DE3" w:rsidR="00407A6C" w:rsidRPr="002F577A" w:rsidRDefault="00407A6C" w:rsidP="009701E6">
      <w:pPr>
        <w:spacing w:before="100" w:beforeAutospacing="1" w:after="100" w:afterAutospacing="1" w:line="360" w:lineRule="auto"/>
        <w:rPr>
          <w:rFonts w:ascii="Arial" w:hAnsi="Arial" w:cs="Arial"/>
          <w:kern w:val="0"/>
          <w:sz w:val="22"/>
          <w:szCs w:val="22"/>
          <w14:ligatures w14:val="none"/>
        </w:rPr>
      </w:pPr>
      <w:r w:rsidRPr="002F577A">
        <w:rPr>
          <w:rFonts w:ascii="Arial" w:hAnsi="Arial" w:cs="Arial"/>
          <w:kern w:val="0"/>
          <w:sz w:val="22"/>
          <w:szCs w:val="22"/>
          <w14:ligatures w14:val="none"/>
        </w:rPr>
        <w:t xml:space="preserve">Autism Spectrum Disorder (ASD) is a </w:t>
      </w:r>
      <w:proofErr w:type="spellStart"/>
      <w:r w:rsidRPr="002F577A">
        <w:rPr>
          <w:rFonts w:ascii="Arial" w:hAnsi="Arial" w:cs="Arial"/>
          <w:kern w:val="0"/>
          <w:sz w:val="22"/>
          <w:szCs w:val="22"/>
          <w14:ligatures w14:val="none"/>
        </w:rPr>
        <w:t>neurodevelopmental</w:t>
      </w:r>
      <w:proofErr w:type="spellEnd"/>
      <w:r w:rsidRPr="002F577A">
        <w:rPr>
          <w:rFonts w:ascii="Arial" w:hAnsi="Arial" w:cs="Arial"/>
          <w:kern w:val="0"/>
          <w:sz w:val="22"/>
          <w:szCs w:val="22"/>
          <w14:ligatures w14:val="none"/>
        </w:rPr>
        <w:t xml:space="preserve"> condition characterised by persistent differences in social communication and interaction, alongside restricted and repetitive patterns of behaviour (World Health </w:t>
      </w:r>
      <w:r w:rsidR="0079361B" w:rsidRPr="002F577A">
        <w:rPr>
          <w:rFonts w:ascii="Arial" w:hAnsi="Arial" w:cs="Arial"/>
          <w:kern w:val="0"/>
          <w:sz w:val="22"/>
          <w:szCs w:val="22"/>
          <w14:ligatures w14:val="none"/>
        </w:rPr>
        <w:t>Organisation</w:t>
      </w:r>
      <w:r w:rsidRPr="002F577A">
        <w:rPr>
          <w:rFonts w:ascii="Arial" w:hAnsi="Arial" w:cs="Arial"/>
          <w:kern w:val="0"/>
          <w:sz w:val="22"/>
          <w:szCs w:val="22"/>
          <w14:ligatures w14:val="none"/>
        </w:rPr>
        <w:t xml:space="preserve">, 2019). Within the International Classification of Diseases (ICD-11), ASD is categorised under </w:t>
      </w:r>
      <w:proofErr w:type="spellStart"/>
      <w:r w:rsidRPr="002F577A">
        <w:rPr>
          <w:rFonts w:ascii="Arial" w:hAnsi="Arial" w:cs="Arial"/>
          <w:kern w:val="0"/>
          <w:sz w:val="22"/>
          <w:szCs w:val="22"/>
          <w14:ligatures w14:val="none"/>
        </w:rPr>
        <w:t>neurodevelopmental</w:t>
      </w:r>
      <w:proofErr w:type="spellEnd"/>
      <w:r w:rsidRPr="002F577A">
        <w:rPr>
          <w:rFonts w:ascii="Arial" w:hAnsi="Arial" w:cs="Arial"/>
          <w:kern w:val="0"/>
          <w:sz w:val="22"/>
          <w:szCs w:val="22"/>
          <w14:ligatures w14:val="none"/>
        </w:rPr>
        <w:t xml:space="preserve"> disorders, reflecting its early onset and enduring impact across the lifespan. The consolidation of previously separate diagnoses into a single spectrum condition marks a significant shift in psychiatric classification, aligning with contemporary understandings of autism as heterogeneous and multidimensional.</w:t>
      </w:r>
    </w:p>
    <w:p w14:paraId="1FE7EF69" w14:textId="77777777" w:rsidR="00407A6C" w:rsidRPr="002F577A" w:rsidRDefault="00407A6C" w:rsidP="009701E6">
      <w:pPr>
        <w:spacing w:before="100" w:beforeAutospacing="1" w:after="100" w:afterAutospacing="1" w:line="360" w:lineRule="auto"/>
        <w:rPr>
          <w:rFonts w:ascii="Arial" w:hAnsi="Arial" w:cs="Arial"/>
          <w:kern w:val="0"/>
          <w:sz w:val="22"/>
          <w:szCs w:val="22"/>
          <w14:ligatures w14:val="none"/>
        </w:rPr>
      </w:pPr>
    </w:p>
    <w:p w14:paraId="1FD84206" w14:textId="77777777" w:rsidR="00407A6C" w:rsidRPr="002F577A" w:rsidRDefault="00407A6C" w:rsidP="009701E6">
      <w:pPr>
        <w:spacing w:before="100" w:beforeAutospacing="1" w:after="100" w:afterAutospacing="1" w:line="360" w:lineRule="auto"/>
        <w:rPr>
          <w:rFonts w:ascii="Arial" w:hAnsi="Arial" w:cs="Arial"/>
          <w:kern w:val="0"/>
          <w:sz w:val="22"/>
          <w:szCs w:val="22"/>
          <w14:ligatures w14:val="none"/>
        </w:rPr>
      </w:pPr>
      <w:r w:rsidRPr="002F577A">
        <w:rPr>
          <w:rFonts w:ascii="Arial" w:hAnsi="Arial" w:cs="Arial"/>
          <w:kern w:val="0"/>
          <w:sz w:val="22"/>
          <w:szCs w:val="22"/>
          <w14:ligatures w14:val="none"/>
        </w:rPr>
        <w:t>Despite these developments, ASD remains a highly contested diagnosis. The increasing prevalence of autism diagnoses globally has intensified debates surrounding the validity, reliability, and implications of its classification (Russell et al., 2019). Furthermore, the emergence of the neurodiversity paradigm has challenged the traditional medical model, arguing that autism should be understood as a natural variation in human cognition rather than a disorder requiring correction (Milton, 2012). These competing perspectives raise fundamental questions about the purpose and consequences of psychiatric classification systems such as ICD-11.</w:t>
      </w:r>
    </w:p>
    <w:p w14:paraId="4669A078" w14:textId="77777777" w:rsidR="00407A6C" w:rsidRPr="002F577A" w:rsidRDefault="00407A6C" w:rsidP="009701E6">
      <w:pPr>
        <w:spacing w:before="100" w:beforeAutospacing="1" w:after="100" w:afterAutospacing="1" w:line="360" w:lineRule="auto"/>
        <w:rPr>
          <w:rFonts w:ascii="Arial" w:hAnsi="Arial" w:cs="Arial"/>
          <w:kern w:val="0"/>
          <w:sz w:val="22"/>
          <w:szCs w:val="22"/>
          <w14:ligatures w14:val="none"/>
        </w:rPr>
      </w:pPr>
    </w:p>
    <w:p w14:paraId="5D3DEF96" w14:textId="77777777" w:rsidR="00407A6C" w:rsidRPr="002F577A" w:rsidRDefault="00407A6C" w:rsidP="009701E6">
      <w:pPr>
        <w:spacing w:before="100" w:beforeAutospacing="1" w:after="100" w:afterAutospacing="1" w:line="360" w:lineRule="auto"/>
        <w:rPr>
          <w:rFonts w:ascii="Arial" w:hAnsi="Arial" w:cs="Arial"/>
          <w:kern w:val="0"/>
          <w:sz w:val="22"/>
          <w:szCs w:val="22"/>
          <w14:ligatures w14:val="none"/>
        </w:rPr>
      </w:pPr>
      <w:r w:rsidRPr="002F577A">
        <w:rPr>
          <w:rFonts w:ascii="Arial" w:hAnsi="Arial" w:cs="Arial"/>
          <w:kern w:val="0"/>
          <w:sz w:val="22"/>
          <w:szCs w:val="22"/>
          <w14:ligatures w14:val="none"/>
        </w:rPr>
        <w:t>This report critically examines ASD through the lens of ICD-11, focusing on its classification and diagnostic processes, treatment and rehabilitation approaches, and the broader debates shaping its conceptualisation. It will argue that while ICD-11 represents a more flexible and inclusive framework than previous systems, it continues to be limited by its reliance on a deficit-based medical model. The report concludes by proposing recommendations aimed at reconciling clinical utility with a more person-centred and socially informed understanding of autism.</w:t>
      </w:r>
    </w:p>
    <w:p w14:paraId="2C1D3F16" w14:textId="0C00E03E" w:rsidR="00407A6C" w:rsidRPr="00407A6C" w:rsidRDefault="00407A6C" w:rsidP="009701E6">
      <w:pPr>
        <w:spacing w:after="0" w:line="360" w:lineRule="auto"/>
        <w:rPr>
          <w:rFonts w:ascii="Times New Roman" w:eastAsia="Times New Roman" w:hAnsi="Times New Roman" w:cs="Times New Roman"/>
          <w:kern w:val="0"/>
          <w14:ligatures w14:val="none"/>
        </w:rPr>
      </w:pPr>
    </w:p>
    <w:p w14:paraId="7909F08D" w14:textId="77777777" w:rsidR="00407A6C" w:rsidRPr="003F7991"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3F7991">
        <w:rPr>
          <w:rFonts w:ascii="Times New Roman" w:eastAsia="Times New Roman" w:hAnsi="Times New Roman" w:cs="Times New Roman"/>
          <w:b/>
          <w:bCs/>
          <w:kern w:val="0"/>
          <w:sz w:val="36"/>
          <w:szCs w:val="36"/>
          <w:u w:val="single"/>
          <w14:ligatures w14:val="none"/>
        </w:rPr>
        <w:t>Classification and Diagnosis</w:t>
      </w:r>
    </w:p>
    <w:p w14:paraId="0D5E4EF5" w14:textId="77777777" w:rsidR="00407A6C" w:rsidRPr="003F7991" w:rsidRDefault="00407A6C" w:rsidP="009701E6">
      <w:pPr>
        <w:spacing w:before="100" w:beforeAutospacing="1" w:after="100" w:afterAutospacing="1" w:line="360" w:lineRule="auto"/>
        <w:rPr>
          <w:rFonts w:ascii="Times New Roman" w:hAnsi="Times New Roman" w:cs="Times New Roman"/>
          <w:kern w:val="0"/>
          <w:u w:val="single"/>
          <w14:ligatures w14:val="none"/>
        </w:rPr>
      </w:pPr>
    </w:p>
    <w:p w14:paraId="7607B889" w14:textId="250D7A2D"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 xml:space="preserve">In ICD-11, </w:t>
      </w:r>
      <w:r w:rsidR="00044046" w:rsidRPr="00095341">
        <w:rPr>
          <w:rFonts w:ascii="Arial" w:hAnsi="Arial" w:cs="Arial"/>
          <w:kern w:val="0"/>
          <w:sz w:val="22"/>
          <w:szCs w:val="22"/>
          <w14:ligatures w14:val="none"/>
        </w:rPr>
        <w:t>autism spectrum disorder</w:t>
      </w:r>
      <w:r w:rsidRPr="00095341">
        <w:rPr>
          <w:rFonts w:ascii="Arial" w:hAnsi="Arial" w:cs="Arial"/>
          <w:kern w:val="0"/>
          <w:sz w:val="22"/>
          <w:szCs w:val="22"/>
          <w14:ligatures w14:val="none"/>
        </w:rPr>
        <w:t xml:space="preserve"> is situated within the broader category of </w:t>
      </w:r>
      <w:proofErr w:type="spellStart"/>
      <w:r w:rsidRPr="00095341">
        <w:rPr>
          <w:rFonts w:ascii="Arial" w:hAnsi="Arial" w:cs="Arial"/>
          <w:kern w:val="0"/>
          <w:sz w:val="22"/>
          <w:szCs w:val="22"/>
          <w14:ligatures w14:val="none"/>
        </w:rPr>
        <w:t>neurodevelopmental</w:t>
      </w:r>
      <w:proofErr w:type="spellEnd"/>
      <w:r w:rsidRPr="00095341">
        <w:rPr>
          <w:rFonts w:ascii="Arial" w:hAnsi="Arial" w:cs="Arial"/>
          <w:kern w:val="0"/>
          <w:sz w:val="22"/>
          <w:szCs w:val="22"/>
          <w14:ligatures w14:val="none"/>
        </w:rPr>
        <w:t xml:space="preserve"> disorders, reflecting a shift towards recognising developmental conditions as part of a continuum rather than discrete entities (World Health </w:t>
      </w:r>
      <w:r w:rsidR="00044046" w:rsidRPr="00095341">
        <w:rPr>
          <w:rFonts w:ascii="Arial" w:hAnsi="Arial" w:cs="Arial"/>
          <w:kern w:val="0"/>
          <w:sz w:val="22"/>
          <w:szCs w:val="22"/>
          <w14:ligatures w14:val="none"/>
        </w:rPr>
        <w:t>Organisation</w:t>
      </w:r>
      <w:r w:rsidRPr="00095341">
        <w:rPr>
          <w:rFonts w:ascii="Arial" w:hAnsi="Arial" w:cs="Arial"/>
          <w:kern w:val="0"/>
          <w:sz w:val="22"/>
          <w:szCs w:val="22"/>
          <w14:ligatures w14:val="none"/>
        </w:rPr>
        <w:t>, 2019). The decision to merge previously distinct diagnoses, such as Asperger’s syndrome, into a single spectrum has been widely interpreted as an attempt to improve diagnostic consistency and reduce artificial distinctions. From a clinical perspective, this dimensional approach is advantageous, as it allows practitioners to account for variability in symptom severity, intellectual functioning, and language ability.</w:t>
      </w:r>
    </w:p>
    <w:p w14:paraId="213F4E11"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p>
    <w:p w14:paraId="14A2A40A"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However, while this reclassification enhances conceptual coherence, it also introduces new ambiguities. The broadening of diagnostic criteria may contribute to diagnostic inflation, making it increasingly difficult to distinguish between clinically significant impairment and variations in typical development (</w:t>
      </w:r>
      <w:proofErr w:type="spellStart"/>
      <w:r w:rsidRPr="00095341">
        <w:rPr>
          <w:rFonts w:ascii="Arial" w:hAnsi="Arial" w:cs="Arial"/>
          <w:kern w:val="0"/>
          <w:sz w:val="22"/>
          <w:szCs w:val="22"/>
          <w14:ligatures w14:val="none"/>
        </w:rPr>
        <w:t>Timimi</w:t>
      </w:r>
      <w:proofErr w:type="spellEnd"/>
      <w:r w:rsidRPr="00095341">
        <w:rPr>
          <w:rFonts w:ascii="Arial" w:hAnsi="Arial" w:cs="Arial"/>
          <w:kern w:val="0"/>
          <w:sz w:val="22"/>
          <w:szCs w:val="22"/>
          <w14:ligatures w14:val="none"/>
        </w:rPr>
        <w:t xml:space="preserve"> et al., 2019). This raises concerns about the potential medicalisation of behaviours that may not warrant clinical intervention. At the same time, narrowing criteria risks excluding individuals who require support, illustrating a fundamental tension within psychiatric classification systems.</w:t>
      </w:r>
    </w:p>
    <w:p w14:paraId="3E7BE082"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p>
    <w:p w14:paraId="3160C301"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The diagnostic criteria in ICD-11 emphasise deficits in social communication and the presence of restricted, repetitive behaviours. While these criteria provide a structured framework, their application is inherently subjective. Clinical judgement plays a significant role in interpreting behaviours, which can lead to inconsistencies across practitioners and settings. This subjectivity is further compounded by the absence of definitive biological markers for autism, meaning that diagnosis relies heavily on behavioural observation and developmental history (Lord et al., 2020).</w:t>
      </w:r>
    </w:p>
    <w:p w14:paraId="6825C6CA"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p>
    <w:p w14:paraId="0C4833E3"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A particularly significant limitation of current diagnostic practices is their lack of sensitivity to gender differences. Research demonstrates that females with autism often present differently, frequently engaging in masking or compensatory behaviours that obscure diagnostic indicators (Lai et al., 2015). As a result, many females are diagnosed later in life or misdiagnosed altogether, highlighting a systemic bias embedded within diagnostic frameworks. This not only undermines the validity of the classification but also has profound implications for access to support and intervention.</w:t>
      </w:r>
    </w:p>
    <w:p w14:paraId="48FB52A6"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p>
    <w:p w14:paraId="6C9E7335"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Cultural factors further complicate the diagnostic process. Behaviours considered indicative of autism in one cultural context may be interpreted differently in another, raising questions about the universality of ICD-11 criteria (</w:t>
      </w:r>
      <w:proofErr w:type="spellStart"/>
      <w:r w:rsidRPr="00095341">
        <w:rPr>
          <w:rFonts w:ascii="Arial" w:hAnsi="Arial" w:cs="Arial"/>
          <w:kern w:val="0"/>
          <w:sz w:val="22"/>
          <w:szCs w:val="22"/>
          <w14:ligatures w14:val="none"/>
        </w:rPr>
        <w:t>Happé</w:t>
      </w:r>
      <w:proofErr w:type="spellEnd"/>
      <w:r w:rsidRPr="00095341">
        <w:rPr>
          <w:rFonts w:ascii="Arial" w:hAnsi="Arial" w:cs="Arial"/>
          <w:kern w:val="0"/>
          <w:sz w:val="22"/>
          <w:szCs w:val="22"/>
          <w14:ligatures w14:val="none"/>
        </w:rPr>
        <w:t xml:space="preserve"> and Frith, 2020). This suggests that the classification system, while globally applied, may not adequately account for cultural diversity, thereby limiting its effectiveness in non-Western contexts.</w:t>
      </w:r>
    </w:p>
    <w:p w14:paraId="15B6AE58"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p>
    <w:p w14:paraId="1C4B23A3" w14:textId="77777777" w:rsidR="00407A6C" w:rsidRPr="00095341" w:rsidRDefault="00407A6C" w:rsidP="009701E6">
      <w:pPr>
        <w:spacing w:before="100" w:beforeAutospacing="1" w:after="100" w:afterAutospacing="1" w:line="360" w:lineRule="auto"/>
        <w:rPr>
          <w:rFonts w:ascii="Arial" w:hAnsi="Arial" w:cs="Arial"/>
          <w:kern w:val="0"/>
          <w:sz w:val="22"/>
          <w:szCs w:val="22"/>
          <w14:ligatures w14:val="none"/>
        </w:rPr>
      </w:pPr>
      <w:r w:rsidRPr="00095341">
        <w:rPr>
          <w:rFonts w:ascii="Arial" w:hAnsi="Arial" w:cs="Arial"/>
          <w:kern w:val="0"/>
          <w:sz w:val="22"/>
          <w:szCs w:val="22"/>
          <w14:ligatures w14:val="none"/>
        </w:rPr>
        <w:t xml:space="preserve">Critically, the continued use of the term “disorder” reflects an underlying commitment to the medical model, which conceptualises autism as a deficit or dysfunction. This has been challenged by proponents of the neurodiversity movement, who argue that such language </w:t>
      </w:r>
      <w:proofErr w:type="spellStart"/>
      <w:r w:rsidRPr="00095341">
        <w:rPr>
          <w:rFonts w:ascii="Arial" w:hAnsi="Arial" w:cs="Arial"/>
          <w:kern w:val="0"/>
          <w:sz w:val="22"/>
          <w:szCs w:val="22"/>
          <w14:ligatures w14:val="none"/>
        </w:rPr>
        <w:t>pathologises</w:t>
      </w:r>
      <w:proofErr w:type="spellEnd"/>
      <w:r w:rsidRPr="00095341">
        <w:rPr>
          <w:rFonts w:ascii="Arial" w:hAnsi="Arial" w:cs="Arial"/>
          <w:kern w:val="0"/>
          <w:sz w:val="22"/>
          <w:szCs w:val="22"/>
          <w14:ligatures w14:val="none"/>
        </w:rPr>
        <w:t xml:space="preserve"> difference and reinforces stigma (Milton, 2012). While the diagnostic label is often necessary for accessing services, it simultaneously constructs autism as a problem to be fixed, rather than a difference to be understood. This contradiction lies at the heart of ongoing debates surrounding ASD classification.</w:t>
      </w:r>
    </w:p>
    <w:p w14:paraId="09A2EA80" w14:textId="3E7DAFA8" w:rsidR="00407A6C" w:rsidRPr="00407A6C" w:rsidRDefault="00407A6C" w:rsidP="009701E6">
      <w:pPr>
        <w:spacing w:after="0" w:line="360" w:lineRule="auto"/>
        <w:rPr>
          <w:rFonts w:ascii="Times New Roman" w:eastAsia="Times New Roman" w:hAnsi="Times New Roman" w:cs="Times New Roman"/>
          <w:kern w:val="0"/>
          <w14:ligatures w14:val="none"/>
        </w:rPr>
      </w:pPr>
    </w:p>
    <w:p w14:paraId="4A0AF283" w14:textId="77777777" w:rsidR="00407A6C" w:rsidRPr="002B02EC"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2B02EC">
        <w:rPr>
          <w:rFonts w:ascii="Times New Roman" w:eastAsia="Times New Roman" w:hAnsi="Times New Roman" w:cs="Times New Roman"/>
          <w:b/>
          <w:bCs/>
          <w:kern w:val="0"/>
          <w:sz w:val="36"/>
          <w:szCs w:val="36"/>
          <w:u w:val="single"/>
          <w14:ligatures w14:val="none"/>
        </w:rPr>
        <w:t>Treatment and Rehabilitation</w:t>
      </w:r>
    </w:p>
    <w:p w14:paraId="21066668"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0D935CF4"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Treatment approaches for Autism Spectrum Disorder are diverse, reflecting the complexity and variability of the condition. Interventions typically focus on improving communication, adaptive functioning, and quality of life, rather than attempting to eliminate autism itself. Behavioural interventions, particularly Applied Behaviour Analysis (ABA), have historically dominated the field, based on the premise that behaviour can be modified through reinforcement (NICE, 2021).</w:t>
      </w:r>
    </w:p>
    <w:p w14:paraId="6961C6D1"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67153962"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While ABA has been associated with measurable improvements in certain skills, its underlying assumptions have been subject to significant ethical criticism. Critics argue that ABA prioritises compliance and conformity to neurotypical standards, often at the expense of individual autonomy and identity (</w:t>
      </w:r>
      <w:proofErr w:type="spellStart"/>
      <w:r w:rsidRPr="003B7AA4">
        <w:rPr>
          <w:rFonts w:ascii="Arial" w:hAnsi="Arial" w:cs="Arial"/>
          <w:kern w:val="0"/>
          <w:sz w:val="22"/>
          <w:szCs w:val="22"/>
          <w14:ligatures w14:val="none"/>
        </w:rPr>
        <w:t>Pellicano</w:t>
      </w:r>
      <w:proofErr w:type="spellEnd"/>
      <w:r w:rsidRPr="003B7AA4">
        <w:rPr>
          <w:rFonts w:ascii="Arial" w:hAnsi="Arial" w:cs="Arial"/>
          <w:kern w:val="0"/>
          <w:sz w:val="22"/>
          <w:szCs w:val="22"/>
          <w14:ligatures w14:val="none"/>
        </w:rPr>
        <w:t xml:space="preserve"> and den </w:t>
      </w:r>
      <w:proofErr w:type="spellStart"/>
      <w:r w:rsidRPr="003B7AA4">
        <w:rPr>
          <w:rFonts w:ascii="Arial" w:hAnsi="Arial" w:cs="Arial"/>
          <w:kern w:val="0"/>
          <w:sz w:val="22"/>
          <w:szCs w:val="22"/>
          <w14:ligatures w14:val="none"/>
        </w:rPr>
        <w:t>Houting</w:t>
      </w:r>
      <w:proofErr w:type="spellEnd"/>
      <w:r w:rsidRPr="003B7AA4">
        <w:rPr>
          <w:rFonts w:ascii="Arial" w:hAnsi="Arial" w:cs="Arial"/>
          <w:kern w:val="0"/>
          <w:sz w:val="22"/>
          <w:szCs w:val="22"/>
          <w14:ligatures w14:val="none"/>
        </w:rPr>
        <w:t>, 2022). From this perspective, such interventions may inadvertently reinforce the notion that autistic behaviours are inherently undesirable, thereby contributing to stigma and psychological distress.</w:t>
      </w:r>
    </w:p>
    <w:p w14:paraId="34474F4D"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2EBA09A0"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This critique highlights a broader issue within autism treatment: the tension between normalisation and acceptance. Traditional interventions are often designed to reduce behaviours that deviate from social norms, rather than supporting individuals in navigating the world on their own terms. This raises important questions about whose interests are being served by these treatments and whether they align with the values and preferences of autistic individuals themselves.</w:t>
      </w:r>
    </w:p>
    <w:p w14:paraId="321011FF"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2D8F396E"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Pharmacological interventions further illustrate the limitations of current treatment approaches. While medications may be used to manage co-occurring conditions such as anxiety or aggression, there is no pharmacological treatment for autism itself (Lord et al., 2020). This underscores the inadequacy of purely biomedical models and highlights the need for more holistic approaches that address environmental and social factors.</w:t>
      </w:r>
    </w:p>
    <w:p w14:paraId="6A9B09F9"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58DA8D91"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Rehabilitation strategies for ASD typically involve long-term support systems, including educational interventions, occupational therapy, and social skills training. These approaches aim to enhance independence and facilitate social inclusion. However, their effectiveness is often constrained by systemic issues, including limited funding, variability in service provision, and a lack of continuity across the lifespan.</w:t>
      </w:r>
    </w:p>
    <w:p w14:paraId="5375D408"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6A54275F"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One of the most significant gaps in current rehabilitation provision is the transition from childhood to adulthood. While early intervention services are relatively well-established, support for adults with autism remains inadequate (NICE, 2021). This disparity reflects a broader societal tendency to frame autism as a childhood condition, neglecting the ongoing needs of autistic individuals throughout their lives.</w:t>
      </w:r>
    </w:p>
    <w:p w14:paraId="39775A01"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32C4A0D2"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Moreover, many rehabilitation approaches continue to adopt a deficit-based perspective, focusing on what individuals cannot do rather than recognising their strengths. This approach not only limits the effectiveness of interventions but also fails to align with contemporary understandings of neurodiversity. A more strengths-based and person-centred approach is therefore essential for improving outcomes and promoting wellbeing.</w:t>
      </w:r>
    </w:p>
    <w:p w14:paraId="3C5A6491" w14:textId="6078D98C" w:rsidR="00407A6C" w:rsidRPr="003B7AA4" w:rsidRDefault="00407A6C" w:rsidP="009701E6">
      <w:pPr>
        <w:spacing w:after="0" w:line="360" w:lineRule="auto"/>
        <w:rPr>
          <w:rFonts w:ascii="Arial" w:eastAsia="Times New Roman" w:hAnsi="Arial" w:cs="Arial"/>
          <w:kern w:val="0"/>
          <w:sz w:val="22"/>
          <w:szCs w:val="22"/>
          <w14:ligatures w14:val="none"/>
        </w:rPr>
      </w:pPr>
    </w:p>
    <w:p w14:paraId="72D0E511" w14:textId="77777777" w:rsidR="00407A6C" w:rsidRPr="002B02EC"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2B02EC">
        <w:rPr>
          <w:rFonts w:ascii="Times New Roman" w:eastAsia="Times New Roman" w:hAnsi="Times New Roman" w:cs="Times New Roman"/>
          <w:b/>
          <w:bCs/>
          <w:kern w:val="0"/>
          <w:sz w:val="36"/>
          <w:szCs w:val="36"/>
          <w:u w:val="single"/>
          <w14:ligatures w14:val="none"/>
        </w:rPr>
        <w:t>Current Debates and Emerging Issues</w:t>
      </w:r>
    </w:p>
    <w:p w14:paraId="52F0A793" w14:textId="77777777" w:rsidR="00407A6C" w:rsidRPr="002B02EC" w:rsidRDefault="00407A6C" w:rsidP="009701E6">
      <w:pPr>
        <w:spacing w:before="100" w:beforeAutospacing="1" w:after="100" w:afterAutospacing="1" w:line="360" w:lineRule="auto"/>
        <w:rPr>
          <w:rFonts w:ascii="Times New Roman" w:hAnsi="Times New Roman" w:cs="Times New Roman"/>
          <w:kern w:val="0"/>
          <w:u w:val="single"/>
          <w14:ligatures w14:val="none"/>
        </w:rPr>
      </w:pPr>
    </w:p>
    <w:p w14:paraId="7559898B"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The conceptualisation of Autism Spectrum Disorder is currently undergoing significant transformation, driven in part by the growing influence of the neurodiversity movement. This paradigm challenges the traditional medical model by framing autism as a natural variation in human cognition rather than a pathological condition (Milton, 2012). From this perspective, the goal of intervention should not be to “normalise” autistic individuals but to create environments that accommodate neurological diversity.</w:t>
      </w:r>
    </w:p>
    <w:p w14:paraId="06FE7CDB"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6C088B7D"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This shift has important implications for classification systems such as ICD-11. The continued use of medicalised language, particularly the term “disorder,” has been criticised for reinforcing deficit-based narratives and perpetuating stigma (Fletcher-Watson, 2019). However, removing or redefining diagnostic labels presents practical challenges, particularly in relation to access to services and funding. This creates a tension between the need for clinical categorisation and the desire for social acceptance.</w:t>
      </w:r>
    </w:p>
    <w:p w14:paraId="1EDC2184"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7DFE7607" w14:textId="50089748"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 xml:space="preserve">Another key debate concerns the increasing prevalence of autism diagnoses. While some researchers attribute this trend to improved awareness and diagnostic practices, others suggest that it may reflect a broadening of diagnostic criteria (Russell et al., 2019). This has led to concerns about </w:t>
      </w:r>
      <w:r w:rsidR="000057D4" w:rsidRPr="00407A6C">
        <w:rPr>
          <w:rFonts w:ascii="Times New Roman" w:hAnsi="Times New Roman" w:cs="Times New Roman"/>
          <w:kern w:val="0"/>
          <w14:ligatures w14:val="none"/>
        </w:rPr>
        <w:t>over-diagnosis</w:t>
      </w:r>
      <w:r w:rsidRPr="00407A6C">
        <w:rPr>
          <w:rFonts w:ascii="Times New Roman" w:hAnsi="Times New Roman" w:cs="Times New Roman"/>
          <w:kern w:val="0"/>
          <w14:ligatures w14:val="none"/>
        </w:rPr>
        <w:t xml:space="preserve">, particularly in cases where individuals experience mild or subclinical traits. Conversely, </w:t>
      </w:r>
      <w:r w:rsidR="000057D4" w:rsidRPr="00407A6C">
        <w:rPr>
          <w:rFonts w:ascii="Times New Roman" w:hAnsi="Times New Roman" w:cs="Times New Roman"/>
          <w:kern w:val="0"/>
          <w14:ligatures w14:val="none"/>
        </w:rPr>
        <w:t>under-diagnosis</w:t>
      </w:r>
      <w:r w:rsidRPr="00407A6C">
        <w:rPr>
          <w:rFonts w:ascii="Times New Roman" w:hAnsi="Times New Roman" w:cs="Times New Roman"/>
          <w:kern w:val="0"/>
          <w14:ligatures w14:val="none"/>
        </w:rPr>
        <w:t xml:space="preserve"> remains a significant issue in marginalised populations, highlighting the uneven distribution of diagnostic resources.</w:t>
      </w:r>
    </w:p>
    <w:p w14:paraId="2602E9C6"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58CF14BD"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The role of social and cultural factors in shaping autism diagnosis is also gaining increasing attention. The influence of social media, for example, has contributed to greater awareness of autism but has also raised concerns about self-diagnosis and the potential trivialisation of the condition. While increased visibility can be empowering, it may also blur the boundaries between clinical diagnosis and identity-based identification.</w:t>
      </w:r>
    </w:p>
    <w:p w14:paraId="1B5B7F43"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202DF6B2"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Gender disparities in diagnosis represent another critical issue. The historical focus on male presentations of autism has resulted in a diagnostic framework that fails to capture the experiences of many females (Lai et al., 2015). This not only undermines the validity of the classification but also perpetuates inequalities in access to support. Addressing this issue requires a fundamental re-evaluation of diagnostic criteria and research priorities.</w:t>
      </w:r>
    </w:p>
    <w:p w14:paraId="1E5DDDD6"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1214260C"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r w:rsidRPr="00407A6C">
        <w:rPr>
          <w:rFonts w:ascii="Times New Roman" w:hAnsi="Times New Roman" w:cs="Times New Roman"/>
          <w:kern w:val="0"/>
          <w14:ligatures w14:val="none"/>
        </w:rPr>
        <w:t>Policy and service provision further reflect the challenges associated with ASD. In the UK, long waiting times for diagnosis and limited post-diagnostic support have been widely documented (NHS England, 2023). These issues highlight the gap between theoretical classification systems and their practical implementation. Without adequate resources and infrastructure, even the most refined diagnostic frameworks are unlikely to produce meaningful improvements in outcomes.</w:t>
      </w:r>
    </w:p>
    <w:p w14:paraId="2A0462E4" w14:textId="74A07613" w:rsidR="00407A6C" w:rsidRPr="00407A6C" w:rsidRDefault="00407A6C" w:rsidP="009701E6">
      <w:pPr>
        <w:spacing w:after="0" w:line="360" w:lineRule="auto"/>
        <w:rPr>
          <w:rFonts w:ascii="Times New Roman" w:eastAsia="Times New Roman" w:hAnsi="Times New Roman" w:cs="Times New Roman"/>
          <w:kern w:val="0"/>
          <w14:ligatures w14:val="none"/>
        </w:rPr>
      </w:pPr>
    </w:p>
    <w:p w14:paraId="05529814" w14:textId="77777777" w:rsidR="00407A6C" w:rsidRPr="002B02EC"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2B02EC">
        <w:rPr>
          <w:rFonts w:ascii="Times New Roman" w:eastAsia="Times New Roman" w:hAnsi="Times New Roman" w:cs="Times New Roman"/>
          <w:b/>
          <w:bCs/>
          <w:kern w:val="0"/>
          <w:sz w:val="36"/>
          <w:szCs w:val="36"/>
          <w:u w:val="single"/>
          <w14:ligatures w14:val="none"/>
        </w:rPr>
        <w:t>Recommendations</w:t>
      </w:r>
    </w:p>
    <w:p w14:paraId="4CA0E32C"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5337F9C2"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407A6C">
        <w:rPr>
          <w:rFonts w:ascii="Times New Roman" w:hAnsi="Times New Roman" w:cs="Times New Roman"/>
          <w:kern w:val="0"/>
          <w14:ligatures w14:val="none"/>
        </w:rPr>
        <w:t xml:space="preserve">In </w:t>
      </w:r>
      <w:r w:rsidRPr="003B7AA4">
        <w:rPr>
          <w:rFonts w:ascii="Arial" w:hAnsi="Arial" w:cs="Arial"/>
          <w:kern w:val="0"/>
          <w:sz w:val="22"/>
          <w:szCs w:val="22"/>
          <w14:ligatures w14:val="none"/>
        </w:rPr>
        <w:t>light of the issues identified, several recommendations can be proposed to enhance the classification, diagnosis, treatment, and rehabilitation of Autism Spectrum Disorder.</w:t>
      </w:r>
    </w:p>
    <w:p w14:paraId="25755B19"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22349CD5"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 xml:space="preserve">Firstly, classification systems such as ICD-11 should adopt more flexible and inclusive terminology that reduces </w:t>
      </w:r>
      <w:proofErr w:type="spellStart"/>
      <w:r w:rsidRPr="003B7AA4">
        <w:rPr>
          <w:rFonts w:ascii="Arial" w:hAnsi="Arial" w:cs="Arial"/>
          <w:kern w:val="0"/>
          <w:sz w:val="22"/>
          <w:szCs w:val="22"/>
          <w14:ligatures w14:val="none"/>
        </w:rPr>
        <w:t>pathologisation</w:t>
      </w:r>
      <w:proofErr w:type="spellEnd"/>
      <w:r w:rsidRPr="003B7AA4">
        <w:rPr>
          <w:rFonts w:ascii="Arial" w:hAnsi="Arial" w:cs="Arial"/>
          <w:kern w:val="0"/>
          <w:sz w:val="22"/>
          <w:szCs w:val="22"/>
          <w14:ligatures w14:val="none"/>
        </w:rPr>
        <w:t xml:space="preserve"> while maintaining clinical utility. This may involve incorporating language that acknowledges autism as both a condition requiring support and a form of neurodivergence.</w:t>
      </w:r>
    </w:p>
    <w:p w14:paraId="57716D8C"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3584695B"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Secondly, diagnostic practices must be reformed to address systemic biases. This includes developing gender-sensitive criteria, improving cultural competence among clinicians, and incorporating multiple sources of information into the diagnostic process. Greater emphasis should also be placed on early identification without compromising diagnostic accuracy.</w:t>
      </w:r>
    </w:p>
    <w:p w14:paraId="33CA8533"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7B64D7C1"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Thirdly, treatment approaches should shift towards a person-centred, strengths-based model that prioritises wellbeing and autonomy. This requires moving away from interventions that focus solely on behavioural normalisation and towards those that support individuals in achieving their own goals.</w:t>
      </w:r>
    </w:p>
    <w:p w14:paraId="66B60C55"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7104176E"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Additionally, rehabilitation services must be expanded and made more consistent across the lifespan. This includes improving support for adults with autism, particularly in areas such as employment, mental health, and independent living. Ensuring continuity of care is essential for promoting long-term outcomes.</w:t>
      </w:r>
    </w:p>
    <w:p w14:paraId="4503CF25"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3E2EA5C5"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Finally, policymakers must address the structural barriers that limit access to diagnosis and support. This includes increasing funding for services, reducing waiting times, and investing in training for professionals. Without systemic change, improvements in classification and treatment are unlikely to translate into real-world benefits.</w:t>
      </w:r>
    </w:p>
    <w:p w14:paraId="1E9A3C8D" w14:textId="2CE82A62" w:rsidR="00407A6C" w:rsidRPr="00407A6C" w:rsidRDefault="00407A6C" w:rsidP="009701E6">
      <w:pPr>
        <w:spacing w:after="0" w:line="360" w:lineRule="auto"/>
        <w:rPr>
          <w:rFonts w:ascii="Times New Roman" w:eastAsia="Times New Roman" w:hAnsi="Times New Roman" w:cs="Times New Roman"/>
          <w:kern w:val="0"/>
          <w14:ligatures w14:val="none"/>
        </w:rPr>
      </w:pPr>
    </w:p>
    <w:p w14:paraId="1E11B9BA" w14:textId="77777777" w:rsidR="00407A6C" w:rsidRPr="008626CD" w:rsidRDefault="00407A6C"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8626CD">
        <w:rPr>
          <w:rFonts w:ascii="Times New Roman" w:eastAsia="Times New Roman" w:hAnsi="Times New Roman" w:cs="Times New Roman"/>
          <w:b/>
          <w:bCs/>
          <w:kern w:val="0"/>
          <w:sz w:val="36"/>
          <w:szCs w:val="36"/>
          <w:u w:val="single"/>
          <w14:ligatures w14:val="none"/>
        </w:rPr>
        <w:t>Conclusion</w:t>
      </w:r>
    </w:p>
    <w:p w14:paraId="290ED982" w14:textId="77777777" w:rsidR="00407A6C" w:rsidRPr="00407A6C" w:rsidRDefault="00407A6C" w:rsidP="009701E6">
      <w:pPr>
        <w:spacing w:before="100" w:beforeAutospacing="1" w:after="100" w:afterAutospacing="1" w:line="360" w:lineRule="auto"/>
        <w:rPr>
          <w:rFonts w:ascii="Times New Roman" w:hAnsi="Times New Roman" w:cs="Times New Roman"/>
          <w:kern w:val="0"/>
          <w14:ligatures w14:val="none"/>
        </w:rPr>
      </w:pPr>
    </w:p>
    <w:p w14:paraId="39BB07E6"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Autism Spectrum Disorder, as conceptualised within ICD-11, represents both progress and limitation within contemporary mental health classification. While the shift towards a spectrum-based model reflects a more nuanced understanding of autism, the continued reliance on a deficit-oriented framework constrains its effectiveness.</w:t>
      </w:r>
    </w:p>
    <w:p w14:paraId="572ADAD2"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22198315"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The growing influence of the neurodiversity paradigm challenges traditional approaches to autism, highlighting the need for more inclusive and person-centred models of care. However, balancing these perspectives with the practical demands of clinical diagnosis and service provision remains a complex task.</w:t>
      </w:r>
    </w:p>
    <w:p w14:paraId="47C67978"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p>
    <w:p w14:paraId="242EDD51" w14:textId="77777777" w:rsidR="00407A6C" w:rsidRPr="003B7AA4" w:rsidRDefault="00407A6C" w:rsidP="009701E6">
      <w:pPr>
        <w:spacing w:before="100" w:beforeAutospacing="1" w:after="100" w:afterAutospacing="1" w:line="360" w:lineRule="auto"/>
        <w:rPr>
          <w:rFonts w:ascii="Arial" w:hAnsi="Arial" w:cs="Arial"/>
          <w:kern w:val="0"/>
          <w:sz w:val="22"/>
          <w:szCs w:val="22"/>
          <w14:ligatures w14:val="none"/>
        </w:rPr>
      </w:pPr>
      <w:r w:rsidRPr="003B7AA4">
        <w:rPr>
          <w:rFonts w:ascii="Arial" w:hAnsi="Arial" w:cs="Arial"/>
          <w:kern w:val="0"/>
          <w:sz w:val="22"/>
          <w:szCs w:val="22"/>
          <w14:ligatures w14:val="none"/>
        </w:rPr>
        <w:t>Ultimately, improving outcomes for individuals with autism requires a fundamental rethinking of how the condition is understood and addressed. By integrating medical, social, and neurodiversity perspectives, it is possible to develop more equitable and effective approaches that respect the diversity of human experience while providing necessary support.</w:t>
      </w:r>
    </w:p>
    <w:p w14:paraId="128C0CDC" w14:textId="6468FF81" w:rsidR="00BE77EA" w:rsidRPr="003B7AA4" w:rsidRDefault="00BE77EA" w:rsidP="009701E6">
      <w:pPr>
        <w:spacing w:before="100" w:beforeAutospacing="1" w:after="100" w:afterAutospacing="1" w:line="360" w:lineRule="auto"/>
        <w:outlineLvl w:val="0"/>
        <w:rPr>
          <w:rFonts w:ascii="Arial" w:hAnsi="Arial" w:cs="Arial"/>
          <w:kern w:val="0"/>
          <w:sz w:val="22"/>
          <w:szCs w:val="22"/>
          <w14:ligatures w14:val="none"/>
        </w:rPr>
      </w:pPr>
    </w:p>
    <w:p w14:paraId="21D60F31" w14:textId="61AEB902" w:rsidR="00BE77EA" w:rsidRPr="00BE77EA" w:rsidRDefault="00BE77EA" w:rsidP="009701E6">
      <w:pPr>
        <w:spacing w:after="0" w:line="360" w:lineRule="auto"/>
        <w:rPr>
          <w:rFonts w:ascii="Times New Roman" w:eastAsia="Times New Roman" w:hAnsi="Times New Roman" w:cs="Times New Roman"/>
          <w:kern w:val="0"/>
          <w14:ligatures w14:val="none"/>
        </w:rPr>
      </w:pPr>
    </w:p>
    <w:p w14:paraId="2C119847" w14:textId="1AE9F47F" w:rsidR="00BE77EA" w:rsidRPr="008626CD" w:rsidRDefault="00BE77EA" w:rsidP="009701E6">
      <w:pPr>
        <w:spacing w:before="100" w:beforeAutospacing="1" w:after="100" w:afterAutospacing="1" w:line="360" w:lineRule="auto"/>
        <w:outlineLvl w:val="1"/>
        <w:rPr>
          <w:rFonts w:ascii="Times New Roman" w:hAnsi="Times New Roman" w:cs="Times New Roman"/>
          <w:b/>
          <w:bCs/>
          <w:kern w:val="0"/>
          <w:sz w:val="36"/>
          <w:szCs w:val="36"/>
          <w:u w:val="single"/>
          <w14:ligatures w14:val="none"/>
        </w:rPr>
      </w:pPr>
      <w:r w:rsidRPr="008626CD">
        <w:rPr>
          <w:rFonts w:ascii="Times New Roman" w:eastAsia="Times New Roman" w:hAnsi="Times New Roman" w:cs="Times New Roman"/>
          <w:b/>
          <w:bCs/>
          <w:kern w:val="0"/>
          <w:sz w:val="36"/>
          <w:szCs w:val="36"/>
          <w:u w:val="single"/>
          <w14:ligatures w14:val="none"/>
        </w:rPr>
        <w:t xml:space="preserve">Reference List </w:t>
      </w:r>
    </w:p>
    <w:p w14:paraId="3A0BAE97"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6D35A5AD"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American Psychiatric Association (2022) Diagnostic and Statistical Manual of Mental Disorders (DSM-5-TR). Washington, DC: APA.</w:t>
      </w:r>
    </w:p>
    <w:p w14:paraId="3E21E159"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34CEE4C8"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Fletcher-Watson, S. (2019) ‘Neurodiversity and research’, Autism, 23(4), pp. 783–784.</w:t>
      </w:r>
    </w:p>
    <w:p w14:paraId="002B9125"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226BECAB"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roofErr w:type="spellStart"/>
      <w:r w:rsidRPr="009701E6">
        <w:rPr>
          <w:rFonts w:ascii="Arial" w:hAnsi="Arial" w:cs="Arial"/>
          <w:kern w:val="0"/>
          <w:sz w:val="22"/>
          <w:szCs w:val="22"/>
          <w14:ligatures w14:val="none"/>
        </w:rPr>
        <w:t>Happé</w:t>
      </w:r>
      <w:proofErr w:type="spellEnd"/>
      <w:r w:rsidRPr="009701E6">
        <w:rPr>
          <w:rFonts w:ascii="Arial" w:hAnsi="Arial" w:cs="Arial"/>
          <w:kern w:val="0"/>
          <w:sz w:val="22"/>
          <w:szCs w:val="22"/>
          <w14:ligatures w14:val="none"/>
        </w:rPr>
        <w:t>, F. and Frith, U. (2020) ‘Annual research review: Looking back to look forward’, Journal of Child Psychology and Psychiatry, 61(3), pp. 218–232.</w:t>
      </w:r>
    </w:p>
    <w:p w14:paraId="216326C1"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73D278AD"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Lai, M.C. et al. (2015) ‘Sex/gender differences in autism’, Journal of the American Academy of Child &amp; Adolescent Psychiatry, 54(1), pp. 11–24.</w:t>
      </w:r>
    </w:p>
    <w:p w14:paraId="6C6C7862"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18534B41"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Lord, C. et al. (2020) ‘Autism spectrum disorder’, The Lancet, 392(10146), pp. 508–520.</w:t>
      </w:r>
    </w:p>
    <w:p w14:paraId="4E7AB5A2"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5496EA75"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Milton, D. (2012) ‘On the ontological status of autism’, Disability &amp; Society, 27(6), pp. 883–887.</w:t>
      </w:r>
    </w:p>
    <w:p w14:paraId="3CAD65D8"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6328D30D"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NHS England (2023) Autism statistics and service provision. London: NHS.</w:t>
      </w:r>
    </w:p>
    <w:p w14:paraId="303593C8"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12733561"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NICE (2021) Autism spectrum disorder in adults: diagnosis and management. London: NICE.</w:t>
      </w:r>
    </w:p>
    <w:p w14:paraId="68D375EB"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135FB49B"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roofErr w:type="spellStart"/>
      <w:r w:rsidRPr="009701E6">
        <w:rPr>
          <w:rFonts w:ascii="Arial" w:hAnsi="Arial" w:cs="Arial"/>
          <w:kern w:val="0"/>
          <w:sz w:val="22"/>
          <w:szCs w:val="22"/>
          <w14:ligatures w14:val="none"/>
        </w:rPr>
        <w:t>Pellicano</w:t>
      </w:r>
      <w:proofErr w:type="spellEnd"/>
      <w:r w:rsidRPr="009701E6">
        <w:rPr>
          <w:rFonts w:ascii="Arial" w:hAnsi="Arial" w:cs="Arial"/>
          <w:kern w:val="0"/>
          <w:sz w:val="22"/>
          <w:szCs w:val="22"/>
          <w14:ligatures w14:val="none"/>
        </w:rPr>
        <w:t xml:space="preserve">, E. and den </w:t>
      </w:r>
      <w:proofErr w:type="spellStart"/>
      <w:r w:rsidRPr="009701E6">
        <w:rPr>
          <w:rFonts w:ascii="Arial" w:hAnsi="Arial" w:cs="Arial"/>
          <w:kern w:val="0"/>
          <w:sz w:val="22"/>
          <w:szCs w:val="22"/>
          <w14:ligatures w14:val="none"/>
        </w:rPr>
        <w:t>Houting</w:t>
      </w:r>
      <w:proofErr w:type="spellEnd"/>
      <w:r w:rsidRPr="009701E6">
        <w:rPr>
          <w:rFonts w:ascii="Arial" w:hAnsi="Arial" w:cs="Arial"/>
          <w:kern w:val="0"/>
          <w:sz w:val="22"/>
          <w:szCs w:val="22"/>
          <w14:ligatures w14:val="none"/>
        </w:rPr>
        <w:t>, J. (2022) ‘Annual research review: Shifting from “normal science” to neurodiversity’, Journal of Child Psychology and Psychiatry, 63(4), pp. 381–396.</w:t>
      </w:r>
    </w:p>
    <w:p w14:paraId="59A057ED"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775A1315"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Russell, G. et al. (2019) ‘The rise of autism’, Autism Research, 12(12), pp. 1793–1801.</w:t>
      </w:r>
    </w:p>
    <w:p w14:paraId="559B13B9"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39508D3A"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roofErr w:type="spellStart"/>
      <w:r w:rsidRPr="009701E6">
        <w:rPr>
          <w:rFonts w:ascii="Arial" w:hAnsi="Arial" w:cs="Arial"/>
          <w:kern w:val="0"/>
          <w:sz w:val="22"/>
          <w:szCs w:val="22"/>
          <w14:ligatures w14:val="none"/>
        </w:rPr>
        <w:t>Timimi</w:t>
      </w:r>
      <w:proofErr w:type="spellEnd"/>
      <w:r w:rsidRPr="009701E6">
        <w:rPr>
          <w:rFonts w:ascii="Arial" w:hAnsi="Arial" w:cs="Arial"/>
          <w:kern w:val="0"/>
          <w:sz w:val="22"/>
          <w:szCs w:val="22"/>
          <w14:ligatures w14:val="none"/>
        </w:rPr>
        <w:t>, S. et al. (2019) ‘Rethinking autism diagnosis’, BMJ, 364, l566.</w:t>
      </w:r>
    </w:p>
    <w:p w14:paraId="6246CEEC"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p>
    <w:p w14:paraId="517D204E" w14:textId="77777777" w:rsidR="00BE77EA" w:rsidRPr="009701E6" w:rsidRDefault="00BE77EA" w:rsidP="009701E6">
      <w:pPr>
        <w:spacing w:before="100" w:beforeAutospacing="1" w:after="100" w:afterAutospacing="1" w:line="360" w:lineRule="auto"/>
        <w:rPr>
          <w:rFonts w:ascii="Arial" w:hAnsi="Arial" w:cs="Arial"/>
          <w:kern w:val="0"/>
          <w:sz w:val="22"/>
          <w:szCs w:val="22"/>
          <w14:ligatures w14:val="none"/>
        </w:rPr>
      </w:pPr>
      <w:r w:rsidRPr="009701E6">
        <w:rPr>
          <w:rFonts w:ascii="Arial" w:hAnsi="Arial" w:cs="Arial"/>
          <w:kern w:val="0"/>
          <w:sz w:val="22"/>
          <w:szCs w:val="22"/>
          <w14:ligatures w14:val="none"/>
        </w:rPr>
        <w:t xml:space="preserve">World Health </w:t>
      </w:r>
      <w:proofErr w:type="spellStart"/>
      <w:r w:rsidRPr="009701E6">
        <w:rPr>
          <w:rFonts w:ascii="Arial" w:hAnsi="Arial" w:cs="Arial"/>
          <w:kern w:val="0"/>
          <w:sz w:val="22"/>
          <w:szCs w:val="22"/>
          <w14:ligatures w14:val="none"/>
        </w:rPr>
        <w:t>Organization</w:t>
      </w:r>
      <w:proofErr w:type="spellEnd"/>
      <w:r w:rsidRPr="009701E6">
        <w:rPr>
          <w:rFonts w:ascii="Arial" w:hAnsi="Arial" w:cs="Arial"/>
          <w:kern w:val="0"/>
          <w:sz w:val="22"/>
          <w:szCs w:val="22"/>
          <w14:ligatures w14:val="none"/>
        </w:rPr>
        <w:t xml:space="preserve"> (2019) International Classification of Diseases 11th Revision (ICD-11). Geneva: WHO.</w:t>
      </w:r>
    </w:p>
    <w:p w14:paraId="14A67A4A" w14:textId="77777777" w:rsidR="00BE77EA" w:rsidRPr="009701E6" w:rsidRDefault="00BE77EA" w:rsidP="009701E6">
      <w:pPr>
        <w:spacing w:line="360" w:lineRule="auto"/>
        <w:rPr>
          <w:rFonts w:ascii="Arial" w:hAnsi="Arial" w:cs="Arial"/>
          <w:sz w:val="22"/>
          <w:szCs w:val="22"/>
        </w:rPr>
      </w:pPr>
    </w:p>
    <w:sectPr w:rsidR="00BE77EA" w:rsidRPr="009701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E906"/>
    <w:multiLevelType w:val="hybridMultilevel"/>
    <w:tmpl w:val="FFFFFFFF"/>
    <w:lvl w:ilvl="0" w:tplc="32124440">
      <w:start w:val="1"/>
      <w:numFmt w:val="bullet"/>
      <w:lvlText w:val="-"/>
      <w:lvlJc w:val="left"/>
      <w:pPr>
        <w:ind w:left="720" w:hanging="360"/>
      </w:pPr>
      <w:rPr>
        <w:rFonts w:ascii="Aptos" w:hAnsi="Aptos" w:hint="default"/>
      </w:rPr>
    </w:lvl>
    <w:lvl w:ilvl="1" w:tplc="BEFAF870">
      <w:start w:val="1"/>
      <w:numFmt w:val="bullet"/>
      <w:lvlText w:val="o"/>
      <w:lvlJc w:val="left"/>
      <w:pPr>
        <w:ind w:left="1440" w:hanging="360"/>
      </w:pPr>
      <w:rPr>
        <w:rFonts w:ascii="Courier New" w:hAnsi="Courier New" w:hint="default"/>
      </w:rPr>
    </w:lvl>
    <w:lvl w:ilvl="2" w:tplc="9ECC8632">
      <w:start w:val="1"/>
      <w:numFmt w:val="bullet"/>
      <w:lvlText w:val=""/>
      <w:lvlJc w:val="left"/>
      <w:pPr>
        <w:ind w:left="2160" w:hanging="360"/>
      </w:pPr>
      <w:rPr>
        <w:rFonts w:ascii="Wingdings" w:hAnsi="Wingdings" w:hint="default"/>
      </w:rPr>
    </w:lvl>
    <w:lvl w:ilvl="3" w:tplc="A7C6E47A">
      <w:start w:val="1"/>
      <w:numFmt w:val="bullet"/>
      <w:lvlText w:val=""/>
      <w:lvlJc w:val="left"/>
      <w:pPr>
        <w:ind w:left="2880" w:hanging="360"/>
      </w:pPr>
      <w:rPr>
        <w:rFonts w:ascii="Symbol" w:hAnsi="Symbol" w:hint="default"/>
      </w:rPr>
    </w:lvl>
    <w:lvl w:ilvl="4" w:tplc="B93E1450">
      <w:start w:val="1"/>
      <w:numFmt w:val="bullet"/>
      <w:lvlText w:val="o"/>
      <w:lvlJc w:val="left"/>
      <w:pPr>
        <w:ind w:left="3600" w:hanging="360"/>
      </w:pPr>
      <w:rPr>
        <w:rFonts w:ascii="Courier New" w:hAnsi="Courier New" w:hint="default"/>
      </w:rPr>
    </w:lvl>
    <w:lvl w:ilvl="5" w:tplc="8CE81490">
      <w:start w:val="1"/>
      <w:numFmt w:val="bullet"/>
      <w:lvlText w:val=""/>
      <w:lvlJc w:val="left"/>
      <w:pPr>
        <w:ind w:left="4320" w:hanging="360"/>
      </w:pPr>
      <w:rPr>
        <w:rFonts w:ascii="Wingdings" w:hAnsi="Wingdings" w:hint="default"/>
      </w:rPr>
    </w:lvl>
    <w:lvl w:ilvl="6" w:tplc="197879E4">
      <w:start w:val="1"/>
      <w:numFmt w:val="bullet"/>
      <w:lvlText w:val=""/>
      <w:lvlJc w:val="left"/>
      <w:pPr>
        <w:ind w:left="5040" w:hanging="360"/>
      </w:pPr>
      <w:rPr>
        <w:rFonts w:ascii="Symbol" w:hAnsi="Symbol" w:hint="default"/>
      </w:rPr>
    </w:lvl>
    <w:lvl w:ilvl="7" w:tplc="B9DE094E">
      <w:start w:val="1"/>
      <w:numFmt w:val="bullet"/>
      <w:lvlText w:val="o"/>
      <w:lvlJc w:val="left"/>
      <w:pPr>
        <w:ind w:left="5760" w:hanging="360"/>
      </w:pPr>
      <w:rPr>
        <w:rFonts w:ascii="Courier New" w:hAnsi="Courier New" w:hint="default"/>
      </w:rPr>
    </w:lvl>
    <w:lvl w:ilvl="8" w:tplc="54F4785A">
      <w:start w:val="1"/>
      <w:numFmt w:val="bullet"/>
      <w:lvlText w:val=""/>
      <w:lvlJc w:val="left"/>
      <w:pPr>
        <w:ind w:left="6480" w:hanging="360"/>
      </w:pPr>
      <w:rPr>
        <w:rFonts w:ascii="Wingdings" w:hAnsi="Wingdings" w:hint="default"/>
      </w:rPr>
    </w:lvl>
  </w:abstractNum>
  <w:abstractNum w:abstractNumId="1" w15:restartNumberingAfterBreak="0">
    <w:nsid w:val="0BFEEDE9"/>
    <w:multiLevelType w:val="hybridMultilevel"/>
    <w:tmpl w:val="FFFFFFFF"/>
    <w:lvl w:ilvl="0" w:tplc="3328FE9E">
      <w:numFmt w:val="bullet"/>
      <w:lvlText w:val="-"/>
      <w:lvlJc w:val="left"/>
      <w:pPr>
        <w:ind w:left="720" w:hanging="360"/>
      </w:pPr>
      <w:rPr>
        <w:rFonts w:ascii="Arial" w:hAnsi="Arial" w:hint="default"/>
      </w:rPr>
    </w:lvl>
    <w:lvl w:ilvl="1" w:tplc="881C20E0">
      <w:start w:val="1"/>
      <w:numFmt w:val="bullet"/>
      <w:lvlText w:val="o"/>
      <w:lvlJc w:val="left"/>
      <w:pPr>
        <w:ind w:left="1440" w:hanging="360"/>
      </w:pPr>
      <w:rPr>
        <w:rFonts w:ascii="Courier New" w:hAnsi="Courier New" w:hint="default"/>
      </w:rPr>
    </w:lvl>
    <w:lvl w:ilvl="2" w:tplc="AA528FCA">
      <w:start w:val="1"/>
      <w:numFmt w:val="bullet"/>
      <w:lvlText w:val=""/>
      <w:lvlJc w:val="left"/>
      <w:pPr>
        <w:ind w:left="2160" w:hanging="360"/>
      </w:pPr>
      <w:rPr>
        <w:rFonts w:ascii="Wingdings" w:hAnsi="Wingdings" w:hint="default"/>
      </w:rPr>
    </w:lvl>
    <w:lvl w:ilvl="3" w:tplc="B130FE68">
      <w:start w:val="1"/>
      <w:numFmt w:val="bullet"/>
      <w:lvlText w:val=""/>
      <w:lvlJc w:val="left"/>
      <w:pPr>
        <w:ind w:left="2880" w:hanging="360"/>
      </w:pPr>
      <w:rPr>
        <w:rFonts w:ascii="Symbol" w:hAnsi="Symbol" w:hint="default"/>
      </w:rPr>
    </w:lvl>
    <w:lvl w:ilvl="4" w:tplc="9A4A792E">
      <w:start w:val="1"/>
      <w:numFmt w:val="bullet"/>
      <w:lvlText w:val="o"/>
      <w:lvlJc w:val="left"/>
      <w:pPr>
        <w:ind w:left="3600" w:hanging="360"/>
      </w:pPr>
      <w:rPr>
        <w:rFonts w:ascii="Courier New" w:hAnsi="Courier New" w:hint="default"/>
      </w:rPr>
    </w:lvl>
    <w:lvl w:ilvl="5" w:tplc="3A0A1270">
      <w:start w:val="1"/>
      <w:numFmt w:val="bullet"/>
      <w:lvlText w:val=""/>
      <w:lvlJc w:val="left"/>
      <w:pPr>
        <w:ind w:left="4320" w:hanging="360"/>
      </w:pPr>
      <w:rPr>
        <w:rFonts w:ascii="Wingdings" w:hAnsi="Wingdings" w:hint="default"/>
      </w:rPr>
    </w:lvl>
    <w:lvl w:ilvl="6" w:tplc="C65C4E3A">
      <w:start w:val="1"/>
      <w:numFmt w:val="bullet"/>
      <w:lvlText w:val=""/>
      <w:lvlJc w:val="left"/>
      <w:pPr>
        <w:ind w:left="5040" w:hanging="360"/>
      </w:pPr>
      <w:rPr>
        <w:rFonts w:ascii="Symbol" w:hAnsi="Symbol" w:hint="default"/>
      </w:rPr>
    </w:lvl>
    <w:lvl w:ilvl="7" w:tplc="63041E20">
      <w:start w:val="1"/>
      <w:numFmt w:val="bullet"/>
      <w:lvlText w:val="o"/>
      <w:lvlJc w:val="left"/>
      <w:pPr>
        <w:ind w:left="5760" w:hanging="360"/>
      </w:pPr>
      <w:rPr>
        <w:rFonts w:ascii="Courier New" w:hAnsi="Courier New" w:hint="default"/>
      </w:rPr>
    </w:lvl>
    <w:lvl w:ilvl="8" w:tplc="FE780AF8">
      <w:start w:val="1"/>
      <w:numFmt w:val="bullet"/>
      <w:lvlText w:val=""/>
      <w:lvlJc w:val="left"/>
      <w:pPr>
        <w:ind w:left="6480" w:hanging="360"/>
      </w:pPr>
      <w:rPr>
        <w:rFonts w:ascii="Wingdings" w:hAnsi="Wingdings" w:hint="default"/>
      </w:rPr>
    </w:lvl>
  </w:abstractNum>
  <w:num w:numId="1" w16cid:durableId="1687632096">
    <w:abstractNumId w:val="0"/>
  </w:num>
  <w:num w:numId="2" w16cid:durableId="11573032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7EA"/>
    <w:rsid w:val="000057D4"/>
    <w:rsid w:val="00044046"/>
    <w:rsid w:val="00095341"/>
    <w:rsid w:val="000D2D50"/>
    <w:rsid w:val="002B02EC"/>
    <w:rsid w:val="002F577A"/>
    <w:rsid w:val="003B7AA4"/>
    <w:rsid w:val="003F7991"/>
    <w:rsid w:val="00407A6C"/>
    <w:rsid w:val="00497524"/>
    <w:rsid w:val="004A6631"/>
    <w:rsid w:val="00545447"/>
    <w:rsid w:val="005905DE"/>
    <w:rsid w:val="005961F0"/>
    <w:rsid w:val="006A4EB5"/>
    <w:rsid w:val="00747655"/>
    <w:rsid w:val="00763459"/>
    <w:rsid w:val="0077154B"/>
    <w:rsid w:val="0079361B"/>
    <w:rsid w:val="00842643"/>
    <w:rsid w:val="008626CD"/>
    <w:rsid w:val="00873A3B"/>
    <w:rsid w:val="009701E6"/>
    <w:rsid w:val="00A42134"/>
    <w:rsid w:val="00AD45E6"/>
    <w:rsid w:val="00BE77EA"/>
    <w:rsid w:val="00C13150"/>
    <w:rsid w:val="00D6310D"/>
    <w:rsid w:val="00DA3632"/>
    <w:rsid w:val="00E72933"/>
    <w:rsid w:val="00EA4B91"/>
    <w:rsid w:val="00F17F70"/>
    <w:rsid w:val="00F60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C656A"/>
  <w15:chartTrackingRefBased/>
  <w15:docId w15:val="{1FFA4BE7-45C7-2E43-93B1-265D336A2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7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77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7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7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7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7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7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7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7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7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7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7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7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7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7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7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7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7EA"/>
    <w:rPr>
      <w:rFonts w:eastAsiaTheme="majorEastAsia" w:cstheme="majorBidi"/>
      <w:color w:val="272727" w:themeColor="text1" w:themeTint="D8"/>
    </w:rPr>
  </w:style>
  <w:style w:type="paragraph" w:styleId="Title">
    <w:name w:val="Title"/>
    <w:basedOn w:val="Normal"/>
    <w:next w:val="Normal"/>
    <w:link w:val="TitleChar"/>
    <w:uiPriority w:val="10"/>
    <w:qFormat/>
    <w:rsid w:val="00BE77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7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7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7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7EA"/>
    <w:pPr>
      <w:spacing w:before="160"/>
      <w:jc w:val="center"/>
    </w:pPr>
    <w:rPr>
      <w:i/>
      <w:iCs/>
      <w:color w:val="404040" w:themeColor="text1" w:themeTint="BF"/>
    </w:rPr>
  </w:style>
  <w:style w:type="character" w:customStyle="1" w:styleId="QuoteChar">
    <w:name w:val="Quote Char"/>
    <w:basedOn w:val="DefaultParagraphFont"/>
    <w:link w:val="Quote"/>
    <w:uiPriority w:val="29"/>
    <w:rsid w:val="00BE77EA"/>
    <w:rPr>
      <w:i/>
      <w:iCs/>
      <w:color w:val="404040" w:themeColor="text1" w:themeTint="BF"/>
    </w:rPr>
  </w:style>
  <w:style w:type="paragraph" w:styleId="ListParagraph">
    <w:name w:val="List Paragraph"/>
    <w:basedOn w:val="Normal"/>
    <w:uiPriority w:val="34"/>
    <w:qFormat/>
    <w:rsid w:val="00BE77EA"/>
    <w:pPr>
      <w:ind w:left="720"/>
      <w:contextualSpacing/>
    </w:pPr>
  </w:style>
  <w:style w:type="character" w:styleId="IntenseEmphasis">
    <w:name w:val="Intense Emphasis"/>
    <w:basedOn w:val="DefaultParagraphFont"/>
    <w:uiPriority w:val="21"/>
    <w:qFormat/>
    <w:rsid w:val="00BE77EA"/>
    <w:rPr>
      <w:i/>
      <w:iCs/>
      <w:color w:val="0F4761" w:themeColor="accent1" w:themeShade="BF"/>
    </w:rPr>
  </w:style>
  <w:style w:type="paragraph" w:styleId="IntenseQuote">
    <w:name w:val="Intense Quote"/>
    <w:basedOn w:val="Normal"/>
    <w:next w:val="Normal"/>
    <w:link w:val="IntenseQuoteChar"/>
    <w:uiPriority w:val="30"/>
    <w:qFormat/>
    <w:rsid w:val="00BE77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7EA"/>
    <w:rPr>
      <w:i/>
      <w:iCs/>
      <w:color w:val="0F4761" w:themeColor="accent1" w:themeShade="BF"/>
    </w:rPr>
  </w:style>
  <w:style w:type="character" w:styleId="IntenseReference">
    <w:name w:val="Intense Reference"/>
    <w:basedOn w:val="DefaultParagraphFont"/>
    <w:uiPriority w:val="32"/>
    <w:qFormat/>
    <w:rsid w:val="00BE77EA"/>
    <w:rPr>
      <w:b/>
      <w:bCs/>
      <w:smallCaps/>
      <w:color w:val="0F4761" w:themeColor="accent1" w:themeShade="BF"/>
      <w:spacing w:val="5"/>
    </w:rPr>
  </w:style>
  <w:style w:type="character" w:customStyle="1" w:styleId="s1">
    <w:name w:val="s1"/>
    <w:basedOn w:val="DefaultParagraphFont"/>
    <w:rsid w:val="00BE77EA"/>
  </w:style>
  <w:style w:type="paragraph" w:customStyle="1" w:styleId="p2">
    <w:name w:val="p2"/>
    <w:basedOn w:val="Normal"/>
    <w:rsid w:val="00BE77EA"/>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E77EA"/>
  </w:style>
  <w:style w:type="paragraph" w:customStyle="1" w:styleId="p3">
    <w:name w:val="p3"/>
    <w:basedOn w:val="Normal"/>
    <w:rsid w:val="00BE77EA"/>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E77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Pages>
  <Words>2433</Words>
  <Characters>13869</Characters>
  <Application>Microsoft Office Word</Application>
  <DocSecurity>0</DocSecurity>
  <Lines>115</Lines>
  <Paragraphs>32</Paragraphs>
  <ScaleCrop>false</ScaleCrop>
  <Company/>
  <LinksUpToDate>false</LinksUpToDate>
  <CharactersWithSpaces>16270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Shakan Pitters (2319072)</dc:creator>
  <cp:keywords/>
  <dc:description/>
  <cp:lastModifiedBy>Shakan Pitters (2319072)</cp:lastModifiedBy>
  <cp:revision>29</cp:revision>
  <dcterms:created xsi:type="dcterms:W3CDTF">2026-03-28T10:25:00Z</dcterms:created>
  <dcterms:modified xsi:type="dcterms:W3CDTF">2026-03-29T01:24:00Z</dcterms:modified>
</cp:coreProperties>
</file>