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4F74E3" w14:textId="77777777" w:rsidR="007C6C01" w:rsidRDefault="007C6C01" w:rsidP="004320D5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470B8AB2" w14:textId="77777777" w:rsidR="007C6C01" w:rsidRDefault="007C6C01" w:rsidP="004320D5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17FB1DED" w14:textId="77777777" w:rsidR="007C6C01" w:rsidRDefault="007C6C01" w:rsidP="004320D5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03D305FF" w14:textId="77777777" w:rsidR="007C6C01" w:rsidRDefault="007C6C01" w:rsidP="004320D5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0F1F9691" w14:textId="77777777" w:rsidR="007C6C01" w:rsidRDefault="007C6C01" w:rsidP="004320D5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46C536DC" w14:textId="5199AA1A" w:rsidR="00B934A5" w:rsidRDefault="009632C3" w:rsidP="004320D5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9632C3">
        <w:rPr>
          <w:rFonts w:ascii="Arial" w:hAnsi="Arial" w:cs="Arial"/>
          <w:b/>
          <w:bCs/>
          <w:sz w:val="32"/>
          <w:szCs w:val="32"/>
        </w:rPr>
        <w:t>FEASABILITY PLAN FOR INTERNATIONAL MEETINGS</w:t>
      </w:r>
    </w:p>
    <w:p w14:paraId="50C003CF" w14:textId="77777777" w:rsidR="009632C3" w:rsidRDefault="009632C3" w:rsidP="004320D5">
      <w:pPr>
        <w:jc w:val="center"/>
        <w:rPr>
          <w:rFonts w:ascii="Arial" w:hAnsi="Arial" w:cs="Arial"/>
          <w:sz w:val="32"/>
          <w:szCs w:val="32"/>
        </w:rPr>
      </w:pPr>
    </w:p>
    <w:p w14:paraId="663C4AD5" w14:textId="77777777" w:rsidR="009632C3" w:rsidRDefault="009632C3" w:rsidP="004320D5">
      <w:pPr>
        <w:jc w:val="center"/>
        <w:rPr>
          <w:rFonts w:ascii="Arial" w:hAnsi="Arial" w:cs="Arial"/>
          <w:sz w:val="32"/>
          <w:szCs w:val="32"/>
        </w:rPr>
      </w:pPr>
    </w:p>
    <w:p w14:paraId="1466C7E2" w14:textId="77777777" w:rsidR="009632C3" w:rsidRDefault="009632C3" w:rsidP="004320D5">
      <w:pPr>
        <w:jc w:val="center"/>
        <w:rPr>
          <w:rFonts w:ascii="Arial" w:hAnsi="Arial" w:cs="Arial"/>
          <w:sz w:val="32"/>
          <w:szCs w:val="32"/>
        </w:rPr>
      </w:pPr>
    </w:p>
    <w:p w14:paraId="42EBEE8B" w14:textId="77777777" w:rsidR="009632C3" w:rsidRDefault="009632C3" w:rsidP="004320D5">
      <w:pPr>
        <w:jc w:val="center"/>
        <w:rPr>
          <w:rFonts w:ascii="Arial" w:hAnsi="Arial" w:cs="Arial"/>
          <w:sz w:val="32"/>
          <w:szCs w:val="32"/>
        </w:rPr>
      </w:pPr>
    </w:p>
    <w:p w14:paraId="3F9FA5A0" w14:textId="4EDF2941" w:rsidR="009632C3" w:rsidRPr="009632C3" w:rsidRDefault="009632C3" w:rsidP="004320D5">
      <w:pPr>
        <w:jc w:val="center"/>
        <w:rPr>
          <w:rFonts w:ascii="Arial" w:hAnsi="Arial" w:cs="Arial"/>
          <w:sz w:val="28"/>
          <w:szCs w:val="28"/>
        </w:rPr>
      </w:pPr>
      <w:r w:rsidRPr="009632C3">
        <w:rPr>
          <w:rFonts w:ascii="Arial" w:hAnsi="Arial" w:cs="Arial"/>
          <w:sz w:val="28"/>
          <w:szCs w:val="28"/>
        </w:rPr>
        <w:t xml:space="preserve">SHERON AHMED </w:t>
      </w:r>
      <w:r w:rsidR="00DE48B0">
        <w:rPr>
          <w:rFonts w:ascii="Arial" w:hAnsi="Arial" w:cs="Arial"/>
          <w:sz w:val="28"/>
          <w:szCs w:val="28"/>
        </w:rPr>
        <w:t>(</w:t>
      </w:r>
      <w:r w:rsidRPr="009632C3">
        <w:rPr>
          <w:rFonts w:ascii="Arial" w:hAnsi="Arial" w:cs="Arial"/>
          <w:sz w:val="28"/>
          <w:szCs w:val="28"/>
        </w:rPr>
        <w:t>2117695</w:t>
      </w:r>
      <w:r w:rsidR="00DE48B0">
        <w:rPr>
          <w:rFonts w:ascii="Arial" w:hAnsi="Arial" w:cs="Arial"/>
          <w:sz w:val="28"/>
          <w:szCs w:val="28"/>
        </w:rPr>
        <w:t>)</w:t>
      </w:r>
    </w:p>
    <w:p w14:paraId="4B8B6B02" w14:textId="3E1EE694" w:rsidR="009632C3" w:rsidRDefault="009632C3" w:rsidP="004320D5">
      <w:pPr>
        <w:jc w:val="center"/>
        <w:rPr>
          <w:rFonts w:ascii="Arial" w:hAnsi="Arial" w:cs="Arial"/>
          <w:sz w:val="28"/>
          <w:szCs w:val="28"/>
        </w:rPr>
      </w:pPr>
      <w:r w:rsidRPr="009632C3">
        <w:rPr>
          <w:rFonts w:ascii="Arial" w:hAnsi="Arial" w:cs="Arial"/>
          <w:sz w:val="28"/>
          <w:szCs w:val="28"/>
        </w:rPr>
        <w:t>INTERNATIONAL MEETINGS MANAGEMENT FOR THE HOTEL INDUSTRY BMIH6007</w:t>
      </w:r>
    </w:p>
    <w:p w14:paraId="6DCE396C" w14:textId="72648E7C" w:rsidR="009632C3" w:rsidRDefault="009632C3" w:rsidP="004320D5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KATHRYN FLYNN</w:t>
      </w:r>
    </w:p>
    <w:p w14:paraId="73A745F0" w14:textId="77777777" w:rsidR="009632C3" w:rsidRDefault="009632C3" w:rsidP="004320D5">
      <w:pPr>
        <w:jc w:val="center"/>
        <w:rPr>
          <w:rFonts w:ascii="Arial" w:hAnsi="Arial" w:cs="Arial"/>
          <w:sz w:val="28"/>
          <w:szCs w:val="28"/>
        </w:rPr>
      </w:pPr>
    </w:p>
    <w:p w14:paraId="07711A88" w14:textId="77777777" w:rsidR="009632C3" w:rsidRDefault="009632C3" w:rsidP="009632C3">
      <w:pPr>
        <w:rPr>
          <w:rFonts w:ascii="Arial" w:hAnsi="Arial" w:cs="Arial"/>
          <w:sz w:val="28"/>
          <w:szCs w:val="28"/>
        </w:rPr>
      </w:pPr>
    </w:p>
    <w:p w14:paraId="1BBA6E54" w14:textId="77777777" w:rsidR="009632C3" w:rsidRDefault="009632C3" w:rsidP="009632C3">
      <w:pPr>
        <w:rPr>
          <w:rFonts w:ascii="Arial" w:hAnsi="Arial" w:cs="Arial"/>
          <w:sz w:val="28"/>
          <w:szCs w:val="28"/>
        </w:rPr>
      </w:pPr>
    </w:p>
    <w:p w14:paraId="330D5410" w14:textId="77777777" w:rsidR="009632C3" w:rsidRDefault="009632C3" w:rsidP="009632C3">
      <w:pPr>
        <w:rPr>
          <w:rFonts w:ascii="Arial" w:hAnsi="Arial" w:cs="Arial"/>
          <w:sz w:val="28"/>
          <w:szCs w:val="28"/>
        </w:rPr>
      </w:pPr>
    </w:p>
    <w:p w14:paraId="47F85835" w14:textId="77777777" w:rsidR="009632C3" w:rsidRDefault="009632C3" w:rsidP="009632C3">
      <w:pPr>
        <w:rPr>
          <w:rFonts w:ascii="Arial" w:hAnsi="Arial" w:cs="Arial"/>
          <w:sz w:val="28"/>
          <w:szCs w:val="28"/>
        </w:rPr>
      </w:pPr>
    </w:p>
    <w:p w14:paraId="0A5385CB" w14:textId="77777777" w:rsidR="009632C3" w:rsidRDefault="009632C3" w:rsidP="009632C3">
      <w:pPr>
        <w:rPr>
          <w:rFonts w:ascii="Arial" w:hAnsi="Arial" w:cs="Arial"/>
          <w:sz w:val="28"/>
          <w:szCs w:val="28"/>
        </w:rPr>
      </w:pPr>
    </w:p>
    <w:p w14:paraId="5E0D242C" w14:textId="77777777" w:rsidR="009632C3" w:rsidRDefault="009632C3" w:rsidP="009632C3">
      <w:pPr>
        <w:rPr>
          <w:rFonts w:ascii="Arial" w:hAnsi="Arial" w:cs="Arial"/>
          <w:sz w:val="28"/>
          <w:szCs w:val="28"/>
        </w:rPr>
      </w:pPr>
    </w:p>
    <w:p w14:paraId="403D4F68" w14:textId="77777777" w:rsidR="009632C3" w:rsidRDefault="009632C3" w:rsidP="009632C3">
      <w:pPr>
        <w:rPr>
          <w:rFonts w:ascii="Arial" w:hAnsi="Arial" w:cs="Arial"/>
          <w:sz w:val="28"/>
          <w:szCs w:val="28"/>
        </w:rPr>
      </w:pPr>
    </w:p>
    <w:p w14:paraId="4EAB9EFD" w14:textId="77777777" w:rsidR="009632C3" w:rsidRDefault="009632C3" w:rsidP="009632C3">
      <w:pPr>
        <w:rPr>
          <w:rFonts w:ascii="Arial" w:hAnsi="Arial" w:cs="Arial"/>
          <w:sz w:val="28"/>
          <w:szCs w:val="28"/>
        </w:rPr>
      </w:pPr>
    </w:p>
    <w:p w14:paraId="6116AF3B" w14:textId="77777777" w:rsidR="009632C3" w:rsidRDefault="009632C3" w:rsidP="009632C3">
      <w:pPr>
        <w:rPr>
          <w:rFonts w:ascii="Arial" w:hAnsi="Arial" w:cs="Arial"/>
          <w:sz w:val="28"/>
          <w:szCs w:val="28"/>
        </w:rPr>
      </w:pPr>
    </w:p>
    <w:p w14:paraId="356F0109" w14:textId="77777777" w:rsidR="009632C3" w:rsidRDefault="009632C3" w:rsidP="009632C3">
      <w:pPr>
        <w:rPr>
          <w:rFonts w:ascii="Arial" w:hAnsi="Arial" w:cs="Arial"/>
          <w:sz w:val="28"/>
          <w:szCs w:val="28"/>
        </w:rPr>
      </w:pPr>
    </w:p>
    <w:p w14:paraId="2D7D4437" w14:textId="77777777" w:rsidR="009632C3" w:rsidRDefault="009632C3" w:rsidP="009632C3">
      <w:pPr>
        <w:rPr>
          <w:rFonts w:ascii="Arial" w:hAnsi="Arial" w:cs="Arial"/>
          <w:sz w:val="28"/>
          <w:szCs w:val="28"/>
        </w:rPr>
      </w:pPr>
    </w:p>
    <w:p w14:paraId="67235DA1" w14:textId="77777777" w:rsidR="009632C3" w:rsidRDefault="009632C3" w:rsidP="009632C3">
      <w:pPr>
        <w:rPr>
          <w:rFonts w:ascii="Arial" w:hAnsi="Arial" w:cs="Arial"/>
          <w:sz w:val="28"/>
          <w:szCs w:val="28"/>
        </w:rPr>
      </w:pPr>
    </w:p>
    <w:p w14:paraId="73134581" w14:textId="34659CFE" w:rsidR="009632C3" w:rsidRDefault="00230083" w:rsidP="009E6B48">
      <w:pPr>
        <w:jc w:val="center"/>
        <w:rPr>
          <w:rFonts w:ascii="Arial" w:hAnsi="Arial" w:cs="Arial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3944906B" wp14:editId="09D69AD3">
            <wp:extent cx="3627120" cy="2040205"/>
            <wp:effectExtent l="0" t="0" r="0" b="0"/>
            <wp:docPr id="54933089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9330890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42833" cy="20490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E42801" w14:textId="2A0F8802" w:rsidR="00230083" w:rsidRDefault="008A357D" w:rsidP="009E6B48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491E9B5C" wp14:editId="281994A8">
            <wp:extent cx="3566160" cy="2005756"/>
            <wp:effectExtent l="0" t="0" r="0" b="0"/>
            <wp:docPr id="12941111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8618" cy="202401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D412AF3" w14:textId="0C67291A" w:rsidR="008A357D" w:rsidRDefault="004D2ECC" w:rsidP="009E6B48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6BBE5463" wp14:editId="50F20A64">
            <wp:extent cx="3634740" cy="2044328"/>
            <wp:effectExtent l="0" t="0" r="3810" b="0"/>
            <wp:docPr id="164757034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8813" cy="205786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118012E" w14:textId="487C9399" w:rsidR="004D2ECC" w:rsidRDefault="00515D16" w:rsidP="009E6B48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57DF389C" wp14:editId="06607D3B">
            <wp:extent cx="3752818" cy="2110740"/>
            <wp:effectExtent l="0" t="0" r="635" b="3810"/>
            <wp:docPr id="99624515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1093" cy="211539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1CED224" w14:textId="1AC46E2A" w:rsidR="00515D16" w:rsidRDefault="001645AF" w:rsidP="009E6B48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lastRenderedPageBreak/>
        <w:drawing>
          <wp:inline distT="0" distB="0" distL="0" distR="0" wp14:anchorId="73D7DB33" wp14:editId="2615EC23">
            <wp:extent cx="4023360" cy="2262904"/>
            <wp:effectExtent l="0" t="0" r="0" b="4445"/>
            <wp:docPr id="69588207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40435" cy="227250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D8BC51D" w14:textId="5EB57E86" w:rsidR="001645AF" w:rsidRDefault="00CA262B" w:rsidP="009E6B48">
      <w:pPr>
        <w:jc w:val="center"/>
        <w:rPr>
          <w:rFonts w:ascii="Arial" w:hAnsi="Arial" w:cs="Arial"/>
          <w:sz w:val="28"/>
          <w:szCs w:val="28"/>
        </w:rPr>
      </w:pPr>
      <w:r>
        <w:rPr>
          <w:noProof/>
        </w:rPr>
        <w:drawing>
          <wp:inline distT="0" distB="0" distL="0" distR="0" wp14:anchorId="73C3B351" wp14:editId="0F9248A5">
            <wp:extent cx="3820258" cy="2148840"/>
            <wp:effectExtent l="0" t="0" r="8890" b="3810"/>
            <wp:docPr id="173669512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6695125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7534" cy="21529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41D948" w14:textId="0CCFB6C6" w:rsidR="00C82753" w:rsidRDefault="00C82753" w:rsidP="009E6B48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2817ABDF" wp14:editId="321069C1">
            <wp:extent cx="3855720" cy="2168617"/>
            <wp:effectExtent l="0" t="0" r="0" b="3175"/>
            <wp:docPr id="222881323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85812" cy="2185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E86524E" w14:textId="4F020A4F" w:rsidR="00C82753" w:rsidRDefault="00E5518F" w:rsidP="009E6B48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A314A91" wp14:editId="1EF0D5B0">
            <wp:extent cx="3387014" cy="1905000"/>
            <wp:effectExtent l="0" t="0" r="4445" b="0"/>
            <wp:docPr id="117599528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62351" cy="194737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B6FE6AA" w14:textId="7A6274E9" w:rsidR="00E5518F" w:rsidRDefault="007B1F83" w:rsidP="009E6B48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lastRenderedPageBreak/>
        <w:drawing>
          <wp:inline distT="0" distB="0" distL="0" distR="0" wp14:anchorId="177AB0C3" wp14:editId="129F5ABD">
            <wp:extent cx="4335386" cy="2438400"/>
            <wp:effectExtent l="0" t="0" r="8255" b="0"/>
            <wp:docPr id="194328278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1511" cy="245309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27B11AC" w14:textId="77777777" w:rsidR="007B1F83" w:rsidRDefault="007B1F83" w:rsidP="009E6B48">
      <w:pPr>
        <w:jc w:val="center"/>
        <w:rPr>
          <w:rFonts w:ascii="Arial" w:hAnsi="Arial" w:cs="Arial"/>
          <w:sz w:val="28"/>
          <w:szCs w:val="28"/>
        </w:rPr>
      </w:pPr>
    </w:p>
    <w:p w14:paraId="6E3773C8" w14:textId="7F8A7B6C" w:rsidR="009632C3" w:rsidRDefault="009342C7" w:rsidP="009E6B48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4CAE4DDE" wp14:editId="1ADFB13E">
            <wp:extent cx="4985690" cy="2804160"/>
            <wp:effectExtent l="0" t="0" r="5715" b="0"/>
            <wp:docPr id="477931048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4508" cy="284286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AC1958E" w14:textId="77777777" w:rsidR="00D97003" w:rsidRDefault="00D97003" w:rsidP="00D97003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5B5A2C24" wp14:editId="178EF535">
            <wp:extent cx="4931499" cy="2773680"/>
            <wp:effectExtent l="0" t="0" r="2540" b="7620"/>
            <wp:docPr id="507184126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7298" cy="278256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8C8BE31" w14:textId="6DA7FD6C" w:rsidR="00D56E31" w:rsidRPr="00D97003" w:rsidRDefault="005531BA" w:rsidP="00D97003">
      <w:pPr>
        <w:rPr>
          <w:rFonts w:ascii="Arial" w:hAnsi="Arial" w:cs="Arial"/>
          <w:sz w:val="28"/>
          <w:szCs w:val="28"/>
        </w:rPr>
      </w:pPr>
      <w:r w:rsidRPr="005531BA">
        <w:rPr>
          <w:rFonts w:ascii="Arial" w:eastAsia="+mn-ea" w:hAnsi="Arial" w:cs="+mn-cs"/>
          <w:b/>
          <w:bCs/>
          <w:color w:val="222222"/>
          <w:kern w:val="24"/>
          <w:sz w:val="24"/>
          <w:szCs w:val="24"/>
          <w:u w:val="single"/>
          <w:lang w:eastAsia="en-GB"/>
          <w14:ligatures w14:val="none"/>
        </w:rPr>
        <w:lastRenderedPageBreak/>
        <w:t>Recording link:</w:t>
      </w:r>
      <w:r w:rsidR="00213B4D">
        <w:rPr>
          <w:rFonts w:ascii="Arial" w:eastAsia="+mn-ea" w:hAnsi="Arial" w:cs="+mn-cs"/>
          <w:b/>
          <w:bCs/>
          <w:color w:val="222222"/>
          <w:kern w:val="24"/>
          <w:sz w:val="24"/>
          <w:szCs w:val="24"/>
          <w:u w:val="single"/>
          <w:lang w:eastAsia="en-GB"/>
          <w14:ligatures w14:val="none"/>
        </w:rPr>
        <w:t xml:space="preserve"> </w:t>
      </w:r>
      <w:r w:rsidR="00397B5D">
        <w:rPr>
          <w:rFonts w:ascii="Arial" w:eastAsia="+mn-ea" w:hAnsi="Arial" w:cs="+mn-cs"/>
          <w:b/>
          <w:bCs/>
          <w:color w:val="222222"/>
          <w:kern w:val="24"/>
          <w:sz w:val="24"/>
          <w:szCs w:val="24"/>
          <w:u w:val="single"/>
          <w:lang w:eastAsia="en-GB"/>
          <w14:ligatures w14:val="none"/>
        </w:rPr>
        <w:t xml:space="preserve">  </w:t>
      </w:r>
    </w:p>
    <w:p w14:paraId="25D1F847" w14:textId="557B9F95" w:rsidR="005531BA" w:rsidRPr="00BE2B21" w:rsidRDefault="00475F83" w:rsidP="00D56E31">
      <w:pPr>
        <w:spacing w:after="0" w:line="360" w:lineRule="auto"/>
        <w:jc w:val="both"/>
        <w:rPr>
          <w:rFonts w:ascii="Arial" w:eastAsia="+mn-ea" w:hAnsi="Arial" w:cs="+mn-cs"/>
          <w:color w:val="222222"/>
          <w:kern w:val="24"/>
          <w:sz w:val="24"/>
          <w:szCs w:val="24"/>
          <w:lang w:eastAsia="en-GB"/>
          <w14:ligatures w14:val="none"/>
        </w:rPr>
      </w:pPr>
      <w:hyperlink r:id="rId17" w:history="1">
        <w:r w:rsidRPr="009D7530">
          <w:rPr>
            <w:rStyle w:val="Hyperlink"/>
            <w:rFonts w:ascii="Arial" w:eastAsia="+mn-ea" w:hAnsi="Arial" w:cs="+mn-cs"/>
            <w:kern w:val="24"/>
            <w:sz w:val="24"/>
            <w:szCs w:val="24"/>
            <w:lang w:eastAsia="en-GB"/>
            <w14:ligatures w14:val="none"/>
          </w:rPr>
          <w:t>https://uowtsd-my.sharepoint.com/:v:/g/personal/2117695_student_uwtsd_ac_uk/EXnMirJjcFxLpt5F7qWUE-oBXp0HiChs7CDj7MT_DVu9rA?referrer=Teams.TEAMS-ELECTRON&amp;referrerScenario=MeetingChicletGetLink.view.view</w:t>
        </w:r>
      </w:hyperlink>
      <w:r>
        <w:rPr>
          <w:rFonts w:ascii="Arial" w:eastAsia="+mn-ea" w:hAnsi="Arial" w:cs="+mn-cs"/>
          <w:color w:val="222222"/>
          <w:kern w:val="24"/>
          <w:sz w:val="24"/>
          <w:szCs w:val="24"/>
          <w:lang w:eastAsia="en-GB"/>
          <w14:ligatures w14:val="none"/>
        </w:rPr>
        <w:t xml:space="preserve"> </w:t>
      </w:r>
    </w:p>
    <w:p w14:paraId="2D005C1D" w14:textId="06282AE9" w:rsidR="00D56E31" w:rsidRDefault="00277AA4" w:rsidP="00D56E31">
      <w:pPr>
        <w:spacing w:after="0" w:line="360" w:lineRule="auto"/>
        <w:jc w:val="both"/>
        <w:rPr>
          <w:rFonts w:ascii="Arial" w:eastAsia="+mn-ea" w:hAnsi="Arial" w:cs="+mn-cs"/>
          <w:b/>
          <w:bCs/>
          <w:color w:val="222222"/>
          <w:kern w:val="24"/>
          <w:sz w:val="24"/>
          <w:szCs w:val="24"/>
          <w:u w:val="single"/>
          <w:lang w:eastAsia="en-GB"/>
          <w14:ligatures w14:val="none"/>
        </w:rPr>
      </w:pPr>
      <w:r w:rsidRPr="00277AA4">
        <w:rPr>
          <w:rFonts w:ascii="Arial" w:eastAsia="+mn-ea" w:hAnsi="Arial" w:cs="+mn-cs"/>
          <w:b/>
          <w:bCs/>
          <w:color w:val="222222"/>
          <w:kern w:val="24"/>
          <w:sz w:val="24"/>
          <w:szCs w:val="24"/>
          <w:u w:val="single"/>
          <w:lang w:eastAsia="en-GB"/>
          <w14:ligatures w14:val="none"/>
        </w:rPr>
        <w:t>References:</w:t>
      </w:r>
    </w:p>
    <w:p w14:paraId="34256700" w14:textId="77777777" w:rsidR="00A20F2D" w:rsidRPr="00A20F2D" w:rsidRDefault="00A20F2D" w:rsidP="00A20F2D">
      <w:pPr>
        <w:spacing w:after="0" w:line="408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Adobe Experience Cloud, (2024) </w:t>
      </w:r>
      <w:r w:rsidRPr="00A20F2D">
        <w:rPr>
          <w:rFonts w:ascii="Arial" w:eastAsiaTheme="minorEastAsia" w:hAnsi="Arial"/>
          <w:i/>
          <w:iCs/>
          <w:color w:val="222222"/>
          <w:kern w:val="24"/>
          <w:lang w:eastAsia="en-GB"/>
          <w14:ligatures w14:val="none"/>
        </w:rPr>
        <w:t>The definitive guide to marketing operations (</w:t>
      </w:r>
      <w:proofErr w:type="spellStart"/>
      <w:r w:rsidRPr="00A20F2D">
        <w:rPr>
          <w:rFonts w:ascii="Arial" w:eastAsiaTheme="minorEastAsia" w:hAnsi="Arial"/>
          <w:i/>
          <w:iCs/>
          <w:color w:val="222222"/>
          <w:kern w:val="24"/>
          <w:lang w:eastAsia="en-GB"/>
          <w14:ligatures w14:val="none"/>
        </w:rPr>
        <w:t>MOps</w:t>
      </w:r>
      <w:proofErr w:type="spellEnd"/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). Available at: </w:t>
      </w:r>
      <w:hyperlink r:id="rId18" w:history="1">
        <w:r w:rsidRPr="00A20F2D">
          <w:rPr>
            <w:rFonts w:ascii="Arial" w:eastAsiaTheme="minorEastAsia" w:hAnsi="Arial"/>
            <w:color w:val="222222"/>
            <w:kern w:val="24"/>
            <w:u w:val="single"/>
            <w:lang w:eastAsia="en-GB"/>
            <w14:ligatures w14:val="none"/>
          </w:rPr>
          <w:t>https://business.adobe.com/blog/basics/definitive-guide-to-marketing-operations-mops</w:t>
        </w:r>
      </w:hyperlink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 (Accessed: 04 Feb 2024)</w:t>
      </w:r>
    </w:p>
    <w:p w14:paraId="19ED2A78" w14:textId="77777777" w:rsidR="00A20F2D" w:rsidRPr="00A20F2D" w:rsidRDefault="00A20F2D" w:rsidP="00A20F2D">
      <w:pPr>
        <w:spacing w:after="0" w:line="408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Alexander, J., (2018). </w:t>
      </w:r>
      <w:r w:rsidRPr="00A20F2D">
        <w:rPr>
          <w:rFonts w:ascii="Arial" w:eastAsiaTheme="minorEastAsia" w:hAnsi="Arial"/>
          <w:i/>
          <w:iCs/>
          <w:color w:val="222222"/>
          <w:kern w:val="24"/>
          <w:lang w:eastAsia="en-GB"/>
          <w14:ligatures w14:val="none"/>
        </w:rPr>
        <w:t>Financial planning &amp; analysis and performance management</w:t>
      </w:r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. John Wiley &amp; Sons</w:t>
      </w:r>
    </w:p>
    <w:p w14:paraId="3A82EB4D" w14:textId="77777777" w:rsidR="00A20F2D" w:rsidRPr="00A20F2D" w:rsidRDefault="00A20F2D" w:rsidP="00A20F2D">
      <w:pPr>
        <w:spacing w:after="0" w:line="408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Bhatt, S., Manadhata, P.K. and </w:t>
      </w:r>
      <w:proofErr w:type="spellStart"/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Zomlot</w:t>
      </w:r>
      <w:proofErr w:type="spellEnd"/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, L., (2014). The operational role of security information and event management systems. </w:t>
      </w:r>
      <w:r w:rsidRPr="00A20F2D">
        <w:rPr>
          <w:rFonts w:ascii="Arial" w:eastAsiaTheme="minorEastAsia" w:hAnsi="Arial"/>
          <w:i/>
          <w:iCs/>
          <w:color w:val="222222"/>
          <w:kern w:val="24"/>
          <w:lang w:eastAsia="en-GB"/>
          <w14:ligatures w14:val="none"/>
        </w:rPr>
        <w:t>IEEE security &amp; Privacy</w:t>
      </w:r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, </w:t>
      </w:r>
      <w:r w:rsidRPr="00A20F2D">
        <w:rPr>
          <w:rFonts w:ascii="Arial" w:eastAsiaTheme="minorEastAsia" w:hAnsi="Arial"/>
          <w:i/>
          <w:iCs/>
          <w:color w:val="222222"/>
          <w:kern w:val="24"/>
          <w:lang w:eastAsia="en-GB"/>
          <w14:ligatures w14:val="none"/>
        </w:rPr>
        <w:t>12</w:t>
      </w:r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(5), pp.35-41</w:t>
      </w:r>
    </w:p>
    <w:p w14:paraId="4B89BB2B" w14:textId="77777777" w:rsidR="00A20F2D" w:rsidRPr="00A20F2D" w:rsidRDefault="00A20F2D" w:rsidP="00A20F2D">
      <w:pPr>
        <w:spacing w:after="0" w:line="408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Bladen, C., Kennell, J., Abson, E. and Wilde, N., (2022) </w:t>
      </w:r>
      <w:r w:rsidRPr="00A20F2D">
        <w:rPr>
          <w:rFonts w:ascii="Arial" w:eastAsiaTheme="minorEastAsia" w:hAnsi="Arial"/>
          <w:i/>
          <w:iCs/>
          <w:color w:val="222222"/>
          <w:kern w:val="24"/>
          <w:lang w:eastAsia="en-GB"/>
          <w14:ligatures w14:val="none"/>
        </w:rPr>
        <w:t>Events management: An introduction</w:t>
      </w:r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. Taylor &amp; Francis.</w:t>
      </w:r>
    </w:p>
    <w:p w14:paraId="7DDE446C" w14:textId="77777777" w:rsidR="00A20F2D" w:rsidRPr="00A20F2D" w:rsidRDefault="00A20F2D" w:rsidP="00A20F2D">
      <w:pPr>
        <w:spacing w:after="0" w:line="408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Bowdin, G., Allen, J., Harris, R., McDonnell, I. and </w:t>
      </w:r>
      <w:proofErr w:type="spellStart"/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O'toole</w:t>
      </w:r>
      <w:proofErr w:type="spellEnd"/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, W., (2012). </w:t>
      </w:r>
      <w:r w:rsidRPr="00A20F2D">
        <w:rPr>
          <w:rFonts w:ascii="Arial" w:eastAsiaTheme="minorEastAsia" w:hAnsi="Arial"/>
          <w:i/>
          <w:iCs/>
          <w:color w:val="222222"/>
          <w:kern w:val="24"/>
          <w:lang w:eastAsia="en-GB"/>
          <w14:ligatures w14:val="none"/>
        </w:rPr>
        <w:t>Events management</w:t>
      </w:r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. Routledge. </w:t>
      </w:r>
    </w:p>
    <w:p w14:paraId="52F3E156" w14:textId="77777777" w:rsidR="00A20F2D" w:rsidRPr="00A20F2D" w:rsidRDefault="00A20F2D" w:rsidP="00A20F2D">
      <w:pPr>
        <w:spacing w:after="0" w:line="408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F2D">
        <w:rPr>
          <w:rFonts w:ascii="Arial" w:eastAsiaTheme="minorEastAsia" w:hAnsi="Arial" w:cs="Arial"/>
          <w:color w:val="000000" w:themeColor="text1"/>
          <w:kern w:val="24"/>
          <w:lang w:eastAsia="en-GB"/>
          <w14:ligatures w14:val="none"/>
        </w:rPr>
        <w:t>Carlsen, J. and Andersson, T.D., (2011). Strategic SWOT analysis of public, private and not-for-profit festival organisations. </w:t>
      </w:r>
      <w:r w:rsidRPr="00A20F2D">
        <w:rPr>
          <w:rFonts w:ascii="Arial" w:eastAsiaTheme="minorEastAsia" w:hAnsi="Arial" w:cs="Arial"/>
          <w:i/>
          <w:iCs/>
          <w:color w:val="000000" w:themeColor="text1"/>
          <w:kern w:val="24"/>
          <w:lang w:eastAsia="en-GB"/>
          <w14:ligatures w14:val="none"/>
        </w:rPr>
        <w:t>International Journal of Event and Festival Management, </w:t>
      </w:r>
      <w:r w:rsidRPr="00A20F2D">
        <w:rPr>
          <w:rFonts w:ascii="Arial" w:eastAsiaTheme="minorEastAsia" w:hAnsi="Arial" w:cs="Arial"/>
          <w:b/>
          <w:bCs/>
          <w:color w:val="000000" w:themeColor="text1"/>
          <w:kern w:val="24"/>
          <w:lang w:eastAsia="en-GB"/>
          <w14:ligatures w14:val="none"/>
        </w:rPr>
        <w:t>2</w:t>
      </w:r>
      <w:r w:rsidRPr="00A20F2D">
        <w:rPr>
          <w:rFonts w:ascii="Arial" w:eastAsiaTheme="minorEastAsia" w:hAnsi="Arial" w:cs="Arial"/>
          <w:color w:val="000000" w:themeColor="text1"/>
          <w:kern w:val="24"/>
          <w:lang w:eastAsia="en-GB"/>
          <w14:ligatures w14:val="none"/>
        </w:rPr>
        <w:t>(1), pp. 83-97</w:t>
      </w:r>
    </w:p>
    <w:p w14:paraId="7118950D" w14:textId="77777777" w:rsidR="00A20F2D" w:rsidRPr="00A20F2D" w:rsidRDefault="00A20F2D" w:rsidP="00A20F2D">
      <w:pPr>
        <w:spacing w:after="0" w:line="408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F2D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 xml:space="preserve">Carmarthenshire County Council, (2023) </w:t>
      </w:r>
      <w:r w:rsidRPr="00A20F2D">
        <w:rPr>
          <w:rFonts w:ascii="Arial" w:eastAsiaTheme="minorEastAsia" w:hAnsi="Arial" w:cs="Arial"/>
          <w:i/>
          <w:iCs/>
          <w:color w:val="000000"/>
          <w:kern w:val="24"/>
          <w:lang w:eastAsia="en-GB"/>
          <w14:ligatures w14:val="none"/>
        </w:rPr>
        <w:t xml:space="preserve">Establishing aims and objectives. </w:t>
      </w:r>
      <w:r w:rsidRPr="00A20F2D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 xml:space="preserve">Available at: </w:t>
      </w:r>
      <w:hyperlink r:id="rId19" w:history="1">
        <w:r w:rsidRPr="00A20F2D">
          <w:rPr>
            <w:rFonts w:ascii="Arial" w:eastAsiaTheme="minorEastAsia" w:hAnsi="Arial" w:cs="Arial"/>
            <w:color w:val="000000"/>
            <w:kern w:val="24"/>
            <w:u w:val="single"/>
            <w:lang w:eastAsia="en-GB"/>
            <w14:ligatures w14:val="none"/>
          </w:rPr>
          <w:t>https://www.carmarthenshire.gov.wales/home/business/organising-events/community-toolkit/establishing-aims-and-objectives/#:~:text=Aims%20relate%20to%20the%20overall,facilitate%20event%20delivery%20and%20evaluation</w:t>
        </w:r>
      </w:hyperlink>
      <w:r w:rsidRPr="00A20F2D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>. (Accessed: 02 Feb 2024)</w:t>
      </w:r>
    </w:p>
    <w:p w14:paraId="571B1ABE" w14:textId="77777777" w:rsidR="00A20F2D" w:rsidRPr="00A20F2D" w:rsidRDefault="00A20F2D" w:rsidP="00A20F2D">
      <w:pPr>
        <w:spacing w:after="0" w:line="408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CPD Online College, (2024) </w:t>
      </w:r>
      <w:r w:rsidRPr="00A20F2D">
        <w:rPr>
          <w:rFonts w:ascii="Arial" w:eastAsiaTheme="minorEastAsia" w:hAnsi="Arial"/>
          <w:i/>
          <w:iCs/>
          <w:color w:val="222222"/>
          <w:kern w:val="24"/>
          <w:lang w:eastAsia="en-GB"/>
          <w14:ligatures w14:val="none"/>
        </w:rPr>
        <w:t xml:space="preserve">Setting up an Event Planning Business. </w:t>
      </w:r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Available at: </w:t>
      </w:r>
      <w:hyperlink r:id="rId20" w:history="1">
        <w:r w:rsidRPr="00A20F2D">
          <w:rPr>
            <w:rFonts w:ascii="Arial" w:eastAsiaTheme="minorEastAsia" w:hAnsi="Arial"/>
            <w:color w:val="222222"/>
            <w:kern w:val="24"/>
            <w:u w:val="single"/>
            <w:lang w:eastAsia="en-GB"/>
            <w14:ligatures w14:val="none"/>
          </w:rPr>
          <w:t>https://cpdonline.co.uk/business-guides/setting-up-event-planning/</w:t>
        </w:r>
      </w:hyperlink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 (Accessed: 04 Feb 2024)</w:t>
      </w:r>
    </w:p>
    <w:p w14:paraId="45DDD127" w14:textId="77777777" w:rsidR="00A20F2D" w:rsidRPr="00A20F2D" w:rsidRDefault="00A20F2D" w:rsidP="00A20F2D">
      <w:pPr>
        <w:spacing w:after="0" w:line="408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CTMfile</w:t>
      </w:r>
      <w:proofErr w:type="spellEnd"/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, (2022) </w:t>
      </w:r>
      <w:r w:rsidRPr="00A20F2D">
        <w:rPr>
          <w:rFonts w:ascii="Arial" w:eastAsiaTheme="minorEastAsia" w:hAnsi="Arial"/>
          <w:i/>
          <w:iCs/>
          <w:color w:val="222222"/>
          <w:kern w:val="24"/>
          <w:lang w:eastAsia="en-GB"/>
          <w14:ligatures w14:val="none"/>
        </w:rPr>
        <w:t xml:space="preserve">Financial Risk Management </w:t>
      </w:r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Available at: </w:t>
      </w:r>
      <w:hyperlink r:id="rId21" w:history="1">
        <w:r w:rsidRPr="00A20F2D">
          <w:rPr>
            <w:rFonts w:ascii="Arial" w:eastAsiaTheme="minorEastAsia" w:hAnsi="Arial"/>
            <w:color w:val="222222"/>
            <w:kern w:val="24"/>
            <w:u w:val="single"/>
            <w:lang w:eastAsia="en-GB"/>
            <w14:ligatures w14:val="none"/>
          </w:rPr>
          <w:t>https://ctmfile.com/sections/background/financial-risk-management</w:t>
        </w:r>
      </w:hyperlink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 (Accessed 03 Feb 2024)</w:t>
      </w:r>
    </w:p>
    <w:p w14:paraId="69AD8EBF" w14:textId="77777777" w:rsidR="00A20F2D" w:rsidRPr="00A20F2D" w:rsidRDefault="00A20F2D" w:rsidP="00A20F2D">
      <w:pPr>
        <w:spacing w:after="0" w:line="408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DetorresGroup</w:t>
      </w:r>
      <w:proofErr w:type="spellEnd"/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, (2020) How to Integrate Risk Management in B2B Lead Generation Initiatives Available at: </w:t>
      </w:r>
      <w:hyperlink r:id="rId22" w:history="1">
        <w:r w:rsidRPr="00A20F2D">
          <w:rPr>
            <w:rFonts w:ascii="Arial" w:eastAsiaTheme="minorEastAsia" w:hAnsi="Arial"/>
            <w:color w:val="222222"/>
            <w:kern w:val="24"/>
            <w:u w:val="single"/>
            <w:lang w:eastAsia="en-GB"/>
            <w14:ligatures w14:val="none"/>
          </w:rPr>
          <w:t>https://detorresgroup.com/how-to-integrate-risk-management-in-your-b2b-lead-generation-plan/</w:t>
        </w:r>
      </w:hyperlink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 (Accessed 04 Feb 2024)</w:t>
      </w:r>
    </w:p>
    <w:p w14:paraId="424A1D76" w14:textId="77777777" w:rsidR="00A20F2D" w:rsidRPr="00A20F2D" w:rsidRDefault="00A20F2D" w:rsidP="00A20F2D">
      <w:pPr>
        <w:spacing w:after="0" w:line="408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A20F2D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lastRenderedPageBreak/>
        <w:t>EventBrite</w:t>
      </w:r>
      <w:proofErr w:type="spellEnd"/>
      <w:r w:rsidRPr="00A20F2D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 xml:space="preserve">, (2024) </w:t>
      </w:r>
      <w:r w:rsidRPr="00A20F2D">
        <w:rPr>
          <w:rFonts w:ascii="Arial" w:eastAsiaTheme="minorEastAsia" w:hAnsi="Arial" w:cs="Arial"/>
          <w:i/>
          <w:iCs/>
          <w:color w:val="000000"/>
          <w:kern w:val="24"/>
          <w:lang w:eastAsia="en-GB"/>
          <w14:ligatures w14:val="none"/>
        </w:rPr>
        <w:t xml:space="preserve">Event Proposal Template: How </w:t>
      </w:r>
      <w:proofErr w:type="gramStart"/>
      <w:r w:rsidRPr="00A20F2D">
        <w:rPr>
          <w:rFonts w:ascii="Arial" w:eastAsiaTheme="minorEastAsia" w:hAnsi="Arial" w:cs="Arial"/>
          <w:i/>
          <w:iCs/>
          <w:color w:val="000000"/>
          <w:kern w:val="24"/>
          <w:lang w:eastAsia="en-GB"/>
          <w14:ligatures w14:val="none"/>
        </w:rPr>
        <w:t>To</w:t>
      </w:r>
      <w:proofErr w:type="gramEnd"/>
      <w:r w:rsidRPr="00A20F2D">
        <w:rPr>
          <w:rFonts w:ascii="Arial" w:eastAsiaTheme="minorEastAsia" w:hAnsi="Arial" w:cs="Arial"/>
          <w:i/>
          <w:iCs/>
          <w:color w:val="000000"/>
          <w:kern w:val="24"/>
          <w:lang w:eastAsia="en-GB"/>
          <w14:ligatures w14:val="none"/>
        </w:rPr>
        <w:t xml:space="preserve"> Create A Great Proposal</w:t>
      </w:r>
      <w:r w:rsidRPr="00A20F2D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 xml:space="preserve"> Available at: </w:t>
      </w:r>
      <w:hyperlink r:id="rId23" w:history="1">
        <w:r w:rsidRPr="00A20F2D">
          <w:rPr>
            <w:rFonts w:ascii="Arial" w:eastAsiaTheme="minorEastAsia" w:hAnsi="Arial" w:cs="Arial"/>
            <w:color w:val="000000"/>
            <w:kern w:val="24"/>
            <w:u w:val="single"/>
            <w:lang w:eastAsia="en-GB"/>
            <w14:ligatures w14:val="none"/>
          </w:rPr>
          <w:t>https://www.eventbrite.co.uk/blog/how-to-write-an-event-proposal-ds00/</w:t>
        </w:r>
      </w:hyperlink>
      <w:r w:rsidRPr="00A20F2D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 xml:space="preserve"> </w:t>
      </w:r>
    </w:p>
    <w:p w14:paraId="30591D2C" w14:textId="77777777" w:rsidR="00A20F2D" w:rsidRPr="00A20F2D" w:rsidRDefault="00A20F2D" w:rsidP="00A20F2D">
      <w:pPr>
        <w:spacing w:after="0" w:line="408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F2D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 xml:space="preserve">(Accessed: 03 Feb 2024) </w:t>
      </w:r>
    </w:p>
    <w:p w14:paraId="65C0EAA3" w14:textId="77777777" w:rsidR="00A20F2D" w:rsidRPr="00A20F2D" w:rsidRDefault="00A20F2D" w:rsidP="00A20F2D">
      <w:pPr>
        <w:spacing w:after="0" w:line="408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F2D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>Foresight Performance, (2024</w:t>
      </w:r>
      <w:r w:rsidRPr="00A20F2D">
        <w:rPr>
          <w:rFonts w:ascii="Arial" w:eastAsiaTheme="minorEastAsia" w:hAnsi="Arial" w:cs="Arial"/>
          <w:i/>
          <w:iCs/>
          <w:color w:val="000000"/>
          <w:kern w:val="24"/>
          <w:lang w:eastAsia="en-GB"/>
          <w14:ligatures w14:val="none"/>
        </w:rPr>
        <w:t xml:space="preserve">)  Marketing Strategy </w:t>
      </w:r>
      <w:r w:rsidRPr="00A20F2D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 xml:space="preserve">Available at: </w:t>
      </w:r>
      <w:hyperlink r:id="rId24" w:history="1">
        <w:r w:rsidRPr="00A20F2D">
          <w:rPr>
            <w:rFonts w:ascii="Arial" w:eastAsiaTheme="minorEastAsia" w:hAnsi="Arial" w:cs="Arial"/>
            <w:color w:val="000000"/>
            <w:kern w:val="24"/>
            <w:u w:val="single"/>
            <w:lang w:eastAsia="en-GB"/>
            <w14:ligatures w14:val="none"/>
          </w:rPr>
          <w:t>https://foresightperformance.com/marketing-strategy/</w:t>
        </w:r>
      </w:hyperlink>
      <w:r w:rsidRPr="00A20F2D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 xml:space="preserve"> (Accessed: 03 Feb 2024)</w:t>
      </w:r>
    </w:p>
    <w:p w14:paraId="34F65E42" w14:textId="77777777" w:rsidR="00A20F2D" w:rsidRPr="00A20F2D" w:rsidRDefault="00A20F2D" w:rsidP="00A20F2D">
      <w:pPr>
        <w:spacing w:after="0" w:line="408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A20F2D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>Gladesmore</w:t>
      </w:r>
      <w:proofErr w:type="spellEnd"/>
      <w:r w:rsidRPr="00A20F2D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 xml:space="preserve"> sports centre, (2024) Available at: </w:t>
      </w:r>
      <w:hyperlink r:id="rId25" w:history="1">
        <w:r w:rsidRPr="00A20F2D">
          <w:rPr>
            <w:rFonts w:ascii="Arial" w:eastAsiaTheme="minorEastAsia" w:hAnsi="Arial" w:cs="Arial"/>
            <w:color w:val="000000"/>
            <w:kern w:val="24"/>
            <w:u w:val="single"/>
            <w:lang w:eastAsia="en-GB"/>
            <w14:ligatures w14:val="none"/>
          </w:rPr>
          <w:t>https://www.google.com/maps/place/Gladesmore+Sports+Centre/@51.5837552-0.0707317,15.02z/data=!4m6!3m5!1s0x48761c3f4a7f91fd:0x68929771a0fb04ba!8m2!3d51.5808672!4d-0.066833!16s%2Fg%2F1hc2p65y_?entry=ttu</w:t>
        </w:r>
      </w:hyperlink>
      <w:r w:rsidRPr="00A20F2D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 xml:space="preserve"> (Accessed: 01 Feb 2024)</w:t>
      </w:r>
    </w:p>
    <w:p w14:paraId="6A8AEB28" w14:textId="77777777" w:rsidR="00A20F2D" w:rsidRPr="00A20F2D" w:rsidRDefault="00A20F2D" w:rsidP="00A20F2D">
      <w:pPr>
        <w:spacing w:after="0" w:line="408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Global Market Report Insights, (2023) Meetings, Incentives, Conferences and Exhibitions (MICE) Market Size, Share &amp;</w:t>
      </w:r>
      <w:proofErr w:type="gramStart"/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amp;</w:t>
      </w:r>
      <w:proofErr w:type="gramEnd"/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 Trends Analysis Report By Application, Regional Outlook, </w:t>
      </w:r>
    </w:p>
    <w:p w14:paraId="6E6C4DEC" w14:textId="77777777" w:rsidR="00A20F2D" w:rsidRPr="00A20F2D" w:rsidRDefault="00A20F2D" w:rsidP="00A20F2D">
      <w:pPr>
        <w:spacing w:after="0" w:line="408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20F2D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 xml:space="preserve">ICC Belfast, (2024) </w:t>
      </w:r>
      <w:r w:rsidRPr="00A20F2D">
        <w:rPr>
          <w:rFonts w:ascii="Arial" w:eastAsiaTheme="minorEastAsia" w:hAnsi="Arial" w:cs="Arial"/>
          <w:i/>
          <w:iCs/>
          <w:color w:val="000000"/>
          <w:kern w:val="24"/>
          <w:lang w:eastAsia="en-GB"/>
          <w14:ligatures w14:val="none"/>
        </w:rPr>
        <w:t xml:space="preserve">EVENT BUDGETING 101 </w:t>
      </w:r>
      <w:r w:rsidRPr="00A20F2D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 xml:space="preserve">Available at: </w:t>
      </w:r>
      <w:hyperlink r:id="rId26" w:history="1">
        <w:r w:rsidRPr="00A20F2D">
          <w:rPr>
            <w:rFonts w:ascii="Arial" w:eastAsiaTheme="minorEastAsia" w:hAnsi="Arial" w:cs="Arial"/>
            <w:color w:val="000000"/>
            <w:kern w:val="24"/>
            <w:u w:val="single"/>
            <w:lang w:eastAsia="en-GB"/>
            <w14:ligatures w14:val="none"/>
          </w:rPr>
          <w:t>https://iccbelfast.com/blogs/event-budgeting-guide#hy-is-budget-important-for-event-delivery</w:t>
        </w:r>
      </w:hyperlink>
      <w:r w:rsidRPr="00A20F2D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 xml:space="preserve"> (Accessed: 03 Feb 2024)</w:t>
      </w:r>
    </w:p>
    <w:p w14:paraId="4BF64242" w14:textId="77777777" w:rsidR="00A20F2D" w:rsidRPr="00A20F2D" w:rsidRDefault="00A20F2D" w:rsidP="00A20F2D">
      <w:pPr>
        <w:spacing w:after="0" w:line="408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Linkedin</w:t>
      </w:r>
      <w:proofErr w:type="spellEnd"/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, (2024) </w:t>
      </w:r>
      <w:r w:rsidRPr="00A20F2D">
        <w:rPr>
          <w:rFonts w:ascii="Arial" w:eastAsiaTheme="minorEastAsia" w:hAnsi="Arial"/>
          <w:i/>
          <w:iCs/>
          <w:color w:val="222222"/>
          <w:kern w:val="24"/>
          <w:lang w:eastAsia="en-GB"/>
          <w14:ligatures w14:val="none"/>
        </w:rPr>
        <w:t>Competitive</w:t>
      </w:r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, Available at:  </w:t>
      </w:r>
      <w:hyperlink r:id="rId27" w:history="1">
        <w:r w:rsidRPr="00A20F2D">
          <w:rPr>
            <w:rFonts w:ascii="Arial" w:eastAsiaTheme="minorEastAsia" w:hAnsi="Arial"/>
            <w:color w:val="222222"/>
            <w:kern w:val="24"/>
            <w:u w:val="single"/>
            <w:lang w:eastAsia="en-GB"/>
            <w14:ligatures w14:val="none"/>
          </w:rPr>
          <w:t>https://www.linkedin.com/pulse/meetings-incentives-conferences-exhibitions-2c#:~:text=Among%20the%20key%20players%20in,and%20Interpublic%20Group%20of%20Companies</w:t>
        </w:r>
      </w:hyperlink>
      <w:r w:rsidRPr="00A20F2D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. (Accessed: 01 Feb 2024) </w:t>
      </w:r>
    </w:p>
    <w:p w14:paraId="4BA6881B" w14:textId="77777777" w:rsidR="00C848E2" w:rsidRPr="00C848E2" w:rsidRDefault="00C848E2" w:rsidP="00C848E2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C848E2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>Linkedin</w:t>
      </w:r>
      <w:proofErr w:type="spellEnd"/>
      <w:r w:rsidRPr="00C848E2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 xml:space="preserve">, (2024) How Do Marketing and Operations Work Together? Available at: </w:t>
      </w:r>
      <w:hyperlink r:id="rId28" w:history="1">
        <w:r w:rsidRPr="00C848E2">
          <w:rPr>
            <w:rFonts w:ascii="Arial" w:eastAsiaTheme="minorEastAsia" w:hAnsi="Arial" w:cs="Arial"/>
            <w:color w:val="000000"/>
            <w:kern w:val="24"/>
            <w:u w:val="single"/>
            <w:lang w:eastAsia="en-GB"/>
            <w14:ligatures w14:val="none"/>
          </w:rPr>
          <w:t>https://www.linkedin.com/pulse/how-do-marketing-operations-work-together-ioannis-antypas</w:t>
        </w:r>
      </w:hyperlink>
      <w:r w:rsidRPr="00C848E2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 xml:space="preserve">  (Accessed: 03 Feb 2024)</w:t>
      </w:r>
    </w:p>
    <w:p w14:paraId="4EC053F1" w14:textId="77777777" w:rsidR="00C848E2" w:rsidRPr="00C848E2" w:rsidRDefault="00C848E2" w:rsidP="00C848E2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848E2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 xml:space="preserve">Locus Assignments, (2024) Unit 34 Operation Management in Business Assignment Available at: </w:t>
      </w:r>
      <w:hyperlink r:id="rId29" w:history="1">
        <w:r w:rsidRPr="00C848E2">
          <w:rPr>
            <w:rFonts w:ascii="Arial" w:eastAsiaTheme="minorEastAsia" w:hAnsi="Arial" w:cs="Arial"/>
            <w:color w:val="000000"/>
            <w:kern w:val="24"/>
            <w:u w:val="single"/>
            <w:lang w:eastAsia="en-GB"/>
            <w14:ligatures w14:val="none"/>
          </w:rPr>
          <w:t>https://www.locusassignments.com/solution/unit-34-operation-management-business-assignment</w:t>
        </w:r>
      </w:hyperlink>
      <w:r w:rsidRPr="00C848E2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 xml:space="preserve">  (Accessed 04 Feb 2024)</w:t>
      </w:r>
    </w:p>
    <w:p w14:paraId="4361201D" w14:textId="77777777" w:rsidR="00C848E2" w:rsidRPr="00C848E2" w:rsidRDefault="00C848E2" w:rsidP="00C848E2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848E2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 xml:space="preserve">NPCI, (2024) </w:t>
      </w:r>
      <w:r w:rsidRPr="00C848E2">
        <w:rPr>
          <w:rFonts w:ascii="Arial" w:eastAsiaTheme="minorEastAsia" w:hAnsi="Arial" w:cs="Arial"/>
          <w:i/>
          <w:iCs/>
          <w:color w:val="000000"/>
          <w:kern w:val="24"/>
          <w:lang w:eastAsia="en-GB"/>
          <w14:ligatures w14:val="none"/>
        </w:rPr>
        <w:t>Operational Risk Management</w:t>
      </w:r>
      <w:r w:rsidRPr="00C848E2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 xml:space="preserve"> Available at: </w:t>
      </w:r>
      <w:hyperlink r:id="rId30" w:history="1">
        <w:r w:rsidRPr="00C848E2">
          <w:rPr>
            <w:rFonts w:ascii="Arial" w:eastAsiaTheme="minorEastAsia" w:hAnsi="Arial" w:cs="Arial"/>
            <w:color w:val="000000"/>
            <w:kern w:val="24"/>
            <w:u w:val="single"/>
            <w:lang w:eastAsia="en-GB"/>
            <w14:ligatures w14:val="none"/>
          </w:rPr>
          <w:t>https://www.npci.org.in/who-we-are/risk-management/operational-risk-management</w:t>
        </w:r>
      </w:hyperlink>
      <w:r w:rsidRPr="00C848E2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 xml:space="preserve"> (Accessed 04 Feb 2024)</w:t>
      </w:r>
    </w:p>
    <w:p w14:paraId="0019D108" w14:textId="77777777" w:rsidR="00C848E2" w:rsidRPr="00C848E2" w:rsidRDefault="00C848E2" w:rsidP="00C848E2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848E2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>O'Toole, W., (2010)</w:t>
      </w:r>
      <w:r w:rsidRPr="00C848E2">
        <w:rPr>
          <w:rFonts w:ascii="Arial" w:eastAsiaTheme="minorEastAsia" w:hAnsi="Arial" w:cs="Arial"/>
          <w:i/>
          <w:iCs/>
          <w:color w:val="000000"/>
          <w:kern w:val="24"/>
          <w:lang w:eastAsia="en-GB"/>
          <w14:ligatures w14:val="none"/>
        </w:rPr>
        <w:t xml:space="preserve">. Events feasibility and development. Routledge. </w:t>
      </w:r>
    </w:p>
    <w:p w14:paraId="7974C0DF" w14:textId="77777777" w:rsidR="00C848E2" w:rsidRPr="00C848E2" w:rsidRDefault="00C848E2" w:rsidP="00C848E2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Perera, R., (2017). </w:t>
      </w:r>
      <w:r w:rsidRPr="00C848E2">
        <w:rPr>
          <w:rFonts w:ascii="Arial" w:eastAsiaTheme="minorEastAsia" w:hAnsi="Arial"/>
          <w:i/>
          <w:iCs/>
          <w:color w:val="222222"/>
          <w:kern w:val="24"/>
          <w:lang w:eastAsia="en-GB"/>
          <w14:ligatures w14:val="none"/>
        </w:rPr>
        <w:t>The PESTLE analysis</w:t>
      </w:r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. </w:t>
      </w:r>
      <w:proofErr w:type="spellStart"/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Nerdynaut</w:t>
      </w:r>
      <w:proofErr w:type="spellEnd"/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.</w:t>
      </w:r>
    </w:p>
    <w:p w14:paraId="0F182839" w14:textId="77777777" w:rsidR="00C848E2" w:rsidRPr="00C848E2" w:rsidRDefault="00C848E2" w:rsidP="00C848E2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848E2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 xml:space="preserve">Project Centre, (2024) </w:t>
      </w:r>
      <w:r w:rsidRPr="00C848E2">
        <w:rPr>
          <w:rFonts w:ascii="Arial" w:eastAsiaTheme="minorEastAsia" w:hAnsi="Arial" w:cs="Arial"/>
          <w:i/>
          <w:iCs/>
          <w:color w:val="000000"/>
          <w:kern w:val="24"/>
          <w:lang w:eastAsia="en-GB"/>
          <w14:ligatures w14:val="none"/>
        </w:rPr>
        <w:t xml:space="preserve">Haringey London, </w:t>
      </w:r>
      <w:r w:rsidRPr="00C848E2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 xml:space="preserve">Available at: </w:t>
      </w:r>
      <w:hyperlink r:id="rId31" w:history="1">
        <w:r w:rsidRPr="00C848E2">
          <w:rPr>
            <w:rFonts w:ascii="Arial" w:eastAsiaTheme="minorEastAsia" w:hAnsi="Arial" w:cs="Arial"/>
            <w:color w:val="000000"/>
            <w:kern w:val="24"/>
            <w:u w:val="single"/>
            <w:lang w:eastAsia="en-GB"/>
            <w14:ligatures w14:val="none"/>
          </w:rPr>
          <w:t>https://www.pclconsult.co.uk/projects/haringey-ted-cpz-review/</w:t>
        </w:r>
      </w:hyperlink>
      <w:r w:rsidRPr="00C848E2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 xml:space="preserve"> (Accessed: 01 Feb 2024)</w:t>
      </w:r>
    </w:p>
    <w:p w14:paraId="2CCBC18A" w14:textId="77777777" w:rsidR="00C848E2" w:rsidRPr="00C848E2" w:rsidRDefault="00C848E2" w:rsidP="00C848E2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848E2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>Quinn, B. (2013)</w:t>
      </w:r>
      <w:r w:rsidRPr="00C848E2">
        <w:rPr>
          <w:rFonts w:ascii="Arial" w:eastAsiaTheme="minorEastAsia" w:hAnsi="Arial" w:cs="Arial"/>
          <w:i/>
          <w:iCs/>
          <w:color w:val="000000"/>
          <w:kern w:val="24"/>
          <w:lang w:eastAsia="en-GB"/>
          <w14:ligatures w14:val="none"/>
        </w:rPr>
        <w:t xml:space="preserve"> Planning. In: Key Concepts in Event Management, The SAGE Key Concepts Series. </w:t>
      </w:r>
      <w:r w:rsidRPr="00C848E2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>London: SAGE Publications Ltd. pp. 90-93</w:t>
      </w:r>
    </w:p>
    <w:p w14:paraId="1FCC92C4" w14:textId="77777777" w:rsidR="00C848E2" w:rsidRPr="00C848E2" w:rsidRDefault="00C848E2" w:rsidP="00C848E2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lastRenderedPageBreak/>
        <w:t>Rastogi, N.I.T.A.N.K. and Trivedi, M.K., (2016). PESTLE technique–a tool to identify external risks in construction projects. </w:t>
      </w:r>
      <w:r w:rsidRPr="00C848E2">
        <w:rPr>
          <w:rFonts w:ascii="Arial" w:eastAsiaTheme="minorEastAsia" w:hAnsi="Arial"/>
          <w:i/>
          <w:iCs/>
          <w:color w:val="222222"/>
          <w:kern w:val="24"/>
          <w:lang w:eastAsia="en-GB"/>
          <w14:ligatures w14:val="none"/>
        </w:rPr>
        <w:t>International Research Journal of Engineering and Technology (IRJET)</w:t>
      </w:r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, </w:t>
      </w:r>
      <w:r w:rsidRPr="00C848E2">
        <w:rPr>
          <w:rFonts w:ascii="Arial" w:eastAsiaTheme="minorEastAsia" w:hAnsi="Arial"/>
          <w:i/>
          <w:iCs/>
          <w:color w:val="222222"/>
          <w:kern w:val="24"/>
          <w:lang w:eastAsia="en-GB"/>
          <w14:ligatures w14:val="none"/>
        </w:rPr>
        <w:t>3</w:t>
      </w:r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(1), pp.384-388.</w:t>
      </w:r>
    </w:p>
    <w:p w14:paraId="0627358F" w14:textId="77777777" w:rsidR="00C848E2" w:rsidRPr="00C848E2" w:rsidRDefault="00C848E2" w:rsidP="00C848E2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Rogers, T. and Davidson, R., (2015). </w:t>
      </w:r>
      <w:r w:rsidRPr="00C848E2">
        <w:rPr>
          <w:rFonts w:ascii="Arial" w:eastAsiaTheme="minorEastAsia" w:hAnsi="Arial"/>
          <w:i/>
          <w:iCs/>
          <w:color w:val="222222"/>
          <w:kern w:val="24"/>
          <w:lang w:eastAsia="en-GB"/>
          <w14:ligatures w14:val="none"/>
        </w:rPr>
        <w:t>Marketing destinations and venues for conferences, conventions and business events</w:t>
      </w:r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. Routledge.</w:t>
      </w:r>
    </w:p>
    <w:p w14:paraId="293E65F3" w14:textId="77777777" w:rsidR="00C848E2" w:rsidRPr="00C848E2" w:rsidRDefault="00C848E2" w:rsidP="00C848E2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Sage Knowledge, (2024) </w:t>
      </w:r>
      <w:r w:rsidRPr="00C848E2">
        <w:rPr>
          <w:rFonts w:ascii="Arial" w:eastAsiaTheme="minorEastAsia" w:hAnsi="Arial"/>
          <w:i/>
          <w:iCs/>
          <w:color w:val="222222"/>
          <w:kern w:val="24"/>
          <w:lang w:eastAsia="en-GB"/>
          <w14:ligatures w14:val="none"/>
        </w:rPr>
        <w:t xml:space="preserve">Target Segment Strategy </w:t>
      </w:r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Available at: </w:t>
      </w:r>
      <w:hyperlink r:id="rId32" w:history="1">
        <w:r w:rsidRPr="00C848E2">
          <w:rPr>
            <w:rFonts w:ascii="Arial" w:eastAsiaTheme="minorEastAsia" w:hAnsi="Arial"/>
            <w:color w:val="222222"/>
            <w:kern w:val="24"/>
            <w:u w:val="single"/>
            <w:lang w:eastAsia="en-GB"/>
            <w14:ligatures w14:val="none"/>
          </w:rPr>
          <w:t>https://sk.sagepub.com/books/marketing-theory/n11.xml</w:t>
        </w:r>
      </w:hyperlink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 (Accessed: 03 Feb 2024) </w:t>
      </w:r>
    </w:p>
    <w:p w14:paraId="59D9DB31" w14:textId="77777777" w:rsidR="00C848E2" w:rsidRPr="00C848E2" w:rsidRDefault="00C848E2" w:rsidP="00C848E2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Shtal</w:t>
      </w:r>
      <w:proofErr w:type="spellEnd"/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, T.V., Buriak, M.M., </w:t>
      </w:r>
      <w:proofErr w:type="spellStart"/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Amirbekuly</w:t>
      </w:r>
      <w:proofErr w:type="spellEnd"/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, Y., </w:t>
      </w:r>
      <w:proofErr w:type="spellStart"/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Ukubassova</w:t>
      </w:r>
      <w:proofErr w:type="spellEnd"/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, G.S., </w:t>
      </w:r>
      <w:proofErr w:type="spellStart"/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Kaskin</w:t>
      </w:r>
      <w:proofErr w:type="spellEnd"/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, T.T. and </w:t>
      </w:r>
      <w:proofErr w:type="spellStart"/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Toiboldinova</w:t>
      </w:r>
      <w:proofErr w:type="spellEnd"/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, Z.G., (2018). Methods of analysis of the external environment of business activities. </w:t>
      </w:r>
      <w:proofErr w:type="spellStart"/>
      <w:r w:rsidRPr="00C848E2">
        <w:rPr>
          <w:rFonts w:ascii="Arial" w:eastAsiaTheme="minorEastAsia" w:hAnsi="Arial"/>
          <w:i/>
          <w:iCs/>
          <w:color w:val="222222"/>
          <w:kern w:val="24"/>
          <w:lang w:eastAsia="en-GB"/>
          <w14:ligatures w14:val="none"/>
        </w:rPr>
        <w:t>Revista</w:t>
      </w:r>
      <w:proofErr w:type="spellEnd"/>
      <w:r w:rsidRPr="00C848E2">
        <w:rPr>
          <w:rFonts w:ascii="Arial" w:eastAsiaTheme="minorEastAsia" w:hAnsi="Arial"/>
          <w:i/>
          <w:iCs/>
          <w:color w:val="222222"/>
          <w:kern w:val="24"/>
          <w:lang w:eastAsia="en-GB"/>
          <w14:ligatures w14:val="none"/>
        </w:rPr>
        <w:t xml:space="preserve"> </w:t>
      </w:r>
      <w:proofErr w:type="spellStart"/>
      <w:r w:rsidRPr="00C848E2">
        <w:rPr>
          <w:rFonts w:ascii="Arial" w:eastAsiaTheme="minorEastAsia" w:hAnsi="Arial"/>
          <w:i/>
          <w:iCs/>
          <w:color w:val="222222"/>
          <w:kern w:val="24"/>
          <w:lang w:eastAsia="en-GB"/>
          <w14:ligatures w14:val="none"/>
        </w:rPr>
        <w:t>Espacios</w:t>
      </w:r>
      <w:proofErr w:type="spellEnd"/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, </w:t>
      </w:r>
      <w:r w:rsidRPr="00C848E2">
        <w:rPr>
          <w:rFonts w:ascii="Arial" w:eastAsiaTheme="minorEastAsia" w:hAnsi="Arial"/>
          <w:i/>
          <w:iCs/>
          <w:color w:val="222222"/>
          <w:kern w:val="24"/>
          <w:lang w:eastAsia="en-GB"/>
          <w14:ligatures w14:val="none"/>
        </w:rPr>
        <w:t>39</w:t>
      </w:r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(12).</w:t>
      </w:r>
    </w:p>
    <w:p w14:paraId="15BABE52" w14:textId="77777777" w:rsidR="00C848E2" w:rsidRPr="00C848E2" w:rsidRDefault="00C848E2" w:rsidP="00C848E2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Sketch Bubble, (2024) Operations management Available at: </w:t>
      </w:r>
      <w:hyperlink r:id="rId33" w:history="1">
        <w:r w:rsidRPr="00C848E2">
          <w:rPr>
            <w:rFonts w:ascii="Arial" w:eastAsiaTheme="minorEastAsia" w:hAnsi="Arial"/>
            <w:color w:val="222222"/>
            <w:kern w:val="24"/>
            <w:u w:val="single"/>
            <w:lang w:eastAsia="en-GB"/>
            <w14:ligatures w14:val="none"/>
          </w:rPr>
          <w:t>https://www.sketchbubble.com/en/presentation-operations-management.html</w:t>
        </w:r>
      </w:hyperlink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 xml:space="preserve"> (Accessed 04 Feb 2024)</w:t>
      </w:r>
    </w:p>
    <w:p w14:paraId="38240943" w14:textId="77777777" w:rsidR="00C848E2" w:rsidRPr="00C848E2" w:rsidRDefault="00C848E2" w:rsidP="00C848E2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Sumithra, D. and Mishra, J.M., (2016). Efficacy of MICE tourism industry and supply chain management as an integrated approach. </w:t>
      </w:r>
      <w:r w:rsidRPr="00C848E2">
        <w:rPr>
          <w:rFonts w:ascii="Arial" w:eastAsiaTheme="minorEastAsia" w:hAnsi="Arial"/>
          <w:i/>
          <w:iCs/>
          <w:color w:val="222222"/>
          <w:kern w:val="24"/>
          <w:lang w:eastAsia="en-GB"/>
          <w14:ligatures w14:val="none"/>
        </w:rPr>
        <w:t>International Journal of Management Research and Reviews</w:t>
      </w:r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, </w:t>
      </w:r>
      <w:r w:rsidRPr="00C848E2">
        <w:rPr>
          <w:rFonts w:ascii="Arial" w:eastAsiaTheme="minorEastAsia" w:hAnsi="Arial"/>
          <w:i/>
          <w:iCs/>
          <w:color w:val="222222"/>
          <w:kern w:val="24"/>
          <w:lang w:eastAsia="en-GB"/>
          <w14:ligatures w14:val="none"/>
        </w:rPr>
        <w:t>6</w:t>
      </w:r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(7), p.894.</w:t>
      </w:r>
    </w:p>
    <w:p w14:paraId="59840F07" w14:textId="77777777" w:rsidR="00C848E2" w:rsidRPr="00C848E2" w:rsidRDefault="00C848E2" w:rsidP="00C848E2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C848E2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>Sweap</w:t>
      </w:r>
      <w:proofErr w:type="spellEnd"/>
      <w:r w:rsidRPr="00C848E2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 xml:space="preserve">, (2024) SWOT Analysis for Events 2023 Available at: </w:t>
      </w:r>
      <w:hyperlink r:id="rId34" w:history="1">
        <w:r w:rsidRPr="00C848E2">
          <w:rPr>
            <w:rFonts w:ascii="Arial" w:eastAsiaTheme="minorEastAsia" w:hAnsi="Arial" w:cs="Arial"/>
            <w:color w:val="000000"/>
            <w:kern w:val="24"/>
            <w:u w:val="single"/>
            <w:lang w:eastAsia="en-GB"/>
            <w14:ligatures w14:val="none"/>
          </w:rPr>
          <w:t>https://www.sweap.io/en/blog/swot-analysis-for-events</w:t>
        </w:r>
      </w:hyperlink>
      <w:r w:rsidRPr="00C848E2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 xml:space="preserve"> (Accessed: 05 Feb)</w:t>
      </w:r>
    </w:p>
    <w:p w14:paraId="3A416885" w14:textId="77777777" w:rsidR="00C848E2" w:rsidRPr="00C848E2" w:rsidRDefault="00C848E2" w:rsidP="00C848E2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C848E2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>Tkaczynski</w:t>
      </w:r>
      <w:proofErr w:type="spellEnd"/>
      <w:r w:rsidRPr="00C848E2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 xml:space="preserve">, A., Gill, C. and Van Winkle, C.M., (2019). Target marketing of small-scale festival attendees: a scoping study. </w:t>
      </w:r>
      <w:r w:rsidRPr="00C848E2">
        <w:rPr>
          <w:rFonts w:ascii="Arial" w:eastAsiaTheme="minorEastAsia" w:hAnsi="Arial" w:cs="Arial"/>
          <w:i/>
          <w:iCs/>
          <w:color w:val="000000"/>
          <w:kern w:val="24"/>
          <w:lang w:eastAsia="en-GB"/>
          <w14:ligatures w14:val="none"/>
        </w:rPr>
        <w:t>Event Management</w:t>
      </w:r>
      <w:r w:rsidRPr="00C848E2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>, 23(3), pp.483-490.</w:t>
      </w:r>
    </w:p>
    <w:p w14:paraId="7A537C25" w14:textId="77777777" w:rsidR="00C848E2" w:rsidRPr="00C848E2" w:rsidRDefault="00C848E2" w:rsidP="00C848E2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Tum, J. and Norton, P., (2006). </w:t>
      </w:r>
      <w:r w:rsidRPr="00C848E2">
        <w:rPr>
          <w:rFonts w:ascii="Arial" w:eastAsiaTheme="minorEastAsia" w:hAnsi="Arial"/>
          <w:i/>
          <w:iCs/>
          <w:color w:val="222222"/>
          <w:kern w:val="24"/>
          <w:lang w:eastAsia="en-GB"/>
          <w14:ligatures w14:val="none"/>
        </w:rPr>
        <w:t>Management of event operations</w:t>
      </w:r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. Routledge.</w:t>
      </w:r>
    </w:p>
    <w:p w14:paraId="6FCEA2BB" w14:textId="77777777" w:rsidR="00C848E2" w:rsidRPr="00C848E2" w:rsidRDefault="00C848E2" w:rsidP="00C848E2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848E2">
        <w:rPr>
          <w:rFonts w:ascii="Arial" w:eastAsiaTheme="minorEastAsia" w:hAnsi="Arial" w:cs="Arial"/>
          <w:color w:val="000000"/>
          <w:kern w:val="24"/>
          <w:lang w:eastAsia="en-GB"/>
          <w14:ligatures w14:val="none"/>
        </w:rPr>
        <w:t>Varadarajan, R., (2010). Strategic marketing and marketing strategy: domain, definition, fundamental issues and foundational premises. Journal of the Academy of Marketing Science, 38, pp.119-140.</w:t>
      </w:r>
    </w:p>
    <w:p w14:paraId="2A2C9D89" w14:textId="6545D38C" w:rsidR="00D97003" w:rsidRPr="00277AA4" w:rsidRDefault="00C848E2" w:rsidP="00C848E2">
      <w:pPr>
        <w:spacing w:after="0" w:line="360" w:lineRule="auto"/>
        <w:jc w:val="both"/>
        <w:rPr>
          <w:rFonts w:ascii="Arial" w:eastAsia="+mn-ea" w:hAnsi="Arial" w:cs="+mn-cs"/>
          <w:b/>
          <w:bCs/>
          <w:color w:val="222222"/>
          <w:kern w:val="24"/>
          <w:sz w:val="24"/>
          <w:szCs w:val="24"/>
          <w:u w:val="single"/>
          <w:lang w:eastAsia="en-GB"/>
          <w14:ligatures w14:val="none"/>
        </w:rPr>
      </w:pPr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Weber, L., (2009). </w:t>
      </w:r>
      <w:r w:rsidRPr="00C848E2">
        <w:rPr>
          <w:rFonts w:ascii="Arial" w:eastAsiaTheme="minorEastAsia" w:hAnsi="Arial"/>
          <w:i/>
          <w:iCs/>
          <w:color w:val="222222"/>
          <w:kern w:val="24"/>
          <w:lang w:eastAsia="en-GB"/>
          <w14:ligatures w14:val="none"/>
        </w:rPr>
        <w:t>Marketing to the social web: How digital customer communities build your business</w:t>
      </w:r>
      <w:r w:rsidRPr="00C848E2">
        <w:rPr>
          <w:rFonts w:ascii="Arial" w:eastAsiaTheme="minorEastAsia" w:hAnsi="Arial"/>
          <w:color w:val="222222"/>
          <w:kern w:val="24"/>
          <w:lang w:eastAsia="en-GB"/>
          <w14:ligatures w14:val="none"/>
        </w:rPr>
        <w:t>. John Wiley &amp; Sons.</w:t>
      </w:r>
    </w:p>
    <w:p w14:paraId="62BC6228" w14:textId="77777777" w:rsidR="00F57FCC" w:rsidRDefault="00F57FCC" w:rsidP="00B61462">
      <w:pPr>
        <w:jc w:val="center"/>
        <w:rPr>
          <w:rFonts w:ascii="Arial" w:hAnsi="Arial" w:cs="Arial"/>
          <w:sz w:val="28"/>
          <w:szCs w:val="28"/>
        </w:rPr>
      </w:pPr>
    </w:p>
    <w:p w14:paraId="7834B66D" w14:textId="77777777" w:rsidR="00F57FCC" w:rsidRDefault="00F57FCC" w:rsidP="00B61462">
      <w:pPr>
        <w:jc w:val="center"/>
        <w:rPr>
          <w:rFonts w:ascii="Arial" w:hAnsi="Arial" w:cs="Arial"/>
          <w:sz w:val="28"/>
          <w:szCs w:val="28"/>
        </w:rPr>
      </w:pPr>
    </w:p>
    <w:p w14:paraId="64ED5452" w14:textId="77777777" w:rsidR="00F57FCC" w:rsidRDefault="00F57FCC" w:rsidP="00B61462">
      <w:pPr>
        <w:jc w:val="center"/>
        <w:rPr>
          <w:rFonts w:ascii="Arial" w:hAnsi="Arial" w:cs="Arial"/>
          <w:sz w:val="28"/>
          <w:szCs w:val="28"/>
        </w:rPr>
      </w:pPr>
    </w:p>
    <w:p w14:paraId="54208BA1" w14:textId="77777777" w:rsidR="00F57FCC" w:rsidRDefault="00F57FCC" w:rsidP="00B61462">
      <w:pPr>
        <w:jc w:val="center"/>
        <w:rPr>
          <w:rFonts w:ascii="Arial" w:hAnsi="Arial" w:cs="Arial"/>
          <w:sz w:val="28"/>
          <w:szCs w:val="28"/>
        </w:rPr>
      </w:pPr>
    </w:p>
    <w:sectPr w:rsidR="00F57F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32C3"/>
    <w:rsid w:val="00031689"/>
    <w:rsid w:val="00036E34"/>
    <w:rsid w:val="0010157D"/>
    <w:rsid w:val="001645AF"/>
    <w:rsid w:val="00213B4D"/>
    <w:rsid w:val="00230083"/>
    <w:rsid w:val="00277AA4"/>
    <w:rsid w:val="002C4F1F"/>
    <w:rsid w:val="00366ECA"/>
    <w:rsid w:val="00397B5D"/>
    <w:rsid w:val="003D7BAF"/>
    <w:rsid w:val="004320D5"/>
    <w:rsid w:val="00457426"/>
    <w:rsid w:val="00475F83"/>
    <w:rsid w:val="004D2ECC"/>
    <w:rsid w:val="00515D16"/>
    <w:rsid w:val="005531BA"/>
    <w:rsid w:val="005538C1"/>
    <w:rsid w:val="00737A9E"/>
    <w:rsid w:val="007716F6"/>
    <w:rsid w:val="007B1F83"/>
    <w:rsid w:val="007C6C01"/>
    <w:rsid w:val="007D73D0"/>
    <w:rsid w:val="008A357D"/>
    <w:rsid w:val="00913748"/>
    <w:rsid w:val="009342C7"/>
    <w:rsid w:val="009458B9"/>
    <w:rsid w:val="009632C3"/>
    <w:rsid w:val="00986909"/>
    <w:rsid w:val="00991586"/>
    <w:rsid w:val="009E6B48"/>
    <w:rsid w:val="00A20F2D"/>
    <w:rsid w:val="00B61462"/>
    <w:rsid w:val="00B934A5"/>
    <w:rsid w:val="00BA7EE8"/>
    <w:rsid w:val="00BD4FD0"/>
    <w:rsid w:val="00BE1665"/>
    <w:rsid w:val="00BE2B21"/>
    <w:rsid w:val="00BF0885"/>
    <w:rsid w:val="00C82753"/>
    <w:rsid w:val="00C848E2"/>
    <w:rsid w:val="00CA262B"/>
    <w:rsid w:val="00D43A74"/>
    <w:rsid w:val="00D5176E"/>
    <w:rsid w:val="00D56E31"/>
    <w:rsid w:val="00D877C9"/>
    <w:rsid w:val="00D97003"/>
    <w:rsid w:val="00DE128B"/>
    <w:rsid w:val="00DE48B0"/>
    <w:rsid w:val="00E5518F"/>
    <w:rsid w:val="00E65899"/>
    <w:rsid w:val="00E72B8C"/>
    <w:rsid w:val="00E7462B"/>
    <w:rsid w:val="00F57FCC"/>
    <w:rsid w:val="00F800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0B82D3"/>
  <w15:chartTrackingRefBased/>
  <w15:docId w15:val="{61A1A07A-25B9-4D7A-B0D8-579F844CCE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D7BA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7BA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D7BAF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A20F2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919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98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6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294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84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png"/><Relationship Id="rId18" Type="http://schemas.openxmlformats.org/officeDocument/2006/relationships/hyperlink" Target="https://business.adobe.com/blog/basics/definitive-guide-to-marketing-operations-mops" TargetMode="External"/><Relationship Id="rId26" Type="http://schemas.openxmlformats.org/officeDocument/2006/relationships/hyperlink" Target="https://iccbelfast.com/blogs/event-budgeting-guide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ctmfile.com/sections/background/financial-risk-management" TargetMode="External"/><Relationship Id="rId34" Type="http://schemas.openxmlformats.org/officeDocument/2006/relationships/hyperlink" Target="https://www.sweap.io/en/blog/swot-analysis-for-events" TargetMode="Externa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hyperlink" Target="https://uowtsd-my.sharepoint.com/:v:/g/personal/2117695_student_uwtsd_ac_uk/EXnMirJjcFxLpt5F7qWUE-oBXp0HiChs7CDj7MT_DVu9rA?referrer=Teams.TEAMS-ELECTRON&amp;referrerScenario=MeetingChicletGetLink.view.view" TargetMode="External"/><Relationship Id="rId25" Type="http://schemas.openxmlformats.org/officeDocument/2006/relationships/hyperlink" Target="https://www.google.com/maps/place/Gladesmore+Sports+Centre/@51.5837552-0.0707317,15.02z/data=!4m6!3m5!1s0x48761c3f4a7f91fd:0x68929771a0fb04ba!8m2!3d51.5808672!4d-0.066833!16s%2Fg%2F1hc2p65y_?entry=ttu" TargetMode="External"/><Relationship Id="rId33" Type="http://schemas.openxmlformats.org/officeDocument/2006/relationships/hyperlink" Target="https://www.sketchbubble.com/en/presentation-operations-management.html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hyperlink" Target="https://cpdonline.co.uk/business-guides/setting-up-event-planning/" TargetMode="External"/><Relationship Id="rId29" Type="http://schemas.openxmlformats.org/officeDocument/2006/relationships/hyperlink" Target="https://www.locusassignments.com/solution/unit-34-operation-management-business-assignment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hyperlink" Target="https://foresightperformance.com/marketing-strategy/" TargetMode="External"/><Relationship Id="rId32" Type="http://schemas.openxmlformats.org/officeDocument/2006/relationships/hyperlink" Target="https://sk.sagepub.com/books/marketing-theory/n11.xml" TargetMode="External"/><Relationship Id="rId5" Type="http://schemas.openxmlformats.org/officeDocument/2006/relationships/image" Target="media/image2.svg"/><Relationship Id="rId15" Type="http://schemas.openxmlformats.org/officeDocument/2006/relationships/image" Target="media/image12.png"/><Relationship Id="rId23" Type="http://schemas.openxmlformats.org/officeDocument/2006/relationships/hyperlink" Target="https://www.eventbrite.co.uk/blog/how-to-write-an-event-proposal-ds00/" TargetMode="External"/><Relationship Id="rId28" Type="http://schemas.openxmlformats.org/officeDocument/2006/relationships/hyperlink" Target="https://www.linkedin.com/pulse/how-do-marketing-operations-work-together-ioannis-antypas" TargetMode="External"/><Relationship Id="rId36" Type="http://schemas.openxmlformats.org/officeDocument/2006/relationships/theme" Target="theme/theme1.xml"/><Relationship Id="rId10" Type="http://schemas.openxmlformats.org/officeDocument/2006/relationships/image" Target="media/image7.png"/><Relationship Id="rId19" Type="http://schemas.openxmlformats.org/officeDocument/2006/relationships/hyperlink" Target="https://www.carmarthenshire.gov.wales/home/business/organising-events/community-toolkit/establishing-aims-and-objectives/" TargetMode="External"/><Relationship Id="rId31" Type="http://schemas.openxmlformats.org/officeDocument/2006/relationships/hyperlink" Target="https://www.pclconsult.co.uk/projects/haringey-ted-cpz-review/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hyperlink" Target="https://detorresgroup.com/how-to-integrate-risk-management-in-your-b2b-lead-generation-plan/" TargetMode="External"/><Relationship Id="rId27" Type="http://schemas.openxmlformats.org/officeDocument/2006/relationships/hyperlink" Target="https://www.linkedin.com/pulse/meetings-incentives-conferences-exhibitions-2c" TargetMode="External"/><Relationship Id="rId30" Type="http://schemas.openxmlformats.org/officeDocument/2006/relationships/hyperlink" Target="https://www.npci.org.in/who-we-are/risk-management/operational-risk-management" TargetMode="External"/><Relationship Id="rId35" Type="http://schemas.openxmlformats.org/officeDocument/2006/relationships/fontTable" Target="fontTable.xml"/><Relationship Id="rId8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</TotalTime>
  <Pages>7</Pages>
  <Words>1179</Words>
  <Characters>6722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Sheron Ahmed (2117695)</dc:creator>
  <cp:keywords/>
  <dc:description/>
  <cp:lastModifiedBy>Sheron Ahmed (2117695)</cp:lastModifiedBy>
  <cp:revision>51</cp:revision>
  <dcterms:created xsi:type="dcterms:W3CDTF">2024-02-08T19:22:00Z</dcterms:created>
  <dcterms:modified xsi:type="dcterms:W3CDTF">2024-02-09T22:50:00Z</dcterms:modified>
</cp:coreProperties>
</file>