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798261D" wp14:paraId="2F49FE26" wp14:textId="7014803B">
      <w:pPr>
        <w:pStyle w:val="Normal"/>
        <w:spacing w:before="240" w:beforeAutospacing="off" w:after="240" w:afterAutospacing="off" w:line="360" w:lineRule="auto"/>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pPr>
      <w:r w:rsidRPr="1798261D" w:rsidR="2135667E">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Title Page</w:t>
      </w:r>
    </w:p>
    <w:p xmlns:wp14="http://schemas.microsoft.com/office/word/2010/wordml" w:rsidP="1798261D" wp14:paraId="35C9C2B4" wp14:textId="527A5702">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798261D" w:rsidR="1A3D271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Module Code</w:t>
      </w:r>
      <w:r w:rsidRPr="1798261D" w:rsidR="1A3D271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798261D" w:rsidR="05FA674E">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LCHS4003_BIRM</w:t>
      </w:r>
    </w:p>
    <w:p xmlns:wp14="http://schemas.microsoft.com/office/word/2010/wordml" w:rsidP="1798261D" wp14:paraId="1692F266" wp14:textId="1D61E019">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798261D" w:rsidR="1A3D271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Module Title</w:t>
      </w:r>
      <w:r w:rsidRPr="1798261D" w:rsidR="1A3D271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w:t>
      </w:r>
      <w:r w:rsidRPr="1798261D" w:rsidR="29909DBF">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798261D" w:rsidR="0815C488">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Introduction to Health and Social Care</w:t>
      </w:r>
    </w:p>
    <w:p xmlns:wp14="http://schemas.microsoft.com/office/word/2010/wordml" w:rsidP="1798261D" wp14:paraId="593F1414" wp14:textId="2CB2FD54">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798261D" w:rsidR="1A3D271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Student Name</w:t>
      </w:r>
      <w:r w:rsidRPr="1798261D" w:rsidR="1A3D271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Saira Begum</w:t>
      </w:r>
    </w:p>
    <w:p xmlns:wp14="http://schemas.microsoft.com/office/word/2010/wordml" w:rsidP="1798261D" wp14:paraId="2A04A325" wp14:textId="010D1A49">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798261D" w:rsidR="1A3D271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Student Number:</w:t>
      </w:r>
      <w:r w:rsidRPr="1798261D" w:rsidR="1A3D271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798261D" w:rsidR="4980635C">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2533704</w:t>
      </w:r>
    </w:p>
    <w:p xmlns:wp14="http://schemas.microsoft.com/office/word/2010/wordml" w:rsidP="1798261D" wp14:paraId="2EBCC56D" wp14:textId="147D8572">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pPr>
      <w:r w:rsidRPr="1798261D" w:rsidR="1A3D271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Lecturer’s Name:</w:t>
      </w:r>
      <w:r w:rsidRPr="1798261D" w:rsidR="1A3D271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 </w:t>
      </w:r>
      <w:r w:rsidRPr="1798261D" w:rsidR="360618AB">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xml:space="preserve">Dr Helen Parsons </w:t>
      </w:r>
    </w:p>
    <w:p xmlns:wp14="http://schemas.microsoft.com/office/word/2010/wordml" w:rsidP="1798261D" wp14:paraId="44C3225B" wp14:textId="001A8C3F">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US"/>
        </w:rPr>
      </w:pPr>
      <w:r w:rsidRPr="1798261D" w:rsidR="1A3D271D">
        <w:rPr>
          <w:rFonts w:ascii="Arial" w:hAnsi="Arial" w:eastAsia="Arial" w:cs="Arial" w:asciiTheme="minorAscii" w:hAnsiTheme="minorAscii" w:eastAsiaTheme="minorAscii" w:cstheme="minorAscii"/>
          <w:b w:val="1"/>
          <w:bCs w:val="1"/>
          <w:i w:val="0"/>
          <w:iCs w:val="0"/>
          <w:caps w:val="0"/>
          <w:smallCaps w:val="0"/>
          <w:noProof w:val="0"/>
          <w:color w:val="000000" w:themeColor="text1" w:themeTint="FF" w:themeShade="FF"/>
          <w:sz w:val="22"/>
          <w:szCs w:val="22"/>
          <w:lang w:val="en-GB"/>
        </w:rPr>
        <w:t>Date of Submission</w:t>
      </w:r>
      <w:r w:rsidRPr="1798261D" w:rsidR="1A3D271D">
        <w:rPr>
          <w:rFonts w:ascii="Arial" w:hAnsi="Arial" w:eastAsia="Arial" w:cs="Arial" w:asciiTheme="minorAscii" w:hAnsiTheme="minorAscii" w:eastAsiaTheme="minorAscii" w:cstheme="minorAscii"/>
          <w:b w:val="0"/>
          <w:bCs w:val="0"/>
          <w:i w:val="0"/>
          <w:iCs w:val="0"/>
          <w:caps w:val="0"/>
          <w:smallCaps w:val="0"/>
          <w:noProof w:val="0"/>
          <w:color w:val="000000" w:themeColor="text1" w:themeTint="FF" w:themeShade="FF"/>
          <w:sz w:val="22"/>
          <w:szCs w:val="22"/>
          <w:lang w:val="en-GB"/>
        </w:rPr>
        <w:t>: 25th October 2026</w:t>
      </w:r>
    </w:p>
    <w:p xmlns:wp14="http://schemas.microsoft.com/office/word/2010/wordml" w:rsidP="167C4E72" wp14:paraId="3E726885" wp14:textId="2A7E8095">
      <w:pPr>
        <w:pStyle w:val="Normal"/>
        <w:spacing w:line="360" w:lineRule="auto"/>
        <w:rPr>
          <w:rFonts w:ascii="Arial" w:hAnsi="Arial" w:eastAsia="Arial" w:cs="Arial" w:asciiTheme="minorAscii" w:hAnsiTheme="minorAscii" w:eastAsiaTheme="minorAscii" w:cstheme="minorAscii"/>
          <w:noProof w:val="0"/>
          <w:sz w:val="22"/>
          <w:szCs w:val="22"/>
          <w:lang w:val="en-US"/>
        </w:rPr>
      </w:pPr>
      <w:r w:rsidRPr="167C4E72" w:rsidR="50D46AAF">
        <w:rPr>
          <w:rFonts w:ascii="Arial" w:hAnsi="Arial" w:eastAsia="Arial" w:cs="Arial" w:asciiTheme="minorAscii" w:hAnsiTheme="minorAscii" w:eastAsiaTheme="minorAscii" w:cstheme="minorAscii"/>
          <w:b w:val="1"/>
          <w:bCs w:val="1"/>
          <w:noProof w:val="0"/>
          <w:sz w:val="22"/>
          <w:szCs w:val="22"/>
          <w:lang w:val="en-US"/>
        </w:rPr>
        <w:t>Councilor:</w:t>
      </w:r>
      <w:r w:rsidRPr="167C4E72" w:rsidR="50D46AAF">
        <w:rPr>
          <w:rFonts w:ascii="Arial" w:hAnsi="Arial" w:eastAsia="Arial" w:cs="Arial" w:asciiTheme="minorAscii" w:hAnsiTheme="minorAscii" w:eastAsiaTheme="minorAscii" w:cstheme="minorAscii"/>
          <w:noProof w:val="0"/>
          <w:sz w:val="22"/>
          <w:szCs w:val="22"/>
          <w:lang w:val="en-US"/>
        </w:rPr>
        <w:t xml:space="preserve"> Shabana Mahmood</w:t>
      </w:r>
    </w:p>
    <w:p xmlns:wp14="http://schemas.microsoft.com/office/word/2010/wordml" w:rsidP="1798261D" wp14:paraId="3B6534F5" wp14:textId="4FEE488F">
      <w:pPr>
        <w:pStyle w:val="Heading3"/>
        <w:spacing w:before="281" w:beforeAutospacing="off" w:after="281" w:afterAutospacing="off" w:line="360" w:lineRule="auto"/>
        <w:rPr>
          <w:rFonts w:ascii="Arial" w:hAnsi="Arial" w:eastAsia="Arial" w:cs="Arial" w:asciiTheme="minorAscii" w:hAnsiTheme="minorAscii" w:eastAsiaTheme="minorAscii" w:cstheme="minorAscii"/>
          <w:b w:val="1"/>
          <w:bCs w:val="1"/>
          <w:noProof w:val="0"/>
          <w:color w:val="auto"/>
          <w:sz w:val="22"/>
          <w:szCs w:val="22"/>
          <w:lang w:val="en-US"/>
        </w:rPr>
      </w:pPr>
    </w:p>
    <w:p xmlns:wp14="http://schemas.microsoft.com/office/word/2010/wordml" w:rsidP="1798261D" wp14:paraId="57EBF178" wp14:textId="6A5F30B1">
      <w:pPr>
        <w:pStyle w:val="Heading3"/>
        <w:spacing w:before="281" w:beforeAutospacing="off" w:after="281" w:afterAutospacing="off" w:line="360" w:lineRule="auto"/>
        <w:rPr>
          <w:rFonts w:ascii="Arial" w:hAnsi="Arial" w:eastAsia="Arial" w:cs="Arial" w:asciiTheme="minorAscii" w:hAnsiTheme="minorAscii" w:eastAsiaTheme="minorAscii" w:cstheme="minorAscii"/>
          <w:b w:val="1"/>
          <w:bCs w:val="1"/>
          <w:noProof w:val="0"/>
          <w:color w:val="auto"/>
          <w:sz w:val="22"/>
          <w:szCs w:val="22"/>
          <w:lang w:val="en-US"/>
        </w:rPr>
      </w:pPr>
    </w:p>
    <w:p xmlns:wp14="http://schemas.microsoft.com/office/word/2010/wordml" w:rsidP="1798261D" wp14:paraId="5A265D4F" wp14:textId="61337BAD">
      <w:pPr>
        <w:pStyle w:val="Heading3"/>
        <w:spacing w:before="281" w:beforeAutospacing="off" w:after="281" w:afterAutospacing="off" w:line="360" w:lineRule="auto"/>
        <w:rPr>
          <w:rFonts w:ascii="Arial" w:hAnsi="Arial" w:eastAsia="Arial" w:cs="Arial" w:asciiTheme="minorAscii" w:hAnsiTheme="minorAscii" w:eastAsiaTheme="minorAscii" w:cstheme="minorAscii"/>
          <w:b w:val="1"/>
          <w:bCs w:val="1"/>
          <w:noProof w:val="0"/>
          <w:color w:val="auto"/>
          <w:sz w:val="22"/>
          <w:szCs w:val="22"/>
          <w:lang w:val="en-US"/>
        </w:rPr>
      </w:pPr>
    </w:p>
    <w:p xmlns:wp14="http://schemas.microsoft.com/office/word/2010/wordml" w:rsidP="1798261D" wp14:paraId="3420D600" wp14:textId="04E8A61E">
      <w:pPr>
        <w:pStyle w:val="Heading3"/>
        <w:spacing w:before="281" w:beforeAutospacing="off" w:after="281" w:afterAutospacing="off" w:line="360" w:lineRule="auto"/>
        <w:rPr>
          <w:rFonts w:ascii="Arial" w:hAnsi="Arial" w:eastAsia="Arial" w:cs="Arial" w:asciiTheme="minorAscii" w:hAnsiTheme="minorAscii" w:eastAsiaTheme="minorAscii" w:cstheme="minorAscii"/>
          <w:b w:val="1"/>
          <w:bCs w:val="1"/>
          <w:noProof w:val="0"/>
          <w:color w:val="auto"/>
          <w:sz w:val="22"/>
          <w:szCs w:val="22"/>
          <w:lang w:val="en-US"/>
        </w:rPr>
      </w:pPr>
    </w:p>
    <w:p xmlns:wp14="http://schemas.microsoft.com/office/word/2010/wordml" w:rsidP="1798261D" wp14:paraId="1FBDECFD" wp14:textId="3D1201B4">
      <w:pPr>
        <w:pStyle w:val="Heading3"/>
        <w:spacing w:before="281" w:beforeAutospacing="off" w:after="281" w:afterAutospacing="off" w:line="360" w:lineRule="auto"/>
        <w:rPr>
          <w:rFonts w:ascii="Arial" w:hAnsi="Arial" w:eastAsia="Arial" w:cs="Arial" w:asciiTheme="minorAscii" w:hAnsiTheme="minorAscii" w:eastAsiaTheme="minorAscii" w:cstheme="minorAscii"/>
          <w:b w:val="1"/>
          <w:bCs w:val="1"/>
          <w:noProof w:val="0"/>
          <w:color w:val="auto"/>
          <w:sz w:val="22"/>
          <w:szCs w:val="22"/>
          <w:lang w:val="en-US"/>
        </w:rPr>
      </w:pPr>
    </w:p>
    <w:p xmlns:wp14="http://schemas.microsoft.com/office/word/2010/wordml" w:rsidP="1798261D" wp14:paraId="3FC9AC81" wp14:textId="2A5C144E">
      <w:pPr>
        <w:pStyle w:val="Heading3"/>
        <w:spacing w:before="281" w:beforeAutospacing="off" w:after="281" w:afterAutospacing="off" w:line="360" w:lineRule="auto"/>
        <w:rPr>
          <w:rFonts w:ascii="Arial" w:hAnsi="Arial" w:eastAsia="Arial" w:cs="Arial" w:asciiTheme="minorAscii" w:hAnsiTheme="minorAscii" w:eastAsiaTheme="minorAscii" w:cstheme="minorAscii"/>
          <w:b w:val="1"/>
          <w:bCs w:val="1"/>
          <w:noProof w:val="0"/>
          <w:color w:val="auto"/>
          <w:sz w:val="22"/>
          <w:szCs w:val="22"/>
          <w:lang w:val="en-US"/>
        </w:rPr>
      </w:pPr>
    </w:p>
    <w:p xmlns:wp14="http://schemas.microsoft.com/office/word/2010/wordml" w:rsidP="1798261D" wp14:paraId="6CAF3F81" wp14:textId="3B9887DC">
      <w:pPr>
        <w:pStyle w:val="Heading3"/>
        <w:spacing w:before="281" w:beforeAutospacing="off" w:after="281" w:afterAutospacing="off" w:line="360" w:lineRule="auto"/>
        <w:rPr>
          <w:rFonts w:ascii="Arial" w:hAnsi="Arial" w:eastAsia="Arial" w:cs="Arial" w:asciiTheme="minorAscii" w:hAnsiTheme="minorAscii" w:eastAsiaTheme="minorAscii" w:cstheme="minorAscii"/>
          <w:b w:val="1"/>
          <w:bCs w:val="1"/>
          <w:noProof w:val="0"/>
          <w:color w:val="auto"/>
          <w:sz w:val="22"/>
          <w:szCs w:val="22"/>
          <w:lang w:val="en-US"/>
        </w:rPr>
      </w:pPr>
    </w:p>
    <w:p xmlns:wp14="http://schemas.microsoft.com/office/word/2010/wordml" w:rsidP="1798261D" wp14:paraId="1F3C2FDE" wp14:textId="40E43657">
      <w:pPr>
        <w:pStyle w:val="Heading3"/>
        <w:spacing w:before="281" w:beforeAutospacing="off" w:after="281" w:afterAutospacing="off" w:line="360" w:lineRule="auto"/>
        <w:rPr>
          <w:rFonts w:ascii="Arial" w:hAnsi="Arial" w:eastAsia="Arial" w:cs="Arial" w:asciiTheme="minorAscii" w:hAnsiTheme="minorAscii" w:eastAsiaTheme="minorAscii" w:cstheme="minorAscii"/>
          <w:b w:val="1"/>
          <w:bCs w:val="1"/>
          <w:noProof w:val="0"/>
          <w:color w:val="auto"/>
          <w:sz w:val="22"/>
          <w:szCs w:val="22"/>
          <w:lang w:val="en-US"/>
        </w:rPr>
      </w:pPr>
    </w:p>
    <w:p xmlns:wp14="http://schemas.microsoft.com/office/word/2010/wordml" w:rsidP="1798261D" wp14:paraId="7179311B" wp14:textId="54555986">
      <w:pPr>
        <w:pStyle w:val="Heading3"/>
        <w:spacing w:before="281" w:beforeAutospacing="off" w:after="281" w:afterAutospacing="off" w:line="360" w:lineRule="auto"/>
        <w:rPr>
          <w:rFonts w:ascii="Arial" w:hAnsi="Arial" w:eastAsia="Arial" w:cs="Arial" w:asciiTheme="minorAscii" w:hAnsiTheme="minorAscii" w:eastAsiaTheme="minorAscii" w:cstheme="minorAscii"/>
          <w:b w:val="1"/>
          <w:bCs w:val="1"/>
          <w:noProof w:val="0"/>
          <w:color w:val="auto"/>
          <w:sz w:val="22"/>
          <w:szCs w:val="22"/>
          <w:lang w:val="en-US"/>
        </w:rPr>
      </w:pPr>
    </w:p>
    <w:p xmlns:wp14="http://schemas.microsoft.com/office/word/2010/wordml" w:rsidP="1798261D" wp14:paraId="35AA1469" wp14:textId="77C8C4A4">
      <w:pPr>
        <w:pStyle w:val="Heading3"/>
        <w:spacing w:before="281" w:beforeAutospacing="off" w:after="281" w:afterAutospacing="off" w:line="360" w:lineRule="auto"/>
        <w:rPr>
          <w:rFonts w:ascii="Arial" w:hAnsi="Arial" w:eastAsia="Arial" w:cs="Arial" w:asciiTheme="minorAscii" w:hAnsiTheme="minorAscii" w:eastAsiaTheme="minorAscii" w:cstheme="minorAscii"/>
          <w:b w:val="1"/>
          <w:bCs w:val="1"/>
          <w:noProof w:val="0"/>
          <w:color w:val="auto"/>
          <w:sz w:val="22"/>
          <w:szCs w:val="22"/>
          <w:lang w:val="en-US"/>
        </w:rPr>
      </w:pPr>
    </w:p>
    <w:p xmlns:wp14="http://schemas.microsoft.com/office/word/2010/wordml" w:rsidP="1798261D" wp14:paraId="231D278B" wp14:textId="2DC18A89">
      <w:pPr>
        <w:pStyle w:val="Heading3"/>
        <w:spacing w:before="281" w:beforeAutospacing="off" w:after="281" w:afterAutospacing="off" w:line="360" w:lineRule="auto"/>
        <w:rPr>
          <w:rFonts w:ascii="Arial" w:hAnsi="Arial" w:eastAsia="Arial" w:cs="Arial" w:asciiTheme="minorAscii" w:hAnsiTheme="minorAscii" w:eastAsiaTheme="minorAscii" w:cstheme="minorAscii"/>
          <w:b w:val="1"/>
          <w:bCs w:val="1"/>
          <w:noProof w:val="0"/>
          <w:color w:val="auto"/>
          <w:sz w:val="22"/>
          <w:szCs w:val="22"/>
          <w:lang w:val="en-US"/>
        </w:rPr>
      </w:pPr>
    </w:p>
    <w:p xmlns:wp14="http://schemas.microsoft.com/office/word/2010/wordml" w:rsidP="1798261D" wp14:paraId="579C5227" wp14:textId="48ADF17D">
      <w:pPr>
        <w:spacing w:before="281" w:beforeAutospacing="off" w:after="281" w:afterAutospacing="off" w:line="360" w:lineRule="auto"/>
        <w:rPr>
          <w:rFonts w:ascii="Arial" w:hAnsi="Arial" w:eastAsia="Arial" w:cs="Arial" w:asciiTheme="minorAscii" w:hAnsiTheme="minorAscii" w:eastAsiaTheme="minorAscii" w:cstheme="minorAscii"/>
          <w:noProof w:val="0"/>
          <w:color w:val="auto"/>
          <w:sz w:val="22"/>
          <w:szCs w:val="22"/>
          <w:lang w:val="en-US"/>
        </w:rPr>
      </w:pPr>
    </w:p>
    <w:p xmlns:wp14="http://schemas.microsoft.com/office/word/2010/wordml" w:rsidP="1798261D" wp14:paraId="2FC6D4DD" wp14:textId="293CF057">
      <w:pPr>
        <w:spacing w:before="281" w:beforeAutospacing="off" w:after="281" w:afterAutospacing="off" w:line="360" w:lineRule="auto"/>
        <w:rPr>
          <w:rFonts w:ascii="Arial" w:hAnsi="Arial" w:eastAsia="Arial" w:cs="Arial" w:asciiTheme="minorAscii" w:hAnsiTheme="minorAscii" w:eastAsiaTheme="minorAscii" w:cstheme="minorAscii"/>
          <w:noProof w:val="0"/>
          <w:color w:val="auto"/>
          <w:sz w:val="22"/>
          <w:szCs w:val="22"/>
          <w:lang w:val="en-US"/>
        </w:rPr>
      </w:pPr>
    </w:p>
    <w:p xmlns:wp14="http://schemas.microsoft.com/office/word/2010/wordml" w:rsidP="1798261D" wp14:paraId="3A01C266" wp14:textId="033691B4">
      <w:pPr>
        <w:spacing w:before="281" w:beforeAutospacing="off" w:after="281" w:afterAutospacing="off" w:line="360" w:lineRule="auto"/>
        <w:rPr>
          <w:rFonts w:ascii="Arial" w:hAnsi="Arial" w:eastAsia="Arial" w:cs="Arial" w:asciiTheme="minorAscii" w:hAnsiTheme="minorAscii" w:eastAsiaTheme="minorAscii" w:cstheme="minorAscii"/>
          <w:b w:val="1"/>
          <w:bCs w:val="1"/>
          <w:noProof w:val="0"/>
          <w:color w:val="auto"/>
          <w:sz w:val="22"/>
          <w:szCs w:val="22"/>
          <w:lang w:val="en-US"/>
        </w:rPr>
      </w:pPr>
      <w:r w:rsidRPr="1798261D" w:rsidR="46EED77D">
        <w:rPr>
          <w:rFonts w:ascii="Arial" w:hAnsi="Arial" w:eastAsia="Arial" w:cs="Arial" w:asciiTheme="minorAscii" w:hAnsiTheme="minorAscii" w:eastAsiaTheme="minorAscii" w:cstheme="minorAscii"/>
          <w:noProof w:val="0"/>
          <w:color w:val="auto"/>
          <w:sz w:val="22"/>
          <w:szCs w:val="22"/>
          <w:lang w:val="en-US"/>
        </w:rPr>
        <w:t xml:space="preserve"> </w:t>
      </w:r>
      <w:r w:rsidRPr="1798261D" w:rsidR="04F39F36">
        <w:rPr>
          <w:rFonts w:ascii="Arial" w:hAnsi="Arial" w:eastAsia="Arial" w:cs="Arial" w:asciiTheme="minorAscii" w:hAnsiTheme="minorAscii" w:eastAsiaTheme="minorAscii" w:cstheme="minorAscii"/>
          <w:b w:val="1"/>
          <w:bCs w:val="1"/>
          <w:noProof w:val="0"/>
          <w:color w:val="auto"/>
          <w:sz w:val="22"/>
          <w:szCs w:val="22"/>
          <w:lang w:val="en-US"/>
        </w:rPr>
        <w:t>Introduction</w:t>
      </w:r>
    </w:p>
    <w:p xmlns:wp14="http://schemas.microsoft.com/office/word/2010/wordml" w:rsidP="1798261D" wp14:paraId="44E17C7C" wp14:textId="752C3E2E">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US"/>
        </w:rPr>
      </w:pPr>
      <w:r w:rsidRPr="1798261D" w:rsidR="04F39F36">
        <w:rPr>
          <w:rFonts w:ascii="Arial" w:hAnsi="Arial" w:eastAsia="Arial" w:cs="Arial" w:asciiTheme="minorAscii" w:hAnsiTheme="minorAscii" w:eastAsiaTheme="minorAscii" w:cstheme="minorAscii"/>
          <w:noProof w:val="0"/>
          <w:color w:val="auto"/>
          <w:sz w:val="22"/>
          <w:szCs w:val="22"/>
          <w:lang w:val="en-US"/>
        </w:rPr>
        <w:t>The mental health service of the local community provides essential preventive and ongoing care in people’s own homes and neighborhoods, including therapy</w:t>
      </w:r>
      <w:r w:rsidRPr="1798261D" w:rsidR="02ACB208">
        <w:rPr>
          <w:rFonts w:ascii="Arial" w:hAnsi="Arial" w:eastAsia="Arial" w:cs="Arial"/>
          <w:noProof w:val="0"/>
          <w:sz w:val="22"/>
          <w:szCs w:val="22"/>
          <w:lang w:val="en-US"/>
        </w:rPr>
        <w:t>, medication management,</w:t>
      </w:r>
      <w:r w:rsidRPr="1798261D" w:rsidR="04F39F36">
        <w:rPr>
          <w:rFonts w:ascii="Arial" w:hAnsi="Arial" w:eastAsia="Arial" w:cs="Arial" w:asciiTheme="minorAscii" w:hAnsiTheme="minorAscii" w:eastAsiaTheme="minorAscii" w:cstheme="minorAscii"/>
          <w:noProof w:val="0"/>
          <w:color w:val="auto"/>
          <w:sz w:val="22"/>
          <w:szCs w:val="22"/>
          <w:lang w:val="en-US"/>
        </w:rPr>
        <w:t xml:space="preserve"> </w:t>
      </w:r>
      <w:r w:rsidRPr="1798261D" w:rsidR="46EED77D">
        <w:rPr>
          <w:rFonts w:ascii="Arial" w:hAnsi="Arial" w:eastAsia="Arial" w:cs="Arial" w:asciiTheme="minorAscii" w:hAnsiTheme="minorAscii" w:eastAsiaTheme="minorAscii" w:cstheme="minorAscii"/>
          <w:noProof w:val="0"/>
          <w:color w:val="auto"/>
          <w:sz w:val="22"/>
          <w:szCs w:val="22"/>
          <w:lang w:val="en-US"/>
        </w:rPr>
        <w:t xml:space="preserve">crisis </w:t>
      </w:r>
      <w:r w:rsidRPr="1798261D" w:rsidR="46EED77D">
        <w:rPr>
          <w:rFonts w:ascii="Arial" w:hAnsi="Arial" w:eastAsia="Arial" w:cs="Arial" w:asciiTheme="minorAscii" w:hAnsiTheme="minorAscii" w:eastAsiaTheme="minorAscii" w:cstheme="minorAscii"/>
          <w:noProof w:val="0"/>
          <w:color w:val="auto"/>
          <w:sz w:val="22"/>
          <w:szCs w:val="22"/>
          <w:lang w:val="en-US"/>
        </w:rPr>
        <w:t>intervention</w:t>
      </w:r>
      <w:r w:rsidRPr="1798261D" w:rsidR="46EED77D">
        <w:rPr>
          <w:rFonts w:ascii="Arial" w:hAnsi="Arial" w:eastAsia="Arial" w:cs="Arial" w:asciiTheme="minorAscii" w:hAnsiTheme="minorAscii" w:eastAsiaTheme="minorAscii" w:cstheme="minorAscii"/>
          <w:noProof w:val="0"/>
          <w:color w:val="auto"/>
          <w:sz w:val="22"/>
          <w:szCs w:val="22"/>
          <w:lang w:val="en-US"/>
        </w:rPr>
        <w:t xml:space="preserve"> and reintegration into society. In </w:t>
      </w:r>
      <w:r w:rsidRPr="1798261D" w:rsidR="20B41927">
        <w:rPr>
          <w:rFonts w:ascii="Arial" w:hAnsi="Arial" w:eastAsia="Arial" w:cs="Arial" w:asciiTheme="minorAscii" w:hAnsiTheme="minorAscii" w:eastAsiaTheme="minorAscii" w:cstheme="minorAscii"/>
          <w:noProof w:val="0"/>
          <w:color w:val="auto"/>
          <w:sz w:val="22"/>
          <w:szCs w:val="22"/>
          <w:lang w:val="en-US"/>
        </w:rPr>
        <w:t>Birmingham</w:t>
      </w:r>
      <w:r w:rsidRPr="1798261D" w:rsidR="46EED77D">
        <w:rPr>
          <w:rFonts w:ascii="Arial" w:hAnsi="Arial" w:eastAsia="Arial" w:cs="Arial" w:asciiTheme="minorAscii" w:hAnsiTheme="minorAscii" w:eastAsiaTheme="minorAscii" w:cstheme="minorAscii"/>
          <w:noProof w:val="0"/>
          <w:color w:val="auto"/>
          <w:sz w:val="22"/>
          <w:szCs w:val="22"/>
          <w:lang w:val="en-US"/>
        </w:rPr>
        <w:t xml:space="preserve"> these services are under extreme pressure, with growing waiting lists, reduced capacity and the lack of care gaps leaving vulnerable people without </w:t>
      </w:r>
      <w:r w:rsidRPr="1798261D" w:rsidR="46EED77D">
        <w:rPr>
          <w:rFonts w:ascii="Arial" w:hAnsi="Arial" w:eastAsia="Arial" w:cs="Arial" w:asciiTheme="minorAscii" w:hAnsiTheme="minorAscii" w:eastAsiaTheme="minorAscii" w:cstheme="minorAscii"/>
          <w:noProof w:val="0"/>
          <w:color w:val="auto"/>
          <w:sz w:val="22"/>
          <w:szCs w:val="22"/>
          <w:lang w:val="en-US"/>
        </w:rPr>
        <w:t>timely</w:t>
      </w:r>
      <w:r w:rsidRPr="1798261D" w:rsidR="46EED77D">
        <w:rPr>
          <w:rFonts w:ascii="Arial" w:hAnsi="Arial" w:eastAsia="Arial" w:cs="Arial" w:asciiTheme="minorAscii" w:hAnsiTheme="minorAscii" w:eastAsiaTheme="minorAscii" w:cstheme="minorAscii"/>
          <w:noProof w:val="0"/>
          <w:color w:val="auto"/>
          <w:sz w:val="22"/>
          <w:szCs w:val="22"/>
          <w:lang w:val="en-US"/>
        </w:rPr>
        <w:t xml:space="preserve"> support. This report argues that these shortages are more than a problem in the delivery of the service: they are also a violation of statutory duty under the Care Act 2014, which places individual well-being, including mental health, at the center of local authorities’ responsibilities. It is Section 1 that enshrines mental and emotional health as a priority duty, requiring councils to promote independence and help people to live independently (Care Act, 2014, Section 1).</w:t>
      </w:r>
    </w:p>
    <w:p xmlns:wp14="http://schemas.microsoft.com/office/word/2010/wordml" w:rsidP="1798261D" wp14:paraId="364A286E" wp14:textId="32613366">
      <w:pPr>
        <w:pStyle w:val="Normal"/>
        <w:spacing w:line="360" w:lineRule="auto"/>
        <w:rPr>
          <w:rFonts w:ascii="Arial" w:hAnsi="Arial" w:eastAsia="Arial" w:cs="Arial" w:asciiTheme="minorAscii" w:hAnsiTheme="minorAscii" w:eastAsiaTheme="minorAscii" w:cstheme="minorAscii"/>
          <w:b w:val="1"/>
          <w:bCs w:val="1"/>
          <w:noProof w:val="0"/>
          <w:color w:val="auto"/>
          <w:sz w:val="22"/>
          <w:szCs w:val="22"/>
          <w:lang w:val="en-US"/>
        </w:rPr>
      </w:pPr>
      <w:r w:rsidRPr="1798261D" w:rsidR="50E8ABD7">
        <w:rPr>
          <w:rFonts w:ascii="Arial" w:hAnsi="Arial" w:eastAsia="Arial" w:cs="Arial" w:asciiTheme="minorAscii" w:hAnsiTheme="minorAscii" w:eastAsiaTheme="minorAscii" w:cstheme="minorAscii"/>
          <w:b w:val="1"/>
          <w:bCs w:val="1"/>
          <w:noProof w:val="0"/>
          <w:color w:val="auto"/>
          <w:sz w:val="22"/>
          <w:szCs w:val="22"/>
          <w:lang w:val="en-US"/>
        </w:rPr>
        <w:t>Impact on the Community</w:t>
      </w:r>
    </w:p>
    <w:p xmlns:wp14="http://schemas.microsoft.com/office/word/2010/wordml" w:rsidP="1798261D" wp14:paraId="1B490261" wp14:textId="2EAC1D0C">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color w:val="auto"/>
          <w:sz w:val="22"/>
          <w:szCs w:val="22"/>
          <w:lang w:val="en-US"/>
        </w:rPr>
      </w:pPr>
      <w:r w:rsidRPr="1798261D" w:rsidR="13BE880D">
        <w:rPr>
          <w:rFonts w:ascii="Arial" w:hAnsi="Arial" w:eastAsia="Arial" w:cs="Arial" w:asciiTheme="minorAscii" w:hAnsiTheme="minorAscii" w:eastAsiaTheme="minorAscii" w:cstheme="minorAscii"/>
          <w:b w:val="0"/>
          <w:bCs w:val="0"/>
          <w:noProof w:val="0"/>
          <w:color w:val="auto"/>
          <w:sz w:val="22"/>
          <w:szCs w:val="22"/>
          <w:lang w:val="en-US"/>
        </w:rPr>
        <w:t xml:space="preserve">Community mental health services are the </w:t>
      </w:r>
      <w:r w:rsidRPr="1798261D" w:rsidR="7F17EF9F">
        <w:rPr>
          <w:rFonts w:ascii="Arial" w:hAnsi="Arial" w:eastAsia="Arial" w:cs="Arial" w:asciiTheme="minorAscii" w:hAnsiTheme="minorAscii" w:eastAsiaTheme="minorAscii" w:cstheme="minorAscii"/>
          <w:b w:val="0"/>
          <w:bCs w:val="0"/>
          <w:noProof w:val="0"/>
          <w:color w:val="auto"/>
          <w:sz w:val="22"/>
          <w:szCs w:val="22"/>
          <w:lang w:val="en-US"/>
        </w:rPr>
        <w:t>basis</w:t>
      </w:r>
      <w:r w:rsidRPr="1798261D" w:rsidR="13BE880D">
        <w:rPr>
          <w:rFonts w:ascii="Arial" w:hAnsi="Arial" w:eastAsia="Arial" w:cs="Arial" w:asciiTheme="minorAscii" w:hAnsiTheme="minorAscii" w:eastAsiaTheme="minorAscii" w:cstheme="minorAscii"/>
          <w:b w:val="0"/>
          <w:bCs w:val="0"/>
          <w:noProof w:val="0"/>
          <w:color w:val="auto"/>
          <w:sz w:val="22"/>
          <w:szCs w:val="22"/>
          <w:lang w:val="en-US"/>
        </w:rPr>
        <w:t xml:space="preserve"> of </w:t>
      </w:r>
      <w:r w:rsidRPr="1798261D" w:rsidR="13BE880D">
        <w:rPr>
          <w:rFonts w:ascii="Arial" w:hAnsi="Arial" w:eastAsia="Arial" w:cs="Arial" w:asciiTheme="minorAscii" w:hAnsiTheme="minorAscii" w:eastAsiaTheme="minorAscii" w:cstheme="minorAscii"/>
          <w:b w:val="0"/>
          <w:bCs w:val="0"/>
          <w:noProof w:val="0"/>
          <w:color w:val="auto"/>
          <w:sz w:val="22"/>
          <w:szCs w:val="22"/>
          <w:lang w:val="en-US"/>
        </w:rPr>
        <w:t>an equitable</w:t>
      </w:r>
      <w:r w:rsidRPr="1798261D" w:rsidR="13BE880D">
        <w:rPr>
          <w:rFonts w:ascii="Arial" w:hAnsi="Arial" w:eastAsia="Arial" w:cs="Arial" w:asciiTheme="minorAscii" w:hAnsiTheme="minorAscii" w:eastAsiaTheme="minorAscii" w:cstheme="minorAscii"/>
          <w:b w:val="0"/>
          <w:bCs w:val="0"/>
          <w:noProof w:val="0"/>
          <w:color w:val="auto"/>
          <w:sz w:val="22"/>
          <w:szCs w:val="22"/>
          <w:lang w:val="en-US"/>
        </w:rPr>
        <w:t xml:space="preserve"> and responsive care system. They are </w:t>
      </w:r>
      <w:r w:rsidRPr="1798261D" w:rsidR="13BE880D">
        <w:rPr>
          <w:rFonts w:ascii="Arial" w:hAnsi="Arial" w:eastAsia="Arial" w:cs="Arial" w:asciiTheme="minorAscii" w:hAnsiTheme="minorAscii" w:eastAsiaTheme="minorAscii" w:cstheme="minorAscii"/>
          <w:b w:val="0"/>
          <w:bCs w:val="0"/>
          <w:noProof w:val="0"/>
          <w:color w:val="auto"/>
          <w:sz w:val="22"/>
          <w:szCs w:val="22"/>
          <w:lang w:val="en-US"/>
        </w:rPr>
        <w:t>required</w:t>
      </w:r>
      <w:r w:rsidRPr="1798261D" w:rsidR="13BE880D">
        <w:rPr>
          <w:rFonts w:ascii="Arial" w:hAnsi="Arial" w:eastAsia="Arial" w:cs="Arial" w:asciiTheme="minorAscii" w:hAnsiTheme="minorAscii" w:eastAsiaTheme="minorAscii" w:cstheme="minorAscii"/>
          <w:b w:val="0"/>
          <w:bCs w:val="0"/>
          <w:noProof w:val="0"/>
          <w:color w:val="auto"/>
          <w:sz w:val="22"/>
          <w:szCs w:val="22"/>
          <w:lang w:val="en-US"/>
        </w:rPr>
        <w:t xml:space="preserve"> because around one in six adults in England have a mental health problem at any one time, and early intervention in community settings has been shown to reduce crises, hospitalizations, and long-term costs (NHS Digital, 2024). Without access to community services, mild or moderate problems can progress to severe and persistent illnesses, while people with multiple problems may lose the stability needed to remain in their homes, jobs, and relationships.</w:t>
      </w:r>
    </w:p>
    <w:p xmlns:wp14="http://schemas.microsoft.com/office/word/2010/wordml" w:rsidP="1798261D" wp14:paraId="79697B2D" wp14:textId="7EA08B0D">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color w:val="auto"/>
          <w:sz w:val="22"/>
          <w:szCs w:val="22"/>
          <w:lang w:val="en-US"/>
        </w:rPr>
      </w:pPr>
      <w:r w:rsidRPr="1798261D" w:rsidR="13BE880D">
        <w:rPr>
          <w:rFonts w:ascii="Arial" w:hAnsi="Arial" w:eastAsia="Arial" w:cs="Arial" w:asciiTheme="minorAscii" w:hAnsiTheme="minorAscii" w:eastAsiaTheme="minorAscii" w:cstheme="minorAscii"/>
          <w:b w:val="0"/>
          <w:bCs w:val="0"/>
          <w:noProof w:val="0"/>
          <w:color w:val="auto"/>
          <w:sz w:val="22"/>
          <w:szCs w:val="22"/>
          <w:lang w:val="en-US"/>
        </w:rPr>
        <w:t>The current shortage is already having an impact on individuals.</w:t>
      </w:r>
      <w:r w:rsidRPr="1798261D" w:rsidR="13BE880D">
        <w:rPr>
          <w:rFonts w:ascii="Arial" w:hAnsi="Arial" w:eastAsia="Arial" w:cs="Arial" w:asciiTheme="minorAscii" w:hAnsiTheme="minorAscii" w:eastAsiaTheme="minorAscii" w:cstheme="minorAscii"/>
          <w:b w:val="0"/>
          <w:bCs w:val="0"/>
          <w:noProof w:val="0"/>
          <w:color w:val="auto"/>
          <w:sz w:val="22"/>
          <w:szCs w:val="22"/>
          <w:lang w:val="en-US"/>
        </w:rPr>
        <w:t xml:space="preserve"> Increased </w:t>
      </w:r>
      <w:r w:rsidRPr="1798261D" w:rsidR="381F2627">
        <w:rPr>
          <w:rFonts w:ascii="Arial" w:hAnsi="Arial" w:eastAsia="Arial" w:cs="Arial" w:asciiTheme="minorAscii" w:hAnsiTheme="minorAscii" w:eastAsiaTheme="minorAscii" w:cstheme="minorAscii"/>
          <w:b w:val="0"/>
          <w:bCs w:val="0"/>
          <w:noProof w:val="0"/>
          <w:color w:val="auto"/>
          <w:sz w:val="22"/>
          <w:szCs w:val="22"/>
          <w:lang w:val="en-US"/>
        </w:rPr>
        <w:t>waiting</w:t>
      </w:r>
      <w:r w:rsidRPr="1798261D" w:rsidR="13BE880D">
        <w:rPr>
          <w:rFonts w:ascii="Arial" w:hAnsi="Arial" w:eastAsia="Arial" w:cs="Arial" w:asciiTheme="minorAscii" w:hAnsiTheme="minorAscii" w:eastAsiaTheme="minorAscii" w:cstheme="minorAscii"/>
          <w:b w:val="0"/>
          <w:bCs w:val="0"/>
          <w:noProof w:val="0"/>
          <w:color w:val="auto"/>
          <w:sz w:val="22"/>
          <w:szCs w:val="22"/>
          <w:lang w:val="en-US"/>
        </w:rPr>
        <w:t xml:space="preserve"> for treatment means people suffer longer and sometimes get to crisis point before receiving treatment (Mental Health Foundation, 2025). Families and carers </w:t>
      </w:r>
      <w:r w:rsidRPr="1798261D" w:rsidR="67A77424">
        <w:rPr>
          <w:rFonts w:ascii="Arial" w:hAnsi="Arial" w:eastAsia="Arial" w:cs="Arial" w:asciiTheme="minorAscii" w:hAnsiTheme="minorAscii" w:eastAsiaTheme="minorAscii" w:cstheme="minorAscii"/>
          <w:b w:val="0"/>
          <w:bCs w:val="0"/>
          <w:noProof w:val="0"/>
          <w:color w:val="auto"/>
          <w:sz w:val="22"/>
          <w:szCs w:val="22"/>
          <w:lang w:val="en-US"/>
        </w:rPr>
        <w:t>must</w:t>
      </w:r>
      <w:r w:rsidRPr="1798261D" w:rsidR="13BE880D">
        <w:rPr>
          <w:rFonts w:ascii="Arial" w:hAnsi="Arial" w:eastAsia="Arial" w:cs="Arial" w:asciiTheme="minorAscii" w:hAnsiTheme="minorAscii" w:eastAsiaTheme="minorAscii" w:cstheme="minorAscii"/>
          <w:b w:val="0"/>
          <w:bCs w:val="0"/>
          <w:noProof w:val="0"/>
          <w:color w:val="auto"/>
          <w:sz w:val="22"/>
          <w:szCs w:val="22"/>
          <w:lang w:val="en-US"/>
        </w:rPr>
        <w:t xml:space="preserve"> take on a greater burden without the help and guidance they need to </w:t>
      </w:r>
      <w:r w:rsidRPr="1798261D" w:rsidR="13BE880D">
        <w:rPr>
          <w:rFonts w:ascii="Arial" w:hAnsi="Arial" w:eastAsia="Arial" w:cs="Arial" w:asciiTheme="minorAscii" w:hAnsiTheme="minorAscii" w:eastAsiaTheme="minorAscii" w:cstheme="minorAscii"/>
          <w:b w:val="0"/>
          <w:bCs w:val="0"/>
          <w:noProof w:val="0"/>
          <w:color w:val="auto"/>
          <w:sz w:val="22"/>
          <w:szCs w:val="22"/>
          <w:lang w:val="en-US"/>
        </w:rPr>
        <w:t>maintain</w:t>
      </w:r>
      <w:r w:rsidRPr="1798261D" w:rsidR="13BE880D">
        <w:rPr>
          <w:rFonts w:ascii="Arial" w:hAnsi="Arial" w:eastAsia="Arial" w:cs="Arial" w:asciiTheme="minorAscii" w:hAnsiTheme="minorAscii" w:eastAsiaTheme="minorAscii" w:cstheme="minorAscii"/>
          <w:b w:val="0"/>
          <w:bCs w:val="0"/>
          <w:noProof w:val="0"/>
          <w:color w:val="auto"/>
          <w:sz w:val="22"/>
          <w:szCs w:val="22"/>
          <w:lang w:val="en-US"/>
        </w:rPr>
        <w:t xml:space="preserve"> their own health, which the Care Act 2014 requires councils to </w:t>
      </w:r>
      <w:r w:rsidRPr="1798261D" w:rsidR="13BE880D">
        <w:rPr>
          <w:rFonts w:ascii="Arial" w:hAnsi="Arial" w:eastAsia="Arial" w:cs="Arial" w:asciiTheme="minorAscii" w:hAnsiTheme="minorAscii" w:eastAsiaTheme="minorAscii" w:cstheme="minorAscii"/>
          <w:b w:val="0"/>
          <w:bCs w:val="0"/>
          <w:noProof w:val="0"/>
          <w:color w:val="auto"/>
          <w:sz w:val="22"/>
          <w:szCs w:val="22"/>
          <w:lang w:val="en-US"/>
        </w:rPr>
        <w:t>assist</w:t>
      </w:r>
      <w:r w:rsidRPr="1798261D" w:rsidR="13BE880D">
        <w:rPr>
          <w:rFonts w:ascii="Arial" w:hAnsi="Arial" w:eastAsia="Arial" w:cs="Arial" w:asciiTheme="minorAscii" w:hAnsiTheme="minorAscii" w:eastAsiaTheme="minorAscii" w:cstheme="minorAscii"/>
          <w:b w:val="0"/>
          <w:bCs w:val="0"/>
          <w:noProof w:val="0"/>
          <w:color w:val="auto"/>
          <w:sz w:val="22"/>
          <w:szCs w:val="22"/>
          <w:lang w:val="en-US"/>
        </w:rPr>
        <w:t xml:space="preserve"> (HM Government, 2015). Gaps in services are particularly </w:t>
      </w:r>
      <w:r w:rsidRPr="1798261D" w:rsidR="13BE880D">
        <w:rPr>
          <w:rFonts w:ascii="Arial" w:hAnsi="Arial" w:eastAsia="Arial" w:cs="Arial" w:asciiTheme="minorAscii" w:hAnsiTheme="minorAscii" w:eastAsiaTheme="minorAscii" w:cstheme="minorAscii"/>
          <w:b w:val="0"/>
          <w:bCs w:val="0"/>
          <w:noProof w:val="0"/>
          <w:color w:val="auto"/>
          <w:sz w:val="22"/>
          <w:szCs w:val="22"/>
          <w:lang w:val="en-US"/>
        </w:rPr>
        <w:t>impacting</w:t>
      </w:r>
      <w:r w:rsidRPr="1798261D" w:rsidR="13BE880D">
        <w:rPr>
          <w:rFonts w:ascii="Arial" w:hAnsi="Arial" w:eastAsia="Arial" w:cs="Arial" w:asciiTheme="minorAscii" w:hAnsiTheme="minorAscii" w:eastAsiaTheme="minorAscii" w:cstheme="minorAscii"/>
          <w:b w:val="0"/>
          <w:bCs w:val="0"/>
          <w:noProof w:val="0"/>
          <w:color w:val="auto"/>
          <w:sz w:val="22"/>
          <w:szCs w:val="22"/>
          <w:lang w:val="en-US"/>
        </w:rPr>
        <w:t xml:space="preserve"> marginalized groups, such as young people, ethnic minorities, and those living in deprived wards, contributing to health disparities that the Care </w:t>
      </w:r>
      <w:r w:rsidRPr="1798261D" w:rsidR="0E2D0412">
        <w:rPr>
          <w:rFonts w:ascii="Arial" w:hAnsi="Arial" w:eastAsia="Arial" w:cs="Arial" w:asciiTheme="minorAscii" w:hAnsiTheme="minorAscii" w:eastAsiaTheme="minorAscii" w:cstheme="minorAscii"/>
          <w:b w:val="0"/>
          <w:bCs w:val="0"/>
          <w:noProof w:val="0"/>
          <w:color w:val="auto"/>
          <w:sz w:val="22"/>
          <w:szCs w:val="22"/>
          <w:lang w:val="en-US"/>
        </w:rPr>
        <w:t>Act</w:t>
      </w:r>
      <w:r w:rsidRPr="1798261D" w:rsidR="13BE880D">
        <w:rPr>
          <w:rFonts w:ascii="Arial" w:hAnsi="Arial" w:eastAsia="Arial" w:cs="Arial" w:asciiTheme="minorAscii" w:hAnsiTheme="minorAscii" w:eastAsiaTheme="minorAscii" w:cstheme="minorAscii"/>
          <w:b w:val="0"/>
          <w:bCs w:val="0"/>
          <w:noProof w:val="0"/>
          <w:color w:val="auto"/>
          <w:sz w:val="22"/>
          <w:szCs w:val="22"/>
          <w:lang w:val="en-US"/>
        </w:rPr>
        <w:t xml:space="preserve"> is trying to eliminate (Care Act 2014, s.1(3)).</w:t>
      </w:r>
    </w:p>
    <w:p xmlns:wp14="http://schemas.microsoft.com/office/word/2010/wordml" w:rsidP="1798261D" wp14:paraId="2084350F" wp14:textId="412D656B">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color w:val="auto"/>
          <w:sz w:val="22"/>
          <w:szCs w:val="22"/>
          <w:lang w:val="en-US"/>
        </w:rPr>
      </w:pPr>
      <w:r w:rsidRPr="1798261D" w:rsidR="13BE880D">
        <w:rPr>
          <w:rFonts w:ascii="Arial" w:hAnsi="Arial" w:eastAsia="Arial" w:cs="Arial" w:asciiTheme="minorAscii" w:hAnsiTheme="minorAscii" w:eastAsiaTheme="minorAscii" w:cstheme="minorAscii"/>
          <w:b w:val="0"/>
          <w:bCs w:val="0"/>
          <w:noProof w:val="0"/>
          <w:color w:val="auto"/>
          <w:sz w:val="22"/>
          <w:szCs w:val="22"/>
          <w:lang w:val="en-US"/>
        </w:rPr>
        <w:t xml:space="preserve">Legally, these gaps contradict the well-being principle in Part 1. Section 1(2)(b) of the Act makes it a protected right for physical and mental health and emotional well-becoming rather than a discretionary service. </w:t>
      </w:r>
      <w:r w:rsidRPr="1798261D" w:rsidR="13BE880D">
        <w:rPr>
          <w:rFonts w:ascii="Arial" w:hAnsi="Arial" w:eastAsia="Arial" w:cs="Arial" w:asciiTheme="minorAscii" w:hAnsiTheme="minorAscii" w:eastAsiaTheme="minorAscii" w:cstheme="minorAscii"/>
          <w:b w:val="0"/>
          <w:bCs w:val="0"/>
          <w:noProof w:val="0"/>
          <w:color w:val="auto"/>
          <w:sz w:val="22"/>
          <w:szCs w:val="22"/>
          <w:lang w:val="en-US"/>
        </w:rPr>
        <w:t>When an individual is unable to access community services, the authority fails to prevent needs from escalating.</w:t>
      </w:r>
      <w:r w:rsidRPr="1798261D" w:rsidR="13BE880D">
        <w:rPr>
          <w:rFonts w:ascii="Arial" w:hAnsi="Arial" w:eastAsia="Arial" w:cs="Arial" w:asciiTheme="minorAscii" w:hAnsiTheme="minorAscii" w:eastAsiaTheme="minorAscii" w:cstheme="minorAscii"/>
          <w:b w:val="0"/>
          <w:bCs w:val="0"/>
          <w:noProof w:val="0"/>
          <w:color w:val="auto"/>
          <w:sz w:val="22"/>
          <w:szCs w:val="22"/>
          <w:lang w:val="en-US"/>
        </w:rPr>
        <w:t xml:space="preserve"> This violates section 1(3)(c)'s call for a focus on prevention and early intervention. Eligibility assessments under s.9 confirm that any need that is the result of mental impairment or similar conditions triggers a duty to arrange care and support where they </w:t>
      </w:r>
      <w:r w:rsidRPr="1798261D" w:rsidR="13BE880D">
        <w:rPr>
          <w:rFonts w:ascii="Arial" w:hAnsi="Arial" w:eastAsia="Arial" w:cs="Arial" w:asciiTheme="minorAscii" w:hAnsiTheme="minorAscii" w:eastAsiaTheme="minorAscii" w:cstheme="minorAscii"/>
          <w:b w:val="0"/>
          <w:bCs w:val="0"/>
          <w:noProof w:val="0"/>
          <w:color w:val="auto"/>
          <w:sz w:val="22"/>
          <w:szCs w:val="22"/>
          <w:lang w:val="en-US"/>
        </w:rPr>
        <w:t>impact</w:t>
      </w:r>
      <w:r w:rsidRPr="1798261D" w:rsidR="13BE880D">
        <w:rPr>
          <w:rFonts w:ascii="Arial" w:hAnsi="Arial" w:eastAsia="Arial" w:cs="Arial" w:asciiTheme="minorAscii" w:hAnsiTheme="minorAscii" w:eastAsiaTheme="minorAscii" w:cstheme="minorAscii"/>
          <w:b w:val="0"/>
          <w:bCs w:val="0"/>
          <w:noProof w:val="0"/>
          <w:color w:val="auto"/>
          <w:sz w:val="22"/>
          <w:szCs w:val="22"/>
          <w:lang w:val="en-US"/>
        </w:rPr>
        <w:t xml:space="preserve"> well</w:t>
      </w:r>
      <w:r w:rsidRPr="1798261D" w:rsidR="1353D716">
        <w:rPr>
          <w:rFonts w:ascii="Arial" w:hAnsi="Arial" w:eastAsia="Arial" w:cs="Arial" w:asciiTheme="minorAscii" w:hAnsiTheme="minorAscii" w:eastAsiaTheme="minorAscii" w:cstheme="minorAscii"/>
          <w:b w:val="0"/>
          <w:bCs w:val="0"/>
          <w:noProof w:val="0"/>
          <w:color w:val="auto"/>
          <w:sz w:val="22"/>
          <w:szCs w:val="22"/>
          <w:lang w:val="en-US"/>
        </w:rPr>
        <w:t>-being</w:t>
      </w:r>
      <w:r w:rsidRPr="1798261D" w:rsidR="13BE880D">
        <w:rPr>
          <w:rFonts w:ascii="Arial" w:hAnsi="Arial" w:eastAsia="Arial" w:cs="Arial" w:asciiTheme="minorAscii" w:hAnsiTheme="minorAscii" w:eastAsiaTheme="minorAscii" w:cstheme="minorAscii"/>
          <w:b w:val="0"/>
          <w:bCs w:val="0"/>
          <w:noProof w:val="0"/>
          <w:color w:val="auto"/>
          <w:sz w:val="22"/>
          <w:szCs w:val="22"/>
          <w:lang w:val="en-US"/>
        </w:rPr>
        <w:t>. This is not possible if the services commissioned are unavailable (Local Government Association, 2023).</w:t>
      </w:r>
    </w:p>
    <w:p xmlns:wp14="http://schemas.microsoft.com/office/word/2010/wordml" w:rsidP="1798261D" wp14:paraId="2AC237C0" wp14:textId="7EB523CE">
      <w:pPr>
        <w:pStyle w:val="Normal"/>
        <w:spacing w:before="240" w:beforeAutospacing="off" w:after="240" w:afterAutospacing="off" w:line="360" w:lineRule="auto"/>
        <w:rPr>
          <w:rFonts w:ascii="Arial" w:hAnsi="Arial" w:eastAsia="Arial" w:cs="Arial" w:asciiTheme="minorAscii" w:hAnsiTheme="minorAscii" w:eastAsiaTheme="minorAscii" w:cstheme="minorAscii"/>
          <w:b w:val="1"/>
          <w:bCs w:val="1"/>
          <w:noProof w:val="0"/>
          <w:color w:val="auto"/>
          <w:sz w:val="22"/>
          <w:szCs w:val="22"/>
          <w:lang w:val="en-US"/>
        </w:rPr>
      </w:pPr>
      <w:r w:rsidRPr="1798261D" w:rsidR="0DB4CD95">
        <w:rPr>
          <w:rFonts w:ascii="Arial" w:hAnsi="Arial" w:eastAsia="Arial" w:cs="Arial" w:asciiTheme="minorAscii" w:hAnsiTheme="minorAscii" w:eastAsiaTheme="minorAscii" w:cstheme="minorAscii"/>
          <w:b w:val="1"/>
          <w:bCs w:val="1"/>
          <w:noProof w:val="0"/>
          <w:color w:val="auto"/>
          <w:sz w:val="22"/>
          <w:szCs w:val="22"/>
          <w:lang w:val="en-US"/>
        </w:rPr>
        <w:t>Recommendations</w:t>
      </w:r>
    </w:p>
    <w:p xmlns:wp14="http://schemas.microsoft.com/office/word/2010/wordml" w:rsidP="1798261D" wp14:paraId="7771217A" wp14:textId="14FC2AF0">
      <w:pPr>
        <w:spacing w:before="240" w:beforeAutospacing="off" w:after="240" w:afterAutospacing="off" w:line="360" w:lineRule="auto"/>
        <w:rPr>
          <w:rFonts w:ascii="Arial" w:hAnsi="Arial" w:eastAsia="Arial" w:cs="Arial" w:asciiTheme="minorAscii" w:hAnsiTheme="minorAscii" w:eastAsiaTheme="minorAscii" w:cstheme="minorAscii"/>
          <w:b w:val="1"/>
          <w:bCs w:val="1"/>
          <w:noProof w:val="0"/>
          <w:color w:val="auto"/>
          <w:sz w:val="22"/>
          <w:szCs w:val="22"/>
          <w:lang w:val="en-US"/>
        </w:rPr>
      </w:pPr>
      <w:r w:rsidRPr="1798261D" w:rsidR="4B8BA46A">
        <w:rPr>
          <w:rFonts w:ascii="Arial" w:hAnsi="Arial" w:eastAsia="Arial" w:cs="Arial" w:asciiTheme="minorAscii" w:hAnsiTheme="minorAscii" w:eastAsiaTheme="minorAscii" w:cstheme="minorAscii"/>
          <w:b w:val="1"/>
          <w:bCs w:val="1"/>
          <w:noProof w:val="0"/>
          <w:color w:val="auto"/>
          <w:sz w:val="22"/>
          <w:szCs w:val="22"/>
          <w:lang w:val="en-US"/>
        </w:rPr>
        <w:t>1. Conduct a joint needs assessment with NHS partners and allocate ring-fenced funding</w:t>
      </w:r>
    </w:p>
    <w:p xmlns:wp14="http://schemas.microsoft.com/office/word/2010/wordml" w:rsidP="1798261D" wp14:paraId="098C62DE" wp14:textId="6DFAF169">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color w:val="auto"/>
          <w:sz w:val="22"/>
          <w:szCs w:val="22"/>
          <w:lang w:val="en-US"/>
        </w:rPr>
      </w:pPr>
      <w:r w:rsidRPr="1798261D" w:rsidR="4B8BA46A">
        <w:rPr>
          <w:rFonts w:ascii="Arial" w:hAnsi="Arial" w:eastAsia="Arial" w:cs="Arial" w:asciiTheme="minorAscii" w:hAnsiTheme="minorAscii" w:eastAsiaTheme="minorAscii" w:cstheme="minorAscii"/>
          <w:b w:val="0"/>
          <w:bCs w:val="0"/>
          <w:noProof w:val="0"/>
          <w:color w:val="auto"/>
          <w:sz w:val="22"/>
          <w:szCs w:val="22"/>
          <w:lang w:val="en-US"/>
        </w:rPr>
        <w:t xml:space="preserve">The Care Act </w:t>
      </w:r>
      <w:r w:rsidRPr="1798261D" w:rsidR="4B8BA46A">
        <w:rPr>
          <w:rFonts w:ascii="Arial" w:hAnsi="Arial" w:eastAsia="Arial" w:cs="Arial" w:asciiTheme="minorAscii" w:hAnsiTheme="minorAscii" w:eastAsiaTheme="minorAscii" w:cstheme="minorAscii"/>
          <w:b w:val="0"/>
          <w:bCs w:val="0"/>
          <w:noProof w:val="0"/>
          <w:color w:val="auto"/>
          <w:sz w:val="22"/>
          <w:szCs w:val="22"/>
          <w:lang w:val="en-US"/>
        </w:rPr>
        <w:t>2014 s</w:t>
      </w:r>
      <w:r w:rsidRPr="1798261D" w:rsidR="4B8BA46A">
        <w:rPr>
          <w:rFonts w:ascii="Arial" w:hAnsi="Arial" w:eastAsia="Arial" w:cs="Arial" w:asciiTheme="minorAscii" w:hAnsiTheme="minorAscii" w:eastAsiaTheme="minorAscii" w:cstheme="minorAscii"/>
          <w:b w:val="0"/>
          <w:bCs w:val="0"/>
          <w:noProof w:val="0"/>
          <w:color w:val="auto"/>
          <w:sz w:val="22"/>
          <w:szCs w:val="22"/>
          <w:lang w:val="en-US"/>
        </w:rPr>
        <w:t xml:space="preserve">.3 states that public bodies </w:t>
      </w:r>
      <w:r w:rsidRPr="1798261D" w:rsidR="4B8BA46A">
        <w:rPr>
          <w:rFonts w:ascii="Arial" w:hAnsi="Arial" w:eastAsia="Arial" w:cs="Arial" w:asciiTheme="minorAscii" w:hAnsiTheme="minorAscii" w:eastAsiaTheme="minorAscii" w:cstheme="minorAscii"/>
          <w:b w:val="0"/>
          <w:bCs w:val="0"/>
          <w:noProof w:val="0"/>
          <w:color w:val="auto"/>
          <w:sz w:val="22"/>
          <w:szCs w:val="22"/>
          <w:lang w:val="en-US"/>
        </w:rPr>
        <w:t>are required to</w:t>
      </w:r>
      <w:r w:rsidRPr="1798261D" w:rsidR="4B8BA46A">
        <w:rPr>
          <w:rFonts w:ascii="Arial" w:hAnsi="Arial" w:eastAsia="Arial" w:cs="Arial" w:asciiTheme="minorAscii" w:hAnsiTheme="minorAscii" w:eastAsiaTheme="minorAscii" w:cstheme="minorAscii"/>
          <w:b w:val="0"/>
          <w:bCs w:val="0"/>
          <w:noProof w:val="0"/>
          <w:color w:val="auto"/>
          <w:sz w:val="22"/>
          <w:szCs w:val="22"/>
          <w:lang w:val="en-US"/>
        </w:rPr>
        <w:t xml:space="preserve"> </w:t>
      </w:r>
      <w:r w:rsidRPr="1798261D" w:rsidR="3C143FD2">
        <w:rPr>
          <w:rFonts w:ascii="Arial" w:hAnsi="Arial" w:eastAsia="Arial" w:cs="Arial" w:asciiTheme="minorAscii" w:hAnsiTheme="minorAscii" w:eastAsiaTheme="minorAscii" w:cstheme="minorAscii"/>
          <w:b w:val="0"/>
          <w:bCs w:val="0"/>
          <w:noProof w:val="0"/>
          <w:color w:val="auto"/>
          <w:sz w:val="22"/>
          <w:szCs w:val="22"/>
          <w:lang w:val="en-US"/>
        </w:rPr>
        <w:t>assess</w:t>
      </w:r>
      <w:r w:rsidRPr="1798261D" w:rsidR="4B8BA46A">
        <w:rPr>
          <w:rFonts w:ascii="Arial" w:hAnsi="Arial" w:eastAsia="Arial" w:cs="Arial" w:asciiTheme="minorAscii" w:hAnsiTheme="minorAscii" w:eastAsiaTheme="minorAscii" w:cstheme="minorAscii"/>
          <w:b w:val="0"/>
          <w:bCs w:val="0"/>
          <w:noProof w:val="0"/>
          <w:color w:val="auto"/>
          <w:sz w:val="22"/>
          <w:szCs w:val="22"/>
          <w:lang w:val="en-US"/>
        </w:rPr>
        <w:t xml:space="preserve"> their local population, including carers, and to plan services based on those needs. Birmingham City Council should undertake a specific community mental health needs review within three months, in collaboration with service users and service providers. The Council should then use regular funding to expand multi-disciplinary teams, including psychologists, community psychiatric </w:t>
      </w:r>
      <w:r w:rsidRPr="1798261D" w:rsidR="4B8BA46A">
        <w:rPr>
          <w:rFonts w:ascii="Arial" w:hAnsi="Arial" w:eastAsia="Arial" w:cs="Arial" w:asciiTheme="minorAscii" w:hAnsiTheme="minorAscii" w:eastAsiaTheme="minorAscii" w:cstheme="minorAscii"/>
          <w:b w:val="0"/>
          <w:bCs w:val="0"/>
          <w:noProof w:val="0"/>
          <w:color w:val="auto"/>
          <w:sz w:val="22"/>
          <w:szCs w:val="22"/>
          <w:lang w:val="en-US"/>
        </w:rPr>
        <w:t>nurses</w:t>
      </w:r>
      <w:r w:rsidRPr="1798261D" w:rsidR="4B8BA46A">
        <w:rPr>
          <w:rFonts w:ascii="Arial" w:hAnsi="Arial" w:eastAsia="Arial" w:cs="Arial" w:asciiTheme="minorAscii" w:hAnsiTheme="minorAscii" w:eastAsiaTheme="minorAscii" w:cstheme="minorAscii"/>
          <w:b w:val="0"/>
          <w:bCs w:val="0"/>
          <w:noProof w:val="0"/>
          <w:color w:val="auto"/>
          <w:sz w:val="22"/>
          <w:szCs w:val="22"/>
          <w:lang w:val="en-US"/>
        </w:rPr>
        <w:t xml:space="preserve"> and peer support workers, to meet the identified need.</w:t>
      </w:r>
    </w:p>
    <w:p xmlns:wp14="http://schemas.microsoft.com/office/word/2010/wordml" w:rsidP="1798261D" wp14:paraId="79AE21C3" wp14:textId="0BD61CAA">
      <w:pPr>
        <w:spacing w:before="240" w:beforeAutospacing="off" w:after="240" w:afterAutospacing="off" w:line="360" w:lineRule="auto"/>
        <w:rPr>
          <w:rFonts w:ascii="Arial" w:hAnsi="Arial" w:eastAsia="Arial" w:cs="Arial" w:asciiTheme="minorAscii" w:hAnsiTheme="minorAscii" w:eastAsiaTheme="minorAscii" w:cstheme="minorAscii"/>
          <w:b w:val="1"/>
          <w:bCs w:val="1"/>
          <w:noProof w:val="0"/>
          <w:color w:val="auto"/>
          <w:sz w:val="22"/>
          <w:szCs w:val="22"/>
          <w:lang w:val="en-US"/>
        </w:rPr>
      </w:pPr>
      <w:r w:rsidRPr="1798261D" w:rsidR="4B8BA46A">
        <w:rPr>
          <w:rFonts w:ascii="Arial" w:hAnsi="Arial" w:eastAsia="Arial" w:cs="Arial" w:asciiTheme="minorAscii" w:hAnsiTheme="minorAscii" w:eastAsiaTheme="minorAscii" w:cstheme="minorAscii"/>
          <w:b w:val="1"/>
          <w:bCs w:val="1"/>
          <w:noProof w:val="0"/>
          <w:color w:val="auto"/>
          <w:sz w:val="22"/>
          <w:szCs w:val="22"/>
          <w:lang w:val="en-US"/>
        </w:rPr>
        <w:t>2. Strengthen commissioning and diversify provider capacity</w:t>
      </w:r>
    </w:p>
    <w:p xmlns:wp14="http://schemas.microsoft.com/office/word/2010/wordml" w:rsidP="1798261D" wp14:paraId="2CC0A020" wp14:textId="42CF6716">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color w:val="auto"/>
          <w:sz w:val="22"/>
          <w:szCs w:val="22"/>
          <w:lang w:val="en-US"/>
        </w:rPr>
      </w:pPr>
      <w:r w:rsidRPr="1798261D" w:rsidR="4B8BA46A">
        <w:rPr>
          <w:rFonts w:ascii="Arial" w:hAnsi="Arial" w:eastAsia="Arial" w:cs="Arial" w:asciiTheme="minorAscii" w:hAnsiTheme="minorAscii" w:eastAsiaTheme="minorAscii" w:cstheme="minorAscii"/>
          <w:b w:val="0"/>
          <w:bCs w:val="0"/>
          <w:noProof w:val="0"/>
          <w:color w:val="auto"/>
          <w:sz w:val="22"/>
          <w:szCs w:val="22"/>
          <w:lang w:val="en-US"/>
        </w:rPr>
        <w:t xml:space="preserve">The authority's reliance on too few service providers is a vulnerability. The authority should expand its provider base to include voluntary and community </w:t>
      </w:r>
      <w:r w:rsidRPr="1798261D" w:rsidR="4B8BA46A">
        <w:rPr>
          <w:rFonts w:ascii="Arial" w:hAnsi="Arial" w:eastAsia="Arial" w:cs="Arial" w:asciiTheme="minorAscii" w:hAnsiTheme="minorAscii" w:eastAsiaTheme="minorAscii" w:cstheme="minorAscii"/>
          <w:b w:val="0"/>
          <w:bCs w:val="0"/>
          <w:noProof w:val="0"/>
          <w:color w:val="auto"/>
          <w:sz w:val="22"/>
          <w:szCs w:val="22"/>
          <w:lang w:val="en-US"/>
        </w:rPr>
        <w:t>organisations</w:t>
      </w:r>
      <w:r w:rsidRPr="1798261D" w:rsidR="4B8BA46A">
        <w:rPr>
          <w:rFonts w:ascii="Arial" w:hAnsi="Arial" w:eastAsia="Arial" w:cs="Arial" w:asciiTheme="minorAscii" w:hAnsiTheme="minorAscii" w:eastAsiaTheme="minorAscii" w:cstheme="minorAscii"/>
          <w:b w:val="0"/>
          <w:bCs w:val="0"/>
          <w:noProof w:val="0"/>
          <w:color w:val="auto"/>
          <w:sz w:val="22"/>
          <w:szCs w:val="22"/>
          <w:lang w:val="en-US"/>
        </w:rPr>
        <w:t xml:space="preserve">, particularly those based in under-serviced communities, with well-defined contract terms that reflect the well-being duties of the Care Act. Section 3 of the Act supports collaboration between agencies. Stronger governance will ensure </w:t>
      </w:r>
      <w:r w:rsidRPr="1798261D" w:rsidR="4B8BA46A">
        <w:rPr>
          <w:rFonts w:ascii="Arial" w:hAnsi="Arial" w:eastAsia="Arial" w:cs="Arial" w:asciiTheme="minorAscii" w:hAnsiTheme="minorAscii" w:eastAsiaTheme="minorAscii" w:cstheme="minorAscii"/>
          <w:b w:val="0"/>
          <w:bCs w:val="0"/>
          <w:noProof w:val="0"/>
          <w:color w:val="auto"/>
          <w:sz w:val="22"/>
          <w:szCs w:val="22"/>
          <w:lang w:val="en-US"/>
        </w:rPr>
        <w:t>timely</w:t>
      </w:r>
      <w:r w:rsidRPr="1798261D" w:rsidR="4B8BA46A">
        <w:rPr>
          <w:rFonts w:ascii="Arial" w:hAnsi="Arial" w:eastAsia="Arial" w:cs="Arial" w:asciiTheme="minorAscii" w:hAnsiTheme="minorAscii" w:eastAsiaTheme="minorAscii" w:cstheme="minorAscii"/>
          <w:b w:val="0"/>
          <w:bCs w:val="0"/>
          <w:noProof w:val="0"/>
          <w:color w:val="auto"/>
          <w:sz w:val="22"/>
          <w:szCs w:val="22"/>
          <w:lang w:val="en-US"/>
        </w:rPr>
        <w:t xml:space="preserve"> access to care and person-</w:t>
      </w:r>
      <w:r w:rsidRPr="1798261D" w:rsidR="76A3D843">
        <w:rPr>
          <w:rFonts w:ascii="Arial" w:hAnsi="Arial" w:eastAsia="Arial" w:cs="Arial" w:asciiTheme="minorAscii" w:hAnsiTheme="minorAscii" w:eastAsiaTheme="minorAscii" w:cstheme="minorAscii"/>
          <w:b w:val="0"/>
          <w:bCs w:val="0"/>
          <w:noProof w:val="0"/>
          <w:color w:val="auto"/>
          <w:sz w:val="22"/>
          <w:szCs w:val="22"/>
          <w:lang w:val="en-US"/>
        </w:rPr>
        <w:t>centered</w:t>
      </w:r>
      <w:r w:rsidRPr="1798261D" w:rsidR="4B8BA46A">
        <w:rPr>
          <w:rFonts w:ascii="Arial" w:hAnsi="Arial" w:eastAsia="Arial" w:cs="Arial" w:asciiTheme="minorAscii" w:hAnsiTheme="minorAscii" w:eastAsiaTheme="minorAscii" w:cstheme="minorAscii"/>
          <w:b w:val="0"/>
          <w:bCs w:val="0"/>
          <w:noProof w:val="0"/>
          <w:color w:val="auto"/>
          <w:sz w:val="22"/>
          <w:szCs w:val="22"/>
          <w:lang w:val="en-US"/>
        </w:rPr>
        <w:t xml:space="preserve"> care (Department of Health and Social Care, 2022).</w:t>
      </w:r>
    </w:p>
    <w:p xmlns:wp14="http://schemas.microsoft.com/office/word/2010/wordml" w:rsidP="1798261D" wp14:paraId="11279CF2" wp14:textId="2D6B58A9">
      <w:pPr>
        <w:spacing w:before="240" w:beforeAutospacing="off" w:after="240" w:afterAutospacing="off" w:line="360" w:lineRule="auto"/>
        <w:rPr>
          <w:rFonts w:ascii="Arial" w:hAnsi="Arial" w:eastAsia="Arial" w:cs="Arial" w:asciiTheme="minorAscii" w:hAnsiTheme="minorAscii" w:eastAsiaTheme="minorAscii" w:cstheme="minorAscii"/>
          <w:b w:val="1"/>
          <w:bCs w:val="1"/>
          <w:noProof w:val="0"/>
          <w:color w:val="auto"/>
          <w:sz w:val="22"/>
          <w:szCs w:val="22"/>
          <w:lang w:val="en-US"/>
        </w:rPr>
      </w:pPr>
      <w:r w:rsidRPr="1798261D" w:rsidR="4B8BA46A">
        <w:rPr>
          <w:rFonts w:ascii="Arial" w:hAnsi="Arial" w:eastAsia="Arial" w:cs="Arial" w:asciiTheme="minorAscii" w:hAnsiTheme="minorAscii" w:eastAsiaTheme="minorAscii" w:cstheme="minorAscii"/>
          <w:b w:val="1"/>
          <w:bCs w:val="1"/>
          <w:noProof w:val="0"/>
          <w:color w:val="auto"/>
          <w:sz w:val="22"/>
          <w:szCs w:val="22"/>
          <w:lang w:val="en-US"/>
        </w:rPr>
        <w:t>3. Establish early intervention and carer support pathways</w:t>
      </w:r>
    </w:p>
    <w:p xmlns:wp14="http://schemas.microsoft.com/office/word/2010/wordml" w:rsidP="1798261D" wp14:paraId="5257234A" wp14:textId="6C0233E9">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color w:val="auto"/>
          <w:sz w:val="22"/>
          <w:szCs w:val="22"/>
          <w:lang w:val="en-US"/>
        </w:rPr>
      </w:pPr>
      <w:r w:rsidRPr="1798261D" w:rsidR="4B8BA46A">
        <w:rPr>
          <w:rFonts w:ascii="Arial" w:hAnsi="Arial" w:eastAsia="Arial" w:cs="Arial" w:asciiTheme="minorAscii" w:hAnsiTheme="minorAscii" w:eastAsiaTheme="minorAscii" w:cstheme="minorAscii"/>
          <w:b w:val="0"/>
          <w:bCs w:val="0"/>
          <w:noProof w:val="0"/>
          <w:color w:val="auto"/>
          <w:sz w:val="22"/>
          <w:szCs w:val="22"/>
          <w:lang w:val="en-US"/>
        </w:rPr>
        <w:t>Preventative work is central to the Act. The council should fund targeted early-help services for children, young people, and adults at risk, alongside dedicated carer support - including respite, peer groups, and assessments under s.10. This directly implements s.1(3)(c) duties to delay or reduce care needs and ensures families receive the support they are entitled to (Care Act 2014, s.10).</w:t>
      </w:r>
    </w:p>
    <w:p xmlns:wp14="http://schemas.microsoft.com/office/word/2010/wordml" w:rsidP="1798261D" wp14:paraId="6FDB340E" wp14:textId="54D98B0D">
      <w:pPr>
        <w:spacing w:before="240" w:beforeAutospacing="off" w:after="240" w:afterAutospacing="off" w:line="360" w:lineRule="auto"/>
        <w:rPr>
          <w:rFonts w:ascii="Arial" w:hAnsi="Arial" w:eastAsia="Arial" w:cs="Arial" w:asciiTheme="minorAscii" w:hAnsiTheme="minorAscii" w:eastAsiaTheme="minorAscii" w:cstheme="minorAscii"/>
          <w:b w:val="1"/>
          <w:bCs w:val="1"/>
          <w:noProof w:val="0"/>
          <w:color w:val="auto"/>
          <w:sz w:val="22"/>
          <w:szCs w:val="22"/>
          <w:lang w:val="en-US"/>
        </w:rPr>
      </w:pPr>
      <w:r w:rsidRPr="1798261D" w:rsidR="4B8BA46A">
        <w:rPr>
          <w:rFonts w:ascii="Arial" w:hAnsi="Arial" w:eastAsia="Arial" w:cs="Arial" w:asciiTheme="minorAscii" w:hAnsiTheme="minorAscii" w:eastAsiaTheme="minorAscii" w:cstheme="minorAscii"/>
          <w:b w:val="1"/>
          <w:bCs w:val="1"/>
          <w:noProof w:val="0"/>
          <w:color w:val="auto"/>
          <w:sz w:val="22"/>
          <w:szCs w:val="22"/>
          <w:lang w:val="en-US"/>
        </w:rPr>
        <w:t>4. Publish transparent waiting-time standards and monitoring data</w:t>
      </w:r>
    </w:p>
    <w:p xmlns:wp14="http://schemas.microsoft.com/office/word/2010/wordml" w:rsidP="1798261D" wp14:paraId="5557086A" wp14:textId="1BACEBB6">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color w:val="auto"/>
          <w:sz w:val="22"/>
          <w:szCs w:val="22"/>
          <w:lang w:val="en-US"/>
        </w:rPr>
      </w:pPr>
      <w:r w:rsidRPr="1798261D" w:rsidR="4B8BA46A">
        <w:rPr>
          <w:rFonts w:ascii="Arial" w:hAnsi="Arial" w:eastAsia="Arial" w:cs="Arial" w:asciiTheme="minorAscii" w:hAnsiTheme="minorAscii" w:eastAsiaTheme="minorAscii" w:cstheme="minorAscii"/>
          <w:b w:val="0"/>
          <w:bCs w:val="0"/>
          <w:noProof w:val="0"/>
          <w:color w:val="auto"/>
          <w:sz w:val="22"/>
          <w:szCs w:val="22"/>
          <w:lang w:val="en-US"/>
        </w:rPr>
        <w:t xml:space="preserve">To </w:t>
      </w:r>
      <w:r w:rsidRPr="1798261D" w:rsidR="4B8BA46A">
        <w:rPr>
          <w:rFonts w:ascii="Arial" w:hAnsi="Arial" w:eastAsia="Arial" w:cs="Arial" w:asciiTheme="minorAscii" w:hAnsiTheme="minorAscii" w:eastAsiaTheme="minorAscii" w:cstheme="minorAscii"/>
          <w:b w:val="0"/>
          <w:bCs w:val="0"/>
          <w:noProof w:val="0"/>
          <w:color w:val="auto"/>
          <w:sz w:val="22"/>
          <w:szCs w:val="22"/>
          <w:lang w:val="en-US"/>
        </w:rPr>
        <w:t>demonstrate</w:t>
      </w:r>
      <w:r w:rsidRPr="1798261D" w:rsidR="4B8BA46A">
        <w:rPr>
          <w:rFonts w:ascii="Arial" w:hAnsi="Arial" w:eastAsia="Arial" w:cs="Arial" w:asciiTheme="minorAscii" w:hAnsiTheme="minorAscii" w:eastAsiaTheme="minorAscii" w:cstheme="minorAscii"/>
          <w:b w:val="0"/>
          <w:bCs w:val="0"/>
          <w:noProof w:val="0"/>
          <w:color w:val="auto"/>
          <w:sz w:val="22"/>
          <w:szCs w:val="22"/>
          <w:lang w:val="en-US"/>
        </w:rPr>
        <w:t xml:space="preserve"> accountability, the authority should publish monthly performance against Care Act timescales, with clear escalation routes when delays occur. This reinforces the principle that people must have choice and control over their care - s.1(2)(d) - and enables scrutiny of whether services are </w:t>
      </w:r>
      <w:r w:rsidRPr="1798261D" w:rsidR="49EA9665">
        <w:rPr>
          <w:rFonts w:ascii="Arial" w:hAnsi="Arial" w:eastAsia="Arial" w:cs="Arial" w:asciiTheme="minorAscii" w:hAnsiTheme="minorAscii" w:eastAsiaTheme="minorAscii" w:cstheme="minorAscii"/>
          <w:b w:val="0"/>
          <w:bCs w:val="0"/>
          <w:noProof w:val="0"/>
          <w:color w:val="auto"/>
          <w:sz w:val="22"/>
          <w:szCs w:val="22"/>
          <w:lang w:val="en-US"/>
        </w:rPr>
        <w:t>delivering</w:t>
      </w:r>
      <w:r w:rsidRPr="1798261D" w:rsidR="4B8BA46A">
        <w:rPr>
          <w:rFonts w:ascii="Arial" w:hAnsi="Arial" w:eastAsia="Arial" w:cs="Arial" w:asciiTheme="minorAscii" w:hAnsiTheme="minorAscii" w:eastAsiaTheme="minorAscii" w:cstheme="minorAscii"/>
          <w:b w:val="0"/>
          <w:bCs w:val="0"/>
          <w:noProof w:val="0"/>
          <w:color w:val="auto"/>
          <w:sz w:val="22"/>
          <w:szCs w:val="22"/>
          <w:lang w:val="en-US"/>
        </w:rPr>
        <w:t xml:space="preserve"> legal commitments (Care Act 2014, s.1(2)(d)).</w:t>
      </w:r>
    </w:p>
    <w:p xmlns:wp14="http://schemas.microsoft.com/office/word/2010/wordml" w:rsidP="1798261D" wp14:paraId="12889294" wp14:textId="281FEADC">
      <w:pPr>
        <w:pStyle w:val="Heading3"/>
        <w:spacing w:before="281" w:beforeAutospacing="off" w:after="281" w:afterAutospacing="off" w:line="360" w:lineRule="auto"/>
        <w:rPr>
          <w:rFonts w:ascii="Arial" w:hAnsi="Arial" w:eastAsia="Arial" w:cs="Arial" w:asciiTheme="minorAscii" w:hAnsiTheme="minorAscii" w:eastAsiaTheme="minorAscii" w:cstheme="minorAscii"/>
          <w:b w:val="1"/>
          <w:bCs w:val="1"/>
          <w:noProof w:val="0"/>
          <w:color w:val="auto"/>
          <w:sz w:val="22"/>
          <w:szCs w:val="22"/>
          <w:lang w:val="en-US"/>
        </w:rPr>
      </w:pPr>
      <w:r w:rsidRPr="1798261D" w:rsidR="1D5BA806">
        <w:rPr>
          <w:rFonts w:ascii="Arial" w:hAnsi="Arial" w:eastAsia="Arial" w:cs="Arial" w:asciiTheme="minorAscii" w:hAnsiTheme="minorAscii" w:eastAsiaTheme="minorAscii" w:cstheme="minorAscii"/>
          <w:b w:val="1"/>
          <w:bCs w:val="1"/>
          <w:noProof w:val="0"/>
          <w:color w:val="auto"/>
          <w:sz w:val="22"/>
          <w:szCs w:val="22"/>
          <w:lang w:val="en-US"/>
        </w:rPr>
        <w:t>conclusion</w:t>
      </w:r>
    </w:p>
    <w:p xmlns:wp14="http://schemas.microsoft.com/office/word/2010/wordml" w:rsidP="1798261D" wp14:paraId="6F339365" wp14:textId="232ECBA3">
      <w:pPr>
        <w:spacing w:before="240" w:beforeAutospacing="off" w:after="240" w:afterAutospacing="off" w:line="360" w:lineRule="auto"/>
        <w:rPr>
          <w:rFonts w:ascii="Arial" w:hAnsi="Arial" w:eastAsia="Arial" w:cs="Arial" w:asciiTheme="minorAscii" w:hAnsiTheme="minorAscii" w:eastAsiaTheme="minorAscii" w:cstheme="minorAscii"/>
          <w:b w:val="0"/>
          <w:bCs w:val="0"/>
          <w:noProof w:val="0"/>
          <w:color w:val="auto"/>
          <w:sz w:val="22"/>
          <w:szCs w:val="22"/>
          <w:lang w:val="en-US"/>
        </w:rPr>
      </w:pPr>
      <w:r w:rsidRPr="1798261D" w:rsidR="1D5BA806">
        <w:rPr>
          <w:rFonts w:ascii="Arial" w:hAnsi="Arial" w:eastAsia="Arial" w:cs="Arial" w:asciiTheme="minorAscii" w:hAnsiTheme="minorAscii" w:eastAsiaTheme="minorAscii" w:cstheme="minorAscii"/>
          <w:b w:val="0"/>
          <w:bCs w:val="0"/>
          <w:noProof w:val="0"/>
          <w:color w:val="auto"/>
          <w:sz w:val="22"/>
          <w:szCs w:val="22"/>
          <w:lang w:val="en-US"/>
        </w:rPr>
        <w:t xml:space="preserve">Community mental health services are not an </w:t>
      </w:r>
      <w:r w:rsidRPr="1798261D" w:rsidR="0481A7A2">
        <w:rPr>
          <w:rFonts w:ascii="Arial" w:hAnsi="Arial" w:eastAsia="Arial" w:cs="Arial" w:asciiTheme="minorAscii" w:hAnsiTheme="minorAscii" w:eastAsiaTheme="minorAscii" w:cstheme="minorAscii"/>
          <w:b w:val="0"/>
          <w:bCs w:val="0"/>
          <w:noProof w:val="0"/>
          <w:color w:val="auto"/>
          <w:sz w:val="22"/>
          <w:szCs w:val="22"/>
          <w:lang w:val="en-US"/>
        </w:rPr>
        <w:t>option;</w:t>
      </w:r>
      <w:r w:rsidRPr="1798261D" w:rsidR="1D5BA806">
        <w:rPr>
          <w:rFonts w:ascii="Arial" w:hAnsi="Arial" w:eastAsia="Arial" w:cs="Arial" w:asciiTheme="minorAscii" w:hAnsiTheme="minorAscii" w:eastAsiaTheme="minorAscii" w:cstheme="minorAscii"/>
          <w:b w:val="0"/>
          <w:bCs w:val="0"/>
          <w:noProof w:val="0"/>
          <w:color w:val="auto"/>
          <w:sz w:val="22"/>
          <w:szCs w:val="22"/>
          <w:lang w:val="en-US"/>
        </w:rPr>
        <w:t xml:space="preserve"> they are a legal obligation under the Care Act 2014. They are the safeguard of individual well-being, the support of </w:t>
      </w:r>
      <w:r w:rsidRPr="1798261D" w:rsidR="72EBA141">
        <w:rPr>
          <w:rFonts w:ascii="Arial" w:hAnsi="Arial" w:eastAsia="Arial" w:cs="Arial" w:asciiTheme="minorAscii" w:hAnsiTheme="minorAscii" w:eastAsiaTheme="minorAscii" w:cstheme="minorAscii"/>
          <w:b w:val="0"/>
          <w:bCs w:val="0"/>
          <w:noProof w:val="0"/>
          <w:color w:val="auto"/>
          <w:sz w:val="22"/>
          <w:szCs w:val="22"/>
          <w:lang w:val="en-US"/>
        </w:rPr>
        <w:t>families,</w:t>
      </w:r>
      <w:r w:rsidRPr="1798261D" w:rsidR="1D5BA806">
        <w:rPr>
          <w:rFonts w:ascii="Arial" w:hAnsi="Arial" w:eastAsia="Arial" w:cs="Arial" w:asciiTheme="minorAscii" w:hAnsiTheme="minorAscii" w:eastAsiaTheme="minorAscii" w:cstheme="minorAscii"/>
          <w:b w:val="0"/>
          <w:bCs w:val="0"/>
          <w:noProof w:val="0"/>
          <w:color w:val="auto"/>
          <w:sz w:val="22"/>
          <w:szCs w:val="22"/>
          <w:lang w:val="en-US"/>
        </w:rPr>
        <w:t xml:space="preserve"> and the stability of the local economy. The shortage of community mental health care in Birmingham is compromising the prevention of illness and putting people at risk of avoidable crises. By a full assessment of needs, by diversifying provision, by early intervention, by transparency, Birmingham City Council can close the gaps and fulfill its legal duty. Thousands of people depend on it and on the prompt recognition of this problem</w:t>
      </w:r>
      <w:r w:rsidRPr="1798261D" w:rsidR="1CC10CE7">
        <w:rPr>
          <w:rFonts w:ascii="Arial" w:hAnsi="Arial" w:eastAsia="Arial" w:cs="Arial" w:asciiTheme="minorAscii" w:hAnsiTheme="minorAscii" w:eastAsiaTheme="minorAscii" w:cstheme="minorAscii"/>
          <w:b w:val="0"/>
          <w:bCs w:val="0"/>
          <w:noProof w:val="0"/>
          <w:color w:val="auto"/>
          <w:sz w:val="22"/>
          <w:szCs w:val="22"/>
          <w:lang w:val="en-US"/>
        </w:rPr>
        <w:t>.</w:t>
      </w:r>
    </w:p>
    <w:p xmlns:wp14="http://schemas.microsoft.com/office/word/2010/wordml" w:rsidP="1798261D" wp14:paraId="69872A1B" wp14:textId="0ABF04B8">
      <w:pPr>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US"/>
        </w:rPr>
      </w:pPr>
    </w:p>
    <w:p xmlns:wp14="http://schemas.microsoft.com/office/word/2010/wordml" w:rsidP="1798261D" wp14:paraId="320F7CA5" wp14:textId="3536B60E">
      <w:pPr>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US"/>
        </w:rPr>
      </w:pPr>
    </w:p>
    <w:p xmlns:wp14="http://schemas.microsoft.com/office/word/2010/wordml" w:rsidP="1798261D" wp14:paraId="1D4C7ECB" wp14:textId="4D14E6CE">
      <w:pPr>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US"/>
        </w:rPr>
      </w:pPr>
    </w:p>
    <w:p xmlns:wp14="http://schemas.microsoft.com/office/word/2010/wordml" w:rsidP="1798261D" wp14:paraId="09B0083C" wp14:textId="62DAEFBE">
      <w:pPr>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US"/>
        </w:rPr>
      </w:pPr>
    </w:p>
    <w:p xmlns:wp14="http://schemas.microsoft.com/office/word/2010/wordml" w:rsidP="1798261D" wp14:paraId="7DB041D6" wp14:textId="4AEBF51C">
      <w:pPr>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US"/>
        </w:rPr>
      </w:pPr>
    </w:p>
    <w:p xmlns:wp14="http://schemas.microsoft.com/office/word/2010/wordml" w:rsidP="1798261D" wp14:paraId="50B6FB4F" wp14:textId="5A90F36C">
      <w:pPr>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US"/>
        </w:rPr>
      </w:pPr>
    </w:p>
    <w:p xmlns:wp14="http://schemas.microsoft.com/office/word/2010/wordml" w:rsidP="1798261D" wp14:paraId="58E51849" wp14:textId="2FAE6E34">
      <w:pPr>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US"/>
        </w:rPr>
      </w:pPr>
    </w:p>
    <w:p xmlns:wp14="http://schemas.microsoft.com/office/word/2010/wordml" w:rsidP="1798261D" wp14:paraId="5E16DF50" wp14:textId="708015AE">
      <w:pPr>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US"/>
        </w:rPr>
      </w:pPr>
    </w:p>
    <w:p xmlns:wp14="http://schemas.microsoft.com/office/word/2010/wordml" w:rsidP="1798261D" wp14:paraId="008AF347" wp14:textId="45458C75">
      <w:pPr>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US"/>
        </w:rPr>
      </w:pPr>
    </w:p>
    <w:p xmlns:wp14="http://schemas.microsoft.com/office/word/2010/wordml" w:rsidP="1798261D" wp14:paraId="0AB030AE" wp14:textId="00C3341B">
      <w:pPr>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US"/>
        </w:rPr>
      </w:pPr>
    </w:p>
    <w:p xmlns:wp14="http://schemas.microsoft.com/office/word/2010/wordml" w:rsidP="1798261D" wp14:paraId="6527A7E7" wp14:textId="595F5A4A">
      <w:pPr>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US"/>
        </w:rPr>
      </w:pPr>
    </w:p>
    <w:p xmlns:wp14="http://schemas.microsoft.com/office/word/2010/wordml" w:rsidP="1798261D" wp14:paraId="21C064B1" wp14:textId="306FEE3C">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US"/>
        </w:rPr>
      </w:pPr>
    </w:p>
    <w:p xmlns:wp14="http://schemas.microsoft.com/office/word/2010/wordml" w:rsidP="1798261D" wp14:paraId="1B5315BB" wp14:textId="6BB80A87">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US"/>
        </w:rPr>
      </w:pPr>
    </w:p>
    <w:p xmlns:wp14="http://schemas.microsoft.com/office/word/2010/wordml" w:rsidP="1798261D" wp14:paraId="0731D029" wp14:textId="21E58B32">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US"/>
        </w:rPr>
      </w:pPr>
    </w:p>
    <w:p xmlns:wp14="http://schemas.microsoft.com/office/word/2010/wordml" w:rsidP="1798261D" wp14:paraId="415E1180" wp14:textId="15E45E33">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US"/>
        </w:rPr>
      </w:pPr>
    </w:p>
    <w:p xmlns:wp14="http://schemas.microsoft.com/office/word/2010/wordml" w:rsidP="1798261D" wp14:paraId="52F1D592" wp14:textId="05DBF162">
      <w:pPr>
        <w:pStyle w:val="Normal"/>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US"/>
        </w:rPr>
      </w:pPr>
      <w:r w:rsidRPr="1798261D" w:rsidR="4114A4DB">
        <w:rPr>
          <w:rFonts w:ascii="Arial" w:hAnsi="Arial" w:eastAsia="Arial" w:cs="Arial" w:asciiTheme="minorAscii" w:hAnsiTheme="minorAscii" w:eastAsiaTheme="minorAscii" w:cstheme="minorAscii"/>
          <w:b w:val="1"/>
          <w:bCs w:val="1"/>
          <w:noProof w:val="0"/>
          <w:color w:val="auto"/>
          <w:sz w:val="22"/>
          <w:szCs w:val="22"/>
          <w:lang w:val="en-US"/>
        </w:rPr>
        <w:t>Introduction</w:t>
      </w:r>
      <w:r w:rsidRPr="1798261D" w:rsidR="4114A4DB">
        <w:rPr>
          <w:rFonts w:ascii="Arial" w:hAnsi="Arial" w:eastAsia="Arial" w:cs="Arial" w:asciiTheme="minorAscii" w:hAnsiTheme="minorAscii" w:eastAsiaTheme="minorAscii" w:cstheme="minorAscii"/>
          <w:noProof w:val="0"/>
          <w:color w:val="auto"/>
          <w:sz w:val="22"/>
          <w:szCs w:val="22"/>
          <w:lang w:val="en-US"/>
        </w:rPr>
        <w:t xml:space="preserve"> </w:t>
      </w:r>
    </w:p>
    <w:p xmlns:wp14="http://schemas.microsoft.com/office/word/2010/wordml" w:rsidP="1798261D" wp14:paraId="5C2D4858" wp14:textId="2D7C771D">
      <w:pPr>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US"/>
        </w:rPr>
      </w:pPr>
      <w:r w:rsidRPr="1798261D" w:rsidR="4114A4DB">
        <w:rPr>
          <w:rFonts w:ascii="Arial" w:hAnsi="Arial" w:eastAsia="Arial" w:cs="Arial" w:asciiTheme="minorAscii" w:hAnsiTheme="minorAscii" w:eastAsiaTheme="minorAscii" w:cstheme="minorAscii"/>
          <w:noProof w:val="0"/>
          <w:color w:val="auto"/>
          <w:sz w:val="22"/>
          <w:szCs w:val="22"/>
          <w:lang w:val="en-US"/>
        </w:rPr>
        <w:t xml:space="preserve">In the nineteenth century, a collection of voluntary and local-authority services provided by the boroughs of the country, had grown into a well-organized national network, whose aim was to bring treatment in time and to the homes of the people (Association of Ambulance Chief Executives [AACE], 2024). The NHS Ambulance Service is a universal, free-at-the-point-of-use emergency and urgent care system forming the frontline of healthcare across the United Kingdom. Operating 24 hours a day, </w:t>
      </w:r>
      <w:r w:rsidRPr="1798261D" w:rsidR="4114A4DB">
        <w:rPr>
          <w:rFonts w:ascii="Arial" w:hAnsi="Arial" w:eastAsia="Arial" w:cs="Arial" w:asciiTheme="minorAscii" w:hAnsiTheme="minorAscii" w:eastAsiaTheme="minorAscii" w:cstheme="minorAscii"/>
          <w:noProof w:val="0"/>
          <w:color w:val="auto"/>
          <w:sz w:val="22"/>
          <w:szCs w:val="22"/>
          <w:lang w:val="en-US"/>
        </w:rPr>
        <w:t>365 days</w:t>
      </w:r>
      <w:r w:rsidRPr="1798261D" w:rsidR="4114A4DB">
        <w:rPr>
          <w:rFonts w:ascii="Arial" w:hAnsi="Arial" w:eastAsia="Arial" w:cs="Arial" w:asciiTheme="minorAscii" w:hAnsiTheme="minorAscii" w:eastAsiaTheme="minorAscii" w:cstheme="minorAscii"/>
          <w:noProof w:val="0"/>
          <w:color w:val="auto"/>
          <w:sz w:val="22"/>
          <w:szCs w:val="22"/>
          <w:lang w:val="en-US"/>
        </w:rPr>
        <w:t xml:space="preserve"> a year</w:t>
      </w:r>
      <w:r w:rsidRPr="1798261D" w:rsidR="6E21BEB3">
        <w:rPr>
          <w:rFonts w:ascii="Arial" w:hAnsi="Arial" w:eastAsia="Arial" w:cs="Arial" w:asciiTheme="minorAscii" w:hAnsiTheme="minorAscii" w:eastAsiaTheme="minorAscii" w:cstheme="minorAscii"/>
          <w:noProof w:val="0"/>
          <w:color w:val="auto"/>
          <w:sz w:val="22"/>
          <w:szCs w:val="22"/>
          <w:lang w:val="en-US"/>
        </w:rPr>
        <w:t>,</w:t>
      </w:r>
      <w:r w:rsidRPr="1798261D" w:rsidR="4114A4DB">
        <w:rPr>
          <w:rFonts w:ascii="Arial" w:hAnsi="Arial" w:eastAsia="Arial" w:cs="Arial" w:asciiTheme="minorAscii" w:hAnsiTheme="minorAscii" w:eastAsiaTheme="minorAscii" w:cstheme="minorAscii"/>
          <w:noProof w:val="0"/>
          <w:color w:val="auto"/>
          <w:sz w:val="22"/>
          <w:szCs w:val="22"/>
          <w:lang w:val="en-US"/>
        </w:rPr>
        <w:t xml:space="preserve"> provides pre-hospital assessment, life-saving intervention, </w:t>
      </w:r>
      <w:r w:rsidRPr="1798261D" w:rsidR="4114A4DB">
        <w:rPr>
          <w:rFonts w:ascii="Arial" w:hAnsi="Arial" w:eastAsia="Arial" w:cs="Arial" w:asciiTheme="minorAscii" w:hAnsiTheme="minorAscii" w:eastAsiaTheme="minorAscii" w:cstheme="minorAscii"/>
          <w:noProof w:val="0"/>
          <w:color w:val="auto"/>
          <w:sz w:val="22"/>
          <w:szCs w:val="22"/>
          <w:lang w:val="en-US"/>
        </w:rPr>
        <w:t>stabilisation</w:t>
      </w:r>
      <w:r w:rsidRPr="1798261D" w:rsidR="4114A4DB">
        <w:rPr>
          <w:rFonts w:ascii="Arial" w:hAnsi="Arial" w:eastAsia="Arial" w:cs="Arial" w:asciiTheme="minorAscii" w:hAnsiTheme="minorAscii" w:eastAsiaTheme="minorAscii" w:cstheme="minorAscii"/>
          <w:noProof w:val="0"/>
          <w:color w:val="auto"/>
          <w:sz w:val="22"/>
          <w:szCs w:val="22"/>
          <w:lang w:val="en-US"/>
        </w:rPr>
        <w:t xml:space="preserve"> and transport to </w:t>
      </w:r>
      <w:r w:rsidRPr="1798261D" w:rsidR="4114A4DB">
        <w:rPr>
          <w:rFonts w:ascii="Arial" w:hAnsi="Arial" w:eastAsia="Arial" w:cs="Arial" w:asciiTheme="minorAscii" w:hAnsiTheme="minorAscii" w:eastAsiaTheme="minorAscii" w:cstheme="minorAscii"/>
          <w:noProof w:val="0"/>
          <w:color w:val="auto"/>
          <w:sz w:val="22"/>
          <w:szCs w:val="22"/>
          <w:lang w:val="en-US"/>
        </w:rPr>
        <w:t>appropriate care</w:t>
      </w:r>
      <w:r w:rsidRPr="1798261D" w:rsidR="4114A4DB">
        <w:rPr>
          <w:rFonts w:ascii="Arial" w:hAnsi="Arial" w:eastAsia="Arial" w:cs="Arial" w:asciiTheme="minorAscii" w:hAnsiTheme="minorAscii" w:eastAsiaTheme="minorAscii" w:cstheme="minorAscii"/>
          <w:noProof w:val="0"/>
          <w:color w:val="auto"/>
          <w:sz w:val="22"/>
          <w:szCs w:val="22"/>
          <w:lang w:val="en-US"/>
        </w:rPr>
        <w:t xml:space="preserve"> settings. The evolution was not merely administrative, and it transformed care as to who received it, when, and with what resources. The writer traces the most important historical changes, examines the present operation of the service, comments on the strengths and </w:t>
      </w:r>
      <w:r w:rsidRPr="1798261D" w:rsidR="32094C7F">
        <w:rPr>
          <w:rFonts w:ascii="Arial" w:hAnsi="Arial" w:eastAsia="Arial" w:cs="Arial" w:asciiTheme="minorAscii" w:hAnsiTheme="minorAscii" w:eastAsiaTheme="minorAscii" w:cstheme="minorAscii"/>
          <w:noProof w:val="0"/>
          <w:color w:val="auto"/>
          <w:sz w:val="22"/>
          <w:szCs w:val="22"/>
          <w:lang w:val="en-US"/>
        </w:rPr>
        <w:t>deficiencies,</w:t>
      </w:r>
      <w:r w:rsidRPr="1798261D" w:rsidR="4114A4DB">
        <w:rPr>
          <w:rFonts w:ascii="Arial" w:hAnsi="Arial" w:eastAsia="Arial" w:cs="Arial" w:asciiTheme="minorAscii" w:hAnsiTheme="minorAscii" w:eastAsiaTheme="minorAscii" w:cstheme="minorAscii"/>
          <w:noProof w:val="0"/>
          <w:color w:val="auto"/>
          <w:sz w:val="22"/>
          <w:szCs w:val="22"/>
          <w:lang w:val="en-US"/>
        </w:rPr>
        <w:t xml:space="preserve"> and relates performance to the health and welfare of the individuals he sees. </w:t>
      </w:r>
    </w:p>
    <w:p xmlns:wp14="http://schemas.microsoft.com/office/word/2010/wordml" w:rsidP="1798261D" wp14:paraId="63A9C89A" wp14:textId="74F33DC6">
      <w:pPr>
        <w:spacing w:before="240" w:beforeAutospacing="off" w:after="240" w:afterAutospacing="off" w:line="360" w:lineRule="auto"/>
        <w:rPr>
          <w:rFonts w:ascii="Arial" w:hAnsi="Arial" w:eastAsia="Arial" w:cs="Arial" w:asciiTheme="minorAscii" w:hAnsiTheme="minorAscii" w:eastAsiaTheme="minorAscii" w:cstheme="minorAscii"/>
          <w:b w:val="1"/>
          <w:bCs w:val="1"/>
          <w:noProof w:val="0"/>
          <w:color w:val="auto"/>
          <w:sz w:val="22"/>
          <w:szCs w:val="22"/>
          <w:lang w:val="en-US"/>
        </w:rPr>
      </w:pPr>
      <w:r w:rsidRPr="1798261D" w:rsidR="31296F11">
        <w:rPr>
          <w:rFonts w:ascii="Arial" w:hAnsi="Arial" w:eastAsia="Arial" w:cs="Arial" w:asciiTheme="minorAscii" w:hAnsiTheme="minorAscii" w:eastAsiaTheme="minorAscii" w:cstheme="minorAscii"/>
          <w:b w:val="1"/>
          <w:bCs w:val="1"/>
          <w:noProof w:val="0"/>
          <w:color w:val="auto"/>
          <w:sz w:val="22"/>
          <w:szCs w:val="22"/>
          <w:lang w:val="en-US"/>
        </w:rPr>
        <w:t>Historical Development and Current Function of UK Ambulance Services</w:t>
      </w:r>
    </w:p>
    <w:p xmlns:wp14="http://schemas.microsoft.com/office/word/2010/wordml" w:rsidP="1798261D" wp14:paraId="52E2B53D" wp14:textId="0BE2BC9A">
      <w:pPr>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US"/>
        </w:rPr>
      </w:pPr>
      <w:r w:rsidRPr="1798261D" w:rsidR="31296F11">
        <w:rPr>
          <w:rFonts w:ascii="Arial" w:hAnsi="Arial" w:eastAsia="Arial" w:cs="Arial" w:asciiTheme="minorAscii" w:hAnsiTheme="minorAscii" w:eastAsiaTheme="minorAscii" w:cstheme="minorAscii"/>
          <w:noProof w:val="0"/>
          <w:color w:val="auto"/>
          <w:sz w:val="22"/>
          <w:szCs w:val="22"/>
          <w:lang w:val="en-US"/>
        </w:rPr>
        <w:t>Early ambulance services were provided in the late nineteenth century by voluntary organizations like the British Red Cross and St John Ambulance, as well as limited municipal-run schemes, which only provided transport services and did not provide any medical care (Chamberlain, 2018). The establishment of the national emergency telephone number 999 in 1937 was the first national call-out system. This allowed for coordinated responses to emergencies. The Second World War revealed the need for a professional, large-scale ambulance service (London Ambulatory Service, n.d.).</w:t>
      </w:r>
    </w:p>
    <w:p xmlns:wp14="http://schemas.microsoft.com/office/word/2010/wordml" w:rsidP="1798261D" wp14:paraId="7C50B8E3" wp14:textId="5CF0EF57">
      <w:pPr>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US"/>
        </w:rPr>
      </w:pPr>
      <w:r w:rsidRPr="1798261D" w:rsidR="31296F11">
        <w:rPr>
          <w:rFonts w:ascii="Arial" w:hAnsi="Arial" w:eastAsia="Arial" w:cs="Arial" w:asciiTheme="minorAscii" w:hAnsiTheme="minorAscii" w:eastAsiaTheme="minorAscii" w:cstheme="minorAscii"/>
          <w:noProof w:val="0"/>
          <w:color w:val="auto"/>
          <w:sz w:val="22"/>
          <w:szCs w:val="22"/>
          <w:lang w:val="en-US"/>
        </w:rPr>
        <w:t xml:space="preserve">The NHS Act 1946 made ambulance services statutory, though they remained fragmented across 142 local providers with inconsistent standards. The </w:t>
      </w:r>
      <w:r w:rsidRPr="1798261D" w:rsidR="31296F11">
        <w:rPr>
          <w:rFonts w:ascii="Arial" w:hAnsi="Arial" w:eastAsia="Arial" w:cs="Arial" w:asciiTheme="minorAscii" w:hAnsiTheme="minorAscii" w:eastAsiaTheme="minorAscii" w:cstheme="minorAscii"/>
          <w:i w:val="1"/>
          <w:iCs w:val="1"/>
          <w:noProof w:val="0"/>
          <w:color w:val="auto"/>
          <w:sz w:val="22"/>
          <w:szCs w:val="22"/>
          <w:lang w:val="en-US"/>
        </w:rPr>
        <w:t>Millar Report (1964)</w:t>
      </w:r>
      <w:r w:rsidRPr="1798261D" w:rsidR="31296F11">
        <w:rPr>
          <w:rFonts w:ascii="Arial" w:hAnsi="Arial" w:eastAsia="Arial" w:cs="Arial" w:asciiTheme="minorAscii" w:hAnsiTheme="minorAscii" w:eastAsiaTheme="minorAscii" w:cstheme="minorAscii"/>
          <w:noProof w:val="0"/>
          <w:color w:val="auto"/>
          <w:sz w:val="22"/>
          <w:szCs w:val="22"/>
          <w:lang w:val="en-US"/>
        </w:rPr>
        <w:t xml:space="preserve"> proved transformative, redefining the service as a mobile clinical one and recommending trained staff and on-scene treatment instead of simple conveyance (Department of Health [DH], 2005). The NHS Reorganisation Act 1973 consolidated services into regional trusts, forming today's administrative structure. Paramedic registration arrived in the 1990s, followed by </w:t>
      </w:r>
      <w:r w:rsidRPr="1798261D" w:rsidR="31296F11">
        <w:rPr>
          <w:rFonts w:ascii="Arial" w:hAnsi="Arial" w:eastAsia="Arial" w:cs="Arial" w:asciiTheme="minorAscii" w:hAnsiTheme="minorAscii" w:eastAsiaTheme="minorAscii" w:cstheme="minorAscii"/>
          <w:i w:val="1"/>
          <w:iCs w:val="1"/>
          <w:noProof w:val="0"/>
          <w:color w:val="auto"/>
          <w:sz w:val="22"/>
          <w:szCs w:val="22"/>
          <w:lang w:val="en-US"/>
        </w:rPr>
        <w:t>Taking Healthcare to the Patient</w:t>
      </w:r>
      <w:r w:rsidRPr="1798261D" w:rsidR="31296F11">
        <w:rPr>
          <w:rFonts w:ascii="Arial" w:hAnsi="Arial" w:eastAsia="Arial" w:cs="Arial" w:asciiTheme="minorAscii" w:hAnsiTheme="minorAscii" w:eastAsiaTheme="minorAscii" w:cstheme="minorAscii"/>
          <w:noProof w:val="0"/>
          <w:color w:val="auto"/>
          <w:sz w:val="22"/>
          <w:szCs w:val="22"/>
          <w:lang w:val="en-US"/>
        </w:rPr>
        <w:t xml:space="preserve"> (DH, 2005), which introduced "hear and treat" telephone triage and "see and treat" models to improve care and reduce unnecessary hospital admissions.</w:t>
      </w:r>
    </w:p>
    <w:p xmlns:wp14="http://schemas.microsoft.com/office/word/2010/wordml" w:rsidP="1798261D" wp14:paraId="476D4DDF" wp14:textId="4DA39E31">
      <w:pPr>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US"/>
        </w:rPr>
      </w:pPr>
      <w:r w:rsidRPr="1798261D" w:rsidR="31296F11">
        <w:rPr>
          <w:rFonts w:ascii="Arial" w:hAnsi="Arial" w:eastAsia="Arial" w:cs="Arial" w:asciiTheme="minorAscii" w:hAnsiTheme="minorAscii" w:eastAsiaTheme="minorAscii" w:cstheme="minorAscii"/>
          <w:noProof w:val="0"/>
          <w:color w:val="auto"/>
          <w:sz w:val="22"/>
          <w:szCs w:val="22"/>
          <w:lang w:val="en-US"/>
        </w:rPr>
        <w:t>Fourteen ambulance trusts have been established in the UK to respond to 999 and 112 calls (NHS England, 2018). The Ambulance Response Programme of 2017 did away with timed response and based their response on clinical priority. They have used a variety of resources to respond and have classified calls in order of priority. Ambulatory services are now working closely with NHS 111, primary care, mental health, and social care, and there is a growing emphasis on local treatment rather than transferring patients to hospitals (Social Care Institute for Excellence, 2025).</w:t>
      </w:r>
    </w:p>
    <w:p xmlns:wp14="http://schemas.microsoft.com/office/word/2010/wordml" w:rsidP="1798261D" wp14:paraId="1EE9DD60" wp14:textId="431AD026">
      <w:pPr>
        <w:spacing w:before="240" w:beforeAutospacing="off" w:after="240" w:afterAutospacing="off" w:line="360" w:lineRule="auto"/>
        <w:rPr>
          <w:rFonts w:ascii="Arial" w:hAnsi="Arial" w:eastAsia="Arial" w:cs="Arial" w:asciiTheme="minorAscii" w:hAnsiTheme="minorAscii" w:eastAsiaTheme="minorAscii" w:cstheme="minorAscii"/>
          <w:b w:val="1"/>
          <w:bCs w:val="1"/>
          <w:noProof w:val="0"/>
          <w:color w:val="auto"/>
          <w:sz w:val="22"/>
          <w:szCs w:val="22"/>
          <w:lang w:val="en-US"/>
        </w:rPr>
      </w:pPr>
      <w:r w:rsidRPr="1798261D" w:rsidR="24F17C99">
        <w:rPr>
          <w:rFonts w:ascii="Arial" w:hAnsi="Arial" w:eastAsia="Arial" w:cs="Arial" w:asciiTheme="minorAscii" w:hAnsiTheme="minorAscii" w:eastAsiaTheme="minorAscii" w:cstheme="minorAscii"/>
          <w:b w:val="1"/>
          <w:bCs w:val="1"/>
          <w:noProof w:val="0"/>
          <w:color w:val="auto"/>
          <w:sz w:val="22"/>
          <w:szCs w:val="22"/>
          <w:lang w:val="en-US"/>
        </w:rPr>
        <w:t>Critical Evaluation and Significance for Service Users</w:t>
      </w:r>
    </w:p>
    <w:p xmlns:wp14="http://schemas.microsoft.com/office/word/2010/wordml" w:rsidP="1798261D" wp14:paraId="5B7A6043" wp14:textId="06AA8175">
      <w:pPr>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US"/>
        </w:rPr>
      </w:pPr>
      <w:r w:rsidRPr="1798261D" w:rsidR="24F17C99">
        <w:rPr>
          <w:rFonts w:ascii="Arial" w:hAnsi="Arial" w:eastAsia="Arial" w:cs="Arial" w:asciiTheme="minorAscii" w:hAnsiTheme="minorAscii" w:eastAsiaTheme="minorAscii" w:cstheme="minorAscii"/>
          <w:noProof w:val="0"/>
          <w:color w:val="auto"/>
          <w:sz w:val="22"/>
          <w:szCs w:val="22"/>
          <w:lang w:val="en-US"/>
        </w:rPr>
        <w:t>The ambulance service's greatest strengths are universal coverage, 24/7 availability, and equitable access - free at the point of use regardless of income, location or health status. Timely pre-hospital intervention in cardiac arrest, stroke and major trauma directly improves survival and reduces long-term disability, while standardised triage ensures consistent decision-making across the country (Watkins et al., 2025). The shift toward on-scene treatment and telephone advice empowers patients, cuts unnecessary hospital attendance, and delivers care in familiar surroundings - especially benefiting older people and those with long-term conditions - and partnership with community groups extends reach into rural and underserved areas.</w:t>
      </w:r>
    </w:p>
    <w:p xmlns:wp14="http://schemas.microsoft.com/office/word/2010/wordml" w:rsidP="1798261D" wp14:paraId="616F4412" wp14:textId="5311AA0C">
      <w:pPr>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US"/>
        </w:rPr>
      </w:pPr>
      <w:r w:rsidRPr="1798261D" w:rsidR="24F17C99">
        <w:rPr>
          <w:rFonts w:ascii="Arial" w:hAnsi="Arial" w:eastAsia="Arial" w:cs="Arial" w:asciiTheme="minorAscii" w:hAnsiTheme="minorAscii" w:eastAsiaTheme="minorAscii" w:cstheme="minorAscii"/>
          <w:noProof w:val="0"/>
          <w:color w:val="auto"/>
          <w:sz w:val="22"/>
          <w:szCs w:val="22"/>
          <w:lang w:val="en-US"/>
        </w:rPr>
        <w:t xml:space="preserve">The NHS has many problems. Demand for the service has increased dramatically, with calls in England rising from 4.7 million in 2001-02 to 13.2 million in 2022-23, far outstripping increases in personnel and resources (AACE, 2024). Overcrowded emergency rooms lead to delays in handover, which means that ambulances may not be </w:t>
      </w:r>
      <w:r w:rsidRPr="1798261D" w:rsidR="5FDCA5F3">
        <w:rPr>
          <w:rFonts w:ascii="Arial" w:hAnsi="Arial" w:eastAsia="Arial" w:cs="Arial" w:asciiTheme="minorAscii" w:hAnsiTheme="minorAscii" w:eastAsiaTheme="minorAscii" w:cstheme="minorAscii"/>
          <w:noProof w:val="0"/>
          <w:color w:val="auto"/>
          <w:sz w:val="22"/>
          <w:szCs w:val="22"/>
          <w:lang w:val="en-US"/>
        </w:rPr>
        <w:t>available,</w:t>
      </w:r>
      <w:r w:rsidRPr="1798261D" w:rsidR="24F17C99">
        <w:rPr>
          <w:rFonts w:ascii="Arial" w:hAnsi="Arial" w:eastAsia="Arial" w:cs="Arial" w:asciiTheme="minorAscii" w:hAnsiTheme="minorAscii" w:eastAsiaTheme="minorAscii" w:cstheme="minorAscii"/>
          <w:noProof w:val="0"/>
          <w:color w:val="auto"/>
          <w:sz w:val="22"/>
          <w:szCs w:val="22"/>
          <w:lang w:val="en-US"/>
        </w:rPr>
        <w:t xml:space="preserve"> and response times are delayed. This has been shown to increase mortality rates in cases of stroke and heart attack (Porter et al., 2020). There is a lack of staff and constant turnover of personnel, leading to inconsistent quality. Many paramedics have complained </w:t>
      </w:r>
      <w:r w:rsidRPr="1798261D" w:rsidR="0C39D13C">
        <w:rPr>
          <w:rFonts w:ascii="Arial" w:hAnsi="Arial" w:eastAsia="Arial" w:cs="Arial" w:asciiTheme="minorAscii" w:hAnsiTheme="minorAscii" w:eastAsiaTheme="minorAscii" w:cstheme="minorAscii"/>
          <w:noProof w:val="0"/>
          <w:color w:val="auto"/>
          <w:sz w:val="22"/>
          <w:szCs w:val="22"/>
          <w:lang w:val="en-US"/>
        </w:rPr>
        <w:t>about</w:t>
      </w:r>
      <w:r w:rsidRPr="1798261D" w:rsidR="24F17C99">
        <w:rPr>
          <w:rFonts w:ascii="Arial" w:hAnsi="Arial" w:eastAsia="Arial" w:cs="Arial" w:asciiTheme="minorAscii" w:hAnsiTheme="minorAscii" w:eastAsiaTheme="minorAscii" w:cstheme="minorAscii"/>
          <w:noProof w:val="0"/>
          <w:color w:val="auto"/>
          <w:sz w:val="22"/>
          <w:szCs w:val="22"/>
          <w:lang w:val="en-US"/>
        </w:rPr>
        <w:t xml:space="preserve"> not being able to work because of resource constraints. </w:t>
      </w:r>
      <w:r w:rsidRPr="1798261D" w:rsidR="24F17C99">
        <w:rPr>
          <w:rFonts w:ascii="Arial" w:hAnsi="Arial" w:eastAsia="Arial" w:cs="Arial" w:asciiTheme="minorAscii" w:hAnsiTheme="minorAscii" w:eastAsiaTheme="minorAscii" w:cstheme="minorAscii"/>
          <w:noProof w:val="0"/>
          <w:color w:val="auto"/>
          <w:sz w:val="22"/>
          <w:szCs w:val="22"/>
          <w:lang w:val="en-US"/>
        </w:rPr>
        <w:t>The ambulance service fills gaps in community and social care, diverting the service's resources away from emergencies.</w:t>
      </w:r>
      <w:r w:rsidRPr="1798261D" w:rsidR="24F17C99">
        <w:rPr>
          <w:rFonts w:ascii="Arial" w:hAnsi="Arial" w:eastAsia="Arial" w:cs="Arial" w:asciiTheme="minorAscii" w:hAnsiTheme="minorAscii" w:eastAsiaTheme="minorAscii" w:cstheme="minorAscii"/>
          <w:noProof w:val="0"/>
          <w:color w:val="auto"/>
          <w:sz w:val="22"/>
          <w:szCs w:val="22"/>
          <w:lang w:val="en-US"/>
        </w:rPr>
        <w:t xml:space="preserve"> Some metrics have been used that have put time on the line with outcomes, and poor coordination leads to unnecessary hospital transport for vulnerable groups, such as older people and those with mental health needs (SCIE, 2025).</w:t>
      </w:r>
    </w:p>
    <w:p xmlns:wp14="http://schemas.microsoft.com/office/word/2010/wordml" w:rsidP="1798261D" wp14:paraId="448961F9" wp14:textId="4CD19A1F">
      <w:pPr>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US"/>
        </w:rPr>
      </w:pPr>
      <w:r w:rsidRPr="1798261D" w:rsidR="6FF859D6">
        <w:rPr>
          <w:rFonts w:ascii="Arial" w:hAnsi="Arial" w:eastAsia="Arial" w:cs="Arial" w:asciiTheme="minorAscii" w:hAnsiTheme="minorAscii" w:eastAsiaTheme="minorAscii" w:cstheme="minorAscii"/>
          <w:noProof w:val="0"/>
          <w:color w:val="auto"/>
          <w:sz w:val="22"/>
          <w:szCs w:val="22"/>
          <w:lang w:val="en-US"/>
        </w:rPr>
        <w:t>The ambulance service has developed from a disjointed transport system into a vital service of medical care to the whole community. Reforms, from the 999 system to the Millar Report and modern triage, have resulted in the early arrival of skilled, quick-acting medical intervention to the benefit of the public. The strengths of the service are its universal coverage, its expertise, its capacity for continuous change; but bottlenecks in the system, non-integrated care pathways and increased demand cause performance to decline, which in turn affects the staff’s morale. To improve the service not only requires an increase in investment but also the continued integration of all health, social care and ambulance services</w:t>
      </w:r>
      <w:r w:rsidRPr="1798261D" w:rsidR="79C113F3">
        <w:rPr>
          <w:rFonts w:ascii="Arial" w:hAnsi="Arial" w:eastAsia="Arial" w:cs="Arial" w:asciiTheme="minorAscii" w:hAnsiTheme="minorAscii" w:eastAsiaTheme="minorAscii" w:cstheme="minorAscii"/>
          <w:noProof w:val="0"/>
          <w:color w:val="auto"/>
          <w:sz w:val="22"/>
          <w:szCs w:val="22"/>
          <w:lang w:val="en-US"/>
        </w:rPr>
        <w:t>.</w:t>
      </w:r>
      <w:r w:rsidRPr="1798261D" w:rsidR="6FF859D6">
        <w:rPr>
          <w:rFonts w:ascii="Arial" w:hAnsi="Arial" w:eastAsia="Arial" w:cs="Arial" w:asciiTheme="minorAscii" w:hAnsiTheme="minorAscii" w:eastAsiaTheme="minorAscii" w:cstheme="minorAscii"/>
          <w:noProof w:val="0"/>
          <w:color w:val="auto"/>
          <w:sz w:val="22"/>
          <w:szCs w:val="22"/>
          <w:lang w:val="en-US"/>
        </w:rPr>
        <w:t xml:space="preserve"> </w:t>
      </w:r>
    </w:p>
    <w:p xmlns:wp14="http://schemas.microsoft.com/office/word/2010/wordml" w:rsidP="1798261D" wp14:paraId="387360D4" wp14:textId="6F80DEEA">
      <w:pPr>
        <w:pStyle w:val="Normal"/>
        <w:spacing w:before="240" w:beforeAutospacing="off" w:after="240" w:afterAutospacing="off" w:line="360" w:lineRule="auto"/>
        <w:rPr>
          <w:rFonts w:ascii="Arial" w:hAnsi="Arial" w:eastAsia="Arial" w:cs="Arial" w:asciiTheme="minorAscii" w:hAnsiTheme="minorAscii" w:eastAsiaTheme="minorAscii" w:cstheme="minorAscii"/>
          <w:b w:val="1"/>
          <w:bCs w:val="1"/>
          <w:noProof w:val="0"/>
          <w:color w:val="auto"/>
          <w:sz w:val="22"/>
          <w:szCs w:val="22"/>
          <w:lang w:val="en-US"/>
        </w:rPr>
      </w:pPr>
      <w:r w:rsidRPr="1798261D" w:rsidR="0CAA7ABA">
        <w:rPr>
          <w:rFonts w:ascii="Arial" w:hAnsi="Arial" w:eastAsia="Arial" w:cs="Arial" w:asciiTheme="minorAscii" w:hAnsiTheme="minorAscii" w:eastAsiaTheme="minorAscii" w:cstheme="minorAscii"/>
          <w:b w:val="1"/>
          <w:bCs w:val="1"/>
          <w:noProof w:val="0"/>
          <w:color w:val="auto"/>
          <w:sz w:val="22"/>
          <w:szCs w:val="22"/>
          <w:lang w:val="en-US"/>
        </w:rPr>
        <w:t>Conclusion</w:t>
      </w:r>
    </w:p>
    <w:p xmlns:wp14="http://schemas.microsoft.com/office/word/2010/wordml" w:rsidP="1798261D" wp14:paraId="6A9B98EA" wp14:textId="73F72E61">
      <w:pPr>
        <w:spacing w:before="240" w:beforeAutospacing="off" w:after="240" w:afterAutospacing="off" w:line="360" w:lineRule="auto"/>
        <w:rPr>
          <w:rFonts w:ascii="Arial" w:hAnsi="Arial" w:eastAsia="Arial" w:cs="Arial" w:asciiTheme="minorAscii" w:hAnsiTheme="minorAscii" w:eastAsiaTheme="minorAscii" w:cstheme="minorAscii"/>
          <w:noProof w:val="0"/>
          <w:color w:val="auto"/>
          <w:sz w:val="22"/>
          <w:szCs w:val="22"/>
          <w:lang w:val="en-US"/>
        </w:rPr>
      </w:pPr>
      <w:r w:rsidRPr="1798261D" w:rsidR="2B9BE458">
        <w:rPr>
          <w:rFonts w:ascii="Arial" w:hAnsi="Arial" w:eastAsia="Arial" w:cs="Arial" w:asciiTheme="minorAscii" w:hAnsiTheme="minorAscii" w:eastAsiaTheme="minorAscii" w:cstheme="minorAscii"/>
          <w:noProof w:val="0"/>
          <w:color w:val="auto"/>
          <w:sz w:val="22"/>
          <w:szCs w:val="22"/>
          <w:lang w:val="en-US"/>
        </w:rPr>
        <w:t xml:space="preserve">The ambulance service has developed from a disjointed transport system into a vital service of medical care to the whole community. Reforms, from the 999 system to the Millar Report and modern triage, have resulted in the early arrival of skilled, quick-acting medical intervention to the benefit of the public. The strengths of the service are its universal coverage, its </w:t>
      </w:r>
      <w:r w:rsidRPr="1798261D" w:rsidR="2B9BE458">
        <w:rPr>
          <w:rFonts w:ascii="Arial" w:hAnsi="Arial" w:eastAsia="Arial" w:cs="Arial" w:asciiTheme="minorAscii" w:hAnsiTheme="minorAscii" w:eastAsiaTheme="minorAscii" w:cstheme="minorAscii"/>
          <w:noProof w:val="0"/>
          <w:color w:val="auto"/>
          <w:sz w:val="22"/>
          <w:szCs w:val="22"/>
          <w:lang w:val="en-US"/>
        </w:rPr>
        <w:t>expertise</w:t>
      </w:r>
      <w:r w:rsidRPr="1798261D" w:rsidR="2B9BE458">
        <w:rPr>
          <w:rFonts w:ascii="Arial" w:hAnsi="Arial" w:eastAsia="Arial" w:cs="Arial" w:asciiTheme="minorAscii" w:hAnsiTheme="minorAscii" w:eastAsiaTheme="minorAscii" w:cstheme="minorAscii"/>
          <w:noProof w:val="0"/>
          <w:color w:val="auto"/>
          <w:sz w:val="22"/>
          <w:szCs w:val="22"/>
          <w:lang w:val="en-US"/>
        </w:rPr>
        <w:t xml:space="preserve">, its capacity for continuous change; but bottlenecks in the system, non-integrated care </w:t>
      </w:r>
      <w:r w:rsidRPr="1798261D" w:rsidR="2B9BE458">
        <w:rPr>
          <w:rFonts w:ascii="Arial" w:hAnsi="Arial" w:eastAsia="Arial" w:cs="Arial" w:asciiTheme="minorAscii" w:hAnsiTheme="minorAscii" w:eastAsiaTheme="minorAscii" w:cstheme="minorAscii"/>
          <w:noProof w:val="0"/>
          <w:color w:val="auto"/>
          <w:sz w:val="22"/>
          <w:szCs w:val="22"/>
          <w:lang w:val="en-US"/>
        </w:rPr>
        <w:t>pathways</w:t>
      </w:r>
      <w:r w:rsidRPr="1798261D" w:rsidR="2B9BE458">
        <w:rPr>
          <w:rFonts w:ascii="Arial" w:hAnsi="Arial" w:eastAsia="Arial" w:cs="Arial" w:asciiTheme="minorAscii" w:hAnsiTheme="minorAscii" w:eastAsiaTheme="minorAscii" w:cstheme="minorAscii"/>
          <w:noProof w:val="0"/>
          <w:color w:val="auto"/>
          <w:sz w:val="22"/>
          <w:szCs w:val="22"/>
          <w:lang w:val="en-US"/>
        </w:rPr>
        <w:t xml:space="preserve"> and increased demand cause performance to decline, which in turn affects the staff’s morale. To improve the service not only requires an increase in investment but also the continued integration of all health, social </w:t>
      </w:r>
      <w:r w:rsidRPr="1798261D" w:rsidR="2B9BE458">
        <w:rPr>
          <w:rFonts w:ascii="Arial" w:hAnsi="Arial" w:eastAsia="Arial" w:cs="Arial" w:asciiTheme="minorAscii" w:hAnsiTheme="minorAscii" w:eastAsiaTheme="minorAscii" w:cstheme="minorAscii"/>
          <w:noProof w:val="0"/>
          <w:color w:val="auto"/>
          <w:sz w:val="22"/>
          <w:szCs w:val="22"/>
          <w:lang w:val="en-US"/>
        </w:rPr>
        <w:t>care</w:t>
      </w:r>
      <w:r w:rsidRPr="1798261D" w:rsidR="2B9BE458">
        <w:rPr>
          <w:rFonts w:ascii="Arial" w:hAnsi="Arial" w:eastAsia="Arial" w:cs="Arial" w:asciiTheme="minorAscii" w:hAnsiTheme="minorAscii" w:eastAsiaTheme="minorAscii" w:cstheme="minorAscii"/>
          <w:noProof w:val="0"/>
          <w:color w:val="auto"/>
          <w:sz w:val="22"/>
          <w:szCs w:val="22"/>
          <w:lang w:val="en-US"/>
        </w:rPr>
        <w:t xml:space="preserve"> and ambulance services.</w:t>
      </w:r>
    </w:p>
    <w:p xmlns:wp14="http://schemas.microsoft.com/office/word/2010/wordml" w:rsidP="1798261D" wp14:paraId="50D5D7C2" wp14:textId="03094068">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xmlns:wp14="http://schemas.microsoft.com/office/word/2010/wordml" w:rsidP="1798261D" wp14:paraId="49775072" wp14:textId="7636E4F5">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xmlns:wp14="http://schemas.microsoft.com/office/word/2010/wordml" w:rsidP="1798261D" wp14:paraId="749E8207" wp14:textId="7157C378">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xmlns:wp14="http://schemas.microsoft.com/office/word/2010/wordml" w:rsidP="1798261D" wp14:paraId="5D5380D6" wp14:textId="666F5802">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xmlns:wp14="http://schemas.microsoft.com/office/word/2010/wordml" w:rsidP="1798261D" wp14:paraId="76E1CD23" wp14:textId="7EDE4401">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xmlns:wp14="http://schemas.microsoft.com/office/word/2010/wordml" w:rsidP="1798261D" wp14:paraId="2448E2BA" wp14:textId="4743AA31">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xmlns:wp14="http://schemas.microsoft.com/office/word/2010/wordml" w:rsidP="1798261D" wp14:paraId="40A57F27" wp14:textId="32689687">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xmlns:wp14="http://schemas.microsoft.com/office/word/2010/wordml" w:rsidP="1798261D" wp14:paraId="1B9D6BDA" wp14:textId="5AE263B7">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xmlns:wp14="http://schemas.microsoft.com/office/word/2010/wordml" w:rsidP="1798261D" wp14:paraId="4B6DC6AE" wp14:textId="4E211320">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xmlns:wp14="http://schemas.microsoft.com/office/word/2010/wordml" w:rsidP="1798261D" wp14:paraId="298674C3" wp14:textId="60DD7B03">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xmlns:wp14="http://schemas.microsoft.com/office/word/2010/wordml" w:rsidP="1798261D" wp14:paraId="59E56C15" wp14:textId="127DB628">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xmlns:wp14="http://schemas.microsoft.com/office/word/2010/wordml" w:rsidP="1798261D" wp14:paraId="16342CFF" wp14:textId="2ABD4FA7">
      <w:pPr>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xmlns:wp14="http://schemas.microsoft.com/office/word/2010/wordml" w:rsidP="1798261D" wp14:paraId="073528E7" wp14:textId="23AC0FA9">
      <w:pPr>
        <w:pStyle w:val="Normal"/>
        <w:spacing w:before="240" w:beforeAutospacing="off" w:after="240" w:afterAutospacing="off" w:line="360" w:lineRule="auto"/>
        <w:rPr>
          <w:rFonts w:ascii="Arial" w:hAnsi="Arial" w:eastAsia="Arial" w:cs="Arial" w:asciiTheme="minorAscii" w:hAnsiTheme="minorAscii" w:eastAsiaTheme="minorAscii" w:cstheme="minorAscii"/>
          <w:b w:val="0"/>
          <w:bCs w:val="0"/>
          <w:i w:val="0"/>
          <w:iCs w:val="0"/>
          <w:caps w:val="0"/>
          <w:smallCaps w:val="0"/>
          <w:noProof w:val="0"/>
          <w:color w:val="auto"/>
          <w:sz w:val="22"/>
          <w:szCs w:val="22"/>
          <w:lang w:val="en-GB"/>
        </w:rPr>
      </w:pPr>
    </w:p>
    <w:p xmlns:wp14="http://schemas.microsoft.com/office/word/2010/wordml" w:rsidP="1798261D" wp14:paraId="2A228E8A" wp14:textId="50060F44">
      <w:pPr>
        <w:spacing w:before="210" w:beforeAutospacing="off" w:after="210" w:afterAutospacing="off" w:line="360" w:lineRule="auto"/>
        <w:rPr>
          <w:rFonts w:ascii="Arial" w:hAnsi="Arial" w:eastAsia="Arial" w:cs="Arial" w:asciiTheme="minorAscii" w:hAnsiTheme="minorAscii" w:eastAsiaTheme="minorAscii" w:cstheme="minorAscii"/>
          <w:b w:val="1"/>
          <w:bCs w:val="1"/>
          <w:i w:val="0"/>
          <w:iCs w:val="0"/>
          <w:noProof w:val="0"/>
          <w:color w:val="auto"/>
          <w:sz w:val="22"/>
          <w:szCs w:val="22"/>
          <w:lang w:val="en-GB"/>
        </w:rPr>
      </w:pPr>
      <w:r w:rsidRPr="1798261D" w:rsidR="42F4762D">
        <w:rPr>
          <w:rFonts w:ascii="Arial" w:hAnsi="Arial" w:eastAsia="Arial" w:cs="Arial" w:asciiTheme="minorAscii" w:hAnsiTheme="minorAscii" w:eastAsiaTheme="minorAscii" w:cstheme="minorAscii"/>
          <w:b w:val="1"/>
          <w:bCs w:val="1"/>
          <w:i w:val="0"/>
          <w:iCs w:val="0"/>
          <w:noProof w:val="0"/>
          <w:color w:val="auto"/>
          <w:sz w:val="22"/>
          <w:szCs w:val="22"/>
          <w:lang w:val="en-GB"/>
        </w:rPr>
        <w:t>References</w:t>
      </w:r>
    </w:p>
    <w:p xmlns:wp14="http://schemas.microsoft.com/office/word/2010/wordml" w:rsidP="1798261D" wp14:paraId="7AE99698" wp14:textId="423AFF9B">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noProof w:val="0"/>
          <w:color w:val="auto"/>
          <w:sz w:val="22"/>
          <w:szCs w:val="22"/>
          <w:lang w:val="en-GB"/>
        </w:rPr>
      </w:pPr>
      <w:r w:rsidRPr="1798261D" w:rsidR="0443715D">
        <w:rPr>
          <w:rFonts w:ascii="Arial" w:hAnsi="Arial" w:eastAsia="Arial" w:cs="Arial" w:asciiTheme="minorAscii" w:hAnsiTheme="minorAscii" w:eastAsiaTheme="minorAscii" w:cstheme="minorAscii"/>
          <w:b w:val="0"/>
          <w:bCs w:val="0"/>
          <w:i w:val="0"/>
          <w:iCs w:val="0"/>
          <w:noProof w:val="0"/>
          <w:color w:val="auto"/>
          <w:sz w:val="22"/>
          <w:szCs w:val="22"/>
          <w:lang w:val="en-GB"/>
        </w:rPr>
        <w:t>Association</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of Ambulance Chief Executives (AACE) (2024) </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Bringing together skills, </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expertise</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and shared knowledge in UK ambulance services</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Available at: </w:t>
      </w:r>
      <w:hyperlink r:id="R556ce34bfdf04e00">
        <w:r w:rsidRPr="1798261D" w:rsidR="42F4762D">
          <w:rPr>
            <w:rStyle w:val="Hyperlink"/>
            <w:rFonts w:ascii="Arial" w:hAnsi="Arial" w:eastAsia="Arial" w:cs="Arial" w:asciiTheme="minorAscii" w:hAnsiTheme="minorAscii" w:eastAsiaTheme="minorAscii" w:cstheme="minorAscii"/>
            <w:b w:val="0"/>
            <w:bCs w:val="0"/>
            <w:i w:val="0"/>
            <w:iCs w:val="0"/>
            <w:noProof w:val="0"/>
            <w:color w:val="auto"/>
            <w:sz w:val="22"/>
            <w:szCs w:val="22"/>
            <w:lang w:val="en-GB"/>
          </w:rPr>
          <w:t>https://aace.org.uk/wp-content/uploads/2024/11/AACE-Darzi-evidence-August-2024-FINAL.pdf</w:t>
        </w:r>
      </w:hyperlink>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(Accessed: 9 October 2026).</w:t>
      </w:r>
    </w:p>
    <w:p xmlns:wp14="http://schemas.microsoft.com/office/word/2010/wordml" w:rsidP="1798261D" wp14:paraId="3C6EB4C1" wp14:textId="2E2EE386">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noProof w:val="0"/>
          <w:color w:val="auto"/>
          <w:sz w:val="22"/>
          <w:szCs w:val="22"/>
          <w:lang w:val="en-GB"/>
        </w:rPr>
      </w:pP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Care Act 2014, c.23. London: The Stationery Office. Available at: </w:t>
      </w:r>
      <w:hyperlink r:id="R1b3ddf4e3899450b">
        <w:r w:rsidRPr="1798261D" w:rsidR="42F4762D">
          <w:rPr>
            <w:rStyle w:val="Hyperlink"/>
            <w:rFonts w:ascii="Arial" w:hAnsi="Arial" w:eastAsia="Arial" w:cs="Arial" w:asciiTheme="minorAscii" w:hAnsiTheme="minorAscii" w:eastAsiaTheme="minorAscii" w:cstheme="minorAscii"/>
            <w:b w:val="0"/>
            <w:bCs w:val="0"/>
            <w:i w:val="0"/>
            <w:iCs w:val="0"/>
            <w:noProof w:val="0"/>
            <w:color w:val="auto"/>
            <w:sz w:val="22"/>
            <w:szCs w:val="22"/>
            <w:lang w:val="en-GB"/>
          </w:rPr>
          <w:t>https://www.legislation.gov.uk/ukpga/2014/23</w:t>
        </w:r>
      </w:hyperlink>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(Accessed: 24 October 2026).</w:t>
      </w:r>
    </w:p>
    <w:p xmlns:wp14="http://schemas.microsoft.com/office/word/2010/wordml" w:rsidP="1798261D" wp14:paraId="1688E384" wp14:textId="4E1F24D0">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noProof w:val="0"/>
          <w:color w:val="auto"/>
          <w:sz w:val="22"/>
          <w:szCs w:val="22"/>
          <w:lang w:val="en-GB"/>
        </w:rPr>
      </w:pP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Chamberlain, D. (2018) ‘Looking back 70 years at the evolution of the paramedic’, </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Journal of Paramedic Practice</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10(7), pp. 282–283.</w:t>
      </w:r>
    </w:p>
    <w:p xmlns:wp14="http://schemas.microsoft.com/office/word/2010/wordml" w:rsidP="1798261D" wp14:paraId="78C7D585" wp14:textId="20C560D8">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noProof w:val="0"/>
          <w:color w:val="auto"/>
          <w:sz w:val="22"/>
          <w:szCs w:val="22"/>
          <w:lang w:val="en-GB"/>
        </w:rPr>
      </w:pP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Department of Health (2005) </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Taking healthcare to the patient: transforming NHS ambulance services</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London: The Stationery Office. Available at: </w:t>
      </w:r>
      <w:hyperlink r:id="R5af103ac52df419d">
        <w:r w:rsidRPr="1798261D" w:rsidR="42F4762D">
          <w:rPr>
            <w:rStyle w:val="Hyperlink"/>
            <w:rFonts w:ascii="Arial" w:hAnsi="Arial" w:eastAsia="Arial" w:cs="Arial" w:asciiTheme="minorAscii" w:hAnsiTheme="minorAscii" w:eastAsiaTheme="minorAscii" w:cstheme="minorAscii"/>
            <w:b w:val="0"/>
            <w:bCs w:val="0"/>
            <w:i w:val="0"/>
            <w:iCs w:val="0"/>
            <w:noProof w:val="0"/>
            <w:color w:val="auto"/>
            <w:sz w:val="22"/>
            <w:szCs w:val="22"/>
            <w:lang w:val="en-GB"/>
          </w:rPr>
          <w:t>https://www.nwas.nhs.uk/media/79142/taking_healthcare_to_the_patient_1.pdf</w:t>
        </w:r>
      </w:hyperlink>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(Accessed: 9 October 2026).</w:t>
      </w:r>
    </w:p>
    <w:p xmlns:wp14="http://schemas.microsoft.com/office/word/2010/wordml" w:rsidP="1798261D" wp14:paraId="3375FFBF" wp14:textId="250A75E7">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noProof w:val="0"/>
          <w:color w:val="auto"/>
          <w:sz w:val="22"/>
          <w:szCs w:val="22"/>
          <w:lang w:val="en-GB"/>
        </w:rPr>
      </w:pP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Department of Health and Social Care (2022) </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Mental health commissioning guidance</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London: DHSC. Available at: </w:t>
      </w:r>
      <w:hyperlink r:id="Rbac02d52d5cf4040">
        <w:r w:rsidRPr="1798261D" w:rsidR="42F4762D">
          <w:rPr>
            <w:rStyle w:val="Hyperlink"/>
            <w:rFonts w:ascii="Arial" w:hAnsi="Arial" w:eastAsia="Arial" w:cs="Arial" w:asciiTheme="minorAscii" w:hAnsiTheme="minorAscii" w:eastAsiaTheme="minorAscii" w:cstheme="minorAscii"/>
            <w:b w:val="0"/>
            <w:bCs w:val="0"/>
            <w:i w:val="0"/>
            <w:iCs w:val="0"/>
            <w:noProof w:val="0"/>
            <w:color w:val="auto"/>
            <w:sz w:val="22"/>
            <w:szCs w:val="22"/>
            <w:lang w:val="en-GB"/>
          </w:rPr>
          <w:t>https://www.gov.uk/government/collections/mental-health-commissioning</w:t>
        </w:r>
      </w:hyperlink>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(Accessed: 24 October 2026).</w:t>
      </w:r>
    </w:p>
    <w:p xmlns:wp14="http://schemas.microsoft.com/office/word/2010/wordml" w:rsidP="1798261D" wp14:paraId="79D2AFC6" wp14:textId="3032200B">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noProof w:val="0"/>
          <w:color w:val="auto"/>
          <w:sz w:val="22"/>
          <w:szCs w:val="22"/>
          <w:lang w:val="en-GB"/>
        </w:rPr>
      </w:pP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HM Government (2015) </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Care Act 2014: statutory guidance</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London: TSO. Available at: </w:t>
      </w:r>
      <w:hyperlink r:id="R0560e95beb3841ca">
        <w:r w:rsidRPr="1798261D" w:rsidR="42F4762D">
          <w:rPr>
            <w:rStyle w:val="Hyperlink"/>
            <w:rFonts w:ascii="Arial" w:hAnsi="Arial" w:eastAsia="Arial" w:cs="Arial" w:asciiTheme="minorAscii" w:hAnsiTheme="minorAscii" w:eastAsiaTheme="minorAscii" w:cstheme="minorAscii"/>
            <w:b w:val="0"/>
            <w:bCs w:val="0"/>
            <w:i w:val="0"/>
            <w:iCs w:val="0"/>
            <w:noProof w:val="0"/>
            <w:color w:val="auto"/>
            <w:sz w:val="22"/>
            <w:szCs w:val="22"/>
            <w:lang w:val="en-GB"/>
          </w:rPr>
          <w:t>https://assets.publishing.service.gov.uk/government/uploads/system/uploads/attachment_data/file/506202/23902777_Care_Act_Book.pdf</w:t>
        </w:r>
      </w:hyperlink>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(Accessed: 24 October 2026).</w:t>
      </w:r>
    </w:p>
    <w:p xmlns:wp14="http://schemas.microsoft.com/office/word/2010/wordml" w:rsidP="1798261D" wp14:paraId="672AB736" wp14:textId="236AA80A">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noProof w:val="0"/>
          <w:color w:val="auto"/>
          <w:sz w:val="22"/>
          <w:szCs w:val="22"/>
          <w:lang w:val="en-GB"/>
        </w:rPr>
      </w:pP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Local Government Association (2023) </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The Care Act 2014: mental health and wellbeing briefing</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London: LGA. Available at: </w:t>
      </w:r>
      <w:hyperlink r:id="R301dfe84b2244cae">
        <w:r w:rsidRPr="1798261D" w:rsidR="42F4762D">
          <w:rPr>
            <w:rStyle w:val="Hyperlink"/>
            <w:rFonts w:ascii="Arial" w:hAnsi="Arial" w:eastAsia="Arial" w:cs="Arial" w:asciiTheme="minorAscii" w:hAnsiTheme="minorAscii" w:eastAsiaTheme="minorAscii" w:cstheme="minorAscii"/>
            <w:b w:val="0"/>
            <w:bCs w:val="0"/>
            <w:i w:val="0"/>
            <w:iCs w:val="0"/>
            <w:noProof w:val="0"/>
            <w:color w:val="auto"/>
            <w:sz w:val="22"/>
            <w:szCs w:val="22"/>
            <w:lang w:val="en-GB"/>
          </w:rPr>
          <w:t>https://www.local.gov.uk/topics/adult-social-care/care-act-2014</w:t>
        </w:r>
      </w:hyperlink>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(Accessed: 24 October 2026).</w:t>
      </w:r>
    </w:p>
    <w:p xmlns:wp14="http://schemas.microsoft.com/office/word/2010/wordml" w:rsidP="1798261D" wp14:paraId="2760456E" wp14:textId="52F898C3">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noProof w:val="0"/>
          <w:color w:val="auto"/>
          <w:sz w:val="22"/>
          <w:szCs w:val="22"/>
          <w:lang w:val="en-GB"/>
        </w:rPr>
      </w:pP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London Ambulance Service NHS Trust (n.d.) </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Our history: a timeline</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Available at: </w:t>
      </w:r>
      <w:hyperlink r:id="Rc18e354a357c438e">
        <w:r w:rsidRPr="1798261D" w:rsidR="42F4762D">
          <w:rPr>
            <w:rStyle w:val="Hyperlink"/>
            <w:rFonts w:ascii="Arial" w:hAnsi="Arial" w:eastAsia="Arial" w:cs="Arial" w:asciiTheme="minorAscii" w:hAnsiTheme="minorAscii" w:eastAsiaTheme="minorAscii" w:cstheme="minorAscii"/>
            <w:b w:val="0"/>
            <w:bCs w:val="0"/>
            <w:i w:val="0"/>
            <w:iCs w:val="0"/>
            <w:noProof w:val="0"/>
            <w:color w:val="auto"/>
            <w:sz w:val="22"/>
            <w:szCs w:val="22"/>
            <w:lang w:val="en-GB"/>
          </w:rPr>
          <w:t>https://www.londonambulance.nhs.uk/about-us/our-history/</w:t>
        </w:r>
      </w:hyperlink>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(Accessed: 9 October 2026).</w:t>
      </w:r>
    </w:p>
    <w:p xmlns:wp14="http://schemas.microsoft.com/office/word/2010/wordml" w:rsidP="1798261D" wp14:paraId="234F41E7" wp14:textId="52A33203">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noProof w:val="0"/>
          <w:color w:val="auto"/>
          <w:sz w:val="22"/>
          <w:szCs w:val="22"/>
          <w:lang w:val="en-GB"/>
        </w:rPr>
      </w:pP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Mental Health Foundation (2025) </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State of mental health in the UK 2025</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London: Mental Health Foundation. Available at: </w:t>
      </w:r>
      <w:hyperlink r:id="R78f497743bde4a3d">
        <w:r w:rsidRPr="1798261D" w:rsidR="42F4762D">
          <w:rPr>
            <w:rStyle w:val="Hyperlink"/>
            <w:rFonts w:ascii="Arial" w:hAnsi="Arial" w:eastAsia="Arial" w:cs="Arial" w:asciiTheme="minorAscii" w:hAnsiTheme="minorAscii" w:eastAsiaTheme="minorAscii" w:cstheme="minorAscii"/>
            <w:b w:val="0"/>
            <w:bCs w:val="0"/>
            <w:i w:val="0"/>
            <w:iCs w:val="0"/>
            <w:noProof w:val="0"/>
            <w:color w:val="auto"/>
            <w:sz w:val="22"/>
            <w:szCs w:val="22"/>
            <w:lang w:val="en-GB"/>
          </w:rPr>
          <w:t>https://www.mentalhealth.org.uk/reports</w:t>
        </w:r>
      </w:hyperlink>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(Accessed: 24 October 2026).</w:t>
      </w:r>
    </w:p>
    <w:p xmlns:wp14="http://schemas.microsoft.com/office/word/2010/wordml" w:rsidP="1798261D" wp14:paraId="1670B2DF" wp14:textId="50907A46">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noProof w:val="0"/>
          <w:color w:val="auto"/>
          <w:sz w:val="22"/>
          <w:szCs w:val="22"/>
          <w:lang w:val="en-GB"/>
        </w:rPr>
      </w:pP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NHS Digital (2024) </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Adult psychiatric morbidity survey 2023</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Leeds: NHS Digital. Available at: </w:t>
      </w:r>
      <w:hyperlink r:id="Raffab6ba18614634">
        <w:r w:rsidRPr="1798261D" w:rsidR="42F4762D">
          <w:rPr>
            <w:rStyle w:val="Hyperlink"/>
            <w:rFonts w:ascii="Arial" w:hAnsi="Arial" w:eastAsia="Arial" w:cs="Arial" w:asciiTheme="minorAscii" w:hAnsiTheme="minorAscii" w:eastAsiaTheme="minorAscii" w:cstheme="minorAscii"/>
            <w:b w:val="0"/>
            <w:bCs w:val="0"/>
            <w:i w:val="0"/>
            <w:iCs w:val="0"/>
            <w:noProof w:val="0"/>
            <w:color w:val="auto"/>
            <w:sz w:val="22"/>
            <w:szCs w:val="22"/>
            <w:lang w:val="en-GB"/>
          </w:rPr>
          <w:t>https://digital.nhs.uk/data-and-information/publications/statistical/adult-psychiatric-morbidity-survey</w:t>
        </w:r>
      </w:hyperlink>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(Accessed: 24 October 2026).</w:t>
      </w:r>
    </w:p>
    <w:p xmlns:wp14="http://schemas.microsoft.com/office/word/2010/wordml" w:rsidP="1798261D" wp14:paraId="25CB709B" wp14:textId="6C767546">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noProof w:val="0"/>
          <w:color w:val="auto"/>
          <w:sz w:val="22"/>
          <w:szCs w:val="22"/>
          <w:lang w:val="en-GB"/>
        </w:rPr>
      </w:pP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NHS England (2018) </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Ambulance Response Programme review</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Available at: </w:t>
      </w:r>
      <w:hyperlink r:id="R33bcd1431fec472c">
        <w:r w:rsidRPr="1798261D" w:rsidR="42F4762D">
          <w:rPr>
            <w:rStyle w:val="Hyperlink"/>
            <w:rFonts w:ascii="Arial" w:hAnsi="Arial" w:eastAsia="Arial" w:cs="Arial" w:asciiTheme="minorAscii" w:hAnsiTheme="minorAscii" w:eastAsiaTheme="minorAscii" w:cstheme="minorAscii"/>
            <w:b w:val="0"/>
            <w:bCs w:val="0"/>
            <w:i w:val="0"/>
            <w:iCs w:val="0"/>
            <w:noProof w:val="0"/>
            <w:color w:val="auto"/>
            <w:sz w:val="22"/>
            <w:szCs w:val="22"/>
            <w:lang w:val="en-GB"/>
          </w:rPr>
          <w:t>https://www.england.nhs.uk/wp-content/uploads/2018/10/ambulance-response-programme-review.pdf</w:t>
        </w:r>
      </w:hyperlink>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(Accessed: 9 October 2026).</w:t>
      </w:r>
    </w:p>
    <w:p xmlns:wp14="http://schemas.microsoft.com/office/word/2010/wordml" w:rsidP="1798261D" wp14:paraId="54D635EE" wp14:textId="6F6CAC23">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noProof w:val="0"/>
          <w:color w:val="auto"/>
          <w:sz w:val="22"/>
          <w:szCs w:val="22"/>
          <w:lang w:val="en-GB"/>
        </w:rPr>
      </w:pP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Porter, A., Badshah, A., Black, S. </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et al.</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(2020) ‘Electronic health records in ambulances: the ERA multiple-methods study’, </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Health and Social Care Delivery Research</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8(10). Available at: </w:t>
      </w:r>
      <w:hyperlink r:id="R4236359e9c974d60">
        <w:r w:rsidRPr="1798261D" w:rsidR="42F4762D">
          <w:rPr>
            <w:rStyle w:val="Hyperlink"/>
            <w:rFonts w:ascii="Arial" w:hAnsi="Arial" w:eastAsia="Arial" w:cs="Arial" w:asciiTheme="minorAscii" w:hAnsiTheme="minorAscii" w:eastAsiaTheme="minorAscii" w:cstheme="minorAscii"/>
            <w:b w:val="0"/>
            <w:bCs w:val="0"/>
            <w:i w:val="0"/>
            <w:iCs w:val="0"/>
            <w:noProof w:val="0"/>
            <w:color w:val="auto"/>
            <w:sz w:val="22"/>
            <w:szCs w:val="22"/>
            <w:lang w:val="en-GB"/>
          </w:rPr>
          <w:t>https://doi.org/10.3310/hsdr08100</w:t>
        </w:r>
      </w:hyperlink>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(Accessed: 9 October 2026).</w:t>
      </w:r>
    </w:p>
    <w:p xmlns:wp14="http://schemas.microsoft.com/office/word/2010/wordml" w:rsidP="1798261D" wp14:paraId="077510AF" wp14:textId="64EFB3BF">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noProof w:val="0"/>
          <w:color w:val="auto"/>
          <w:sz w:val="22"/>
          <w:szCs w:val="22"/>
          <w:lang w:val="en-GB"/>
        </w:rPr>
      </w:pP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Social Care Institute for Excellence (SCIE) (2025) </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Ambulance services and social care integration: pathways to improved non-conveyance outcomes</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Available at: </w:t>
      </w:r>
      <w:hyperlink r:id="R26a155b7c22a4356">
        <w:r w:rsidRPr="1798261D" w:rsidR="42F4762D">
          <w:rPr>
            <w:rStyle w:val="Hyperlink"/>
            <w:rFonts w:ascii="Arial" w:hAnsi="Arial" w:eastAsia="Arial" w:cs="Arial" w:asciiTheme="minorAscii" w:hAnsiTheme="minorAscii" w:eastAsiaTheme="minorAscii" w:cstheme="minorAscii"/>
            <w:b w:val="0"/>
            <w:bCs w:val="0"/>
            <w:i w:val="0"/>
            <w:iCs w:val="0"/>
            <w:noProof w:val="0"/>
            <w:color w:val="auto"/>
            <w:sz w:val="22"/>
            <w:szCs w:val="22"/>
            <w:lang w:val="en-GB"/>
          </w:rPr>
          <w:t>https://www.scie.org.uk/ambulance-community-care-integration</w:t>
        </w:r>
      </w:hyperlink>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(Accessed: 9 October 2026).</w:t>
      </w:r>
    </w:p>
    <w:p xmlns:wp14="http://schemas.microsoft.com/office/word/2010/wordml" w:rsidP="1798261D" wp14:paraId="7D2ACF06" wp14:textId="0407F31B">
      <w:pPr>
        <w:spacing w:before="210" w:beforeAutospacing="off" w:after="210" w:afterAutospacing="off" w:line="360" w:lineRule="auto"/>
        <w:rPr>
          <w:rFonts w:ascii="Arial" w:hAnsi="Arial" w:eastAsia="Arial" w:cs="Arial" w:asciiTheme="minorAscii" w:hAnsiTheme="minorAscii" w:eastAsiaTheme="minorAscii" w:cstheme="minorAscii"/>
          <w:b w:val="0"/>
          <w:bCs w:val="0"/>
          <w:i w:val="0"/>
          <w:iCs w:val="0"/>
          <w:noProof w:val="0"/>
          <w:color w:val="auto"/>
          <w:sz w:val="22"/>
          <w:szCs w:val="22"/>
          <w:lang w:val="en-GB"/>
        </w:rPr>
      </w:pP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Watkins, A., Aslam, R., Dearden, A. </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et al.</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(2025) ‘Strategies to manage emergency ambulance telephone callers with sustained high needs: the STRETCHED mixed-methods evaluation’, </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Health and Social Care Delivery Research</w:t>
      </w:r>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13(37). Available at: </w:t>
      </w:r>
      <w:hyperlink r:id="R04035b5b157c45f8">
        <w:r w:rsidRPr="1798261D" w:rsidR="42F4762D">
          <w:rPr>
            <w:rStyle w:val="Hyperlink"/>
            <w:rFonts w:ascii="Arial" w:hAnsi="Arial" w:eastAsia="Arial" w:cs="Arial" w:asciiTheme="minorAscii" w:hAnsiTheme="minorAscii" w:eastAsiaTheme="minorAscii" w:cstheme="minorAscii"/>
            <w:b w:val="0"/>
            <w:bCs w:val="0"/>
            <w:i w:val="0"/>
            <w:iCs w:val="0"/>
            <w:noProof w:val="0"/>
            <w:color w:val="auto"/>
            <w:sz w:val="22"/>
            <w:szCs w:val="22"/>
            <w:lang w:val="en-GB"/>
          </w:rPr>
          <w:t>https://www.journalslibrary.nihr.ac.uk/hsdr/PWGF6008</w:t>
        </w:r>
      </w:hyperlink>
      <w:r w:rsidRPr="1798261D" w:rsidR="42F4762D">
        <w:rPr>
          <w:rFonts w:ascii="Arial" w:hAnsi="Arial" w:eastAsia="Arial" w:cs="Arial" w:asciiTheme="minorAscii" w:hAnsiTheme="minorAscii" w:eastAsiaTheme="minorAscii" w:cstheme="minorAscii"/>
          <w:b w:val="0"/>
          <w:bCs w:val="0"/>
          <w:i w:val="0"/>
          <w:iCs w:val="0"/>
          <w:noProof w:val="0"/>
          <w:color w:val="auto"/>
          <w:sz w:val="22"/>
          <w:szCs w:val="22"/>
          <w:lang w:val="en-GB"/>
        </w:rPr>
        <w:t xml:space="preserve"> (Accessed: 9 October 2026).</w:t>
      </w:r>
    </w:p>
    <w:p xmlns:wp14="http://schemas.microsoft.com/office/word/2010/wordml" w:rsidP="1798261D" wp14:paraId="50DFC530" wp14:textId="2C7D87C5">
      <w:pPr>
        <w:spacing w:before="240" w:beforeAutospacing="off" w:after="240" w:afterAutospacing="off"/>
        <w:rPr>
          <w:rFonts w:ascii="Aptos" w:hAnsi="Aptos" w:eastAsia="Aptos" w:cs="Aptos"/>
          <w:b w:val="0"/>
          <w:bCs w:val="0"/>
          <w:i w:val="0"/>
          <w:iCs w:val="0"/>
          <w:caps w:val="0"/>
          <w:smallCaps w:val="0"/>
          <w:noProof w:val="0"/>
          <w:color w:val="000000" w:themeColor="text1" w:themeTint="FF" w:themeShade="FF"/>
          <w:sz w:val="24"/>
          <w:szCs w:val="24"/>
          <w:lang w:val="en-GB"/>
        </w:rPr>
      </w:pPr>
    </w:p>
    <w:p xmlns:wp14="http://schemas.microsoft.com/office/word/2010/wordml" w:rsidP="1798261D" wp14:paraId="26AED54C" wp14:textId="131B5C7E">
      <w:pPr>
        <w:spacing w:before="240" w:beforeAutospacing="off" w:after="240" w:afterAutospacing="off" w:line="360" w:lineRule="auto"/>
        <w:rPr>
          <w:rFonts w:ascii="Arial" w:hAnsi="Arial" w:eastAsia="Arial" w:cs="Arial" w:asciiTheme="minorAscii" w:hAnsiTheme="minorAscii" w:eastAsiaTheme="minorAscii" w:cstheme="minorAscii"/>
          <w:i w:val="0"/>
          <w:iCs w:val="0"/>
          <w:noProof w:val="0"/>
          <w:sz w:val="22"/>
          <w:szCs w:val="22"/>
          <w:lang w:val="en-US"/>
        </w:rPr>
      </w:pPr>
    </w:p>
    <w:p xmlns:wp14="http://schemas.microsoft.com/office/word/2010/wordml" w:rsidP="1798261D" wp14:paraId="51920C00" wp14:textId="197BFD80">
      <w:pPr>
        <w:spacing w:before="240" w:beforeAutospacing="off" w:after="240" w:afterAutospacing="off" w:line="360" w:lineRule="auto"/>
        <w:rPr>
          <w:rFonts w:ascii="Arial" w:hAnsi="Arial" w:eastAsia="Arial" w:cs="Arial" w:asciiTheme="minorAscii" w:hAnsiTheme="minorAscii" w:eastAsiaTheme="minorAscii" w:cstheme="minorAscii"/>
          <w:i w:val="0"/>
          <w:iCs w:val="0"/>
          <w:noProof w:val="0"/>
          <w:sz w:val="22"/>
          <w:szCs w:val="22"/>
          <w:lang w:val="en-US"/>
        </w:rPr>
      </w:pPr>
    </w:p>
    <w:p xmlns:wp14="http://schemas.microsoft.com/office/word/2010/wordml" w:rsidP="1798261D" wp14:paraId="15B92084" wp14:textId="66A4B540">
      <w:pPr>
        <w:spacing w:before="240" w:beforeAutospacing="off" w:after="240" w:afterAutospacing="off" w:line="360" w:lineRule="auto"/>
        <w:rPr>
          <w:rFonts w:ascii="Arial" w:hAnsi="Arial" w:eastAsia="Arial" w:cs="Arial" w:asciiTheme="minorAscii" w:hAnsiTheme="minorAscii" w:eastAsiaTheme="minorAscii" w:cstheme="minorAscii"/>
          <w:i w:val="0"/>
          <w:iCs w:val="0"/>
          <w:noProof w:val="0"/>
          <w:sz w:val="22"/>
          <w:szCs w:val="22"/>
          <w:lang w:val="en-US"/>
        </w:rPr>
      </w:pPr>
    </w:p>
    <w:p xmlns:wp14="http://schemas.microsoft.com/office/word/2010/wordml" w:rsidP="1798261D" wp14:paraId="484E7366" wp14:textId="64421D4A">
      <w:pPr>
        <w:spacing w:before="240" w:beforeAutospacing="off" w:after="240" w:afterAutospacing="off" w:line="360" w:lineRule="auto"/>
        <w:rPr>
          <w:rFonts w:ascii="Arial" w:hAnsi="Arial" w:eastAsia="Arial" w:cs="Arial" w:asciiTheme="minorAscii" w:hAnsiTheme="minorAscii" w:eastAsiaTheme="minorAscii" w:cstheme="minorAscii"/>
          <w:i w:val="0"/>
          <w:iCs w:val="0"/>
          <w:noProof w:val="0"/>
          <w:sz w:val="22"/>
          <w:szCs w:val="22"/>
          <w:lang w:val="en-US"/>
        </w:rPr>
      </w:pPr>
    </w:p>
    <w:p xmlns:wp14="http://schemas.microsoft.com/office/word/2010/wordml" w:rsidP="1798261D" wp14:paraId="2C078E63" wp14:textId="35E7CF7D">
      <w:pPr>
        <w:spacing w:line="360" w:lineRule="auto"/>
        <w:rPr>
          <w:i w:val="0"/>
          <w:iCs w:val="0"/>
          <w:sz w:val="22"/>
          <w:szCs w:val="22"/>
        </w:rPr>
      </w:pPr>
    </w:p>
    <w:sectPr>
      <w:pgSz w:w="12240" w:h="15840" w:orient="portrait"/>
      <w:pgMar w:top="1440" w:right="1440" w:bottom="1440" w:left="1440" w:header="720" w:footer="720" w:gutter="0"/>
      <w:cols w:space="720"/>
      <w:docGrid w:linePitch="360"/>
      <w:headerReference w:type="default" r:id="R3b3b7920767a4743"/>
      <w:footerReference w:type="default" r:id="R6bf5bec3e916443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798261D" w:rsidTr="1798261D" w14:paraId="6F74DC95">
      <w:trPr>
        <w:trHeight w:val="300"/>
      </w:trPr>
      <w:tc>
        <w:tcPr>
          <w:tcW w:w="3120" w:type="dxa"/>
          <w:tcMar/>
        </w:tcPr>
        <w:p w:rsidR="1798261D" w:rsidP="1798261D" w:rsidRDefault="1798261D" w14:paraId="35A83CB4" w14:textId="24C8800C">
          <w:pPr>
            <w:pStyle w:val="Header"/>
            <w:bidi w:val="0"/>
            <w:ind w:left="-115"/>
            <w:jc w:val="left"/>
          </w:pPr>
        </w:p>
      </w:tc>
      <w:tc>
        <w:tcPr>
          <w:tcW w:w="3120" w:type="dxa"/>
          <w:tcMar/>
        </w:tcPr>
        <w:p w:rsidR="1798261D" w:rsidP="1798261D" w:rsidRDefault="1798261D" w14:paraId="3F93291B" w14:textId="232A23A8">
          <w:pPr>
            <w:pStyle w:val="Header"/>
            <w:bidi w:val="0"/>
            <w:jc w:val="center"/>
          </w:pPr>
          <w:r>
            <w:fldChar w:fldCharType="begin"/>
          </w:r>
          <w:r>
            <w:instrText xml:space="preserve">PAGE</w:instrText>
          </w:r>
          <w:r>
            <w:fldChar w:fldCharType="separate"/>
          </w:r>
          <w:r>
            <w:fldChar w:fldCharType="end"/>
          </w:r>
        </w:p>
      </w:tc>
      <w:tc>
        <w:tcPr>
          <w:tcW w:w="3120" w:type="dxa"/>
          <w:tcMar/>
        </w:tcPr>
        <w:p w:rsidR="1798261D" w:rsidP="1798261D" w:rsidRDefault="1798261D" w14:paraId="360CF8A2" w14:textId="400D1DDC">
          <w:pPr>
            <w:pStyle w:val="Header"/>
            <w:bidi w:val="0"/>
            <w:ind w:right="-115"/>
            <w:jc w:val="right"/>
          </w:pPr>
        </w:p>
      </w:tc>
    </w:tr>
  </w:tbl>
  <w:p w:rsidR="1798261D" w:rsidP="1798261D" w:rsidRDefault="1798261D" w14:paraId="2B5C8BB6" w14:textId="06AED6E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120"/>
      <w:gridCol w:w="3120"/>
      <w:gridCol w:w="3120"/>
    </w:tblGrid>
    <w:tr w:rsidR="1798261D" w:rsidTr="1798261D" w14:paraId="15F100EC">
      <w:trPr>
        <w:trHeight w:val="300"/>
      </w:trPr>
      <w:tc>
        <w:tcPr>
          <w:tcW w:w="3120" w:type="dxa"/>
          <w:tcMar/>
        </w:tcPr>
        <w:p w:rsidR="1798261D" w:rsidP="1798261D" w:rsidRDefault="1798261D" w14:paraId="79275139" w14:textId="51113E1C">
          <w:pPr>
            <w:pStyle w:val="Header"/>
            <w:bidi w:val="0"/>
            <w:ind w:left="-115"/>
            <w:jc w:val="left"/>
          </w:pPr>
        </w:p>
      </w:tc>
      <w:tc>
        <w:tcPr>
          <w:tcW w:w="3120" w:type="dxa"/>
          <w:tcMar/>
        </w:tcPr>
        <w:p w:rsidR="1798261D" w:rsidP="1798261D" w:rsidRDefault="1798261D" w14:paraId="6AB92722" w14:textId="72C8965B">
          <w:pPr>
            <w:pStyle w:val="Header"/>
            <w:bidi w:val="0"/>
            <w:jc w:val="center"/>
          </w:pPr>
        </w:p>
      </w:tc>
      <w:tc>
        <w:tcPr>
          <w:tcW w:w="3120" w:type="dxa"/>
          <w:tcMar/>
        </w:tcPr>
        <w:p w:rsidR="1798261D" w:rsidP="1798261D" w:rsidRDefault="1798261D" w14:paraId="7655A158" w14:textId="07A93080">
          <w:pPr>
            <w:pStyle w:val="Header"/>
            <w:bidi w:val="0"/>
            <w:ind w:right="-115"/>
            <w:jc w:val="right"/>
          </w:pPr>
        </w:p>
      </w:tc>
    </w:tr>
  </w:tbl>
  <w:p w:rsidR="1798261D" w:rsidP="1798261D" w:rsidRDefault="1798261D" w14:paraId="7C55E1D8" w14:textId="625076F7">
    <w:pPr>
      <w:pStyle w:val="Header"/>
      <w:bidi w:val="0"/>
    </w:pPr>
  </w:p>
</w:hdr>
</file>

<file path=word/numbering.xml><?xml version="1.0" encoding="utf-8"?>
<w:numbering xmlns:w="http://schemas.openxmlformats.org/wordprocessingml/2006/main">
  <w:abstractNum xmlns:w="http://schemas.openxmlformats.org/wordprocessingml/2006/main" w:abstractNumId="1">
    <w:nsid w:val="2787db5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785B59D"/>
    <w:rsid w:val="00B22106"/>
    <w:rsid w:val="02ACB208"/>
    <w:rsid w:val="03DE66FC"/>
    <w:rsid w:val="043F26E7"/>
    <w:rsid w:val="0443715D"/>
    <w:rsid w:val="0481A7A2"/>
    <w:rsid w:val="04F39F36"/>
    <w:rsid w:val="05FA674E"/>
    <w:rsid w:val="07A6B902"/>
    <w:rsid w:val="07ADAB3F"/>
    <w:rsid w:val="0815C488"/>
    <w:rsid w:val="0823494E"/>
    <w:rsid w:val="0974476B"/>
    <w:rsid w:val="0A1227B7"/>
    <w:rsid w:val="0ABFBEB4"/>
    <w:rsid w:val="0C39D13C"/>
    <w:rsid w:val="0CAA7ABA"/>
    <w:rsid w:val="0D5A013B"/>
    <w:rsid w:val="0DB4CD95"/>
    <w:rsid w:val="0E2D0412"/>
    <w:rsid w:val="0FF6F4B0"/>
    <w:rsid w:val="12F2D5B0"/>
    <w:rsid w:val="1353D716"/>
    <w:rsid w:val="13BE880D"/>
    <w:rsid w:val="13D93AAB"/>
    <w:rsid w:val="160F0481"/>
    <w:rsid w:val="1662383B"/>
    <w:rsid w:val="167C4E72"/>
    <w:rsid w:val="1798261D"/>
    <w:rsid w:val="19AA231B"/>
    <w:rsid w:val="1A3D271D"/>
    <w:rsid w:val="1CBC9D55"/>
    <w:rsid w:val="1CC10CE7"/>
    <w:rsid w:val="1D5BA806"/>
    <w:rsid w:val="1E120ACE"/>
    <w:rsid w:val="20B41927"/>
    <w:rsid w:val="2135667E"/>
    <w:rsid w:val="24F17C99"/>
    <w:rsid w:val="2592EFE2"/>
    <w:rsid w:val="25C4E5BE"/>
    <w:rsid w:val="2667B179"/>
    <w:rsid w:val="26AE9305"/>
    <w:rsid w:val="2785B59D"/>
    <w:rsid w:val="290568BB"/>
    <w:rsid w:val="29909DBF"/>
    <w:rsid w:val="2A303178"/>
    <w:rsid w:val="2B9BE458"/>
    <w:rsid w:val="2E89E0AC"/>
    <w:rsid w:val="2EA07090"/>
    <w:rsid w:val="2FA83581"/>
    <w:rsid w:val="30A6C45E"/>
    <w:rsid w:val="31296F11"/>
    <w:rsid w:val="32094C7F"/>
    <w:rsid w:val="34707186"/>
    <w:rsid w:val="360618AB"/>
    <w:rsid w:val="3689492C"/>
    <w:rsid w:val="381F2627"/>
    <w:rsid w:val="3B0F5961"/>
    <w:rsid w:val="3C143FD2"/>
    <w:rsid w:val="405BDEFC"/>
    <w:rsid w:val="4114A4DB"/>
    <w:rsid w:val="4296EFD8"/>
    <w:rsid w:val="42F4762D"/>
    <w:rsid w:val="46EED77D"/>
    <w:rsid w:val="47F260F2"/>
    <w:rsid w:val="486D57ED"/>
    <w:rsid w:val="48FBD947"/>
    <w:rsid w:val="4980635C"/>
    <w:rsid w:val="49D72985"/>
    <w:rsid w:val="49EA9665"/>
    <w:rsid w:val="4A2F8DAF"/>
    <w:rsid w:val="4A60320E"/>
    <w:rsid w:val="4B8BA46A"/>
    <w:rsid w:val="4BF32023"/>
    <w:rsid w:val="4DC13FF1"/>
    <w:rsid w:val="50D46AAF"/>
    <w:rsid w:val="50E8ABD7"/>
    <w:rsid w:val="50EF6BD6"/>
    <w:rsid w:val="50FC67A3"/>
    <w:rsid w:val="51AF3E85"/>
    <w:rsid w:val="53F7853C"/>
    <w:rsid w:val="54663992"/>
    <w:rsid w:val="55AC5698"/>
    <w:rsid w:val="57A49A39"/>
    <w:rsid w:val="5852ADCE"/>
    <w:rsid w:val="58D3FE01"/>
    <w:rsid w:val="5907B63E"/>
    <w:rsid w:val="59511535"/>
    <w:rsid w:val="59E5D86C"/>
    <w:rsid w:val="5C9E6B9C"/>
    <w:rsid w:val="5F6415CA"/>
    <w:rsid w:val="5FDCA5F3"/>
    <w:rsid w:val="5FED1B91"/>
    <w:rsid w:val="60C70E13"/>
    <w:rsid w:val="60D3353F"/>
    <w:rsid w:val="60DE6A2D"/>
    <w:rsid w:val="610FE5E3"/>
    <w:rsid w:val="665EECF0"/>
    <w:rsid w:val="66F5BE6B"/>
    <w:rsid w:val="67A77424"/>
    <w:rsid w:val="6B5F4B6D"/>
    <w:rsid w:val="6CCD5A97"/>
    <w:rsid w:val="6D68B909"/>
    <w:rsid w:val="6D9AAB46"/>
    <w:rsid w:val="6E21BEB3"/>
    <w:rsid w:val="6FF859D6"/>
    <w:rsid w:val="705A10A1"/>
    <w:rsid w:val="72EBA141"/>
    <w:rsid w:val="749187CC"/>
    <w:rsid w:val="76A3D843"/>
    <w:rsid w:val="772CACE2"/>
    <w:rsid w:val="79209EE1"/>
    <w:rsid w:val="79C113F3"/>
    <w:rsid w:val="7A4C43B3"/>
    <w:rsid w:val="7AD1BDCD"/>
    <w:rsid w:val="7D0636AB"/>
    <w:rsid w:val="7E2739B7"/>
    <w:rsid w:val="7F17EF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AEF135"/>
  <w15:chartTrackingRefBased/>
  <w15:docId w15:val="{52C49B46-DAE7-458C-9F2D-FA5AF1CD920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3">
    <w:uiPriority w:val="9"/>
    <w:name w:val="heading 3"/>
    <w:basedOn w:val="Normal"/>
    <w:next w:val="Normal"/>
    <w:unhideWhenUsed/>
    <w:qFormat/>
    <w:rsid w:val="1798261D"/>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yperlink">
    <w:uiPriority w:val="99"/>
    <w:name w:val="Hyperlink"/>
    <w:basedOn w:val="DefaultParagraphFont"/>
    <w:unhideWhenUsed/>
    <w:rsid w:val="1798261D"/>
    <w:rPr>
      <w:color w:val="467886"/>
      <w:u w:val="single"/>
    </w:rPr>
  </w:style>
  <w:style w:type="paragraph" w:styleId="Header">
    <w:uiPriority w:val="99"/>
    <w:name w:val="header"/>
    <w:basedOn w:val="Normal"/>
    <w:unhideWhenUsed/>
    <w:rsid w:val="1798261D"/>
    <w:pPr>
      <w:tabs>
        <w:tab w:val="center" w:leader="none" w:pos="4680"/>
        <w:tab w:val="right" w:leader="none" w:pos="9360"/>
      </w:tabs>
      <w:spacing w:after="0" w:line="240" w:lineRule="auto"/>
    </w:pPr>
  </w:style>
  <w:style w:type="paragraph" w:styleId="Footer">
    <w:uiPriority w:val="99"/>
    <w:name w:val="footer"/>
    <w:basedOn w:val="Normal"/>
    <w:unhideWhenUsed/>
    <w:rsid w:val="1798261D"/>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aace.org.uk/wp-content/uploads/2024/11/AACE-Darzi-evidence-August-2024-FINAL.pdf" TargetMode="External" Id="R556ce34bfdf04e00" /><Relationship Type="http://schemas.openxmlformats.org/officeDocument/2006/relationships/hyperlink" Target="https://www.legislation.gov.uk/ukpga/2014/23" TargetMode="External" Id="R1b3ddf4e3899450b" /><Relationship Type="http://schemas.openxmlformats.org/officeDocument/2006/relationships/hyperlink" Target="https://www.nwas.nhs.uk/media/79142/taking_healthcare_to_the_patient_1.pdf" TargetMode="External" Id="R5af103ac52df419d" /><Relationship Type="http://schemas.openxmlformats.org/officeDocument/2006/relationships/hyperlink" Target="https://www.gov.uk/government/collections/mental-health-commissioning" TargetMode="External" Id="Rbac02d52d5cf4040" /><Relationship Type="http://schemas.openxmlformats.org/officeDocument/2006/relationships/hyperlink" Target="https://assets.publishing.service.gov.uk/government/uploads/system/uploads/attachment_data/file/506202/23902777_Care_Act_Book.pdf" TargetMode="External" Id="R0560e95beb3841ca" /><Relationship Type="http://schemas.openxmlformats.org/officeDocument/2006/relationships/hyperlink" Target="https://www.local.gov.uk/topics/adult-social-care/care-act-2014" TargetMode="External" Id="R301dfe84b2244cae" /><Relationship Type="http://schemas.openxmlformats.org/officeDocument/2006/relationships/hyperlink" Target="https://www.londonambulance.nhs.uk/about-us/our-history/" TargetMode="External" Id="Rc18e354a357c438e" /><Relationship Type="http://schemas.openxmlformats.org/officeDocument/2006/relationships/hyperlink" Target="https://www.mentalhealth.org.uk/reports" TargetMode="External" Id="R78f497743bde4a3d" /><Relationship Type="http://schemas.openxmlformats.org/officeDocument/2006/relationships/hyperlink" Target="https://digital.nhs.uk/data-and-information/publications/statistical/adult-psychiatric-morbidity-survey" TargetMode="External" Id="Raffab6ba18614634" /><Relationship Type="http://schemas.openxmlformats.org/officeDocument/2006/relationships/hyperlink" Target="https://www.england.nhs.uk/wp-content/uploads/2018/10/ambulance-response-programme-review.pdf" TargetMode="External" Id="R33bcd1431fec472c" /><Relationship Type="http://schemas.openxmlformats.org/officeDocument/2006/relationships/hyperlink" Target="https://doi.org/10.3310/hsdr08100" TargetMode="External" Id="R4236359e9c974d60" /><Relationship Type="http://schemas.openxmlformats.org/officeDocument/2006/relationships/hyperlink" Target="https://www.scie.org.uk/ambulance-community-care-integration" TargetMode="External" Id="R26a155b7c22a4356" /><Relationship Type="http://schemas.openxmlformats.org/officeDocument/2006/relationships/hyperlink" Target="https://www.journalslibrary.nihr.ac.uk/hsdr/PWGF6008" TargetMode="External" Id="R04035b5b157c45f8" /><Relationship Type="http://schemas.openxmlformats.org/officeDocument/2006/relationships/header" Target="header.xml" Id="R3b3b7920767a4743" /><Relationship Type="http://schemas.openxmlformats.org/officeDocument/2006/relationships/footer" Target="footer.xml" Id="R6bf5bec3e916443f" /><Relationship Type="http://schemas.openxmlformats.org/officeDocument/2006/relationships/numbering" Target="numbering.xml" Id="R52ca911de5a8403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2026-10-25T16:21:37.5526070Z</dcterms:created>
  <dcterms:modified xsi:type="dcterms:W3CDTF">2026-10-25T21:25:06.1074143Z</dcterms:modified>
  <dc:creator>Bibi Fatima (2533701)</dc:creator>
  <lastModifiedBy>Bibi Fatima (2533701)</lastModifiedBy>
</coreProperties>
</file>