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0A85" w:rsidRDefault="00F23B2F">
      <w:pPr>
        <w:rPr>
          <w:b/>
        </w:rPr>
      </w:pPr>
      <w:r>
        <w:rPr>
          <w:b/>
        </w:rPr>
        <w:t>David Cunningham 1501145 – CLAH6003</w:t>
      </w:r>
    </w:p>
    <w:p w:rsidR="00F23B2F" w:rsidRDefault="00F23B2F">
      <w:pPr>
        <w:rPr>
          <w:b/>
        </w:rPr>
      </w:pPr>
    </w:p>
    <w:p w:rsidR="00F23B2F" w:rsidRDefault="00F23B2F">
      <w:pPr>
        <w:rPr>
          <w:b/>
        </w:rPr>
      </w:pPr>
      <w:r>
        <w:rPr>
          <w:b/>
        </w:rPr>
        <w:t>Reply to the article - J</w:t>
      </w:r>
      <w:r w:rsidRPr="00F23B2F">
        <w:rPr>
          <w:b/>
        </w:rPr>
        <w:t xml:space="preserve">ames A. Thorne. </w:t>
      </w:r>
      <w:bookmarkStart w:id="0" w:name="_Hlk508721073"/>
      <w:r w:rsidRPr="00F23B2F">
        <w:rPr>
          <w:b/>
        </w:rPr>
        <w:t>"Warfare and Agriculture: The Economic Impact of Devastation in Classical Greece." </w:t>
      </w:r>
      <w:r w:rsidRPr="00F23B2F">
        <w:rPr>
          <w:b/>
          <w:i/>
          <w:iCs/>
        </w:rPr>
        <w:t>Greek</w:t>
      </w:r>
      <w:r w:rsidRPr="00F23B2F">
        <w:rPr>
          <w:b/>
        </w:rPr>
        <w:t> 42.3 (2006): 225-53. </w:t>
      </w:r>
      <w:bookmarkEnd w:id="0"/>
    </w:p>
    <w:p w:rsidR="00F23B2F" w:rsidRDefault="00F23B2F">
      <w:pPr>
        <w:rPr>
          <w:b/>
        </w:rPr>
      </w:pPr>
    </w:p>
    <w:p w:rsidR="00A03588" w:rsidRDefault="00F23B2F" w:rsidP="00F23B2F">
      <w:pPr>
        <w:spacing w:line="480" w:lineRule="auto"/>
      </w:pPr>
      <w:r>
        <w:t xml:space="preserve">When looking at agriculture in Classical Greece you cannot ignore the impact it had </w:t>
      </w:r>
      <w:proofErr w:type="gramStart"/>
      <w:r>
        <w:t>on the subject of warfare</w:t>
      </w:r>
      <w:proofErr w:type="gramEnd"/>
      <w:r>
        <w:t>.</w:t>
      </w:r>
      <w:r w:rsidR="00A15D34">
        <w:t xml:space="preserve"> The complexities of the agricultural system intertwined with </w:t>
      </w:r>
      <w:r w:rsidR="005632D7">
        <w:t>the economy</w:t>
      </w:r>
      <w:r w:rsidR="00A15D34">
        <w:t>, and the needs of a populace, intrinsically link this</w:t>
      </w:r>
      <w:r w:rsidR="005632D7">
        <w:t xml:space="preserve"> industry with warfare due to the</w:t>
      </w:r>
      <w:r w:rsidR="00A15D34">
        <w:t xml:space="preserve"> nature</w:t>
      </w:r>
      <w:r w:rsidR="005632D7">
        <w:t xml:space="preserve"> of conflict</w:t>
      </w:r>
      <w:r w:rsidR="00A15D34">
        <w:t xml:space="preserve"> during this period</w:t>
      </w:r>
      <w:r w:rsidR="00A15D34">
        <w:rPr>
          <w:rStyle w:val="FootnoteReference"/>
        </w:rPr>
        <w:footnoteReference w:id="1"/>
      </w:r>
      <w:r w:rsidR="00A15D34">
        <w:t xml:space="preserve">. </w:t>
      </w:r>
      <w:r>
        <w:t>Agriculture heavily i</w:t>
      </w:r>
      <w:r w:rsidR="00A15D34">
        <w:t xml:space="preserve">nfluenced the </w:t>
      </w:r>
      <w:r>
        <w:t>ability</w:t>
      </w:r>
      <w:r w:rsidR="00A15D34">
        <w:t xml:space="preserve"> of a polis</w:t>
      </w:r>
      <w:r>
        <w:t xml:space="preserve"> to make war, but also proved a fine target for an en</w:t>
      </w:r>
      <w:r w:rsidR="00A15D34">
        <w:t xml:space="preserve">emy force looking to </w:t>
      </w:r>
      <w:r w:rsidR="00AC3EDB">
        <w:t xml:space="preserve">cause </w:t>
      </w:r>
      <w:r>
        <w:t>damage</w:t>
      </w:r>
      <w:r w:rsidR="00AC3EDB">
        <w:t xml:space="preserve"> both physically and economically</w:t>
      </w:r>
      <w:r w:rsidR="005A31C2">
        <w:t>, although the extent of this will be discussed further</w:t>
      </w:r>
      <w:r>
        <w:t>.</w:t>
      </w:r>
      <w:r w:rsidR="001C7FD8">
        <w:t xml:space="preserve"> This is explained in </w:t>
      </w:r>
      <w:r w:rsidR="005632D7">
        <w:t>detail by Thorne</w:t>
      </w:r>
      <w:r w:rsidR="001C7FD8">
        <w:t>,</w:t>
      </w:r>
      <w:r w:rsidR="005632D7">
        <w:t xml:space="preserve"> who</w:t>
      </w:r>
      <w:r w:rsidR="00AC3EDB">
        <w:t>se main argument in ‘</w:t>
      </w:r>
      <w:r w:rsidR="00AC3EDB">
        <w:rPr>
          <w:i/>
        </w:rPr>
        <w:t>Warfare and Agriculture’</w:t>
      </w:r>
      <w:r w:rsidR="005632D7">
        <w:t xml:space="preserve"> </w:t>
      </w:r>
      <w:r w:rsidR="00AC3EDB">
        <w:t xml:space="preserve">is </w:t>
      </w:r>
      <w:r w:rsidR="00725FF7">
        <w:t xml:space="preserve">that </w:t>
      </w:r>
      <w:r w:rsidR="00025232">
        <w:t xml:space="preserve">the destruction of crops was a suitable method of coercion </w:t>
      </w:r>
      <w:r w:rsidR="00AC3EDB">
        <w:t xml:space="preserve">in times of war, </w:t>
      </w:r>
      <w:r w:rsidR="00025232">
        <w:t>creating economic strains on a polis</w:t>
      </w:r>
      <w:r w:rsidR="00025232">
        <w:rPr>
          <w:rStyle w:val="FootnoteReference"/>
        </w:rPr>
        <w:footnoteReference w:id="2"/>
      </w:r>
      <w:r w:rsidR="00025232">
        <w:t xml:space="preserve">. </w:t>
      </w:r>
      <w:r w:rsidR="00DF4D80">
        <w:t>This reply will be written in agreeance with Thorne’s conclusions, h</w:t>
      </w:r>
      <w:r w:rsidR="005A31C2">
        <w:t>owever,</w:t>
      </w:r>
      <w:r w:rsidR="00BC0F8C">
        <w:t xml:space="preserve"> it will be argued,</w:t>
      </w:r>
      <w:r w:rsidR="00DF4D80">
        <w:t xml:space="preserve"> that he has neglected to mention various important </w:t>
      </w:r>
      <w:r w:rsidR="001C7FD8">
        <w:t>aspects to solidify his conclusions</w:t>
      </w:r>
      <w:r w:rsidR="00DF4D80">
        <w:t xml:space="preserve"> such as the usage of light troops in crop devastation</w:t>
      </w:r>
      <w:r w:rsidR="001C7FD8">
        <w:t xml:space="preserve"> and the importance of walls around farmland</w:t>
      </w:r>
      <w:r w:rsidR="00DF4D80">
        <w:t>. Thorne’s assessments on the effectiveness of agricultural destruction, in terms of the economy, is very convincing and uses the previous evidence brought forth by Hanson, although again, he omits certain examples that could solidify his arguments further.</w:t>
      </w:r>
    </w:p>
    <w:p w:rsidR="00A03588" w:rsidRDefault="00A03588" w:rsidP="00F23B2F">
      <w:pPr>
        <w:spacing w:line="480" w:lineRule="auto"/>
      </w:pPr>
    </w:p>
    <w:p w:rsidR="000520F9" w:rsidRDefault="00A03588" w:rsidP="00F23B2F">
      <w:pPr>
        <w:spacing w:line="480" w:lineRule="auto"/>
      </w:pPr>
      <w:r>
        <w:t xml:space="preserve">In the first part of this article, entitled </w:t>
      </w:r>
      <w:r>
        <w:rPr>
          <w:i/>
        </w:rPr>
        <w:t>‘The attack on agriculture’</w:t>
      </w:r>
      <w:r>
        <w:t>, Thorne speaks at great length of the importance</w:t>
      </w:r>
      <w:r w:rsidR="00A4478D">
        <w:t xml:space="preserve"> of the differing types of crops, referring to them as the ‘Mediterranean Triad’</w:t>
      </w:r>
      <w:r w:rsidR="00ED7A5B">
        <w:t xml:space="preserve"> consisting of cereals, olives, and vines</w:t>
      </w:r>
      <w:r w:rsidR="00DC199F">
        <w:rPr>
          <w:rStyle w:val="FootnoteReference"/>
        </w:rPr>
        <w:footnoteReference w:id="3"/>
      </w:r>
      <w:r w:rsidR="00ED7A5B">
        <w:t>.</w:t>
      </w:r>
      <w:r>
        <w:t xml:space="preserve"> </w:t>
      </w:r>
      <w:r w:rsidR="00ED7A5B">
        <w:t xml:space="preserve">Despite a detailed analysis </w:t>
      </w:r>
      <w:r w:rsidR="00DC199F">
        <w:t xml:space="preserve">of </w:t>
      </w:r>
      <w:r w:rsidR="00ED7A5B">
        <w:t xml:space="preserve">this, he </w:t>
      </w:r>
      <w:r w:rsidR="00DC199F">
        <w:t>n</w:t>
      </w:r>
      <w:r w:rsidR="00D50D87">
        <w:t>eglects to discuss</w:t>
      </w:r>
      <w:r w:rsidR="001C7FD8">
        <w:t xml:space="preserve"> in detail</w:t>
      </w:r>
      <w:r w:rsidR="00D50D87">
        <w:t xml:space="preserve"> the </w:t>
      </w:r>
      <w:r w:rsidR="00ED7A5B">
        <w:t>methods of how these crops were targeted and what type of troops were used in this task. The heavy usage of hoplite warfare during this period does not lend itself well to the destruction of</w:t>
      </w:r>
      <w:r w:rsidR="00D50D87">
        <w:t xml:space="preserve"> </w:t>
      </w:r>
      <w:r w:rsidR="00D50D87">
        <w:lastRenderedPageBreak/>
        <w:t>certain</w:t>
      </w:r>
      <w:r w:rsidR="00ED7A5B">
        <w:t xml:space="preserve"> crops</w:t>
      </w:r>
      <w:r w:rsidR="008F7EDA">
        <w:t>, although in some instances they were used</w:t>
      </w:r>
      <w:r w:rsidR="00ED7A5B">
        <w:t>. What must be remembered is that the strength of the hoplite formation, or phalanx, is in the organisation and co-ordination of the men in the unit</w:t>
      </w:r>
      <w:r w:rsidR="00ED7A5B">
        <w:rPr>
          <w:rStyle w:val="FootnoteReference"/>
        </w:rPr>
        <w:footnoteReference w:id="4"/>
      </w:r>
      <w:r w:rsidR="002E69C2">
        <w:t>. This meant that, when in enemy territory, the hoplite forces did not break out into a loose formation, irrelevant of whether the enemy was in sight or not. This was to negate the problem of ambush, and to keep the co-ordination of the phalanx. Thi</w:t>
      </w:r>
      <w:r w:rsidR="001C7FD8">
        <w:t xml:space="preserve">s is discussed by Thucydides in his account of </w:t>
      </w:r>
      <w:r w:rsidR="002E69C2">
        <w:t>King Archidamos’ invasion into Attica, who tells his troops that ‘it seems assured our enemy will not face us in battle, still we must not, for these reasons, let our guard down while on the march’</w:t>
      </w:r>
      <w:r w:rsidR="002E69C2">
        <w:rPr>
          <w:rStyle w:val="FootnoteReference"/>
        </w:rPr>
        <w:footnoteReference w:id="5"/>
      </w:r>
      <w:r w:rsidR="008F7EDA">
        <w:t>.</w:t>
      </w:r>
      <w:r w:rsidR="00DC199F">
        <w:t xml:space="preserve"> On occasion, this close formation would have proved useful in the trampling of certain crop types, such as vines</w:t>
      </w:r>
      <w:r w:rsidR="00406F20">
        <w:t>, although Hanson argues that the usage of light troops was a much more effective form of accomplishing this task</w:t>
      </w:r>
      <w:r w:rsidR="00406F20">
        <w:rPr>
          <w:rStyle w:val="FootnoteReference"/>
        </w:rPr>
        <w:footnoteReference w:id="6"/>
      </w:r>
      <w:r w:rsidR="00DC199F">
        <w:t>. The damage to this type of crop was in no way as efficient as the burning of cereal crops during the correct time of year, but, according to Foxhall, the damage was enough to render a year’s harvest useless</w:t>
      </w:r>
      <w:r w:rsidR="00DC199F">
        <w:rPr>
          <w:rStyle w:val="FootnoteReference"/>
        </w:rPr>
        <w:footnoteReference w:id="7"/>
      </w:r>
      <w:r w:rsidR="00DC199F">
        <w:t xml:space="preserve">. </w:t>
      </w:r>
      <w:r w:rsidR="00406F20">
        <w:t>The most effective use of man power, to destroy agricultural development, came in the use of light troops to quickly and efficiently target the cereals, olives, and vines. The yearly Athenian invasions of the Megarid is a perfect example of this</w:t>
      </w:r>
      <w:r w:rsidR="003C41D4">
        <w:t xml:space="preserve"> as the destruction of crops was the main objective for these troops, and the threat of enemy counter-attack was minimal</w:t>
      </w:r>
      <w:r w:rsidR="003C41D4">
        <w:rPr>
          <w:rStyle w:val="FootnoteReference"/>
        </w:rPr>
        <w:footnoteReference w:id="8"/>
      </w:r>
      <w:r w:rsidR="003C41D4">
        <w:t>. It is argued by Hanson that there was no other purpose for these troops to be on the expeditions, other than the ravaging of crops</w:t>
      </w:r>
      <w:r w:rsidR="003C41D4">
        <w:rPr>
          <w:rStyle w:val="FootnoteReference"/>
        </w:rPr>
        <w:footnoteReference w:id="9"/>
      </w:r>
      <w:r w:rsidR="003C41D4">
        <w:t>.</w:t>
      </w:r>
      <w:r w:rsidR="00510E42">
        <w:t xml:space="preserve"> He gives another example of when Epameinondas marched into Laconia in 370BC and the accompanying light troops ‘burnt and plundered as far as the river and the city’</w:t>
      </w:r>
      <w:r w:rsidR="00510E42">
        <w:rPr>
          <w:rStyle w:val="FootnoteReference"/>
        </w:rPr>
        <w:footnoteReference w:id="10"/>
      </w:r>
      <w:r w:rsidR="00510E42">
        <w:rPr>
          <w:rStyle w:val="FootnoteReference"/>
        </w:rPr>
        <w:footnoteReference w:id="11"/>
      </w:r>
      <w:r w:rsidR="00510E42">
        <w:t xml:space="preserve">. </w:t>
      </w:r>
      <w:r w:rsidR="003C41D4">
        <w:t>This backs up Thorne’s overall argument that the destruction off crops was a viable strategy to put economic strain on a polis’ economy as these troops served no other purpose than to attain this destructive goal</w:t>
      </w:r>
      <w:r w:rsidR="00510E42">
        <w:t xml:space="preserve"> whilst in the Megarid and </w:t>
      </w:r>
      <w:r w:rsidR="00510E42">
        <w:lastRenderedPageBreak/>
        <w:t>Laconia</w:t>
      </w:r>
      <w:r w:rsidR="003C41D4">
        <w:rPr>
          <w:rStyle w:val="FootnoteReference"/>
        </w:rPr>
        <w:footnoteReference w:id="12"/>
      </w:r>
      <w:r w:rsidR="003C41D4">
        <w:t>.</w:t>
      </w:r>
      <w:r w:rsidR="000520F9">
        <w:t xml:space="preserve"> These types of light troops had no </w:t>
      </w:r>
      <w:proofErr w:type="gramStart"/>
      <w:r w:rsidR="000520F9">
        <w:t>particular usefulness</w:t>
      </w:r>
      <w:proofErr w:type="gramEnd"/>
      <w:r w:rsidR="000520F9">
        <w:t xml:space="preserve"> in standard battlefield exercises as they were extremely vulnerable to both the hoplites and cavalry so the inclusion of such troops served very little other than for economic destruction</w:t>
      </w:r>
      <w:r w:rsidR="000520F9">
        <w:rPr>
          <w:rStyle w:val="FootnoteReference"/>
        </w:rPr>
        <w:footnoteReference w:id="13"/>
      </w:r>
      <w:r w:rsidR="000520F9">
        <w:t>.</w:t>
      </w:r>
    </w:p>
    <w:p w:rsidR="000520F9" w:rsidRDefault="000520F9" w:rsidP="00F23B2F">
      <w:pPr>
        <w:spacing w:line="480" w:lineRule="auto"/>
      </w:pPr>
    </w:p>
    <w:p w:rsidR="00BF3B3C" w:rsidRDefault="000520F9" w:rsidP="00F23B2F">
      <w:pPr>
        <w:spacing w:line="480" w:lineRule="auto"/>
      </w:pPr>
      <w:r>
        <w:t>Another area which Thorne neglects to mention</w:t>
      </w:r>
      <w:r w:rsidR="00B946CF">
        <w:t xml:space="preserve"> in his article</w:t>
      </w:r>
      <w:r>
        <w:t xml:space="preserve"> is the usage of</w:t>
      </w:r>
      <w:r w:rsidR="00B946CF">
        <w:t xml:space="preserve"> fortified walls around farmland to defend them from invaders. Although this may not have been the standard procedure in Greece, the evidence we have of the implementation of this method does solidify Thorne’s conclusions. The use of farm towers is discussed in the article as they proved effective measures to withstand minor threats to farm workers and protect stored crops within</w:t>
      </w:r>
      <w:r w:rsidR="001C7FD8">
        <w:t xml:space="preserve">, </w:t>
      </w:r>
      <w:r w:rsidR="009801FC">
        <w:t>but the usage of walled structures around crops seemed to cause greater issues for forces wishing to destroy a polis’ farmland</w:t>
      </w:r>
      <w:r w:rsidR="001C7FD8">
        <w:rPr>
          <w:rStyle w:val="FootnoteReference"/>
        </w:rPr>
        <w:footnoteReference w:id="14"/>
      </w:r>
      <w:r w:rsidR="009801FC">
        <w:t xml:space="preserve">. </w:t>
      </w:r>
      <w:r w:rsidR="009F127E">
        <w:t>The best example of the use of such walls, is the palisade built by the Thebans around farmland and en</w:t>
      </w:r>
      <w:r w:rsidR="00CC1F77">
        <w:t>countered by Agesilaus in 378BC. Upon arrival and with the full expectation of ravaging the surrounding farmland, Agesilaus was confronted with a trench and palisade structure built around the valuable crops, with a body of Thebans behind it</w:t>
      </w:r>
      <w:r w:rsidR="00CC1F77">
        <w:rPr>
          <w:rStyle w:val="FootnoteReference"/>
        </w:rPr>
        <w:footnoteReference w:id="15"/>
      </w:r>
      <w:r w:rsidR="00CC1F77">
        <w:t xml:space="preserve">. The building of such a structure clearly suggests that the protection of farmland was highly important, this had to be due to the economic issues that would arise with the destruction </w:t>
      </w:r>
      <w:r w:rsidR="00AF3A35">
        <w:t>of a large proportion of crops. What we do not know is the type of crops the Thebans were defending. If we knew this, with analysis using Thorne’s theories on crop importance, it may further bolster his main argument</w:t>
      </w:r>
      <w:r w:rsidR="00AF3A35">
        <w:rPr>
          <w:rStyle w:val="FootnoteReference"/>
        </w:rPr>
        <w:footnoteReference w:id="16"/>
      </w:r>
      <w:r w:rsidR="00AF3A35">
        <w:t xml:space="preserve">. </w:t>
      </w:r>
      <w:r w:rsidR="007F0D9B">
        <w:t>There is also some archaeological evidence for walls for the protection of farmland in the shape of the Dema wall located in the Attica. Jones, Sackett and Elliot argue that this structure was built primarily in the defence of the fertile and profitable farmland located between Archarnai and Dekeleia</w:t>
      </w:r>
      <w:r w:rsidR="007F0D9B">
        <w:rPr>
          <w:rStyle w:val="FootnoteReference"/>
        </w:rPr>
        <w:footnoteReference w:id="17"/>
      </w:r>
      <w:r w:rsidR="007F0D9B">
        <w:t xml:space="preserve">. They also suggest that the wall most probably served as some form of secondary line of defence, much like the </w:t>
      </w:r>
      <w:r w:rsidR="007F0D9B">
        <w:lastRenderedPageBreak/>
        <w:t>trench and palisade structures built by the Thebans, as mentioned previously.</w:t>
      </w:r>
      <w:r w:rsidR="00852C7C">
        <w:t xml:space="preserve"> However, this evidence does prove problematic as the date of the structure has not been discovered, nor has a clear purpose for the structure been agreed upon</w:t>
      </w:r>
      <w:r w:rsidR="001C7FD8">
        <w:t xml:space="preserve"> by historians</w:t>
      </w:r>
      <w:r w:rsidR="00A74E1A">
        <w:rPr>
          <w:rStyle w:val="FootnoteReference"/>
        </w:rPr>
        <w:footnoteReference w:id="18"/>
      </w:r>
      <w:r w:rsidR="001C7FD8">
        <w:t>. This is perhaps the reason why</w:t>
      </w:r>
      <w:r w:rsidR="00852C7C">
        <w:t xml:space="preserve"> Thorne chose to only briefly name the Dema Wall in his article</w:t>
      </w:r>
      <w:r w:rsidR="001C7FD8">
        <w:t xml:space="preserve"> without further discussion</w:t>
      </w:r>
      <w:r w:rsidR="00852C7C">
        <w:rPr>
          <w:rStyle w:val="FootnoteReference"/>
        </w:rPr>
        <w:footnoteReference w:id="19"/>
      </w:r>
      <w:r w:rsidR="001C7FD8">
        <w:t>.</w:t>
      </w:r>
      <w:r w:rsidR="00CC0A8B">
        <w:t xml:space="preserve"> The wealth of a polis seems to influence whether these walls were built around the farmland due to the great cost of erecting such a structure, as both Athens and Thebes were major poleis. Not only was great wealth required to build but the maintenance required to keep it in good condition was substantial. This suggests that the protection of crops was of high priority for these poleis</w:t>
      </w:r>
      <w:r w:rsidR="00BF3B3C">
        <w:t>,</w:t>
      </w:r>
      <w:r w:rsidR="00CC0A8B">
        <w:t xml:space="preserve"> so the cost of building these defences must have outweighed the material worth of the crops behind it, otherwise they would have served little to no purpose.</w:t>
      </w:r>
    </w:p>
    <w:p w:rsidR="00BF3B3C" w:rsidRDefault="00BF3B3C" w:rsidP="00F23B2F">
      <w:pPr>
        <w:spacing w:line="480" w:lineRule="auto"/>
      </w:pPr>
    </w:p>
    <w:p w:rsidR="00B96E71" w:rsidRDefault="00BF3B3C" w:rsidP="00F23B2F">
      <w:pPr>
        <w:spacing w:line="480" w:lineRule="auto"/>
      </w:pPr>
      <w:proofErr w:type="gramStart"/>
      <w:r>
        <w:t>Similar to</w:t>
      </w:r>
      <w:proofErr w:type="gramEnd"/>
      <w:r>
        <w:t xml:space="preserve"> the usage of walls, Thorne does not mention in his article the impleme</w:t>
      </w:r>
      <w:r w:rsidR="000F67A5">
        <w:t>ntation of forts and garrisons to protect land</w:t>
      </w:r>
      <w:r w:rsidR="003D0EE7">
        <w:t xml:space="preserve"> but rather focuses on the use of fortified occupation whilst on the offensive</w:t>
      </w:r>
      <w:r w:rsidR="003D0EE7">
        <w:rPr>
          <w:rStyle w:val="FootnoteReference"/>
        </w:rPr>
        <w:footnoteReference w:id="20"/>
      </w:r>
      <w:r w:rsidR="003D0EE7">
        <w:t>. The</w:t>
      </w:r>
      <w:r w:rsidR="000F67A5">
        <w:t xml:space="preserve"> </w:t>
      </w:r>
      <w:r w:rsidR="00181D98">
        <w:t xml:space="preserve">defensive </w:t>
      </w:r>
      <w:r w:rsidR="003D0EE7">
        <w:t xml:space="preserve">border </w:t>
      </w:r>
      <w:r w:rsidR="000F67A5">
        <w:t>forts were not designed to prevent full-scale invasion but rather to harass and prevent small raiding parties such as those looking to ravage the farmland on the interior of a polis</w:t>
      </w:r>
      <w:r w:rsidR="000F67A5">
        <w:rPr>
          <w:rStyle w:val="FootnoteReference"/>
        </w:rPr>
        <w:footnoteReference w:id="21"/>
      </w:r>
      <w:r w:rsidR="000F67A5">
        <w:t>. Some examples of border forts being used effectively come from Thucydi</w:t>
      </w:r>
      <w:r w:rsidR="00517A18">
        <w:t>des, who tells us of the defeat of a small raiding party on their return from Dekeleia by an Athenian force garrisoned at Oinoe</w:t>
      </w:r>
      <w:r w:rsidR="003D0EE7">
        <w:t>,</w:t>
      </w:r>
      <w:r w:rsidR="00517A18">
        <w:t xml:space="preserve"> and in 431BC, Athenian cavalry garrisoned at Eleusis, again, effectively deal with a group of </w:t>
      </w:r>
      <w:proofErr w:type="gramStart"/>
      <w:r w:rsidR="00517A18">
        <w:t>farmland</w:t>
      </w:r>
      <w:proofErr w:type="gramEnd"/>
      <w:r w:rsidR="00517A18">
        <w:t xml:space="preserve"> ravagers</w:t>
      </w:r>
      <w:r w:rsidR="003D0EE7">
        <w:rPr>
          <w:rStyle w:val="FootnoteReference"/>
        </w:rPr>
        <w:footnoteReference w:id="22"/>
      </w:r>
      <w:r w:rsidR="00517A18">
        <w:rPr>
          <w:rStyle w:val="FootnoteReference"/>
        </w:rPr>
        <w:footnoteReference w:id="23"/>
      </w:r>
      <w:r w:rsidR="00517A18">
        <w:t>.</w:t>
      </w:r>
      <w:r w:rsidR="00281951">
        <w:t xml:space="preserve"> </w:t>
      </w:r>
      <w:r w:rsidR="00FB1CB8">
        <w:t>These are both examples of instances where garrisoned forts were effective</w:t>
      </w:r>
      <w:r w:rsidR="003D0EE7">
        <w:t>,</w:t>
      </w:r>
      <w:r w:rsidR="00FB1CB8">
        <w:t xml:space="preserve"> as the deployment of a full hoplite detachment was not necessary due to the nature of the enemy force. </w:t>
      </w:r>
      <w:r w:rsidR="00281951">
        <w:t xml:space="preserve">However, these fortifications did, on occasion, prove to be enough of a deterrent to prevent large armies from entering a polis. This was the case during the first 14 years of </w:t>
      </w:r>
      <w:r w:rsidR="00281951">
        <w:lastRenderedPageBreak/>
        <w:t>the Peloponnesian War as no army from the Peloponnese attempted to invade Attica. Croix argues that this was probably due to the network of border forts which allowed Athenian troops to occupy Geraneia, Pagai, and Megara</w:t>
      </w:r>
      <w:r w:rsidR="00281951">
        <w:rPr>
          <w:rStyle w:val="FootnoteReference"/>
        </w:rPr>
        <w:footnoteReference w:id="24"/>
      </w:r>
      <w:r w:rsidR="00FB1CB8">
        <w:t xml:space="preserve"> which provided a suitable defence, especially since the methods of warfare, at that time, did not lend themselves to taking on structure like the border fort. However, this was not the reason for the building of these structures and they served much more e</w:t>
      </w:r>
      <w:r w:rsidR="006F0916">
        <w:t xml:space="preserve">ffectively as a base for a garrison </w:t>
      </w:r>
      <w:r w:rsidR="00FB1CB8">
        <w:t>to deal with small-scale incursions by enemy light troops set on the destruction of farmland.</w:t>
      </w:r>
      <w:r w:rsidR="006F0916">
        <w:t xml:space="preserve"> The importance of these structures in defending the fertile land is mention by Aeneas Tacticus, who says that the defence of the countryside was important to ensure that invading armies were stopped at the border</w:t>
      </w:r>
      <w:r w:rsidR="006F0916">
        <w:rPr>
          <w:rStyle w:val="FootnoteReference"/>
        </w:rPr>
        <w:footnoteReference w:id="25"/>
      </w:r>
      <w:r w:rsidR="006F0916">
        <w:t>.</w:t>
      </w:r>
      <w:r w:rsidR="00181D98">
        <w:t xml:space="preserve"> Although he does not directly mention economic reasonings for this, the outcome of preventing troops from entering a polis would have been a marked decrease in the economic losses attributed to the destruction of crops by an invading force. It appears that the ravaging of farmland was almost always a bi-product of an invasion, irrelevant of the initial motives. This gives perfect reasonings as to why these border forts were built, primarily to deal with ravagers, but also as a deterrent for a larger force.</w:t>
      </w:r>
      <w:r w:rsidR="00151F23">
        <w:t xml:space="preserve"> Archaeological evidence for these structure</w:t>
      </w:r>
      <w:r w:rsidR="00B96E71">
        <w:t>s is much more prolific than the evidence for the walls, which suggests that they were a much more effective form of defence</w:t>
      </w:r>
      <w:r w:rsidR="00B96E71">
        <w:rPr>
          <w:rStyle w:val="FootnoteReference"/>
        </w:rPr>
        <w:footnoteReference w:id="26"/>
      </w:r>
      <w:r w:rsidR="00B96E71">
        <w:t xml:space="preserve">. </w:t>
      </w:r>
      <w:r w:rsidR="00181D98">
        <w:t>Much like the building of walls, these forts would have been expensive to build, garrison, and maintain so the economic benefits of protecting the farmland and their yield must have outweighed the cost of the construction and upkeep.</w:t>
      </w:r>
    </w:p>
    <w:p w:rsidR="00B96E71" w:rsidRDefault="00B96E71" w:rsidP="00F23B2F">
      <w:pPr>
        <w:spacing w:line="480" w:lineRule="auto"/>
      </w:pPr>
    </w:p>
    <w:p w:rsidR="001C7FD8" w:rsidRDefault="00B96E71" w:rsidP="00F23B2F">
      <w:pPr>
        <w:spacing w:line="480" w:lineRule="auto"/>
      </w:pPr>
      <w:r>
        <w:t xml:space="preserve">In conclusion, </w:t>
      </w:r>
      <w:r w:rsidR="00567B2C">
        <w:t xml:space="preserve">Thorne’s overall argument that the destruction of crops was a severe economic issue, enough to gain the upper hand in a conflict, is a sound conclusion. However, he has omitted certain evidence that helps to back up his conclusion, such as the examples mentioned in this reply. The use of light troops as ravagers shows us that an invading force, or even a small-scale incursion, went in </w:t>
      </w:r>
      <w:r w:rsidR="00567B2C">
        <w:lastRenderedPageBreak/>
        <w:t>with the purpose of the destruction of crops, rather than it being a secondary objective. This is evident due to the ineffectiveness of these types of troops on the battlefield as they were weak against the heavy hoplite combat of the period. If there was nothing to be gained from attacking the farmland, then there would be no reason</w:t>
      </w:r>
      <w:r w:rsidR="00345125">
        <w:t xml:space="preserve"> to continuously ravage and destroy</w:t>
      </w:r>
      <w:r w:rsidR="00B70D33">
        <w:t>,</w:t>
      </w:r>
      <w:r w:rsidR="00345125">
        <w:t xml:space="preserve"> as the evidence has shown. This </w:t>
      </w:r>
      <w:r w:rsidR="00B70D33">
        <w:t xml:space="preserve">constant </w:t>
      </w:r>
      <w:r w:rsidR="00345125">
        <w:t>threat was combated through the building of defensive structures such as walls around farmland, and garrisoned border f</w:t>
      </w:r>
      <w:r w:rsidR="00B70D33">
        <w:t xml:space="preserve">orts. The high economic cost of these structures clearly shows that they must have been put there for an important purpose. As has been discussed, the border forts proved effective at defending farmland from invading troops so it must have been clear that the economic cost of upkeep and building works outweighed the value of the farmland. The defensive walls, such as those built by the Thebans in </w:t>
      </w:r>
      <w:r w:rsidR="00CF3025">
        <w:t xml:space="preserve">378BC, were less effective and could be easily combated, but the efforts put into them, much like the forts, shows a clear goal of defending the valuable crops in the farmland behind them. </w:t>
      </w:r>
      <w:r w:rsidR="00B70D33">
        <w:t xml:space="preserve">  </w:t>
      </w:r>
      <w:r w:rsidR="00345125">
        <w:t xml:space="preserve">   </w:t>
      </w:r>
      <w:r w:rsidR="00567B2C">
        <w:t xml:space="preserve">    </w:t>
      </w:r>
    </w:p>
    <w:p w:rsidR="001C7FD8" w:rsidRDefault="001C7FD8" w:rsidP="00F23B2F">
      <w:pPr>
        <w:spacing w:line="480" w:lineRule="auto"/>
      </w:pPr>
    </w:p>
    <w:p w:rsidR="000520F9" w:rsidRDefault="007F0D9B" w:rsidP="00F23B2F">
      <w:pPr>
        <w:spacing w:line="480" w:lineRule="auto"/>
      </w:pPr>
      <w:r>
        <w:t xml:space="preserve">  </w:t>
      </w:r>
      <w:r w:rsidR="000520F9">
        <w:t xml:space="preserve"> </w:t>
      </w:r>
    </w:p>
    <w:p w:rsidR="000520F9" w:rsidRDefault="000520F9" w:rsidP="00F23B2F">
      <w:pPr>
        <w:spacing w:line="480" w:lineRule="auto"/>
      </w:pPr>
    </w:p>
    <w:p w:rsidR="001B7275" w:rsidRDefault="00510E42" w:rsidP="00F23B2F">
      <w:pPr>
        <w:spacing w:line="480" w:lineRule="auto"/>
      </w:pPr>
      <w:r>
        <w:t xml:space="preserve"> </w:t>
      </w:r>
    </w:p>
    <w:p w:rsidR="001B7275" w:rsidRDefault="001B7275" w:rsidP="00F23B2F">
      <w:pPr>
        <w:spacing w:line="480" w:lineRule="auto"/>
      </w:pPr>
    </w:p>
    <w:p w:rsidR="00F23B2F" w:rsidRDefault="00BC0F8C" w:rsidP="00F23B2F">
      <w:pPr>
        <w:spacing w:line="480" w:lineRule="auto"/>
      </w:pPr>
      <w:r>
        <w:t xml:space="preserve">  </w:t>
      </w:r>
      <w:r w:rsidR="00A15D34">
        <w:t xml:space="preserve"> </w:t>
      </w:r>
      <w:r w:rsidR="00F23B2F">
        <w:t xml:space="preserve">   </w:t>
      </w:r>
    </w:p>
    <w:p w:rsidR="005632D7" w:rsidRDefault="005632D7" w:rsidP="00F23B2F">
      <w:pPr>
        <w:spacing w:line="480" w:lineRule="auto"/>
      </w:pPr>
    </w:p>
    <w:p w:rsidR="005632D7" w:rsidRDefault="005632D7" w:rsidP="00F23B2F">
      <w:pPr>
        <w:spacing w:line="480" w:lineRule="auto"/>
      </w:pPr>
    </w:p>
    <w:p w:rsidR="00CF3025" w:rsidRDefault="00CF3025" w:rsidP="00F23B2F">
      <w:pPr>
        <w:spacing w:line="480" w:lineRule="auto"/>
        <w:rPr>
          <w:b/>
        </w:rPr>
      </w:pPr>
    </w:p>
    <w:p w:rsidR="00CF3025" w:rsidRDefault="00CF3025" w:rsidP="00F23B2F">
      <w:pPr>
        <w:spacing w:line="480" w:lineRule="auto"/>
        <w:rPr>
          <w:b/>
        </w:rPr>
      </w:pPr>
    </w:p>
    <w:p w:rsidR="00CF3025" w:rsidRDefault="00CF3025" w:rsidP="00F23B2F">
      <w:pPr>
        <w:spacing w:line="480" w:lineRule="auto"/>
        <w:rPr>
          <w:b/>
        </w:rPr>
      </w:pPr>
    </w:p>
    <w:p w:rsidR="00412BD4" w:rsidRDefault="005632D7" w:rsidP="00F23B2F">
      <w:pPr>
        <w:spacing w:line="480" w:lineRule="auto"/>
        <w:rPr>
          <w:b/>
        </w:rPr>
      </w:pPr>
      <w:r>
        <w:rPr>
          <w:b/>
        </w:rPr>
        <w:lastRenderedPageBreak/>
        <w:t xml:space="preserve">Bibliography – </w:t>
      </w:r>
    </w:p>
    <w:p w:rsidR="00412BD4" w:rsidRDefault="00412BD4" w:rsidP="00F23B2F">
      <w:pPr>
        <w:spacing w:line="480" w:lineRule="auto"/>
        <w:rPr>
          <w:b/>
        </w:rPr>
      </w:pPr>
      <w:r>
        <w:rPr>
          <w:b/>
        </w:rPr>
        <w:t xml:space="preserve">Ancient Sources - </w:t>
      </w:r>
    </w:p>
    <w:p w:rsidR="00412BD4" w:rsidRDefault="00412BD4" w:rsidP="00412BD4">
      <w:pPr>
        <w:pStyle w:val="ListParagraph"/>
        <w:numPr>
          <w:ilvl w:val="0"/>
          <w:numId w:val="3"/>
        </w:numPr>
        <w:spacing w:line="240" w:lineRule="auto"/>
      </w:pPr>
      <w:r>
        <w:t xml:space="preserve">Aeneas Tacticus. </w:t>
      </w:r>
      <w:r>
        <w:rPr>
          <w:i/>
        </w:rPr>
        <w:t>How to Survive Under Siege,</w:t>
      </w:r>
      <w:r>
        <w:t xml:space="preserve"> D. Whitehead (trans.) 1990. Clarendon Press</w:t>
      </w:r>
      <w:r>
        <w:rPr>
          <w:i/>
        </w:rPr>
        <w:t xml:space="preserve"> </w:t>
      </w:r>
      <w:r>
        <w:t xml:space="preserve"> </w:t>
      </w:r>
    </w:p>
    <w:p w:rsidR="00412BD4" w:rsidRDefault="00412BD4" w:rsidP="00412BD4">
      <w:pPr>
        <w:pStyle w:val="ListParagraph"/>
        <w:numPr>
          <w:ilvl w:val="0"/>
          <w:numId w:val="3"/>
        </w:numPr>
        <w:spacing w:line="240" w:lineRule="auto"/>
      </w:pPr>
      <w:r>
        <w:t xml:space="preserve">Plutarch. </w:t>
      </w:r>
      <w:r w:rsidRPr="00D16D0E">
        <w:rPr>
          <w:i/>
        </w:rPr>
        <w:t xml:space="preserve">Life of Agesilaus, </w:t>
      </w:r>
      <w:r>
        <w:t>J. Dryden (trans.) 2015. New York: Oia Press</w:t>
      </w:r>
      <w:r>
        <w:t xml:space="preserve"> </w:t>
      </w:r>
    </w:p>
    <w:p w:rsidR="00412BD4" w:rsidRDefault="00412BD4" w:rsidP="00412BD4">
      <w:pPr>
        <w:pStyle w:val="ListParagraph"/>
        <w:numPr>
          <w:ilvl w:val="0"/>
          <w:numId w:val="3"/>
        </w:numPr>
        <w:spacing w:line="240" w:lineRule="auto"/>
      </w:pPr>
      <w:r>
        <w:t xml:space="preserve">Thucydides. </w:t>
      </w:r>
      <w:r w:rsidRPr="00D16D0E">
        <w:rPr>
          <w:i/>
        </w:rPr>
        <w:t xml:space="preserve">History of the Peloponnesian War, </w:t>
      </w:r>
      <w:r>
        <w:t>R. Warner (trans.) 2000. Penguin Books</w:t>
      </w:r>
    </w:p>
    <w:p w:rsidR="00412BD4" w:rsidRDefault="00412BD4" w:rsidP="00412BD4">
      <w:pPr>
        <w:pStyle w:val="ListParagraph"/>
        <w:numPr>
          <w:ilvl w:val="0"/>
          <w:numId w:val="3"/>
        </w:numPr>
        <w:spacing w:line="240" w:lineRule="auto"/>
      </w:pPr>
      <w:r>
        <w:t xml:space="preserve">Xenophon. </w:t>
      </w:r>
      <w:r w:rsidRPr="00D16D0E">
        <w:rPr>
          <w:i/>
        </w:rPr>
        <w:t xml:space="preserve">Agesilaus, </w:t>
      </w:r>
      <w:r>
        <w:t>E. C. Marchant and G. W. Bowersock (trans.) 1925. London: Heinemann Ltd.</w:t>
      </w:r>
    </w:p>
    <w:p w:rsidR="00412BD4" w:rsidRPr="00412BD4" w:rsidRDefault="00412BD4" w:rsidP="00412BD4">
      <w:pPr>
        <w:spacing w:line="240" w:lineRule="auto"/>
        <w:rPr>
          <w:b/>
        </w:rPr>
      </w:pPr>
      <w:r>
        <w:rPr>
          <w:b/>
        </w:rPr>
        <w:t xml:space="preserve">Modern Scholarship - </w:t>
      </w:r>
    </w:p>
    <w:p w:rsidR="00412BD4" w:rsidRDefault="00412BD4" w:rsidP="00412BD4">
      <w:pPr>
        <w:pStyle w:val="ListParagraph"/>
        <w:numPr>
          <w:ilvl w:val="0"/>
          <w:numId w:val="3"/>
        </w:numPr>
        <w:spacing w:line="240" w:lineRule="auto"/>
      </w:pPr>
      <w:r>
        <w:t xml:space="preserve">Adcock, F. E. 1962. </w:t>
      </w:r>
      <w:r w:rsidRPr="00D16D0E">
        <w:rPr>
          <w:i/>
        </w:rPr>
        <w:t xml:space="preserve">The Greek and Macedonian Art of War, </w:t>
      </w:r>
      <w:r>
        <w:t>California: University of California Press</w:t>
      </w:r>
    </w:p>
    <w:p w:rsidR="00412BD4" w:rsidRDefault="00412BD4" w:rsidP="00412BD4">
      <w:pPr>
        <w:pStyle w:val="ListParagraph"/>
        <w:numPr>
          <w:ilvl w:val="0"/>
          <w:numId w:val="3"/>
        </w:numPr>
        <w:spacing w:line="240" w:lineRule="auto"/>
      </w:pPr>
      <w:r>
        <w:t xml:space="preserve">Anderson, J. K. </w:t>
      </w:r>
      <w:r>
        <w:rPr>
          <w:i/>
        </w:rPr>
        <w:t xml:space="preserve">Military Theory and Practice in the Age of Xenophon, </w:t>
      </w:r>
      <w:r>
        <w:t xml:space="preserve">California: University of California Press </w:t>
      </w:r>
    </w:p>
    <w:p w:rsidR="00412BD4" w:rsidRPr="006F0916" w:rsidRDefault="00412BD4" w:rsidP="00412BD4">
      <w:pPr>
        <w:pStyle w:val="ListParagraph"/>
        <w:numPr>
          <w:ilvl w:val="0"/>
          <w:numId w:val="3"/>
        </w:numPr>
        <w:spacing w:line="240" w:lineRule="auto"/>
      </w:pPr>
      <w:r>
        <w:t xml:space="preserve">Croix, G. E. M. 1972. </w:t>
      </w:r>
      <w:r>
        <w:rPr>
          <w:i/>
        </w:rPr>
        <w:t xml:space="preserve">The Origins of the Peloponnesian War, </w:t>
      </w:r>
      <w:r>
        <w:t>New York: Ithaca</w:t>
      </w:r>
      <w:r>
        <w:rPr>
          <w:i/>
        </w:rPr>
        <w:t xml:space="preserve"> </w:t>
      </w:r>
    </w:p>
    <w:p w:rsidR="00412BD4" w:rsidRPr="00D16D0E" w:rsidRDefault="00412BD4" w:rsidP="00412BD4">
      <w:pPr>
        <w:pStyle w:val="ListParagraph"/>
        <w:numPr>
          <w:ilvl w:val="0"/>
          <w:numId w:val="3"/>
        </w:numPr>
        <w:spacing w:line="240" w:lineRule="auto"/>
        <w:rPr>
          <w:i/>
        </w:rPr>
      </w:pPr>
      <w:r>
        <w:t xml:space="preserve">Foxhall, L. 1995. ‘Farming and Fighting in Ancient Greece’ in J. Rich and G. Shipley (eds.) </w:t>
      </w:r>
      <w:r w:rsidRPr="00D16D0E">
        <w:rPr>
          <w:i/>
        </w:rPr>
        <w:t xml:space="preserve">War and Society in the Greek World, </w:t>
      </w:r>
      <w:r>
        <w:t>London: Routledge, 134-145</w:t>
      </w:r>
      <w:r w:rsidRPr="00D16D0E">
        <w:rPr>
          <w:i/>
        </w:rPr>
        <w:t xml:space="preserve"> </w:t>
      </w:r>
    </w:p>
    <w:p w:rsidR="00412BD4" w:rsidRPr="00D16D0E" w:rsidRDefault="00412BD4" w:rsidP="00412BD4">
      <w:pPr>
        <w:pStyle w:val="ListParagraph"/>
        <w:numPr>
          <w:ilvl w:val="0"/>
          <w:numId w:val="3"/>
        </w:numPr>
        <w:spacing w:line="240" w:lineRule="auto"/>
        <w:rPr>
          <w:i/>
        </w:rPr>
      </w:pPr>
      <w:r>
        <w:t xml:space="preserve">Hanson, V. D. 1991. ‘The Ideology of Hoplite Battle, Ancient and Modern’ in V. D. Hanson (ed.) </w:t>
      </w:r>
      <w:r w:rsidRPr="00D16D0E">
        <w:rPr>
          <w:i/>
        </w:rPr>
        <w:t xml:space="preserve">Hoplites: The Classical Greek Battle Experience, </w:t>
      </w:r>
      <w:r>
        <w:t>London: Routledge, 3-14.</w:t>
      </w:r>
      <w:r w:rsidRPr="00D16D0E">
        <w:rPr>
          <w:i/>
        </w:rPr>
        <w:t xml:space="preserve"> </w:t>
      </w:r>
    </w:p>
    <w:p w:rsidR="00412BD4" w:rsidRDefault="00412BD4" w:rsidP="00412BD4">
      <w:pPr>
        <w:pStyle w:val="ListParagraph"/>
        <w:numPr>
          <w:ilvl w:val="0"/>
          <w:numId w:val="3"/>
        </w:numPr>
        <w:spacing w:line="240" w:lineRule="auto"/>
      </w:pPr>
      <w:r>
        <w:t xml:space="preserve">Hanson, V. D. 1998. </w:t>
      </w:r>
      <w:r w:rsidRPr="00D16D0E">
        <w:rPr>
          <w:i/>
        </w:rPr>
        <w:t xml:space="preserve">Warfare and Agriculture in Ancient Greece, </w:t>
      </w:r>
      <w:r>
        <w:t xml:space="preserve">London: University of California Press Ltd. </w:t>
      </w:r>
    </w:p>
    <w:p w:rsidR="005632D7" w:rsidRDefault="005632D7" w:rsidP="00D16D0E">
      <w:pPr>
        <w:pStyle w:val="ListParagraph"/>
        <w:numPr>
          <w:ilvl w:val="0"/>
          <w:numId w:val="3"/>
        </w:numPr>
        <w:spacing w:line="240" w:lineRule="auto"/>
      </w:pPr>
      <w:r>
        <w:t xml:space="preserve">Isager, S. and Skydsgaard, J. E. 1995. </w:t>
      </w:r>
      <w:r w:rsidRPr="00D16D0E">
        <w:rPr>
          <w:i/>
        </w:rPr>
        <w:t xml:space="preserve">Ancient Greek Agriculture, </w:t>
      </w:r>
      <w:r>
        <w:t>London and New York: Routledge</w:t>
      </w:r>
    </w:p>
    <w:p w:rsidR="00412BD4" w:rsidRDefault="00412BD4" w:rsidP="00412BD4">
      <w:pPr>
        <w:pStyle w:val="ListParagraph"/>
        <w:numPr>
          <w:ilvl w:val="0"/>
          <w:numId w:val="3"/>
        </w:numPr>
        <w:spacing w:line="240" w:lineRule="auto"/>
      </w:pPr>
      <w:r>
        <w:t xml:space="preserve">Jones, J. E. Sackett, L. H. and Elliot, C. W. J. 1957. ‘To Dema: A Survey of the Aigeleos-Parnes Wall’ in </w:t>
      </w:r>
      <w:r w:rsidRPr="00D16D0E">
        <w:rPr>
          <w:i/>
        </w:rPr>
        <w:t xml:space="preserve">Annual of the British School at Athens 52, </w:t>
      </w:r>
      <w:r>
        <w:t>152-189</w:t>
      </w:r>
    </w:p>
    <w:p w:rsidR="00412BD4" w:rsidRDefault="00412BD4" w:rsidP="00412BD4">
      <w:pPr>
        <w:pStyle w:val="ListParagraph"/>
        <w:numPr>
          <w:ilvl w:val="0"/>
          <w:numId w:val="3"/>
        </w:numPr>
        <w:spacing w:line="240" w:lineRule="auto"/>
      </w:pPr>
      <w:r>
        <w:t xml:space="preserve">Price, S. and Nixon, L. ‘Ancient Greek Agricultural Terraces: Evidence from Texts and Archaeological Survey’ 2005.  </w:t>
      </w:r>
      <w:hyperlink r:id="rId8" w:history="1">
        <w:r w:rsidRPr="00173200">
          <w:rPr>
            <w:rStyle w:val="Hyperlink"/>
          </w:rPr>
          <w:t>https://ora.ox.ac.uk/objects/uuid:d5b367a7-4d7f-4e4b-b7a0.../ATTACHMENT01</w:t>
        </w:r>
      </w:hyperlink>
      <w:r>
        <w:t xml:space="preserve"> [Accessed: 14</w:t>
      </w:r>
      <w:r w:rsidRPr="00BF3B3C">
        <w:rPr>
          <w:vertAlign w:val="superscript"/>
        </w:rPr>
        <w:t>th</w:t>
      </w:r>
      <w:r>
        <w:t xml:space="preserve"> March 2018]</w:t>
      </w:r>
    </w:p>
    <w:p w:rsidR="00412BD4" w:rsidRDefault="00412BD4" w:rsidP="00412BD4">
      <w:pPr>
        <w:pStyle w:val="ListParagraph"/>
        <w:numPr>
          <w:ilvl w:val="0"/>
          <w:numId w:val="3"/>
        </w:numPr>
        <w:spacing w:line="240" w:lineRule="auto"/>
      </w:pPr>
      <w:r>
        <w:t xml:space="preserve">Pritchett, W. K. 1991. </w:t>
      </w:r>
      <w:r w:rsidRPr="00D16D0E">
        <w:rPr>
          <w:i/>
        </w:rPr>
        <w:t xml:space="preserve">The Greek State at War Part V, </w:t>
      </w:r>
      <w:r>
        <w:t>California: University of California Press</w:t>
      </w:r>
    </w:p>
    <w:p w:rsidR="00025232" w:rsidRDefault="00025232" w:rsidP="00D16D0E">
      <w:pPr>
        <w:pStyle w:val="ListParagraph"/>
        <w:numPr>
          <w:ilvl w:val="0"/>
          <w:numId w:val="3"/>
        </w:numPr>
        <w:spacing w:line="240" w:lineRule="auto"/>
      </w:pPr>
      <w:r>
        <w:t xml:space="preserve">Thorne, J. A. </w:t>
      </w:r>
      <w:r w:rsidRPr="00025232">
        <w:t>"Warfare and Agriculture: The Economic Impact of Devastation in Classical Greece." </w:t>
      </w:r>
      <w:r w:rsidRPr="00D16D0E">
        <w:rPr>
          <w:i/>
          <w:iCs/>
        </w:rPr>
        <w:t>Greek</w:t>
      </w:r>
      <w:r w:rsidRPr="00025232">
        <w:t> 42.3 (2006): 225-53. </w:t>
      </w:r>
      <w:bookmarkStart w:id="1" w:name="_GoBack"/>
      <w:bookmarkEnd w:id="1"/>
    </w:p>
    <w:p w:rsidR="00BF3B3C" w:rsidRPr="00852C7C" w:rsidRDefault="00BF3B3C" w:rsidP="007737C6">
      <w:pPr>
        <w:spacing w:line="240" w:lineRule="auto"/>
      </w:pPr>
    </w:p>
    <w:p w:rsidR="005632D7" w:rsidRPr="005632D7" w:rsidRDefault="005632D7" w:rsidP="00F23B2F">
      <w:pPr>
        <w:spacing w:line="480" w:lineRule="auto"/>
      </w:pPr>
    </w:p>
    <w:sectPr w:rsidR="005632D7" w:rsidRPr="005632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5CAC" w:rsidRDefault="00A95CAC" w:rsidP="00A15D34">
      <w:pPr>
        <w:spacing w:after="0" w:line="240" w:lineRule="auto"/>
      </w:pPr>
      <w:r>
        <w:separator/>
      </w:r>
    </w:p>
  </w:endnote>
  <w:endnote w:type="continuationSeparator" w:id="0">
    <w:p w:rsidR="00A95CAC" w:rsidRDefault="00A95CAC" w:rsidP="00A15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5CAC" w:rsidRDefault="00A95CAC" w:rsidP="00A15D34">
      <w:pPr>
        <w:spacing w:after="0" w:line="240" w:lineRule="auto"/>
      </w:pPr>
      <w:r>
        <w:separator/>
      </w:r>
    </w:p>
  </w:footnote>
  <w:footnote w:type="continuationSeparator" w:id="0">
    <w:p w:rsidR="00A95CAC" w:rsidRDefault="00A95CAC" w:rsidP="00A15D34">
      <w:pPr>
        <w:spacing w:after="0" w:line="240" w:lineRule="auto"/>
      </w:pPr>
      <w:r>
        <w:continuationSeparator/>
      </w:r>
    </w:p>
  </w:footnote>
  <w:footnote w:id="1">
    <w:p w:rsidR="00A15D34" w:rsidRDefault="00A15D34">
      <w:pPr>
        <w:pStyle w:val="FootnoteText"/>
      </w:pPr>
      <w:r>
        <w:rPr>
          <w:rStyle w:val="FootnoteReference"/>
        </w:rPr>
        <w:footnoteRef/>
      </w:r>
      <w:r>
        <w:t xml:space="preserve"> Isager</w:t>
      </w:r>
      <w:r w:rsidR="005632D7">
        <w:t xml:space="preserve"> and Skydsgaard 1995: 3</w:t>
      </w:r>
    </w:p>
  </w:footnote>
  <w:footnote w:id="2">
    <w:p w:rsidR="00025232" w:rsidRDefault="00025232">
      <w:pPr>
        <w:pStyle w:val="FootnoteText"/>
      </w:pPr>
      <w:r>
        <w:rPr>
          <w:rStyle w:val="FootnoteReference"/>
        </w:rPr>
        <w:footnoteRef/>
      </w:r>
      <w:r>
        <w:t xml:space="preserve"> Thorne 2006: 227</w:t>
      </w:r>
    </w:p>
  </w:footnote>
  <w:footnote w:id="3">
    <w:p w:rsidR="00DC199F" w:rsidRPr="00ED7A5B" w:rsidRDefault="00DC199F" w:rsidP="00DC199F">
      <w:pPr>
        <w:pStyle w:val="FootnoteText"/>
      </w:pPr>
      <w:r>
        <w:rPr>
          <w:rStyle w:val="FootnoteReference"/>
        </w:rPr>
        <w:footnoteRef/>
      </w:r>
      <w:r>
        <w:t xml:space="preserve"> Ibid</w:t>
      </w:r>
      <w:r>
        <w:rPr>
          <w:i/>
        </w:rPr>
        <w:t>.</w:t>
      </w:r>
      <w:r>
        <w:t xml:space="preserve"> 228</w:t>
      </w:r>
    </w:p>
  </w:footnote>
  <w:footnote w:id="4">
    <w:p w:rsidR="00ED7A5B" w:rsidRDefault="00ED7A5B">
      <w:pPr>
        <w:pStyle w:val="FootnoteText"/>
      </w:pPr>
      <w:r>
        <w:rPr>
          <w:rStyle w:val="FootnoteReference"/>
        </w:rPr>
        <w:footnoteRef/>
      </w:r>
      <w:r w:rsidR="002E69C2">
        <w:t xml:space="preserve"> Hanson 1991: 6</w:t>
      </w:r>
    </w:p>
  </w:footnote>
  <w:footnote w:id="5">
    <w:p w:rsidR="002E69C2" w:rsidRDefault="002E69C2">
      <w:pPr>
        <w:pStyle w:val="FootnoteText"/>
      </w:pPr>
      <w:r>
        <w:rPr>
          <w:rStyle w:val="FootnoteReference"/>
        </w:rPr>
        <w:footnoteRef/>
      </w:r>
      <w:r>
        <w:t xml:space="preserve"> Thuc. 2000: 2.11.3</w:t>
      </w:r>
    </w:p>
  </w:footnote>
  <w:footnote w:id="6">
    <w:p w:rsidR="00406F20" w:rsidRDefault="00406F20">
      <w:pPr>
        <w:pStyle w:val="FootnoteText"/>
      </w:pPr>
      <w:r>
        <w:rPr>
          <w:rStyle w:val="FootnoteReference"/>
        </w:rPr>
        <w:footnoteRef/>
      </w:r>
      <w:r>
        <w:t xml:space="preserve"> Hanson 1998: 20</w:t>
      </w:r>
    </w:p>
  </w:footnote>
  <w:footnote w:id="7">
    <w:p w:rsidR="00DC199F" w:rsidRDefault="00DC199F">
      <w:pPr>
        <w:pStyle w:val="FootnoteText"/>
      </w:pPr>
      <w:r>
        <w:rPr>
          <w:rStyle w:val="FootnoteReference"/>
        </w:rPr>
        <w:footnoteRef/>
      </w:r>
      <w:r>
        <w:t xml:space="preserve"> Foxhall 1995: 135</w:t>
      </w:r>
    </w:p>
  </w:footnote>
  <w:footnote w:id="8">
    <w:p w:rsidR="003C41D4" w:rsidRDefault="003C41D4">
      <w:pPr>
        <w:pStyle w:val="FootnoteText"/>
      </w:pPr>
      <w:r>
        <w:rPr>
          <w:rStyle w:val="FootnoteReference"/>
        </w:rPr>
        <w:footnoteRef/>
      </w:r>
      <w:r>
        <w:t xml:space="preserve"> Thuc. 2000: 2.31.2</w:t>
      </w:r>
    </w:p>
  </w:footnote>
  <w:footnote w:id="9">
    <w:p w:rsidR="003C41D4" w:rsidRDefault="003C41D4">
      <w:pPr>
        <w:pStyle w:val="FootnoteText"/>
      </w:pPr>
      <w:r>
        <w:rPr>
          <w:rStyle w:val="FootnoteReference"/>
        </w:rPr>
        <w:footnoteRef/>
      </w:r>
      <w:r>
        <w:t xml:space="preserve"> Hanson 1988: 21-22</w:t>
      </w:r>
    </w:p>
  </w:footnote>
  <w:footnote w:id="10">
    <w:p w:rsidR="00510E42" w:rsidRDefault="00510E42">
      <w:pPr>
        <w:pStyle w:val="FootnoteText"/>
      </w:pPr>
      <w:r>
        <w:rPr>
          <w:rStyle w:val="FootnoteReference"/>
        </w:rPr>
        <w:footnoteRef/>
      </w:r>
      <w:r>
        <w:t xml:space="preserve"> Ibid. 24</w:t>
      </w:r>
    </w:p>
  </w:footnote>
  <w:footnote w:id="11">
    <w:p w:rsidR="00510E42" w:rsidRDefault="00510E42">
      <w:pPr>
        <w:pStyle w:val="FootnoteText"/>
      </w:pPr>
      <w:r>
        <w:rPr>
          <w:rStyle w:val="FootnoteReference"/>
        </w:rPr>
        <w:footnoteRef/>
      </w:r>
      <w:r>
        <w:t xml:space="preserve"> Plut. 2015: 31.1-2</w:t>
      </w:r>
    </w:p>
  </w:footnote>
  <w:footnote w:id="12">
    <w:p w:rsidR="003C41D4" w:rsidRDefault="003C41D4">
      <w:pPr>
        <w:pStyle w:val="FootnoteText"/>
      </w:pPr>
      <w:r>
        <w:rPr>
          <w:rStyle w:val="FootnoteReference"/>
        </w:rPr>
        <w:footnoteRef/>
      </w:r>
      <w:r>
        <w:t xml:space="preserve"> Thorne 2006: 227</w:t>
      </w:r>
    </w:p>
  </w:footnote>
  <w:footnote w:id="13">
    <w:p w:rsidR="000520F9" w:rsidRDefault="000520F9">
      <w:pPr>
        <w:pStyle w:val="FootnoteText"/>
      </w:pPr>
      <w:r>
        <w:rPr>
          <w:rStyle w:val="FootnoteReference"/>
        </w:rPr>
        <w:footnoteRef/>
      </w:r>
      <w:r>
        <w:t xml:space="preserve"> Adcock 1962: 16</w:t>
      </w:r>
    </w:p>
  </w:footnote>
  <w:footnote w:id="14">
    <w:p w:rsidR="001C7FD8" w:rsidRDefault="001C7FD8" w:rsidP="001C7FD8">
      <w:pPr>
        <w:pStyle w:val="FootnoteText"/>
      </w:pPr>
      <w:r>
        <w:rPr>
          <w:rStyle w:val="FootnoteReference"/>
        </w:rPr>
        <w:footnoteRef/>
      </w:r>
      <w:r>
        <w:t xml:space="preserve"> Pritchett 1991: 354</w:t>
      </w:r>
    </w:p>
  </w:footnote>
  <w:footnote w:id="15">
    <w:p w:rsidR="00CC1F77" w:rsidRDefault="00CC1F77">
      <w:pPr>
        <w:pStyle w:val="FootnoteText"/>
      </w:pPr>
      <w:r>
        <w:rPr>
          <w:rStyle w:val="FootnoteReference"/>
        </w:rPr>
        <w:footnoteRef/>
      </w:r>
      <w:r>
        <w:t xml:space="preserve"> Xenophon 1925: 2.22</w:t>
      </w:r>
    </w:p>
  </w:footnote>
  <w:footnote w:id="16">
    <w:p w:rsidR="00AF3A35" w:rsidRDefault="00AF3A35">
      <w:pPr>
        <w:pStyle w:val="FootnoteText"/>
      </w:pPr>
      <w:r>
        <w:rPr>
          <w:rStyle w:val="FootnoteReference"/>
        </w:rPr>
        <w:footnoteRef/>
      </w:r>
      <w:r>
        <w:t xml:space="preserve"> Thorne 2006: 228-230</w:t>
      </w:r>
    </w:p>
  </w:footnote>
  <w:footnote w:id="17">
    <w:p w:rsidR="007F0D9B" w:rsidRDefault="007F0D9B">
      <w:pPr>
        <w:pStyle w:val="FootnoteText"/>
      </w:pPr>
      <w:r>
        <w:rPr>
          <w:rStyle w:val="FootnoteReference"/>
        </w:rPr>
        <w:footnoteRef/>
      </w:r>
      <w:r>
        <w:t xml:space="preserve"> </w:t>
      </w:r>
      <w:r w:rsidR="00852C7C">
        <w:t>Jones, Sackett and Elliot 1957: 152-189</w:t>
      </w:r>
    </w:p>
  </w:footnote>
  <w:footnote w:id="18">
    <w:p w:rsidR="00A74E1A" w:rsidRDefault="00A74E1A">
      <w:pPr>
        <w:pStyle w:val="FootnoteText"/>
      </w:pPr>
      <w:r>
        <w:rPr>
          <w:rStyle w:val="FootnoteReference"/>
        </w:rPr>
        <w:footnoteRef/>
      </w:r>
      <w:r>
        <w:t xml:space="preserve"> Price and Nixon 2005</w:t>
      </w:r>
    </w:p>
  </w:footnote>
  <w:footnote w:id="19">
    <w:p w:rsidR="00852C7C" w:rsidRDefault="00852C7C">
      <w:pPr>
        <w:pStyle w:val="FootnoteText"/>
      </w:pPr>
      <w:r>
        <w:rPr>
          <w:rStyle w:val="FootnoteReference"/>
        </w:rPr>
        <w:footnoteRef/>
      </w:r>
      <w:r>
        <w:t xml:space="preserve"> Thorne 2006: 248</w:t>
      </w:r>
    </w:p>
  </w:footnote>
  <w:footnote w:id="20">
    <w:p w:rsidR="003D0EE7" w:rsidRDefault="003D0EE7">
      <w:pPr>
        <w:pStyle w:val="FootnoteText"/>
      </w:pPr>
      <w:r>
        <w:rPr>
          <w:rStyle w:val="FootnoteReference"/>
        </w:rPr>
        <w:footnoteRef/>
      </w:r>
      <w:r>
        <w:t xml:space="preserve"> Ibid. 239-241</w:t>
      </w:r>
    </w:p>
  </w:footnote>
  <w:footnote w:id="21">
    <w:p w:rsidR="000F67A5" w:rsidRDefault="000F67A5">
      <w:pPr>
        <w:pStyle w:val="FootnoteText"/>
      </w:pPr>
      <w:r>
        <w:rPr>
          <w:rStyle w:val="FootnoteReference"/>
        </w:rPr>
        <w:footnoteRef/>
      </w:r>
      <w:r>
        <w:t xml:space="preserve"> Anderson 1970: 5-6</w:t>
      </w:r>
    </w:p>
  </w:footnote>
  <w:footnote w:id="22">
    <w:p w:rsidR="003D0EE7" w:rsidRDefault="003D0EE7" w:rsidP="003D0EE7">
      <w:pPr>
        <w:pStyle w:val="FootnoteText"/>
      </w:pPr>
      <w:r>
        <w:rPr>
          <w:rStyle w:val="FootnoteReference"/>
        </w:rPr>
        <w:footnoteRef/>
      </w:r>
      <w:r>
        <w:t xml:space="preserve"> Thuc. 2000: 8.98.2</w:t>
      </w:r>
    </w:p>
  </w:footnote>
  <w:footnote w:id="23">
    <w:p w:rsidR="00517A18" w:rsidRDefault="00517A18">
      <w:pPr>
        <w:pStyle w:val="FootnoteText"/>
      </w:pPr>
      <w:r>
        <w:rPr>
          <w:rStyle w:val="FootnoteReference"/>
        </w:rPr>
        <w:footnoteRef/>
      </w:r>
      <w:r>
        <w:t xml:space="preserve"> Ibid. 2.19.2</w:t>
      </w:r>
    </w:p>
  </w:footnote>
  <w:footnote w:id="24">
    <w:p w:rsidR="00281951" w:rsidRDefault="00281951">
      <w:pPr>
        <w:pStyle w:val="FootnoteText"/>
      </w:pPr>
      <w:r>
        <w:rPr>
          <w:rStyle w:val="FootnoteReference"/>
        </w:rPr>
        <w:footnoteRef/>
      </w:r>
      <w:r>
        <w:t xml:space="preserve"> Croix 1972: 190-195</w:t>
      </w:r>
    </w:p>
  </w:footnote>
  <w:footnote w:id="25">
    <w:p w:rsidR="006F0916" w:rsidRDefault="006F0916">
      <w:pPr>
        <w:pStyle w:val="FootnoteText"/>
      </w:pPr>
      <w:r>
        <w:rPr>
          <w:rStyle w:val="FootnoteReference"/>
        </w:rPr>
        <w:footnoteRef/>
      </w:r>
      <w:r>
        <w:t xml:space="preserve"> Aeneas Tacticus 1990: 9.1.16 </w:t>
      </w:r>
    </w:p>
  </w:footnote>
  <w:footnote w:id="26">
    <w:p w:rsidR="00B96E71" w:rsidRDefault="00B96E71">
      <w:pPr>
        <w:pStyle w:val="FootnoteText"/>
      </w:pPr>
      <w:r>
        <w:rPr>
          <w:rStyle w:val="FootnoteReference"/>
        </w:rPr>
        <w:footnoteRef/>
      </w:r>
      <w:r>
        <w:t xml:space="preserve"> Hanson 1998: 97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6D0A69"/>
    <w:multiLevelType w:val="hybridMultilevel"/>
    <w:tmpl w:val="2060673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AE7975"/>
    <w:multiLevelType w:val="hybridMultilevel"/>
    <w:tmpl w:val="B12A4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760243"/>
    <w:multiLevelType w:val="hybridMultilevel"/>
    <w:tmpl w:val="FE7C7C68"/>
    <w:lvl w:ilvl="0" w:tplc="3FFE6898">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B2F"/>
    <w:rsid w:val="00025232"/>
    <w:rsid w:val="000520F9"/>
    <w:rsid w:val="000F67A5"/>
    <w:rsid w:val="00151F23"/>
    <w:rsid w:val="00181D98"/>
    <w:rsid w:val="001B7275"/>
    <w:rsid w:val="001C7FD8"/>
    <w:rsid w:val="00274E49"/>
    <w:rsid w:val="00281951"/>
    <w:rsid w:val="002A2F10"/>
    <w:rsid w:val="002E69C2"/>
    <w:rsid w:val="00305B16"/>
    <w:rsid w:val="00345125"/>
    <w:rsid w:val="003C41D4"/>
    <w:rsid w:val="003D0EE7"/>
    <w:rsid w:val="0040214A"/>
    <w:rsid w:val="00406F20"/>
    <w:rsid w:val="00412BD4"/>
    <w:rsid w:val="00510E42"/>
    <w:rsid w:val="00517A18"/>
    <w:rsid w:val="005632D7"/>
    <w:rsid w:val="00567B2C"/>
    <w:rsid w:val="005A31C2"/>
    <w:rsid w:val="00625135"/>
    <w:rsid w:val="006F0916"/>
    <w:rsid w:val="00725FF7"/>
    <w:rsid w:val="007737C6"/>
    <w:rsid w:val="007C31D1"/>
    <w:rsid w:val="007F0D9B"/>
    <w:rsid w:val="00852C7C"/>
    <w:rsid w:val="008672E7"/>
    <w:rsid w:val="008F7EDA"/>
    <w:rsid w:val="00911883"/>
    <w:rsid w:val="009801FC"/>
    <w:rsid w:val="009F127E"/>
    <w:rsid w:val="00A03588"/>
    <w:rsid w:val="00A15D34"/>
    <w:rsid w:val="00A4478D"/>
    <w:rsid w:val="00A74E1A"/>
    <w:rsid w:val="00A95CAC"/>
    <w:rsid w:val="00AC3EDB"/>
    <w:rsid w:val="00AF3A35"/>
    <w:rsid w:val="00B15780"/>
    <w:rsid w:val="00B63835"/>
    <w:rsid w:val="00B70D33"/>
    <w:rsid w:val="00B946CF"/>
    <w:rsid w:val="00B96E71"/>
    <w:rsid w:val="00BC0F8C"/>
    <w:rsid w:val="00BF3B3C"/>
    <w:rsid w:val="00C97E54"/>
    <w:rsid w:val="00CC0A8B"/>
    <w:rsid w:val="00CC1F77"/>
    <w:rsid w:val="00CF3025"/>
    <w:rsid w:val="00D16D0E"/>
    <w:rsid w:val="00D4375A"/>
    <w:rsid w:val="00D50D87"/>
    <w:rsid w:val="00DC199F"/>
    <w:rsid w:val="00DC38E5"/>
    <w:rsid w:val="00DF4D80"/>
    <w:rsid w:val="00E21F0C"/>
    <w:rsid w:val="00E50A85"/>
    <w:rsid w:val="00ED7A5B"/>
    <w:rsid w:val="00F23B2F"/>
    <w:rsid w:val="00F8488D"/>
    <w:rsid w:val="00FB1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E5C29"/>
  <w15:chartTrackingRefBased/>
  <w15:docId w15:val="{D68958E4-90BE-4557-A3DE-DF8C81EDA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15D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5D34"/>
    <w:rPr>
      <w:sz w:val="20"/>
      <w:szCs w:val="20"/>
    </w:rPr>
  </w:style>
  <w:style w:type="character" w:styleId="FootnoteReference">
    <w:name w:val="footnote reference"/>
    <w:basedOn w:val="DefaultParagraphFont"/>
    <w:uiPriority w:val="99"/>
    <w:semiHidden/>
    <w:unhideWhenUsed/>
    <w:rsid w:val="00A15D34"/>
    <w:rPr>
      <w:vertAlign w:val="superscript"/>
    </w:rPr>
  </w:style>
  <w:style w:type="paragraph" w:styleId="ListParagraph">
    <w:name w:val="List Paragraph"/>
    <w:basedOn w:val="Normal"/>
    <w:uiPriority w:val="34"/>
    <w:qFormat/>
    <w:rsid w:val="00D16D0E"/>
    <w:pPr>
      <w:ind w:left="720"/>
      <w:contextualSpacing/>
    </w:pPr>
  </w:style>
  <w:style w:type="character" w:styleId="Hyperlink">
    <w:name w:val="Hyperlink"/>
    <w:basedOn w:val="DefaultParagraphFont"/>
    <w:uiPriority w:val="99"/>
    <w:unhideWhenUsed/>
    <w:rsid w:val="00BF3B3C"/>
    <w:rPr>
      <w:color w:val="0563C1" w:themeColor="hyperlink"/>
      <w:u w:val="single"/>
    </w:rPr>
  </w:style>
  <w:style w:type="character" w:styleId="UnresolvedMention">
    <w:name w:val="Unresolved Mention"/>
    <w:basedOn w:val="DefaultParagraphFont"/>
    <w:uiPriority w:val="99"/>
    <w:semiHidden/>
    <w:unhideWhenUsed/>
    <w:rsid w:val="00BF3B3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a.ox.ac.uk/objects/uuid:d5b367a7-4d7f-4e4b-b7a0.../ATTACHMENT0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50F39-6032-4096-8146-747641A99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1978</Words>
  <Characters>11280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Cunningham</dc:creator>
  <cp:keywords/>
  <dc:description/>
  <cp:lastModifiedBy>David Cunningham</cp:lastModifiedBy>
  <cp:revision>2</cp:revision>
  <dcterms:created xsi:type="dcterms:W3CDTF">2018-03-15T15:41:00Z</dcterms:created>
  <dcterms:modified xsi:type="dcterms:W3CDTF">2018-03-15T15:41:00Z</dcterms:modified>
</cp:coreProperties>
</file>