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438F74" w14:textId="77777777" w:rsidR="00B15736" w:rsidRPr="000C7EAF" w:rsidRDefault="00B15736" w:rsidP="00B15736">
      <w:pPr>
        <w:spacing w:after="300"/>
        <w:rPr>
          <w:b/>
          <w:bCs/>
          <w:color w:val="1B3A4B"/>
          <w:sz w:val="40"/>
          <w:szCs w:val="40"/>
        </w:rPr>
      </w:pPr>
      <w:r w:rsidRPr="000C7EAF">
        <w:rPr>
          <w:rFonts w:asciiTheme="minorHAnsi" w:hAnsiTheme="minorHAnsi"/>
          <w:noProof/>
        </w:rPr>
        <w:drawing>
          <wp:inline distT="0" distB="0" distL="0" distR="0" wp14:anchorId="264031A5" wp14:editId="07BD509A">
            <wp:extent cx="2266950" cy="866775"/>
            <wp:effectExtent l="0" t="0" r="0" b="0"/>
            <wp:docPr id="294226204"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4226204" name="Picture 294226204"/>
                    <pic:cNvPicPr/>
                  </pic:nvPicPr>
                  <pic:blipFill>
                    <a:blip r:embed="rId6">
                      <a:extLst>
                        <a:ext uri="{28A0092B-C50C-407E-A947-70E740481C1C}">
                          <a14:useLocalDpi xmlns:a14="http://schemas.microsoft.com/office/drawing/2010/main"/>
                        </a:ext>
                      </a:extLst>
                    </a:blip>
                    <a:stretch>
                      <a:fillRect/>
                    </a:stretch>
                  </pic:blipFill>
                  <pic:spPr>
                    <a:xfrm>
                      <a:off x="0" y="0"/>
                      <a:ext cx="2266950" cy="866775"/>
                    </a:xfrm>
                    <a:prstGeom prst="rect">
                      <a:avLst/>
                    </a:prstGeom>
                  </pic:spPr>
                </pic:pic>
              </a:graphicData>
            </a:graphic>
          </wp:inline>
        </w:drawing>
      </w:r>
    </w:p>
    <w:p w14:paraId="3054506C" w14:textId="77777777" w:rsidR="00B15736" w:rsidRPr="000C7EAF" w:rsidRDefault="00B15736" w:rsidP="00B15736">
      <w:pPr>
        <w:spacing w:after="300"/>
        <w:rPr>
          <w:b/>
          <w:bCs/>
          <w:color w:val="1B3A4B"/>
          <w:sz w:val="40"/>
          <w:szCs w:val="40"/>
        </w:rPr>
      </w:pPr>
    </w:p>
    <w:p w14:paraId="46120D61" w14:textId="28E33AD2" w:rsidR="0085033A" w:rsidRPr="000C7EAF" w:rsidRDefault="00000000" w:rsidP="00E178C4">
      <w:pPr>
        <w:spacing w:after="300"/>
        <w:jc w:val="center"/>
        <w:rPr>
          <w:b/>
          <w:bCs/>
          <w:color w:val="1B3A4B"/>
          <w:sz w:val="40"/>
          <w:szCs w:val="40"/>
        </w:rPr>
      </w:pPr>
      <w:r w:rsidRPr="000C7EAF">
        <w:rPr>
          <w:b/>
          <w:bCs/>
          <w:color w:val="1B3A4B"/>
          <w:sz w:val="40"/>
          <w:szCs w:val="40"/>
        </w:rPr>
        <w:t xml:space="preserve">Information Security, Governance and Compliance Design for </w:t>
      </w:r>
      <w:proofErr w:type="spellStart"/>
      <w:r w:rsidRPr="000C7EAF">
        <w:rPr>
          <w:b/>
          <w:bCs/>
          <w:color w:val="1B3A4B"/>
          <w:sz w:val="40"/>
          <w:szCs w:val="40"/>
        </w:rPr>
        <w:t>AeroLink</w:t>
      </w:r>
      <w:proofErr w:type="spellEnd"/>
      <w:r w:rsidRPr="000C7EAF">
        <w:rPr>
          <w:b/>
          <w:bCs/>
          <w:color w:val="1B3A4B"/>
          <w:sz w:val="40"/>
          <w:szCs w:val="40"/>
        </w:rPr>
        <w:t xml:space="preserve"> Logistics (ALL)</w:t>
      </w:r>
    </w:p>
    <w:p w14:paraId="0837F2EC" w14:textId="77777777" w:rsidR="00B15736" w:rsidRPr="000C7EAF" w:rsidRDefault="00B15736" w:rsidP="00E178C4">
      <w:pPr>
        <w:spacing w:after="300"/>
        <w:jc w:val="center"/>
      </w:pPr>
    </w:p>
    <w:p w14:paraId="3D981B1B" w14:textId="77777777" w:rsidR="0085033A" w:rsidRPr="000C7EAF" w:rsidRDefault="00000000" w:rsidP="00E178C4">
      <w:pPr>
        <w:spacing w:after="600"/>
        <w:jc w:val="center"/>
        <w:rPr>
          <w:rFonts w:asciiTheme="minorHAnsi" w:hAnsiTheme="minorHAnsi"/>
          <w:color w:val="074F6A" w:themeColor="accent4" w:themeShade="80"/>
        </w:rPr>
      </w:pPr>
      <w:r w:rsidRPr="000C7EAF">
        <w:rPr>
          <w:rFonts w:asciiTheme="minorHAnsi" w:hAnsiTheme="minorHAnsi"/>
          <w:i/>
          <w:iCs/>
          <w:color w:val="074F6A" w:themeColor="accent4" w:themeShade="80"/>
          <w:sz w:val="26"/>
          <w:szCs w:val="26"/>
        </w:rPr>
        <w:t>A Framework-Based Approach to Cloud, IoT and AI Security Risk in a Global Logistics Enterprise</w:t>
      </w:r>
    </w:p>
    <w:p w14:paraId="213E505C" w14:textId="77777777" w:rsidR="00B15736" w:rsidRPr="000C7EAF" w:rsidRDefault="00B15736" w:rsidP="00E178C4">
      <w:pPr>
        <w:spacing w:before="280" w:after="120"/>
        <w:ind w:left="1440" w:firstLine="720"/>
        <w:jc w:val="both"/>
        <w:rPr>
          <w:rFonts w:asciiTheme="minorHAnsi" w:eastAsia="Aptos" w:hAnsiTheme="minorHAnsi" w:cs="Aptos"/>
          <w:b/>
          <w:bCs/>
          <w:color w:val="000000" w:themeColor="text1"/>
          <w:sz w:val="28"/>
          <w:szCs w:val="28"/>
        </w:rPr>
      </w:pPr>
    </w:p>
    <w:p w14:paraId="54B7FF56" w14:textId="3BF2C255" w:rsidR="001C7366" w:rsidRPr="001C7366" w:rsidRDefault="00E178C4" w:rsidP="001C7366">
      <w:pPr>
        <w:spacing w:before="120" w:after="120"/>
        <w:jc w:val="both"/>
        <w:rPr>
          <w:rFonts w:asciiTheme="minorHAnsi" w:hAnsiTheme="minorHAnsi" w:cs="Arial"/>
          <w:b/>
          <w:sz w:val="28"/>
          <w:szCs w:val="28"/>
        </w:rPr>
      </w:pPr>
      <w:r w:rsidRPr="000C7EAF">
        <w:rPr>
          <w:rFonts w:asciiTheme="minorHAnsi" w:eastAsia="Aptos" w:hAnsiTheme="minorHAnsi" w:cs="Aptos"/>
          <w:b/>
          <w:bCs/>
          <w:color w:val="000000" w:themeColor="text1"/>
          <w:sz w:val="28"/>
          <w:szCs w:val="28"/>
        </w:rPr>
        <w:t xml:space="preserve">     </w:t>
      </w:r>
      <w:r w:rsidR="001C7366">
        <w:rPr>
          <w:rFonts w:asciiTheme="minorHAnsi" w:eastAsia="Aptos" w:hAnsiTheme="minorHAnsi" w:cs="Aptos"/>
          <w:b/>
          <w:bCs/>
          <w:color w:val="000000" w:themeColor="text1"/>
          <w:sz w:val="28"/>
          <w:szCs w:val="28"/>
        </w:rPr>
        <w:tab/>
      </w:r>
      <w:r w:rsidR="00B15736" w:rsidRPr="001C7366">
        <w:rPr>
          <w:rFonts w:asciiTheme="minorHAnsi" w:eastAsia="Aptos" w:hAnsiTheme="minorHAnsi" w:cs="Aptos"/>
          <w:b/>
          <w:bCs/>
          <w:color w:val="000000" w:themeColor="text1"/>
          <w:sz w:val="28"/>
          <w:szCs w:val="28"/>
        </w:rPr>
        <w:t>Module: ACCA702</w:t>
      </w:r>
      <w:r w:rsidRPr="001C7366">
        <w:rPr>
          <w:rFonts w:asciiTheme="minorHAnsi" w:eastAsia="Aptos" w:hAnsiTheme="minorHAnsi" w:cs="Aptos"/>
          <w:b/>
          <w:bCs/>
          <w:color w:val="000000" w:themeColor="text1"/>
          <w:sz w:val="28"/>
          <w:szCs w:val="28"/>
        </w:rPr>
        <w:t>8</w:t>
      </w:r>
      <w:r w:rsidR="00B15736" w:rsidRPr="001C7366">
        <w:rPr>
          <w:rFonts w:asciiTheme="minorHAnsi" w:eastAsia="Aptos" w:hAnsiTheme="minorHAnsi" w:cs="Aptos"/>
          <w:b/>
          <w:bCs/>
          <w:color w:val="000000" w:themeColor="text1"/>
          <w:sz w:val="28"/>
          <w:szCs w:val="28"/>
        </w:rPr>
        <w:t xml:space="preserve"> – </w:t>
      </w:r>
      <w:r w:rsidR="001C7366" w:rsidRPr="001C7366">
        <w:rPr>
          <w:rFonts w:asciiTheme="minorHAnsi" w:hAnsiTheme="minorHAnsi" w:cs="Arial"/>
          <w:b/>
          <w:sz w:val="28"/>
          <w:szCs w:val="28"/>
        </w:rPr>
        <w:t>Data Security, Governance and Compliance</w:t>
      </w:r>
    </w:p>
    <w:p w14:paraId="22D7BA48" w14:textId="473CEE4C" w:rsidR="00B15736" w:rsidRPr="000C7EAF" w:rsidRDefault="00B15736" w:rsidP="00E178C4">
      <w:pPr>
        <w:spacing w:before="280" w:after="120"/>
        <w:ind w:left="2160"/>
        <w:jc w:val="both"/>
        <w:rPr>
          <w:rFonts w:asciiTheme="minorHAnsi" w:eastAsia="Aptos" w:hAnsiTheme="minorHAnsi" w:cs="Aptos"/>
          <w:sz w:val="28"/>
          <w:szCs w:val="28"/>
        </w:rPr>
      </w:pPr>
    </w:p>
    <w:p w14:paraId="49121CAB" w14:textId="77777777" w:rsidR="00B15736" w:rsidRPr="000C7EAF" w:rsidRDefault="00B15736" w:rsidP="00E178C4">
      <w:pPr>
        <w:spacing w:before="280" w:after="120"/>
        <w:ind w:left="1440" w:firstLine="720"/>
        <w:jc w:val="both"/>
        <w:rPr>
          <w:rFonts w:asciiTheme="minorHAnsi" w:eastAsia="Aptos" w:hAnsiTheme="minorHAnsi" w:cs="Aptos"/>
          <w:b/>
          <w:bCs/>
          <w:color w:val="000000" w:themeColor="text1"/>
          <w:sz w:val="28"/>
          <w:szCs w:val="28"/>
        </w:rPr>
      </w:pPr>
    </w:p>
    <w:p w14:paraId="56E2B505" w14:textId="7BEBE934" w:rsidR="00B15736" w:rsidRPr="000C7EAF" w:rsidRDefault="00B15736" w:rsidP="00E178C4">
      <w:pPr>
        <w:spacing w:before="280" w:after="120"/>
        <w:ind w:left="2160" w:firstLine="720"/>
        <w:jc w:val="both"/>
        <w:rPr>
          <w:rFonts w:asciiTheme="minorHAnsi" w:eastAsia="Aptos" w:hAnsiTheme="minorHAnsi" w:cs="Aptos"/>
          <w:sz w:val="28"/>
          <w:szCs w:val="28"/>
        </w:rPr>
      </w:pPr>
      <w:r w:rsidRPr="000C7EAF">
        <w:rPr>
          <w:rFonts w:asciiTheme="minorHAnsi" w:eastAsia="Aptos" w:hAnsiTheme="minorHAnsi" w:cs="Aptos"/>
          <w:b/>
          <w:bCs/>
          <w:color w:val="000000" w:themeColor="text1"/>
          <w:sz w:val="28"/>
          <w:szCs w:val="28"/>
        </w:rPr>
        <w:t>MSc Data and Artificial Intelligence</w:t>
      </w:r>
    </w:p>
    <w:p w14:paraId="5247660B" w14:textId="77777777" w:rsidR="00B15736" w:rsidRPr="000C7EAF" w:rsidRDefault="00B15736" w:rsidP="00E178C4">
      <w:pPr>
        <w:spacing w:before="280" w:after="120"/>
        <w:jc w:val="both"/>
        <w:rPr>
          <w:rFonts w:asciiTheme="minorHAnsi" w:eastAsia="Aptos" w:hAnsiTheme="minorHAnsi" w:cs="Aptos"/>
          <w:color w:val="000000" w:themeColor="text1"/>
          <w:sz w:val="28"/>
          <w:szCs w:val="28"/>
        </w:rPr>
      </w:pPr>
    </w:p>
    <w:p w14:paraId="18229D0C" w14:textId="6A3F72AC" w:rsidR="00B15736" w:rsidRPr="000C7EAF" w:rsidRDefault="00E178C4" w:rsidP="00E178C4">
      <w:pPr>
        <w:spacing w:before="280" w:after="120"/>
        <w:ind w:left="2160"/>
        <w:jc w:val="both"/>
        <w:rPr>
          <w:rFonts w:asciiTheme="minorHAnsi" w:eastAsia="Aptos" w:hAnsiTheme="minorHAnsi" w:cs="Aptos"/>
          <w:color w:val="000000" w:themeColor="text1"/>
          <w:sz w:val="28"/>
          <w:szCs w:val="28"/>
        </w:rPr>
      </w:pPr>
      <w:r w:rsidRPr="000C7EAF">
        <w:rPr>
          <w:rFonts w:asciiTheme="minorHAnsi" w:eastAsia="Aptos" w:hAnsiTheme="minorHAnsi" w:cs="Aptos"/>
          <w:b/>
          <w:bCs/>
          <w:color w:val="000000" w:themeColor="text1"/>
          <w:sz w:val="28"/>
          <w:szCs w:val="28"/>
        </w:rPr>
        <w:t xml:space="preserve">      </w:t>
      </w:r>
      <w:r w:rsidR="001C7366">
        <w:rPr>
          <w:rFonts w:asciiTheme="minorHAnsi" w:eastAsia="Aptos" w:hAnsiTheme="minorHAnsi" w:cs="Aptos"/>
          <w:b/>
          <w:bCs/>
          <w:color w:val="000000" w:themeColor="text1"/>
          <w:sz w:val="28"/>
          <w:szCs w:val="28"/>
        </w:rPr>
        <w:t xml:space="preserve">    </w:t>
      </w:r>
      <w:r w:rsidR="00B15736" w:rsidRPr="000C7EAF">
        <w:rPr>
          <w:rFonts w:asciiTheme="minorHAnsi" w:eastAsia="Aptos" w:hAnsiTheme="minorHAnsi" w:cs="Aptos"/>
          <w:b/>
          <w:bCs/>
          <w:color w:val="000000" w:themeColor="text1"/>
          <w:sz w:val="28"/>
          <w:szCs w:val="28"/>
        </w:rPr>
        <w:t>University of Wales Trinity Saint David</w:t>
      </w:r>
    </w:p>
    <w:p w14:paraId="02EFA22A" w14:textId="77777777" w:rsidR="00B15736" w:rsidRPr="000C7EAF" w:rsidRDefault="00B15736" w:rsidP="00E178C4">
      <w:pPr>
        <w:spacing w:before="280" w:after="120"/>
        <w:jc w:val="both"/>
        <w:rPr>
          <w:rFonts w:asciiTheme="minorHAnsi" w:eastAsia="Aptos" w:hAnsiTheme="minorHAnsi" w:cs="Aptos"/>
          <w:color w:val="000000" w:themeColor="text1"/>
          <w:sz w:val="28"/>
          <w:szCs w:val="28"/>
        </w:rPr>
      </w:pPr>
    </w:p>
    <w:p w14:paraId="3E2CDFB4" w14:textId="7E6DA59C" w:rsidR="00B15736" w:rsidRPr="000C7EAF" w:rsidRDefault="00E178C4" w:rsidP="00E178C4">
      <w:pPr>
        <w:spacing w:before="280" w:after="120"/>
        <w:ind w:left="1440" w:firstLine="720"/>
        <w:jc w:val="both"/>
        <w:rPr>
          <w:rFonts w:asciiTheme="minorHAnsi" w:eastAsia="Aptos" w:hAnsiTheme="minorHAnsi" w:cs="Aptos"/>
          <w:color w:val="000000" w:themeColor="text1"/>
          <w:sz w:val="28"/>
          <w:szCs w:val="28"/>
        </w:rPr>
      </w:pPr>
      <w:r w:rsidRPr="000C7EAF">
        <w:rPr>
          <w:rFonts w:asciiTheme="minorHAnsi" w:eastAsia="Aptos" w:hAnsiTheme="minorHAnsi" w:cs="Aptos"/>
          <w:b/>
          <w:bCs/>
          <w:color w:val="000000" w:themeColor="text1"/>
          <w:sz w:val="28"/>
          <w:szCs w:val="28"/>
        </w:rPr>
        <w:t xml:space="preserve">    </w:t>
      </w:r>
      <w:r w:rsidR="00B15736" w:rsidRPr="000C7EAF">
        <w:rPr>
          <w:rFonts w:asciiTheme="minorHAnsi" w:eastAsia="Aptos" w:hAnsiTheme="minorHAnsi" w:cs="Aptos"/>
          <w:b/>
          <w:bCs/>
          <w:color w:val="000000" w:themeColor="text1"/>
          <w:sz w:val="28"/>
          <w:szCs w:val="28"/>
        </w:rPr>
        <w:t xml:space="preserve">Lecturer: </w:t>
      </w:r>
      <w:r w:rsidRPr="000C7EAF">
        <w:rPr>
          <w:rFonts w:asciiTheme="minorHAnsi" w:hAnsiTheme="minorHAnsi"/>
          <w:b/>
          <w:bCs/>
          <w:sz w:val="28"/>
          <w:szCs w:val="28"/>
        </w:rPr>
        <w:t xml:space="preserve">Dr </w:t>
      </w:r>
      <w:proofErr w:type="spellStart"/>
      <w:r w:rsidRPr="000C7EAF">
        <w:rPr>
          <w:rFonts w:asciiTheme="minorHAnsi" w:hAnsiTheme="minorHAnsi"/>
          <w:b/>
          <w:bCs/>
          <w:sz w:val="28"/>
          <w:szCs w:val="28"/>
        </w:rPr>
        <w:t>Vijeyananthan</w:t>
      </w:r>
      <w:proofErr w:type="spellEnd"/>
      <w:r w:rsidRPr="000C7EAF">
        <w:rPr>
          <w:rFonts w:asciiTheme="minorHAnsi" w:hAnsiTheme="minorHAnsi"/>
          <w:b/>
          <w:bCs/>
          <w:sz w:val="28"/>
          <w:szCs w:val="28"/>
        </w:rPr>
        <w:t xml:space="preserve"> Thayananthan</w:t>
      </w:r>
    </w:p>
    <w:p w14:paraId="5A8EC9F1" w14:textId="77777777" w:rsidR="00B15736" w:rsidRPr="000C7EAF" w:rsidRDefault="00B15736" w:rsidP="00E178C4">
      <w:pPr>
        <w:spacing w:before="280" w:after="120"/>
        <w:jc w:val="both"/>
        <w:rPr>
          <w:rFonts w:asciiTheme="minorHAnsi" w:eastAsia="Aptos" w:hAnsiTheme="minorHAnsi" w:cs="Aptos"/>
          <w:color w:val="000000" w:themeColor="text1"/>
        </w:rPr>
      </w:pPr>
    </w:p>
    <w:p w14:paraId="32E61352" w14:textId="2714172B" w:rsidR="00B15736" w:rsidRPr="000C7EAF" w:rsidRDefault="00DC08F4" w:rsidP="00E178C4">
      <w:pPr>
        <w:spacing w:before="280" w:after="120"/>
        <w:ind w:left="2160" w:firstLine="720"/>
        <w:jc w:val="both"/>
        <w:rPr>
          <w:rFonts w:asciiTheme="minorHAnsi" w:hAnsiTheme="minorHAnsi" w:cs="Arial"/>
          <w:b/>
          <w:sz w:val="28"/>
          <w:szCs w:val="28"/>
        </w:rPr>
      </w:pPr>
      <w:r w:rsidRPr="000C7EAF">
        <w:rPr>
          <w:rFonts w:asciiTheme="minorHAnsi" w:eastAsia="Aptos" w:hAnsiTheme="minorHAnsi" w:cs="Aptos"/>
          <w:b/>
          <w:bCs/>
          <w:color w:val="000000" w:themeColor="text1"/>
          <w:sz w:val="28"/>
          <w:szCs w:val="28"/>
        </w:rPr>
        <w:t xml:space="preserve"> </w:t>
      </w:r>
      <w:r w:rsidR="00B15736" w:rsidRPr="000C7EAF">
        <w:rPr>
          <w:rFonts w:asciiTheme="minorHAnsi" w:eastAsia="Aptos" w:hAnsiTheme="minorHAnsi" w:cs="Aptos"/>
          <w:b/>
          <w:bCs/>
          <w:color w:val="000000" w:themeColor="text1"/>
          <w:sz w:val="28"/>
          <w:szCs w:val="28"/>
        </w:rPr>
        <w:t>ASSIGNMENT-</w:t>
      </w:r>
      <w:r w:rsidR="00B15736" w:rsidRPr="000C7EAF">
        <w:rPr>
          <w:rFonts w:asciiTheme="minorHAnsi" w:hAnsiTheme="minorHAnsi" w:cs="Arial"/>
          <w:b/>
          <w:sz w:val="28"/>
          <w:szCs w:val="28"/>
        </w:rPr>
        <w:t xml:space="preserve"> CASE STUDY</w:t>
      </w:r>
    </w:p>
    <w:p w14:paraId="3F7FF26D" w14:textId="77777777" w:rsidR="00B15736" w:rsidRPr="000C7EAF" w:rsidRDefault="00B15736" w:rsidP="00E178C4">
      <w:pPr>
        <w:spacing w:before="280" w:after="120"/>
        <w:ind w:left="2880" w:firstLine="720"/>
        <w:jc w:val="both"/>
        <w:rPr>
          <w:rFonts w:asciiTheme="minorHAnsi" w:eastAsia="Aptos" w:hAnsiTheme="minorHAnsi" w:cs="Aptos"/>
          <w:color w:val="000000" w:themeColor="text1"/>
          <w:sz w:val="28"/>
          <w:szCs w:val="28"/>
        </w:rPr>
      </w:pPr>
    </w:p>
    <w:p w14:paraId="2A841DEF" w14:textId="1798419C" w:rsidR="00B15736" w:rsidRPr="000C7EAF" w:rsidRDefault="00E178C4" w:rsidP="00E178C4">
      <w:pPr>
        <w:spacing w:before="280" w:after="120"/>
        <w:ind w:left="2160"/>
        <w:jc w:val="both"/>
        <w:rPr>
          <w:rFonts w:asciiTheme="minorHAnsi" w:eastAsia="Aptos" w:hAnsiTheme="minorHAnsi" w:cs="Aptos"/>
          <w:color w:val="000000" w:themeColor="text1"/>
          <w:sz w:val="28"/>
          <w:szCs w:val="28"/>
        </w:rPr>
      </w:pPr>
      <w:r w:rsidRPr="000C7EAF">
        <w:rPr>
          <w:rFonts w:asciiTheme="minorHAnsi" w:eastAsia="Aptos" w:hAnsiTheme="minorHAnsi" w:cs="Aptos"/>
          <w:b/>
          <w:bCs/>
          <w:color w:val="000000" w:themeColor="text1"/>
          <w:sz w:val="28"/>
          <w:szCs w:val="28"/>
        </w:rPr>
        <w:t xml:space="preserve">        </w:t>
      </w:r>
      <w:r w:rsidR="00B15736" w:rsidRPr="000C7EAF">
        <w:rPr>
          <w:rFonts w:asciiTheme="minorHAnsi" w:eastAsia="Aptos" w:hAnsiTheme="minorHAnsi" w:cs="Aptos"/>
          <w:b/>
          <w:bCs/>
          <w:color w:val="000000" w:themeColor="text1"/>
          <w:sz w:val="28"/>
          <w:szCs w:val="28"/>
        </w:rPr>
        <w:t>STUDENT NAME: VIVEK NELAPATI</w:t>
      </w:r>
    </w:p>
    <w:p w14:paraId="297D279A" w14:textId="3124434B" w:rsidR="00B15736" w:rsidRPr="000C7EAF" w:rsidRDefault="00E178C4" w:rsidP="00E178C4">
      <w:pPr>
        <w:spacing w:before="280" w:after="120"/>
        <w:ind w:left="2160"/>
        <w:jc w:val="both"/>
        <w:rPr>
          <w:rFonts w:asciiTheme="minorHAnsi" w:hAnsiTheme="minorHAnsi"/>
        </w:rPr>
      </w:pPr>
      <w:r w:rsidRPr="000C7EAF">
        <w:rPr>
          <w:rFonts w:asciiTheme="minorHAnsi" w:eastAsia="Aptos" w:hAnsiTheme="minorHAnsi" w:cs="Aptos"/>
          <w:b/>
          <w:bCs/>
          <w:color w:val="000000" w:themeColor="text1"/>
          <w:sz w:val="28"/>
          <w:szCs w:val="28"/>
        </w:rPr>
        <w:t xml:space="preserve">        </w:t>
      </w:r>
      <w:r w:rsidR="00B15736" w:rsidRPr="000C7EAF">
        <w:rPr>
          <w:rFonts w:asciiTheme="minorHAnsi" w:eastAsia="Aptos" w:hAnsiTheme="minorHAnsi" w:cs="Aptos"/>
          <w:b/>
          <w:bCs/>
          <w:color w:val="000000" w:themeColor="text1"/>
          <w:sz w:val="28"/>
          <w:szCs w:val="28"/>
        </w:rPr>
        <w:t>STUDENT ID NUMBER: 2511594</w:t>
      </w:r>
    </w:p>
    <w:p w14:paraId="14333DBD" w14:textId="77777777" w:rsidR="0085033A" w:rsidRPr="000C7EAF" w:rsidRDefault="00000000">
      <w:r w:rsidRPr="000C7EAF">
        <w:br w:type="page"/>
      </w:r>
    </w:p>
    <w:sdt>
      <w:sdtPr>
        <w:rPr>
          <w:rFonts w:ascii="Times New Roman" w:eastAsia="Times New Roman" w:hAnsi="Times New Roman" w:cs="Times New Roman"/>
          <w:color w:val="auto"/>
          <w:sz w:val="20"/>
          <w:szCs w:val="20"/>
          <w:lang w:val="en-GB" w:eastAsia="en-IN"/>
        </w:rPr>
        <w:id w:val="697830135"/>
        <w:docPartObj>
          <w:docPartGallery w:val="Table of Contents"/>
          <w:docPartUnique/>
        </w:docPartObj>
      </w:sdtPr>
      <w:sdtEndPr>
        <w:rPr>
          <w:b/>
          <w:bCs/>
          <w:noProof/>
        </w:rPr>
      </w:sdtEndPr>
      <w:sdtContent>
        <w:p w14:paraId="09399242" w14:textId="6BCF8F7D" w:rsidR="008264BC" w:rsidRDefault="008264BC">
          <w:pPr>
            <w:pStyle w:val="TOCHeading"/>
          </w:pPr>
          <w:r>
            <w:t>Contents:</w:t>
          </w:r>
        </w:p>
        <w:p w14:paraId="3ACF07C1" w14:textId="631F39DC"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r>
            <w:fldChar w:fldCharType="begin"/>
          </w:r>
          <w:r>
            <w:instrText xml:space="preserve"> TOC \o "1-3" \h \z \u </w:instrText>
          </w:r>
          <w:r>
            <w:fldChar w:fldCharType="separate"/>
          </w:r>
          <w:hyperlink w:anchor="_Toc236176808" w:history="1">
            <w:r w:rsidRPr="00937D90">
              <w:rPr>
                <w:rStyle w:val="Hyperlink"/>
                <w:noProof/>
              </w:rPr>
              <w:t>Executive Summary:</w:t>
            </w:r>
            <w:r>
              <w:rPr>
                <w:noProof/>
                <w:webHidden/>
              </w:rPr>
              <w:tab/>
            </w:r>
            <w:r>
              <w:rPr>
                <w:noProof/>
                <w:webHidden/>
              </w:rPr>
              <w:fldChar w:fldCharType="begin"/>
            </w:r>
            <w:r>
              <w:rPr>
                <w:noProof/>
                <w:webHidden/>
              </w:rPr>
              <w:instrText xml:space="preserve"> PAGEREF _Toc236176808 \h </w:instrText>
            </w:r>
            <w:r>
              <w:rPr>
                <w:noProof/>
                <w:webHidden/>
              </w:rPr>
            </w:r>
            <w:r>
              <w:rPr>
                <w:noProof/>
                <w:webHidden/>
              </w:rPr>
              <w:fldChar w:fldCharType="separate"/>
            </w:r>
            <w:r>
              <w:rPr>
                <w:noProof/>
                <w:webHidden/>
              </w:rPr>
              <w:t>3</w:t>
            </w:r>
            <w:r>
              <w:rPr>
                <w:noProof/>
                <w:webHidden/>
              </w:rPr>
              <w:fldChar w:fldCharType="end"/>
            </w:r>
          </w:hyperlink>
        </w:p>
        <w:p w14:paraId="3369427E" w14:textId="328FB46E"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09" w:history="1">
            <w:r w:rsidRPr="00937D90">
              <w:rPr>
                <w:rStyle w:val="Hyperlink"/>
                <w:noProof/>
              </w:rPr>
              <w:t>1.Introduction:</w:t>
            </w:r>
            <w:r>
              <w:rPr>
                <w:noProof/>
                <w:webHidden/>
              </w:rPr>
              <w:tab/>
            </w:r>
            <w:r>
              <w:rPr>
                <w:noProof/>
                <w:webHidden/>
              </w:rPr>
              <w:fldChar w:fldCharType="begin"/>
            </w:r>
            <w:r>
              <w:rPr>
                <w:noProof/>
                <w:webHidden/>
              </w:rPr>
              <w:instrText xml:space="preserve"> PAGEREF _Toc236176809 \h </w:instrText>
            </w:r>
            <w:r>
              <w:rPr>
                <w:noProof/>
                <w:webHidden/>
              </w:rPr>
            </w:r>
            <w:r>
              <w:rPr>
                <w:noProof/>
                <w:webHidden/>
              </w:rPr>
              <w:fldChar w:fldCharType="separate"/>
            </w:r>
            <w:r>
              <w:rPr>
                <w:noProof/>
                <w:webHidden/>
              </w:rPr>
              <w:t>4</w:t>
            </w:r>
            <w:r>
              <w:rPr>
                <w:noProof/>
                <w:webHidden/>
              </w:rPr>
              <w:fldChar w:fldCharType="end"/>
            </w:r>
          </w:hyperlink>
        </w:p>
        <w:p w14:paraId="6828AB45" w14:textId="66439DFB"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0" w:history="1">
            <w:r w:rsidRPr="00937D90">
              <w:rPr>
                <w:rStyle w:val="Hyperlink"/>
                <w:noProof/>
              </w:rPr>
              <w:t>2. Research into Security Frameworks and Models:</w:t>
            </w:r>
            <w:r>
              <w:rPr>
                <w:noProof/>
                <w:webHidden/>
              </w:rPr>
              <w:tab/>
            </w:r>
            <w:r>
              <w:rPr>
                <w:noProof/>
                <w:webHidden/>
              </w:rPr>
              <w:fldChar w:fldCharType="begin"/>
            </w:r>
            <w:r>
              <w:rPr>
                <w:noProof/>
                <w:webHidden/>
              </w:rPr>
              <w:instrText xml:space="preserve"> PAGEREF _Toc236176810 \h </w:instrText>
            </w:r>
            <w:r>
              <w:rPr>
                <w:noProof/>
                <w:webHidden/>
              </w:rPr>
            </w:r>
            <w:r>
              <w:rPr>
                <w:noProof/>
                <w:webHidden/>
              </w:rPr>
              <w:fldChar w:fldCharType="separate"/>
            </w:r>
            <w:r>
              <w:rPr>
                <w:noProof/>
                <w:webHidden/>
              </w:rPr>
              <w:t>5</w:t>
            </w:r>
            <w:r>
              <w:rPr>
                <w:noProof/>
                <w:webHidden/>
              </w:rPr>
              <w:fldChar w:fldCharType="end"/>
            </w:r>
          </w:hyperlink>
        </w:p>
        <w:p w14:paraId="7B3F6B8D" w14:textId="532BD66E"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1" w:history="1">
            <w:r w:rsidRPr="00937D90">
              <w:rPr>
                <w:rStyle w:val="Hyperlink"/>
                <w:noProof/>
              </w:rPr>
              <w:t>2.1 ITIL 4:</w:t>
            </w:r>
            <w:r>
              <w:rPr>
                <w:noProof/>
                <w:webHidden/>
              </w:rPr>
              <w:tab/>
            </w:r>
            <w:r>
              <w:rPr>
                <w:noProof/>
                <w:webHidden/>
              </w:rPr>
              <w:fldChar w:fldCharType="begin"/>
            </w:r>
            <w:r>
              <w:rPr>
                <w:noProof/>
                <w:webHidden/>
              </w:rPr>
              <w:instrText xml:space="preserve"> PAGEREF _Toc236176811 \h </w:instrText>
            </w:r>
            <w:r>
              <w:rPr>
                <w:noProof/>
                <w:webHidden/>
              </w:rPr>
            </w:r>
            <w:r>
              <w:rPr>
                <w:noProof/>
                <w:webHidden/>
              </w:rPr>
              <w:fldChar w:fldCharType="separate"/>
            </w:r>
            <w:r>
              <w:rPr>
                <w:noProof/>
                <w:webHidden/>
              </w:rPr>
              <w:t>5</w:t>
            </w:r>
            <w:r>
              <w:rPr>
                <w:noProof/>
                <w:webHidden/>
              </w:rPr>
              <w:fldChar w:fldCharType="end"/>
            </w:r>
          </w:hyperlink>
        </w:p>
        <w:p w14:paraId="4B0DF93B" w14:textId="22BDDDF3"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2" w:history="1">
            <w:r w:rsidRPr="00937D90">
              <w:rPr>
                <w:rStyle w:val="Hyperlink"/>
                <w:noProof/>
              </w:rPr>
              <w:t>2.2 NIST Cybersecurity Framework (CSF) 2.0:</w:t>
            </w:r>
            <w:r>
              <w:rPr>
                <w:noProof/>
                <w:webHidden/>
              </w:rPr>
              <w:tab/>
            </w:r>
            <w:r>
              <w:rPr>
                <w:noProof/>
                <w:webHidden/>
              </w:rPr>
              <w:fldChar w:fldCharType="begin"/>
            </w:r>
            <w:r>
              <w:rPr>
                <w:noProof/>
                <w:webHidden/>
              </w:rPr>
              <w:instrText xml:space="preserve"> PAGEREF _Toc236176812 \h </w:instrText>
            </w:r>
            <w:r>
              <w:rPr>
                <w:noProof/>
                <w:webHidden/>
              </w:rPr>
            </w:r>
            <w:r>
              <w:rPr>
                <w:noProof/>
                <w:webHidden/>
              </w:rPr>
              <w:fldChar w:fldCharType="separate"/>
            </w:r>
            <w:r>
              <w:rPr>
                <w:noProof/>
                <w:webHidden/>
              </w:rPr>
              <w:t>5</w:t>
            </w:r>
            <w:r>
              <w:rPr>
                <w:noProof/>
                <w:webHidden/>
              </w:rPr>
              <w:fldChar w:fldCharType="end"/>
            </w:r>
          </w:hyperlink>
        </w:p>
        <w:p w14:paraId="721F33C2" w14:textId="201FC288"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3" w:history="1">
            <w:r w:rsidRPr="00937D90">
              <w:rPr>
                <w:rStyle w:val="Hyperlink"/>
                <w:noProof/>
              </w:rPr>
              <w:t>2.3 COBIT 2019:</w:t>
            </w:r>
            <w:r>
              <w:rPr>
                <w:noProof/>
                <w:webHidden/>
              </w:rPr>
              <w:tab/>
            </w:r>
            <w:r>
              <w:rPr>
                <w:noProof/>
                <w:webHidden/>
              </w:rPr>
              <w:fldChar w:fldCharType="begin"/>
            </w:r>
            <w:r>
              <w:rPr>
                <w:noProof/>
                <w:webHidden/>
              </w:rPr>
              <w:instrText xml:space="preserve"> PAGEREF _Toc236176813 \h </w:instrText>
            </w:r>
            <w:r>
              <w:rPr>
                <w:noProof/>
                <w:webHidden/>
              </w:rPr>
            </w:r>
            <w:r>
              <w:rPr>
                <w:noProof/>
                <w:webHidden/>
              </w:rPr>
              <w:fldChar w:fldCharType="separate"/>
            </w:r>
            <w:r>
              <w:rPr>
                <w:noProof/>
                <w:webHidden/>
              </w:rPr>
              <w:t>6</w:t>
            </w:r>
            <w:r>
              <w:rPr>
                <w:noProof/>
                <w:webHidden/>
              </w:rPr>
              <w:fldChar w:fldCharType="end"/>
            </w:r>
          </w:hyperlink>
        </w:p>
        <w:p w14:paraId="321185D3" w14:textId="4C78F60D"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4" w:history="1">
            <w:r w:rsidRPr="00937D90">
              <w:rPr>
                <w:rStyle w:val="Hyperlink"/>
                <w:noProof/>
              </w:rPr>
              <w:t>2.4 ISO/IEC 27000 Series:</w:t>
            </w:r>
            <w:r>
              <w:rPr>
                <w:noProof/>
                <w:webHidden/>
              </w:rPr>
              <w:tab/>
            </w:r>
            <w:r>
              <w:rPr>
                <w:noProof/>
                <w:webHidden/>
              </w:rPr>
              <w:fldChar w:fldCharType="begin"/>
            </w:r>
            <w:r>
              <w:rPr>
                <w:noProof/>
                <w:webHidden/>
              </w:rPr>
              <w:instrText xml:space="preserve"> PAGEREF _Toc236176814 \h </w:instrText>
            </w:r>
            <w:r>
              <w:rPr>
                <w:noProof/>
                <w:webHidden/>
              </w:rPr>
            </w:r>
            <w:r>
              <w:rPr>
                <w:noProof/>
                <w:webHidden/>
              </w:rPr>
              <w:fldChar w:fldCharType="separate"/>
            </w:r>
            <w:r>
              <w:rPr>
                <w:noProof/>
                <w:webHidden/>
              </w:rPr>
              <w:t>7</w:t>
            </w:r>
            <w:r>
              <w:rPr>
                <w:noProof/>
                <w:webHidden/>
              </w:rPr>
              <w:fldChar w:fldCharType="end"/>
            </w:r>
          </w:hyperlink>
        </w:p>
        <w:p w14:paraId="6547BC4D" w14:textId="066710B6"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5" w:history="1">
            <w:r w:rsidRPr="00937D90">
              <w:rPr>
                <w:rStyle w:val="Hyperlink"/>
                <w:noProof/>
              </w:rPr>
              <w:t>3. Proposed Design: An Integrated Approach for AeroLink Logistics:</w:t>
            </w:r>
            <w:r>
              <w:rPr>
                <w:noProof/>
                <w:webHidden/>
              </w:rPr>
              <w:tab/>
            </w:r>
            <w:r>
              <w:rPr>
                <w:noProof/>
                <w:webHidden/>
              </w:rPr>
              <w:fldChar w:fldCharType="begin"/>
            </w:r>
            <w:r>
              <w:rPr>
                <w:noProof/>
                <w:webHidden/>
              </w:rPr>
              <w:instrText xml:space="preserve"> PAGEREF _Toc236176815 \h </w:instrText>
            </w:r>
            <w:r>
              <w:rPr>
                <w:noProof/>
                <w:webHidden/>
              </w:rPr>
            </w:r>
            <w:r>
              <w:rPr>
                <w:noProof/>
                <w:webHidden/>
              </w:rPr>
              <w:fldChar w:fldCharType="separate"/>
            </w:r>
            <w:r>
              <w:rPr>
                <w:noProof/>
                <w:webHidden/>
              </w:rPr>
              <w:t>8</w:t>
            </w:r>
            <w:r>
              <w:rPr>
                <w:noProof/>
                <w:webHidden/>
              </w:rPr>
              <w:fldChar w:fldCharType="end"/>
            </w:r>
          </w:hyperlink>
        </w:p>
        <w:p w14:paraId="0C0FCF36" w14:textId="735AF4E8"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6" w:history="1">
            <w:r w:rsidRPr="00937D90">
              <w:rPr>
                <w:rStyle w:val="Hyperlink"/>
                <w:noProof/>
              </w:rPr>
              <w:t>3.1 Governance and Strategic Planning for Security:</w:t>
            </w:r>
            <w:r>
              <w:rPr>
                <w:noProof/>
                <w:webHidden/>
              </w:rPr>
              <w:tab/>
            </w:r>
            <w:r>
              <w:rPr>
                <w:noProof/>
                <w:webHidden/>
              </w:rPr>
              <w:fldChar w:fldCharType="begin"/>
            </w:r>
            <w:r>
              <w:rPr>
                <w:noProof/>
                <w:webHidden/>
              </w:rPr>
              <w:instrText xml:space="preserve"> PAGEREF _Toc236176816 \h </w:instrText>
            </w:r>
            <w:r>
              <w:rPr>
                <w:noProof/>
                <w:webHidden/>
              </w:rPr>
            </w:r>
            <w:r>
              <w:rPr>
                <w:noProof/>
                <w:webHidden/>
              </w:rPr>
              <w:fldChar w:fldCharType="separate"/>
            </w:r>
            <w:r>
              <w:rPr>
                <w:noProof/>
                <w:webHidden/>
              </w:rPr>
              <w:t>8</w:t>
            </w:r>
            <w:r>
              <w:rPr>
                <w:noProof/>
                <w:webHidden/>
              </w:rPr>
              <w:fldChar w:fldCharType="end"/>
            </w:r>
          </w:hyperlink>
        </w:p>
        <w:p w14:paraId="558CFA0C" w14:textId="57C0278D"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7" w:history="1">
            <w:r w:rsidRPr="00937D90">
              <w:rPr>
                <w:rStyle w:val="Hyperlink"/>
                <w:noProof/>
              </w:rPr>
              <w:t>3.2 Compliance (Laws and Ethics):</w:t>
            </w:r>
            <w:r>
              <w:rPr>
                <w:noProof/>
                <w:webHidden/>
              </w:rPr>
              <w:tab/>
            </w:r>
            <w:r>
              <w:rPr>
                <w:noProof/>
                <w:webHidden/>
              </w:rPr>
              <w:fldChar w:fldCharType="begin"/>
            </w:r>
            <w:r>
              <w:rPr>
                <w:noProof/>
                <w:webHidden/>
              </w:rPr>
              <w:instrText xml:space="preserve"> PAGEREF _Toc236176817 \h </w:instrText>
            </w:r>
            <w:r>
              <w:rPr>
                <w:noProof/>
                <w:webHidden/>
              </w:rPr>
            </w:r>
            <w:r>
              <w:rPr>
                <w:noProof/>
                <w:webHidden/>
              </w:rPr>
              <w:fldChar w:fldCharType="separate"/>
            </w:r>
            <w:r>
              <w:rPr>
                <w:noProof/>
                <w:webHidden/>
              </w:rPr>
              <w:t>9</w:t>
            </w:r>
            <w:r>
              <w:rPr>
                <w:noProof/>
                <w:webHidden/>
              </w:rPr>
              <w:fldChar w:fldCharType="end"/>
            </w:r>
          </w:hyperlink>
        </w:p>
        <w:p w14:paraId="1C617760" w14:textId="5E361B44"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8" w:history="1">
            <w:r w:rsidRPr="00937D90">
              <w:rPr>
                <w:rStyle w:val="Hyperlink"/>
                <w:noProof/>
              </w:rPr>
              <w:t>3.3 Security Policies and Procedures:</w:t>
            </w:r>
            <w:r>
              <w:rPr>
                <w:noProof/>
                <w:webHidden/>
              </w:rPr>
              <w:tab/>
            </w:r>
            <w:r>
              <w:rPr>
                <w:noProof/>
                <w:webHidden/>
              </w:rPr>
              <w:fldChar w:fldCharType="begin"/>
            </w:r>
            <w:r>
              <w:rPr>
                <w:noProof/>
                <w:webHidden/>
              </w:rPr>
              <w:instrText xml:space="preserve"> PAGEREF _Toc236176818 \h </w:instrText>
            </w:r>
            <w:r>
              <w:rPr>
                <w:noProof/>
                <w:webHidden/>
              </w:rPr>
            </w:r>
            <w:r>
              <w:rPr>
                <w:noProof/>
                <w:webHidden/>
              </w:rPr>
              <w:fldChar w:fldCharType="separate"/>
            </w:r>
            <w:r>
              <w:rPr>
                <w:noProof/>
                <w:webHidden/>
              </w:rPr>
              <w:t>9</w:t>
            </w:r>
            <w:r>
              <w:rPr>
                <w:noProof/>
                <w:webHidden/>
              </w:rPr>
              <w:fldChar w:fldCharType="end"/>
            </w:r>
          </w:hyperlink>
        </w:p>
        <w:p w14:paraId="622D6F9F" w14:textId="704950EE"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19" w:history="1">
            <w:r w:rsidRPr="00937D90">
              <w:rPr>
                <w:rStyle w:val="Hyperlink"/>
                <w:noProof/>
              </w:rPr>
              <w:t>3.4 Risk Management and Assessment:</w:t>
            </w:r>
            <w:r>
              <w:rPr>
                <w:noProof/>
                <w:webHidden/>
              </w:rPr>
              <w:tab/>
            </w:r>
            <w:r>
              <w:rPr>
                <w:noProof/>
                <w:webHidden/>
              </w:rPr>
              <w:fldChar w:fldCharType="begin"/>
            </w:r>
            <w:r>
              <w:rPr>
                <w:noProof/>
                <w:webHidden/>
              </w:rPr>
              <w:instrText xml:space="preserve"> PAGEREF _Toc236176819 \h </w:instrText>
            </w:r>
            <w:r>
              <w:rPr>
                <w:noProof/>
                <w:webHidden/>
              </w:rPr>
            </w:r>
            <w:r>
              <w:rPr>
                <w:noProof/>
                <w:webHidden/>
              </w:rPr>
              <w:fldChar w:fldCharType="separate"/>
            </w:r>
            <w:r>
              <w:rPr>
                <w:noProof/>
                <w:webHidden/>
              </w:rPr>
              <w:t>9</w:t>
            </w:r>
            <w:r>
              <w:rPr>
                <w:noProof/>
                <w:webHidden/>
              </w:rPr>
              <w:fldChar w:fldCharType="end"/>
            </w:r>
          </w:hyperlink>
        </w:p>
        <w:p w14:paraId="04200720" w14:textId="2F8493F0"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0" w:history="1">
            <w:r w:rsidRPr="00937D90">
              <w:rPr>
                <w:rStyle w:val="Hyperlink"/>
                <w:noProof/>
              </w:rPr>
              <w:t>3.5 Security Management Models and Practices:</w:t>
            </w:r>
            <w:r>
              <w:rPr>
                <w:noProof/>
                <w:webHidden/>
              </w:rPr>
              <w:tab/>
            </w:r>
            <w:r>
              <w:rPr>
                <w:noProof/>
                <w:webHidden/>
              </w:rPr>
              <w:fldChar w:fldCharType="begin"/>
            </w:r>
            <w:r>
              <w:rPr>
                <w:noProof/>
                <w:webHidden/>
              </w:rPr>
              <w:instrText xml:space="preserve"> PAGEREF _Toc236176820 \h </w:instrText>
            </w:r>
            <w:r>
              <w:rPr>
                <w:noProof/>
                <w:webHidden/>
              </w:rPr>
            </w:r>
            <w:r>
              <w:rPr>
                <w:noProof/>
                <w:webHidden/>
              </w:rPr>
              <w:fldChar w:fldCharType="separate"/>
            </w:r>
            <w:r>
              <w:rPr>
                <w:noProof/>
                <w:webHidden/>
              </w:rPr>
              <w:t>9</w:t>
            </w:r>
            <w:r>
              <w:rPr>
                <w:noProof/>
                <w:webHidden/>
              </w:rPr>
              <w:fldChar w:fldCharType="end"/>
            </w:r>
          </w:hyperlink>
        </w:p>
        <w:p w14:paraId="5BBDFA5D" w14:textId="12F349D2"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1" w:history="1">
            <w:r w:rsidRPr="00937D90">
              <w:rPr>
                <w:rStyle w:val="Hyperlink"/>
                <w:noProof/>
              </w:rPr>
              <w:t>3.6 Contingency and Business Continuity Planning:</w:t>
            </w:r>
            <w:r>
              <w:rPr>
                <w:noProof/>
                <w:webHidden/>
              </w:rPr>
              <w:tab/>
            </w:r>
            <w:r>
              <w:rPr>
                <w:noProof/>
                <w:webHidden/>
              </w:rPr>
              <w:fldChar w:fldCharType="begin"/>
            </w:r>
            <w:r>
              <w:rPr>
                <w:noProof/>
                <w:webHidden/>
              </w:rPr>
              <w:instrText xml:space="preserve"> PAGEREF _Toc236176821 \h </w:instrText>
            </w:r>
            <w:r>
              <w:rPr>
                <w:noProof/>
                <w:webHidden/>
              </w:rPr>
            </w:r>
            <w:r>
              <w:rPr>
                <w:noProof/>
                <w:webHidden/>
              </w:rPr>
              <w:fldChar w:fldCharType="separate"/>
            </w:r>
            <w:r>
              <w:rPr>
                <w:noProof/>
                <w:webHidden/>
              </w:rPr>
              <w:t>10</w:t>
            </w:r>
            <w:r>
              <w:rPr>
                <w:noProof/>
                <w:webHidden/>
              </w:rPr>
              <w:fldChar w:fldCharType="end"/>
            </w:r>
          </w:hyperlink>
        </w:p>
        <w:p w14:paraId="223AB447" w14:textId="7CA3CAD4"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2" w:history="1">
            <w:r w:rsidRPr="00937D90">
              <w:rPr>
                <w:rStyle w:val="Hyperlink"/>
                <w:noProof/>
              </w:rPr>
              <w:t>3.7 Protection Mechanisms and Access Controls:</w:t>
            </w:r>
            <w:r>
              <w:rPr>
                <w:noProof/>
                <w:webHidden/>
              </w:rPr>
              <w:tab/>
            </w:r>
            <w:r>
              <w:rPr>
                <w:noProof/>
                <w:webHidden/>
              </w:rPr>
              <w:fldChar w:fldCharType="begin"/>
            </w:r>
            <w:r>
              <w:rPr>
                <w:noProof/>
                <w:webHidden/>
              </w:rPr>
              <w:instrText xml:space="preserve"> PAGEREF _Toc236176822 \h </w:instrText>
            </w:r>
            <w:r>
              <w:rPr>
                <w:noProof/>
                <w:webHidden/>
              </w:rPr>
            </w:r>
            <w:r>
              <w:rPr>
                <w:noProof/>
                <w:webHidden/>
              </w:rPr>
              <w:fldChar w:fldCharType="separate"/>
            </w:r>
            <w:r>
              <w:rPr>
                <w:noProof/>
                <w:webHidden/>
              </w:rPr>
              <w:t>10</w:t>
            </w:r>
            <w:r>
              <w:rPr>
                <w:noProof/>
                <w:webHidden/>
              </w:rPr>
              <w:fldChar w:fldCharType="end"/>
            </w:r>
          </w:hyperlink>
        </w:p>
        <w:p w14:paraId="4122D040" w14:textId="1FD0AFD1" w:rsidR="008264BC" w:rsidRDefault="008264BC">
          <w:pPr>
            <w:pStyle w:val="TOC2"/>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3" w:history="1">
            <w:r w:rsidRPr="00937D90">
              <w:rPr>
                <w:rStyle w:val="Hyperlink"/>
                <w:noProof/>
              </w:rPr>
              <w:t>3.8 Vendor and Service Level Agreement (SLA) Management:</w:t>
            </w:r>
            <w:r>
              <w:rPr>
                <w:noProof/>
                <w:webHidden/>
              </w:rPr>
              <w:tab/>
            </w:r>
            <w:r>
              <w:rPr>
                <w:noProof/>
                <w:webHidden/>
              </w:rPr>
              <w:fldChar w:fldCharType="begin"/>
            </w:r>
            <w:r>
              <w:rPr>
                <w:noProof/>
                <w:webHidden/>
              </w:rPr>
              <w:instrText xml:space="preserve"> PAGEREF _Toc236176823 \h </w:instrText>
            </w:r>
            <w:r>
              <w:rPr>
                <w:noProof/>
                <w:webHidden/>
              </w:rPr>
            </w:r>
            <w:r>
              <w:rPr>
                <w:noProof/>
                <w:webHidden/>
              </w:rPr>
              <w:fldChar w:fldCharType="separate"/>
            </w:r>
            <w:r>
              <w:rPr>
                <w:noProof/>
                <w:webHidden/>
              </w:rPr>
              <w:t>10</w:t>
            </w:r>
            <w:r>
              <w:rPr>
                <w:noProof/>
                <w:webHidden/>
              </w:rPr>
              <w:fldChar w:fldCharType="end"/>
            </w:r>
          </w:hyperlink>
        </w:p>
        <w:p w14:paraId="6F9BF386" w14:textId="23EC6AAA"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4" w:history="1">
            <w:r w:rsidRPr="00937D90">
              <w:rPr>
                <w:rStyle w:val="Hyperlink"/>
                <w:noProof/>
              </w:rPr>
              <w:t>4. Critical Discussion: Why Continuous Updates to Regulations and Standards Matter:</w:t>
            </w:r>
            <w:r>
              <w:rPr>
                <w:noProof/>
                <w:webHidden/>
              </w:rPr>
              <w:tab/>
            </w:r>
            <w:r>
              <w:rPr>
                <w:noProof/>
                <w:webHidden/>
              </w:rPr>
              <w:fldChar w:fldCharType="begin"/>
            </w:r>
            <w:r>
              <w:rPr>
                <w:noProof/>
                <w:webHidden/>
              </w:rPr>
              <w:instrText xml:space="preserve"> PAGEREF _Toc236176824 \h </w:instrText>
            </w:r>
            <w:r>
              <w:rPr>
                <w:noProof/>
                <w:webHidden/>
              </w:rPr>
            </w:r>
            <w:r>
              <w:rPr>
                <w:noProof/>
                <w:webHidden/>
              </w:rPr>
              <w:fldChar w:fldCharType="separate"/>
            </w:r>
            <w:r>
              <w:rPr>
                <w:noProof/>
                <w:webHidden/>
              </w:rPr>
              <w:t>12</w:t>
            </w:r>
            <w:r>
              <w:rPr>
                <w:noProof/>
                <w:webHidden/>
              </w:rPr>
              <w:fldChar w:fldCharType="end"/>
            </w:r>
          </w:hyperlink>
        </w:p>
        <w:p w14:paraId="4CDA586F" w14:textId="79F32667"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5" w:history="1">
            <w:r w:rsidRPr="00937D90">
              <w:rPr>
                <w:rStyle w:val="Hyperlink"/>
                <w:noProof/>
              </w:rPr>
              <w:t>5. Assumptions:</w:t>
            </w:r>
            <w:r>
              <w:rPr>
                <w:noProof/>
                <w:webHidden/>
              </w:rPr>
              <w:tab/>
            </w:r>
            <w:r>
              <w:rPr>
                <w:noProof/>
                <w:webHidden/>
              </w:rPr>
              <w:fldChar w:fldCharType="begin"/>
            </w:r>
            <w:r>
              <w:rPr>
                <w:noProof/>
                <w:webHidden/>
              </w:rPr>
              <w:instrText xml:space="preserve"> PAGEREF _Toc236176825 \h </w:instrText>
            </w:r>
            <w:r>
              <w:rPr>
                <w:noProof/>
                <w:webHidden/>
              </w:rPr>
            </w:r>
            <w:r>
              <w:rPr>
                <w:noProof/>
                <w:webHidden/>
              </w:rPr>
              <w:fldChar w:fldCharType="separate"/>
            </w:r>
            <w:r>
              <w:rPr>
                <w:noProof/>
                <w:webHidden/>
              </w:rPr>
              <w:t>13</w:t>
            </w:r>
            <w:r>
              <w:rPr>
                <w:noProof/>
                <w:webHidden/>
              </w:rPr>
              <w:fldChar w:fldCharType="end"/>
            </w:r>
          </w:hyperlink>
        </w:p>
        <w:p w14:paraId="6F7F84CB" w14:textId="480F83EC"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6" w:history="1">
            <w:r w:rsidRPr="00937D90">
              <w:rPr>
                <w:rStyle w:val="Hyperlink"/>
                <w:noProof/>
              </w:rPr>
              <w:t>6. Conclusion:</w:t>
            </w:r>
            <w:r>
              <w:rPr>
                <w:noProof/>
                <w:webHidden/>
              </w:rPr>
              <w:tab/>
            </w:r>
            <w:r>
              <w:rPr>
                <w:noProof/>
                <w:webHidden/>
              </w:rPr>
              <w:fldChar w:fldCharType="begin"/>
            </w:r>
            <w:r>
              <w:rPr>
                <w:noProof/>
                <w:webHidden/>
              </w:rPr>
              <w:instrText xml:space="preserve"> PAGEREF _Toc236176826 \h </w:instrText>
            </w:r>
            <w:r>
              <w:rPr>
                <w:noProof/>
                <w:webHidden/>
              </w:rPr>
            </w:r>
            <w:r>
              <w:rPr>
                <w:noProof/>
                <w:webHidden/>
              </w:rPr>
              <w:fldChar w:fldCharType="separate"/>
            </w:r>
            <w:r>
              <w:rPr>
                <w:noProof/>
                <w:webHidden/>
              </w:rPr>
              <w:t>14</w:t>
            </w:r>
            <w:r>
              <w:rPr>
                <w:noProof/>
                <w:webHidden/>
              </w:rPr>
              <w:fldChar w:fldCharType="end"/>
            </w:r>
          </w:hyperlink>
        </w:p>
        <w:p w14:paraId="0A166439" w14:textId="6925D7AA" w:rsidR="008264BC" w:rsidRDefault="008264BC">
          <w:pPr>
            <w:pStyle w:val="TOC1"/>
            <w:tabs>
              <w:tab w:val="right" w:leader="dot" w:pos="9736"/>
            </w:tabs>
            <w:rPr>
              <w:rFonts w:asciiTheme="minorHAnsi" w:eastAsiaTheme="minorEastAsia" w:hAnsiTheme="minorHAnsi" w:cstheme="minorBidi"/>
              <w:noProof/>
              <w:kern w:val="2"/>
              <w:sz w:val="24"/>
              <w:szCs w:val="24"/>
              <w:lang w:val="en-IN"/>
              <w14:ligatures w14:val="standardContextual"/>
            </w:rPr>
          </w:pPr>
          <w:hyperlink w:anchor="_Toc236176827" w:history="1">
            <w:r w:rsidRPr="00937D90">
              <w:rPr>
                <w:rStyle w:val="Hyperlink"/>
                <w:noProof/>
              </w:rPr>
              <w:t>7.References:</w:t>
            </w:r>
            <w:r>
              <w:rPr>
                <w:noProof/>
                <w:webHidden/>
              </w:rPr>
              <w:tab/>
            </w:r>
            <w:r>
              <w:rPr>
                <w:noProof/>
                <w:webHidden/>
              </w:rPr>
              <w:fldChar w:fldCharType="begin"/>
            </w:r>
            <w:r>
              <w:rPr>
                <w:noProof/>
                <w:webHidden/>
              </w:rPr>
              <w:instrText xml:space="preserve"> PAGEREF _Toc236176827 \h </w:instrText>
            </w:r>
            <w:r>
              <w:rPr>
                <w:noProof/>
                <w:webHidden/>
              </w:rPr>
            </w:r>
            <w:r>
              <w:rPr>
                <w:noProof/>
                <w:webHidden/>
              </w:rPr>
              <w:fldChar w:fldCharType="separate"/>
            </w:r>
            <w:r>
              <w:rPr>
                <w:noProof/>
                <w:webHidden/>
              </w:rPr>
              <w:t>15</w:t>
            </w:r>
            <w:r>
              <w:rPr>
                <w:noProof/>
                <w:webHidden/>
              </w:rPr>
              <w:fldChar w:fldCharType="end"/>
            </w:r>
          </w:hyperlink>
        </w:p>
        <w:p w14:paraId="00ACA26E" w14:textId="180F9795" w:rsidR="008264BC" w:rsidRDefault="008264BC">
          <w:r>
            <w:rPr>
              <w:b/>
              <w:bCs/>
              <w:noProof/>
            </w:rPr>
            <w:fldChar w:fldCharType="end"/>
          </w:r>
        </w:p>
      </w:sdtContent>
    </w:sdt>
    <w:p w14:paraId="6C6BC540" w14:textId="77777777" w:rsidR="008264BC" w:rsidRDefault="008264BC" w:rsidP="00B15736">
      <w:pPr>
        <w:pStyle w:val="Heading1"/>
        <w:rPr>
          <w:lang w:val="en-GB"/>
        </w:rPr>
      </w:pPr>
    </w:p>
    <w:p w14:paraId="16EE514F" w14:textId="77777777" w:rsidR="008264BC" w:rsidRDefault="008264BC" w:rsidP="00B15736">
      <w:pPr>
        <w:pStyle w:val="Heading1"/>
        <w:rPr>
          <w:lang w:val="en-GB"/>
        </w:rPr>
      </w:pPr>
    </w:p>
    <w:p w14:paraId="7D412A08" w14:textId="77777777" w:rsidR="008264BC" w:rsidRDefault="008264BC" w:rsidP="00B15736">
      <w:pPr>
        <w:pStyle w:val="Heading1"/>
        <w:rPr>
          <w:lang w:val="en-GB"/>
        </w:rPr>
      </w:pPr>
    </w:p>
    <w:p w14:paraId="519C0B83" w14:textId="77777777" w:rsidR="008264BC" w:rsidRDefault="008264BC" w:rsidP="00B15736">
      <w:pPr>
        <w:pStyle w:val="Heading1"/>
        <w:rPr>
          <w:lang w:val="en-GB"/>
        </w:rPr>
      </w:pPr>
    </w:p>
    <w:p w14:paraId="456DB885" w14:textId="77777777" w:rsidR="008264BC" w:rsidRDefault="008264BC" w:rsidP="00B15736">
      <w:pPr>
        <w:pStyle w:val="Heading1"/>
        <w:rPr>
          <w:lang w:val="en-GB"/>
        </w:rPr>
      </w:pPr>
    </w:p>
    <w:p w14:paraId="201ECAE7" w14:textId="77777777" w:rsidR="008264BC" w:rsidRDefault="008264BC" w:rsidP="00B15736">
      <w:pPr>
        <w:pStyle w:val="Heading1"/>
        <w:rPr>
          <w:lang w:val="en-GB"/>
        </w:rPr>
      </w:pPr>
    </w:p>
    <w:p w14:paraId="2DFC74B2" w14:textId="77777777" w:rsidR="008264BC" w:rsidRDefault="008264BC" w:rsidP="00B15736">
      <w:pPr>
        <w:pStyle w:val="Heading1"/>
        <w:rPr>
          <w:lang w:val="en-GB"/>
        </w:rPr>
      </w:pPr>
    </w:p>
    <w:p w14:paraId="5E7A5133" w14:textId="77777777" w:rsidR="008264BC" w:rsidRDefault="008264BC" w:rsidP="00B15736">
      <w:pPr>
        <w:pStyle w:val="Heading1"/>
        <w:rPr>
          <w:lang w:val="en-GB"/>
        </w:rPr>
      </w:pPr>
    </w:p>
    <w:p w14:paraId="68285A88" w14:textId="77777777" w:rsidR="008264BC" w:rsidRDefault="008264BC" w:rsidP="00B15736">
      <w:pPr>
        <w:pStyle w:val="Heading1"/>
        <w:rPr>
          <w:lang w:val="en-GB"/>
        </w:rPr>
      </w:pPr>
    </w:p>
    <w:p w14:paraId="218C07B3" w14:textId="77777777" w:rsidR="008264BC" w:rsidRDefault="008264BC" w:rsidP="00B15736">
      <w:pPr>
        <w:pStyle w:val="Heading1"/>
        <w:rPr>
          <w:lang w:val="en-GB"/>
        </w:rPr>
      </w:pPr>
    </w:p>
    <w:p w14:paraId="4CBD9703" w14:textId="77777777" w:rsidR="008264BC" w:rsidRDefault="008264BC" w:rsidP="00B15736">
      <w:pPr>
        <w:pStyle w:val="Heading1"/>
        <w:rPr>
          <w:lang w:val="en-GB"/>
        </w:rPr>
      </w:pPr>
    </w:p>
    <w:p w14:paraId="48FFFA04" w14:textId="77777777" w:rsidR="008264BC" w:rsidRDefault="008264BC" w:rsidP="00B15736">
      <w:pPr>
        <w:pStyle w:val="Heading1"/>
        <w:rPr>
          <w:lang w:val="en-GB"/>
        </w:rPr>
      </w:pPr>
    </w:p>
    <w:p w14:paraId="3EB735A5" w14:textId="77777777" w:rsidR="008264BC" w:rsidRDefault="008264BC" w:rsidP="00B15736">
      <w:pPr>
        <w:pStyle w:val="Heading1"/>
        <w:rPr>
          <w:lang w:val="en-GB"/>
        </w:rPr>
      </w:pPr>
    </w:p>
    <w:p w14:paraId="16D08C01" w14:textId="77777777" w:rsidR="008264BC" w:rsidRDefault="008264BC" w:rsidP="00B15736">
      <w:pPr>
        <w:pStyle w:val="Heading1"/>
        <w:rPr>
          <w:lang w:val="en-GB"/>
        </w:rPr>
      </w:pPr>
    </w:p>
    <w:p w14:paraId="2C784728" w14:textId="77777777" w:rsidR="008264BC" w:rsidRDefault="008264BC" w:rsidP="00B15736">
      <w:pPr>
        <w:pStyle w:val="Heading1"/>
        <w:rPr>
          <w:lang w:val="en-GB"/>
        </w:rPr>
      </w:pPr>
    </w:p>
    <w:p w14:paraId="6CC18679" w14:textId="77777777" w:rsidR="008264BC" w:rsidRDefault="008264BC" w:rsidP="00B15736">
      <w:pPr>
        <w:pStyle w:val="Heading1"/>
        <w:rPr>
          <w:lang w:val="en-GB"/>
        </w:rPr>
      </w:pPr>
    </w:p>
    <w:p w14:paraId="52AA8281" w14:textId="77777777" w:rsidR="008264BC" w:rsidRDefault="008264BC" w:rsidP="00B15736">
      <w:pPr>
        <w:pStyle w:val="Heading1"/>
        <w:rPr>
          <w:lang w:val="en-GB"/>
        </w:rPr>
      </w:pPr>
    </w:p>
    <w:p w14:paraId="02FCC4C9" w14:textId="77777777" w:rsidR="008264BC" w:rsidRDefault="008264BC" w:rsidP="00B15736">
      <w:pPr>
        <w:pStyle w:val="Heading1"/>
        <w:rPr>
          <w:lang w:val="en-GB"/>
        </w:rPr>
      </w:pPr>
    </w:p>
    <w:p w14:paraId="0454DB37" w14:textId="77777777" w:rsidR="008264BC" w:rsidRDefault="008264BC" w:rsidP="00B15736">
      <w:pPr>
        <w:pStyle w:val="Heading1"/>
        <w:rPr>
          <w:lang w:val="en-GB"/>
        </w:rPr>
      </w:pPr>
    </w:p>
    <w:p w14:paraId="7D170DF6" w14:textId="77777777" w:rsidR="008264BC" w:rsidRDefault="008264BC" w:rsidP="00B15736">
      <w:pPr>
        <w:pStyle w:val="Heading1"/>
        <w:rPr>
          <w:lang w:val="en-GB"/>
        </w:rPr>
      </w:pPr>
    </w:p>
    <w:p w14:paraId="0CD44432" w14:textId="466A74FE" w:rsidR="0085033A" w:rsidRPr="000C7EAF" w:rsidRDefault="00000000" w:rsidP="00B15736">
      <w:pPr>
        <w:pStyle w:val="Heading1"/>
        <w:rPr>
          <w:lang w:val="en-GB"/>
        </w:rPr>
      </w:pPr>
      <w:bookmarkStart w:id="0" w:name="_Toc236176808"/>
      <w:r w:rsidRPr="000C7EAF">
        <w:rPr>
          <w:lang w:val="en-GB"/>
        </w:rPr>
        <w:lastRenderedPageBreak/>
        <w:t>Executive Summary</w:t>
      </w:r>
      <w:r w:rsidR="00B15736" w:rsidRPr="000C7EAF">
        <w:rPr>
          <w:lang w:val="en-GB"/>
        </w:rPr>
        <w:t>:</w:t>
      </w:r>
      <w:bookmarkEnd w:id="0"/>
    </w:p>
    <w:p w14:paraId="497F9AA9" w14:textId="77777777" w:rsidR="00B15736" w:rsidRPr="000C7EAF" w:rsidRDefault="00B15736" w:rsidP="00B15736">
      <w:pPr>
        <w:pStyle w:val="Heading1"/>
        <w:rPr>
          <w:lang w:val="en-GB"/>
        </w:rPr>
      </w:pPr>
    </w:p>
    <w:p w14:paraId="6C9E15FA" w14:textId="77777777" w:rsidR="00907C55" w:rsidRPr="000C7EAF" w:rsidRDefault="00907C55" w:rsidP="00907C55">
      <w:pPr>
        <w:spacing w:after="200" w:line="300" w:lineRule="auto"/>
        <w:jc w:val="both"/>
        <w:rPr>
          <w:rFonts w:asciiTheme="minorHAnsi" w:hAnsiTheme="minorHAnsi"/>
          <w:sz w:val="24"/>
          <w:szCs w:val="24"/>
        </w:rPr>
      </w:pPr>
      <w:proofErr w:type="spellStart"/>
      <w:r w:rsidRPr="000C7EAF">
        <w:rPr>
          <w:rFonts w:asciiTheme="minorHAnsi" w:hAnsiTheme="minorHAnsi"/>
          <w:sz w:val="24"/>
          <w:szCs w:val="24"/>
        </w:rPr>
        <w:t>AeroLink</w:t>
      </w:r>
      <w:proofErr w:type="spellEnd"/>
      <w:r w:rsidRPr="000C7EAF">
        <w:rPr>
          <w:rFonts w:asciiTheme="minorHAnsi" w:hAnsiTheme="minorHAnsi"/>
          <w:sz w:val="24"/>
          <w:szCs w:val="24"/>
        </w:rPr>
        <w:t xml:space="preserve"> Logistics (ALL) is a global supply chain provider whose attack surface has grown more quickly than its governance structures have developed due to its reliance on outsourced Infrastructure-as-a-Service (IaaS) and Software-as-a-Service (SaaS), Internet of Things (IoT) tracking sensors, and artificial intelligence (AI) analytics. ALL lacks a centralised risk procedure, a single security framework, and formal compliance auditing against standards like ISO/IEC 27001 and the GDPR, according to recent breaches affecting shipping data and personally identifiable information (PII).</w:t>
      </w:r>
    </w:p>
    <w:p w14:paraId="3CD68C29" w14:textId="77777777" w:rsidR="000C7EAF" w:rsidRPr="000C7EAF" w:rsidRDefault="000C7EAF" w:rsidP="000C7EAF">
      <w:pPr>
        <w:spacing w:after="200" w:line="300" w:lineRule="auto"/>
        <w:jc w:val="both"/>
        <w:rPr>
          <w:rFonts w:asciiTheme="minorHAnsi" w:hAnsiTheme="minorHAnsi"/>
          <w:sz w:val="24"/>
          <w:szCs w:val="24"/>
        </w:rPr>
      </w:pPr>
      <w:r w:rsidRPr="000C7EAF">
        <w:rPr>
          <w:rFonts w:asciiTheme="minorHAnsi" w:hAnsiTheme="minorHAnsi"/>
          <w:sz w:val="24"/>
          <w:szCs w:val="24"/>
        </w:rPr>
        <w:t>This study examines four well-known frameworks—ITIL 4, NIST CSF 2.0, COBIT 2019, and the ISO/IEC 27000 series—and combines them into a unified, multi-layered governance model specifically designed for ALL. All secondary evidence is cited in IEEE numbered style and comes from publications that were published in 2023 or later. Before closely examining the significance of ongoing regulatory and standards updates in a threat landscape created by cloud, IoT, and AI, the design covers governance, compliance, policy, risk management, protection mechanisms, business continuity, and vendor/SLA oversight. In Section 5, assumptions are made clear.</w:t>
      </w:r>
    </w:p>
    <w:p w14:paraId="55649FC6" w14:textId="77777777" w:rsidR="00A76C5B" w:rsidRPr="000C7EAF" w:rsidRDefault="00A76C5B" w:rsidP="00B15736">
      <w:pPr>
        <w:pStyle w:val="Heading1"/>
        <w:rPr>
          <w:lang w:val="en-GB"/>
        </w:rPr>
      </w:pPr>
    </w:p>
    <w:p w14:paraId="4184AACE" w14:textId="77777777" w:rsidR="00A76C5B" w:rsidRPr="000C7EAF" w:rsidRDefault="00A76C5B" w:rsidP="00B15736">
      <w:pPr>
        <w:pStyle w:val="Heading1"/>
        <w:rPr>
          <w:lang w:val="en-GB"/>
        </w:rPr>
      </w:pPr>
    </w:p>
    <w:p w14:paraId="301B0F7C" w14:textId="77777777" w:rsidR="00A76C5B" w:rsidRPr="000C7EAF" w:rsidRDefault="00A76C5B" w:rsidP="00B15736">
      <w:pPr>
        <w:pStyle w:val="Heading1"/>
        <w:rPr>
          <w:lang w:val="en-GB"/>
        </w:rPr>
      </w:pPr>
    </w:p>
    <w:p w14:paraId="10FD4A9B" w14:textId="77777777" w:rsidR="00A76C5B" w:rsidRPr="000C7EAF" w:rsidRDefault="00A76C5B" w:rsidP="00B15736">
      <w:pPr>
        <w:pStyle w:val="Heading1"/>
        <w:rPr>
          <w:lang w:val="en-GB"/>
        </w:rPr>
      </w:pPr>
    </w:p>
    <w:p w14:paraId="5851AA6A" w14:textId="77777777" w:rsidR="00A76C5B" w:rsidRPr="000C7EAF" w:rsidRDefault="00A76C5B" w:rsidP="00B15736">
      <w:pPr>
        <w:pStyle w:val="Heading1"/>
        <w:rPr>
          <w:lang w:val="en-GB"/>
        </w:rPr>
      </w:pPr>
    </w:p>
    <w:p w14:paraId="346007FC" w14:textId="77777777" w:rsidR="00A76C5B" w:rsidRPr="000C7EAF" w:rsidRDefault="00A76C5B" w:rsidP="00B15736">
      <w:pPr>
        <w:pStyle w:val="Heading1"/>
        <w:rPr>
          <w:lang w:val="en-GB"/>
        </w:rPr>
      </w:pPr>
    </w:p>
    <w:p w14:paraId="39F356F4" w14:textId="77777777" w:rsidR="00A76C5B" w:rsidRPr="000C7EAF" w:rsidRDefault="00A76C5B" w:rsidP="00B15736">
      <w:pPr>
        <w:pStyle w:val="Heading1"/>
        <w:rPr>
          <w:lang w:val="en-GB"/>
        </w:rPr>
      </w:pPr>
    </w:p>
    <w:p w14:paraId="20501FE5" w14:textId="77777777" w:rsidR="00A76C5B" w:rsidRPr="000C7EAF" w:rsidRDefault="00A76C5B" w:rsidP="00B15736">
      <w:pPr>
        <w:pStyle w:val="Heading1"/>
        <w:rPr>
          <w:lang w:val="en-GB"/>
        </w:rPr>
      </w:pPr>
    </w:p>
    <w:p w14:paraId="1FB7991A" w14:textId="77777777" w:rsidR="00A76C5B" w:rsidRPr="000C7EAF" w:rsidRDefault="00A76C5B" w:rsidP="00B15736">
      <w:pPr>
        <w:pStyle w:val="Heading1"/>
        <w:rPr>
          <w:lang w:val="en-GB"/>
        </w:rPr>
      </w:pPr>
    </w:p>
    <w:p w14:paraId="02D7B1E8" w14:textId="77777777" w:rsidR="00A76C5B" w:rsidRPr="000C7EAF" w:rsidRDefault="00A76C5B" w:rsidP="00B15736">
      <w:pPr>
        <w:pStyle w:val="Heading1"/>
        <w:rPr>
          <w:lang w:val="en-GB"/>
        </w:rPr>
      </w:pPr>
    </w:p>
    <w:p w14:paraId="10CE047F" w14:textId="77777777" w:rsidR="00A76C5B" w:rsidRPr="000C7EAF" w:rsidRDefault="00A76C5B" w:rsidP="00B15736">
      <w:pPr>
        <w:pStyle w:val="Heading1"/>
        <w:rPr>
          <w:lang w:val="en-GB"/>
        </w:rPr>
      </w:pPr>
    </w:p>
    <w:p w14:paraId="73A0BA81" w14:textId="77777777" w:rsidR="00A76C5B" w:rsidRPr="000C7EAF" w:rsidRDefault="00A76C5B" w:rsidP="00B15736">
      <w:pPr>
        <w:pStyle w:val="Heading1"/>
        <w:rPr>
          <w:lang w:val="en-GB"/>
        </w:rPr>
      </w:pPr>
    </w:p>
    <w:p w14:paraId="79387CC8" w14:textId="77777777" w:rsidR="00A76C5B" w:rsidRPr="000C7EAF" w:rsidRDefault="00A76C5B" w:rsidP="00B15736">
      <w:pPr>
        <w:pStyle w:val="Heading1"/>
        <w:rPr>
          <w:lang w:val="en-GB"/>
        </w:rPr>
      </w:pPr>
    </w:p>
    <w:p w14:paraId="3E48CBA3" w14:textId="77777777" w:rsidR="00A76C5B" w:rsidRPr="000C7EAF" w:rsidRDefault="00A76C5B" w:rsidP="00B15736">
      <w:pPr>
        <w:pStyle w:val="Heading1"/>
        <w:rPr>
          <w:lang w:val="en-GB"/>
        </w:rPr>
      </w:pPr>
    </w:p>
    <w:p w14:paraId="18D9C7E4" w14:textId="77777777" w:rsidR="00A76C5B" w:rsidRPr="000C7EAF" w:rsidRDefault="00A76C5B" w:rsidP="00B15736">
      <w:pPr>
        <w:pStyle w:val="Heading1"/>
        <w:rPr>
          <w:lang w:val="en-GB"/>
        </w:rPr>
      </w:pPr>
    </w:p>
    <w:p w14:paraId="372EA227" w14:textId="77777777" w:rsidR="00A76C5B" w:rsidRPr="000C7EAF" w:rsidRDefault="00A76C5B" w:rsidP="00B15736">
      <w:pPr>
        <w:pStyle w:val="Heading1"/>
        <w:rPr>
          <w:lang w:val="en-GB"/>
        </w:rPr>
      </w:pPr>
    </w:p>
    <w:p w14:paraId="52E323C8" w14:textId="77777777" w:rsidR="00A76C5B" w:rsidRPr="000C7EAF" w:rsidRDefault="00A76C5B" w:rsidP="00B15736">
      <w:pPr>
        <w:pStyle w:val="Heading1"/>
        <w:rPr>
          <w:lang w:val="en-GB"/>
        </w:rPr>
      </w:pPr>
    </w:p>
    <w:p w14:paraId="391E46C1" w14:textId="77777777" w:rsidR="00A76C5B" w:rsidRPr="000C7EAF" w:rsidRDefault="00A76C5B" w:rsidP="00B15736">
      <w:pPr>
        <w:pStyle w:val="Heading1"/>
        <w:rPr>
          <w:lang w:val="en-GB"/>
        </w:rPr>
      </w:pPr>
    </w:p>
    <w:p w14:paraId="191A68CC" w14:textId="77777777" w:rsidR="00A76C5B" w:rsidRPr="000C7EAF" w:rsidRDefault="00A76C5B" w:rsidP="00B15736">
      <w:pPr>
        <w:pStyle w:val="Heading1"/>
        <w:rPr>
          <w:lang w:val="en-GB"/>
        </w:rPr>
      </w:pPr>
    </w:p>
    <w:p w14:paraId="35D3202E" w14:textId="77777777" w:rsidR="00A76C5B" w:rsidRPr="000C7EAF" w:rsidRDefault="00A76C5B" w:rsidP="00B15736">
      <w:pPr>
        <w:pStyle w:val="Heading1"/>
        <w:rPr>
          <w:lang w:val="en-GB"/>
        </w:rPr>
      </w:pPr>
    </w:p>
    <w:p w14:paraId="5CAD4985" w14:textId="77777777" w:rsidR="00A76C5B" w:rsidRPr="000C7EAF" w:rsidRDefault="00A76C5B" w:rsidP="00B15736">
      <w:pPr>
        <w:pStyle w:val="Heading1"/>
        <w:rPr>
          <w:lang w:val="en-GB"/>
        </w:rPr>
      </w:pPr>
    </w:p>
    <w:p w14:paraId="7FD22FDA" w14:textId="77777777" w:rsidR="00A76C5B" w:rsidRPr="000C7EAF" w:rsidRDefault="00A76C5B" w:rsidP="00B15736">
      <w:pPr>
        <w:pStyle w:val="Heading1"/>
        <w:rPr>
          <w:lang w:val="en-GB"/>
        </w:rPr>
      </w:pPr>
    </w:p>
    <w:p w14:paraId="1ED36A0A" w14:textId="6B5CFC54" w:rsidR="00B15736" w:rsidRPr="000C7EAF" w:rsidRDefault="00B15736" w:rsidP="00B15736">
      <w:pPr>
        <w:pStyle w:val="Heading1"/>
        <w:rPr>
          <w:lang w:val="en-GB"/>
        </w:rPr>
      </w:pPr>
      <w:bookmarkStart w:id="1" w:name="_Toc236176809"/>
      <w:r w:rsidRPr="000C7EAF">
        <w:rPr>
          <w:lang w:val="en-GB"/>
        </w:rPr>
        <w:t>1.Introduction:</w:t>
      </w:r>
      <w:bookmarkEnd w:id="1"/>
    </w:p>
    <w:p w14:paraId="5D6F5737" w14:textId="77777777" w:rsidR="00B15736" w:rsidRPr="000C7EAF" w:rsidRDefault="00B15736" w:rsidP="00B15736">
      <w:pPr>
        <w:pStyle w:val="Heading1"/>
        <w:rPr>
          <w:lang w:val="en-GB"/>
        </w:rPr>
      </w:pPr>
    </w:p>
    <w:p w14:paraId="4A053A50" w14:textId="77777777" w:rsidR="000C7EAF" w:rsidRPr="000C7EAF" w:rsidRDefault="000C7EAF" w:rsidP="000C7EAF">
      <w:pPr>
        <w:spacing w:after="200" w:line="300" w:lineRule="auto"/>
        <w:jc w:val="both"/>
        <w:rPr>
          <w:rFonts w:asciiTheme="minorHAnsi" w:hAnsiTheme="minorHAnsi"/>
          <w:sz w:val="24"/>
          <w:szCs w:val="24"/>
        </w:rPr>
      </w:pPr>
      <w:r w:rsidRPr="000C7EAF">
        <w:rPr>
          <w:rFonts w:asciiTheme="minorHAnsi" w:hAnsiTheme="minorHAnsi"/>
          <w:sz w:val="24"/>
          <w:szCs w:val="24"/>
        </w:rPr>
        <w:t>Logistics companies like ALL can now provide real-time tracking and predictive analytics thanks to digital transformation, but it has also dispersed data and decision-making across cloud platforms, sensor networks, and other vendors that the company does not directly control. Approximately 88% of ALL's IT infrastructure is outsourced, and partners, suppliers, and remote workers connect from unmanaged devices spread across several time zones. This combination makes it more likely than possible for unauthorised access to PII and shipping data: In 2024, 38% of organisations worldwide reported an increase in cyberattacks year over year, with the most common attack methods being malware, social engineering, and unpatched-system exploitation [5].</w:t>
      </w:r>
    </w:p>
    <w:p w14:paraId="0964F8F3" w14:textId="77777777" w:rsidR="000C7EAF" w:rsidRPr="000C7EAF" w:rsidRDefault="000C7EAF" w:rsidP="000C7EAF">
      <w:pPr>
        <w:spacing w:after="200" w:line="300" w:lineRule="auto"/>
        <w:jc w:val="both"/>
        <w:rPr>
          <w:rFonts w:asciiTheme="minorHAnsi" w:hAnsiTheme="minorHAnsi"/>
          <w:sz w:val="24"/>
          <w:szCs w:val="24"/>
        </w:rPr>
      </w:pPr>
      <w:r w:rsidRPr="000C7EAF">
        <w:rPr>
          <w:rFonts w:asciiTheme="minorHAnsi" w:hAnsiTheme="minorHAnsi"/>
          <w:sz w:val="24"/>
          <w:szCs w:val="24"/>
        </w:rPr>
        <w:t>This report develops an integrated security, governance, and compliance approach for ALL after first researching established IT security and governance frameworks to find practices appropriate for ALL's context. Finally, it critically examines why it is important to keep standards and regulations up to date as threats and technology change. Compliance, governance and strategic planning, policies and procedures, risk management, security management models, contingency planning, protection methods, and vendor/SLA management are all covered in the paper.</w:t>
      </w:r>
    </w:p>
    <w:p w14:paraId="1C687BAC" w14:textId="77777777" w:rsidR="00A76C5B" w:rsidRPr="000C7EAF" w:rsidRDefault="00A76C5B" w:rsidP="00B15736">
      <w:pPr>
        <w:pStyle w:val="Heading1"/>
        <w:rPr>
          <w:lang w:val="en-GB"/>
        </w:rPr>
      </w:pPr>
    </w:p>
    <w:p w14:paraId="63D6B897" w14:textId="77777777" w:rsidR="00A76C5B" w:rsidRPr="000C7EAF" w:rsidRDefault="00A76C5B" w:rsidP="00B15736">
      <w:pPr>
        <w:pStyle w:val="Heading1"/>
        <w:rPr>
          <w:lang w:val="en-GB"/>
        </w:rPr>
      </w:pPr>
    </w:p>
    <w:p w14:paraId="6E3335B6" w14:textId="77777777" w:rsidR="00A76C5B" w:rsidRPr="000C7EAF" w:rsidRDefault="00A76C5B" w:rsidP="00B15736">
      <w:pPr>
        <w:pStyle w:val="Heading1"/>
        <w:rPr>
          <w:lang w:val="en-GB"/>
        </w:rPr>
      </w:pPr>
    </w:p>
    <w:p w14:paraId="4FB10659" w14:textId="77777777" w:rsidR="00A76C5B" w:rsidRPr="000C7EAF" w:rsidRDefault="00A76C5B" w:rsidP="00B15736">
      <w:pPr>
        <w:pStyle w:val="Heading1"/>
        <w:rPr>
          <w:lang w:val="en-GB"/>
        </w:rPr>
      </w:pPr>
    </w:p>
    <w:p w14:paraId="178F4837" w14:textId="77777777" w:rsidR="00A76C5B" w:rsidRPr="000C7EAF" w:rsidRDefault="00A76C5B" w:rsidP="00B15736">
      <w:pPr>
        <w:pStyle w:val="Heading1"/>
        <w:rPr>
          <w:lang w:val="en-GB"/>
        </w:rPr>
      </w:pPr>
    </w:p>
    <w:p w14:paraId="0E72004E" w14:textId="77777777" w:rsidR="00A76C5B" w:rsidRPr="000C7EAF" w:rsidRDefault="00A76C5B" w:rsidP="00B15736">
      <w:pPr>
        <w:pStyle w:val="Heading1"/>
        <w:rPr>
          <w:lang w:val="en-GB"/>
        </w:rPr>
      </w:pPr>
    </w:p>
    <w:p w14:paraId="16E50A14" w14:textId="77777777" w:rsidR="00A76C5B" w:rsidRPr="000C7EAF" w:rsidRDefault="00A76C5B" w:rsidP="00B15736">
      <w:pPr>
        <w:pStyle w:val="Heading1"/>
        <w:rPr>
          <w:lang w:val="en-GB"/>
        </w:rPr>
      </w:pPr>
    </w:p>
    <w:p w14:paraId="4C51D0C4" w14:textId="77777777" w:rsidR="00A76C5B" w:rsidRPr="000C7EAF" w:rsidRDefault="00A76C5B" w:rsidP="00B15736">
      <w:pPr>
        <w:pStyle w:val="Heading1"/>
        <w:rPr>
          <w:lang w:val="en-GB"/>
        </w:rPr>
      </w:pPr>
    </w:p>
    <w:p w14:paraId="3EFE0FCF" w14:textId="77777777" w:rsidR="00A76C5B" w:rsidRPr="000C7EAF" w:rsidRDefault="00A76C5B" w:rsidP="00B15736">
      <w:pPr>
        <w:pStyle w:val="Heading1"/>
        <w:rPr>
          <w:lang w:val="en-GB"/>
        </w:rPr>
      </w:pPr>
    </w:p>
    <w:p w14:paraId="3404228C" w14:textId="77777777" w:rsidR="00A76C5B" w:rsidRPr="000C7EAF" w:rsidRDefault="00A76C5B" w:rsidP="00B15736">
      <w:pPr>
        <w:pStyle w:val="Heading1"/>
        <w:rPr>
          <w:lang w:val="en-GB"/>
        </w:rPr>
      </w:pPr>
    </w:p>
    <w:p w14:paraId="3E481A71" w14:textId="77777777" w:rsidR="00A76C5B" w:rsidRPr="000C7EAF" w:rsidRDefault="00A76C5B" w:rsidP="00B15736">
      <w:pPr>
        <w:pStyle w:val="Heading1"/>
        <w:rPr>
          <w:lang w:val="en-GB"/>
        </w:rPr>
      </w:pPr>
    </w:p>
    <w:p w14:paraId="67319D80" w14:textId="77777777" w:rsidR="00A76C5B" w:rsidRPr="000C7EAF" w:rsidRDefault="00A76C5B" w:rsidP="00B15736">
      <w:pPr>
        <w:pStyle w:val="Heading1"/>
        <w:rPr>
          <w:lang w:val="en-GB"/>
        </w:rPr>
      </w:pPr>
    </w:p>
    <w:p w14:paraId="0364EA47" w14:textId="77777777" w:rsidR="00A76C5B" w:rsidRPr="000C7EAF" w:rsidRDefault="00A76C5B" w:rsidP="00B15736">
      <w:pPr>
        <w:pStyle w:val="Heading1"/>
        <w:rPr>
          <w:lang w:val="en-GB"/>
        </w:rPr>
      </w:pPr>
    </w:p>
    <w:p w14:paraId="2AE0F916" w14:textId="77777777" w:rsidR="00A76C5B" w:rsidRPr="000C7EAF" w:rsidRDefault="00A76C5B" w:rsidP="00B15736">
      <w:pPr>
        <w:pStyle w:val="Heading1"/>
        <w:rPr>
          <w:lang w:val="en-GB"/>
        </w:rPr>
      </w:pPr>
    </w:p>
    <w:p w14:paraId="59F3293F" w14:textId="77777777" w:rsidR="00A76C5B" w:rsidRPr="000C7EAF" w:rsidRDefault="00A76C5B" w:rsidP="00B15736">
      <w:pPr>
        <w:pStyle w:val="Heading1"/>
        <w:rPr>
          <w:lang w:val="en-GB"/>
        </w:rPr>
      </w:pPr>
    </w:p>
    <w:p w14:paraId="7F50AE83" w14:textId="77777777" w:rsidR="00A76C5B" w:rsidRPr="000C7EAF" w:rsidRDefault="00A76C5B" w:rsidP="00B15736">
      <w:pPr>
        <w:pStyle w:val="Heading1"/>
        <w:rPr>
          <w:lang w:val="en-GB"/>
        </w:rPr>
      </w:pPr>
    </w:p>
    <w:p w14:paraId="26641C60" w14:textId="77777777" w:rsidR="00A76C5B" w:rsidRPr="000C7EAF" w:rsidRDefault="00A76C5B" w:rsidP="00B15736">
      <w:pPr>
        <w:pStyle w:val="Heading1"/>
        <w:rPr>
          <w:lang w:val="en-GB"/>
        </w:rPr>
      </w:pPr>
    </w:p>
    <w:p w14:paraId="6CBD0E5F" w14:textId="77777777" w:rsidR="00A76C5B" w:rsidRPr="000C7EAF" w:rsidRDefault="00A76C5B" w:rsidP="00B15736">
      <w:pPr>
        <w:pStyle w:val="Heading1"/>
        <w:rPr>
          <w:lang w:val="en-GB"/>
        </w:rPr>
      </w:pPr>
    </w:p>
    <w:p w14:paraId="6142D043" w14:textId="77777777" w:rsidR="00A76C5B" w:rsidRPr="000C7EAF" w:rsidRDefault="00A76C5B" w:rsidP="00B15736">
      <w:pPr>
        <w:pStyle w:val="Heading1"/>
        <w:rPr>
          <w:lang w:val="en-GB"/>
        </w:rPr>
      </w:pPr>
    </w:p>
    <w:p w14:paraId="3C1747E7" w14:textId="5D21227C" w:rsidR="0085033A" w:rsidRPr="000C7EAF" w:rsidRDefault="00000000" w:rsidP="00B15736">
      <w:pPr>
        <w:pStyle w:val="Heading1"/>
        <w:rPr>
          <w:lang w:val="en-GB"/>
        </w:rPr>
      </w:pPr>
      <w:bookmarkStart w:id="2" w:name="_Toc236176810"/>
      <w:r w:rsidRPr="000C7EAF">
        <w:rPr>
          <w:lang w:val="en-GB"/>
        </w:rPr>
        <w:lastRenderedPageBreak/>
        <w:t>2. Research into Security Frameworks and Models</w:t>
      </w:r>
      <w:r w:rsidR="00B15736" w:rsidRPr="000C7EAF">
        <w:rPr>
          <w:lang w:val="en-GB"/>
        </w:rPr>
        <w:t>:</w:t>
      </w:r>
      <w:bookmarkEnd w:id="2"/>
    </w:p>
    <w:p w14:paraId="32E634DB" w14:textId="77777777" w:rsidR="000C7EAF" w:rsidRPr="000C7EAF" w:rsidRDefault="000C7EAF" w:rsidP="00B15736">
      <w:pPr>
        <w:pStyle w:val="Heading1"/>
        <w:rPr>
          <w:lang w:val="en-GB"/>
        </w:rPr>
      </w:pPr>
    </w:p>
    <w:p w14:paraId="1B123C7C" w14:textId="77777777" w:rsidR="000C7EAF" w:rsidRPr="000C7EAF" w:rsidRDefault="000C7EAF" w:rsidP="000C7EAF">
      <w:pPr>
        <w:spacing w:after="200" w:line="300" w:lineRule="auto"/>
        <w:jc w:val="both"/>
        <w:rPr>
          <w:rFonts w:asciiTheme="minorHAnsi" w:hAnsiTheme="minorHAnsi"/>
          <w:sz w:val="24"/>
          <w:szCs w:val="24"/>
        </w:rPr>
      </w:pPr>
      <w:r w:rsidRPr="000C7EAF">
        <w:rPr>
          <w:rFonts w:asciiTheme="minorHAnsi" w:hAnsiTheme="minorHAnsi"/>
          <w:sz w:val="24"/>
          <w:szCs w:val="24"/>
        </w:rPr>
        <w:t>This section examines four complimentary frameworks before comparing them in Table 1 since no single framework adequately addresses governance, risk management, operational controls, and service delivery.</w:t>
      </w:r>
    </w:p>
    <w:p w14:paraId="5D9B9FF5" w14:textId="1D651D81" w:rsidR="0085033A" w:rsidRPr="000C7EAF" w:rsidRDefault="00000000" w:rsidP="00B15736">
      <w:pPr>
        <w:pStyle w:val="Heading2"/>
        <w:rPr>
          <w:lang w:val="en-GB"/>
        </w:rPr>
      </w:pPr>
      <w:bookmarkStart w:id="3" w:name="_Toc236176811"/>
      <w:r w:rsidRPr="000C7EAF">
        <w:rPr>
          <w:lang w:val="en-GB"/>
        </w:rPr>
        <w:t>2.1 ITIL 4</w:t>
      </w:r>
      <w:r w:rsidR="00B15736" w:rsidRPr="000C7EAF">
        <w:rPr>
          <w:lang w:val="en-GB"/>
        </w:rPr>
        <w:t>:</w:t>
      </w:r>
      <w:bookmarkEnd w:id="3"/>
    </w:p>
    <w:p w14:paraId="075698B1" w14:textId="77777777" w:rsidR="00B15736" w:rsidRPr="000C7EAF" w:rsidRDefault="00B15736" w:rsidP="00B15736">
      <w:pPr>
        <w:pStyle w:val="Heading2"/>
        <w:rPr>
          <w:lang w:val="en-GB"/>
        </w:rPr>
      </w:pPr>
    </w:p>
    <w:p w14:paraId="0F5718A1" w14:textId="77777777" w:rsidR="000C7EAF" w:rsidRPr="000C7EAF" w:rsidRDefault="000C7EAF" w:rsidP="000C7EAF">
      <w:pPr>
        <w:spacing w:after="200" w:line="300" w:lineRule="auto"/>
        <w:jc w:val="both"/>
        <w:rPr>
          <w:rFonts w:asciiTheme="minorHAnsi" w:hAnsiTheme="minorHAnsi"/>
          <w:sz w:val="24"/>
          <w:szCs w:val="24"/>
        </w:rPr>
      </w:pPr>
      <w:r w:rsidRPr="000C7EAF">
        <w:rPr>
          <w:rFonts w:asciiTheme="minorHAnsi" w:hAnsiTheme="minorHAnsi"/>
          <w:sz w:val="24"/>
          <w:szCs w:val="24"/>
        </w:rPr>
        <w:t xml:space="preserve">ITIL 4 is a service management framework based on a Service Value System (SVS) that uses 34 management practices, governance, guiding principles, and continuous improvement to transform organisational inputs into value. The framework is extended to procurement and vendor evaluation via the 2023 Sustainability in Digital &amp; IT extension module, which mandates that suppliers be evaluated based on operational and environmental resilience standards in addition to cost [8]. ITIL is useful less as a security control set and more as the discipline that governs how services are requested, modified, incident-managed, and continuously improved for ALL, where </w:t>
      </w:r>
      <w:proofErr w:type="gramStart"/>
      <w:r w:rsidRPr="000C7EAF">
        <w:rPr>
          <w:rFonts w:asciiTheme="minorHAnsi" w:hAnsiTheme="minorHAnsi"/>
          <w:sz w:val="24"/>
          <w:szCs w:val="24"/>
        </w:rPr>
        <w:t>the majority of</w:t>
      </w:r>
      <w:proofErr w:type="gramEnd"/>
      <w:r w:rsidRPr="000C7EAF">
        <w:rPr>
          <w:rFonts w:asciiTheme="minorHAnsi" w:hAnsiTheme="minorHAnsi"/>
          <w:sz w:val="24"/>
          <w:szCs w:val="24"/>
        </w:rPr>
        <w:t xml:space="preserve"> infrastructure is provided by outside vendors. These processes must function securely for IaaS/SaaS relationships to be reliable.</w:t>
      </w:r>
    </w:p>
    <w:p w14:paraId="5EF5B68D" w14:textId="7C2C8395" w:rsidR="0085033A" w:rsidRPr="000C7EAF" w:rsidRDefault="00000000" w:rsidP="00B15736">
      <w:pPr>
        <w:pStyle w:val="Heading2"/>
        <w:rPr>
          <w:lang w:val="en-GB"/>
        </w:rPr>
      </w:pPr>
      <w:bookmarkStart w:id="4" w:name="_Toc236176812"/>
      <w:r w:rsidRPr="000C7EAF">
        <w:rPr>
          <w:lang w:val="en-GB"/>
        </w:rPr>
        <w:t>2.2 NIST Cybersecurity Framework (CSF) 2.0</w:t>
      </w:r>
      <w:r w:rsidR="00B15736" w:rsidRPr="000C7EAF">
        <w:rPr>
          <w:lang w:val="en-GB"/>
        </w:rPr>
        <w:t>:</w:t>
      </w:r>
      <w:bookmarkEnd w:id="4"/>
    </w:p>
    <w:p w14:paraId="0874C9EF" w14:textId="77777777" w:rsidR="00B15736" w:rsidRPr="000C7EAF" w:rsidRDefault="00B15736" w:rsidP="00B15736">
      <w:pPr>
        <w:pStyle w:val="Heading2"/>
        <w:rPr>
          <w:lang w:val="en-GB"/>
        </w:rPr>
      </w:pPr>
    </w:p>
    <w:p w14:paraId="220E6A61" w14:textId="77777777" w:rsidR="000C7EAF" w:rsidRPr="000C7EAF" w:rsidRDefault="000C7EAF" w:rsidP="000C7EAF">
      <w:pPr>
        <w:spacing w:after="200" w:line="300" w:lineRule="auto"/>
        <w:jc w:val="both"/>
        <w:rPr>
          <w:rFonts w:asciiTheme="minorHAnsi" w:hAnsiTheme="minorHAnsi"/>
          <w:sz w:val="24"/>
          <w:szCs w:val="24"/>
          <w:lang w:val="en-IN"/>
        </w:rPr>
      </w:pPr>
      <w:r w:rsidRPr="000C7EAF">
        <w:rPr>
          <w:rFonts w:asciiTheme="minorHAnsi" w:hAnsiTheme="minorHAnsi"/>
          <w:sz w:val="24"/>
          <w:szCs w:val="24"/>
          <w:lang w:val="en-IN"/>
        </w:rPr>
        <w:t>In February 2024, NIST released CSF 2.0, the first significant update to the framework since 2014. It reorganises cybersecurity outcomes around six functions, which include 22 categories and 106 subcategories: Govern, Identify, Protect, Detect, Respond, and Recover [1]. The Govern function is important because it lays the groundwork for risk management strategy, roles, duties, policy, and oversight. It specifically addresses supply chain risk management, which is supported by NIST's own guidelines, which were last updated in November 2024 [2]. CSF 2.0 is intended to be used in conjunction with standards like ISO/IEC 27001 and has expanded its reach beyond critical infrastructure to organisations of any size.</w:t>
      </w:r>
    </w:p>
    <w:p w14:paraId="472718A4" w14:textId="77777777" w:rsidR="00907C55" w:rsidRPr="000C7EAF" w:rsidRDefault="00907C55">
      <w:pPr>
        <w:spacing w:after="200" w:line="300" w:lineRule="auto"/>
        <w:jc w:val="both"/>
        <w:rPr>
          <w:rFonts w:asciiTheme="minorHAnsi" w:hAnsiTheme="minorHAnsi"/>
          <w:sz w:val="24"/>
          <w:szCs w:val="24"/>
        </w:rPr>
      </w:pPr>
    </w:p>
    <w:p w14:paraId="417A91EB" w14:textId="248E459E" w:rsidR="0085033A" w:rsidRPr="000C7EAF" w:rsidRDefault="001C7366">
      <w:pPr>
        <w:spacing w:before="200" w:after="60"/>
        <w:jc w:val="center"/>
        <w:rPr>
          <w:rFonts w:asciiTheme="minorHAnsi" w:hAnsiTheme="minorHAnsi"/>
          <w:sz w:val="24"/>
          <w:szCs w:val="24"/>
        </w:rPr>
      </w:pPr>
      <w:r>
        <w:lastRenderedPageBreak/>
        <w:pict w14:anchorId="7EC36EFF">
          <v:shape id="Picture 1" o:spid="_x0000_i1026" type="#_x0000_t75" style="width:438pt;height:460.2pt;visibility:visible;mso-wrap-style:square">
            <v:imagedata r:id="rId7" o:title=""/>
          </v:shape>
        </w:pict>
      </w:r>
    </w:p>
    <w:p w14:paraId="163CAB08" w14:textId="77777777" w:rsidR="0085033A" w:rsidRPr="000C7EAF" w:rsidRDefault="00000000">
      <w:pPr>
        <w:spacing w:before="60" w:after="320"/>
        <w:jc w:val="center"/>
        <w:rPr>
          <w:rFonts w:asciiTheme="minorHAnsi" w:hAnsiTheme="minorHAnsi"/>
          <w:sz w:val="24"/>
          <w:szCs w:val="24"/>
        </w:rPr>
      </w:pPr>
      <w:r w:rsidRPr="000C7EAF">
        <w:rPr>
          <w:rFonts w:asciiTheme="minorHAnsi" w:hAnsiTheme="minorHAnsi"/>
          <w:i/>
          <w:iCs/>
          <w:sz w:val="24"/>
          <w:szCs w:val="24"/>
        </w:rPr>
        <w:t>Figure 1: NIST Cybersecurity Framework 2.0 — Six Core Functions (Govern, Identify, Protect, Detect, Respond, Recover) [1]</w:t>
      </w:r>
    </w:p>
    <w:p w14:paraId="4D921CA6" w14:textId="77777777" w:rsidR="000C7EAF" w:rsidRPr="000C7EAF" w:rsidRDefault="000C7EAF" w:rsidP="000C7EAF">
      <w:pPr>
        <w:spacing w:after="200" w:line="300" w:lineRule="auto"/>
        <w:jc w:val="both"/>
        <w:rPr>
          <w:rFonts w:asciiTheme="minorHAnsi" w:hAnsiTheme="minorHAnsi"/>
          <w:sz w:val="24"/>
          <w:szCs w:val="24"/>
          <w:lang w:val="en-IN"/>
        </w:rPr>
      </w:pPr>
      <w:r w:rsidRPr="000C7EAF">
        <w:rPr>
          <w:rFonts w:asciiTheme="minorHAnsi" w:hAnsiTheme="minorHAnsi"/>
          <w:sz w:val="24"/>
          <w:szCs w:val="24"/>
          <w:lang w:val="en-IN"/>
        </w:rPr>
        <w:t>Identify and Protect map naturally onto IoT sensor asset inventories and data encryption, while Detect/Respond/Recover map onto the incident response gaps highlighted in the case. For ALL, CSF 2.0's Govern function directly targets the assignment scenario's primary weakness—the lack of coordinated risk ownership.</w:t>
      </w:r>
    </w:p>
    <w:p w14:paraId="55D3DF43" w14:textId="03738BED" w:rsidR="0085033A" w:rsidRPr="000C7EAF" w:rsidRDefault="00000000" w:rsidP="00B15736">
      <w:pPr>
        <w:pStyle w:val="Heading2"/>
        <w:rPr>
          <w:lang w:val="en-GB"/>
        </w:rPr>
      </w:pPr>
      <w:bookmarkStart w:id="5" w:name="_Toc236176813"/>
      <w:r w:rsidRPr="000C7EAF">
        <w:rPr>
          <w:lang w:val="en-GB"/>
        </w:rPr>
        <w:t>2.3 COBIT 2019</w:t>
      </w:r>
      <w:r w:rsidR="00B15736" w:rsidRPr="000C7EAF">
        <w:rPr>
          <w:lang w:val="en-GB"/>
        </w:rPr>
        <w:t>:</w:t>
      </w:r>
      <w:bookmarkEnd w:id="5"/>
    </w:p>
    <w:p w14:paraId="6BE7C70E" w14:textId="77777777" w:rsidR="00B15736" w:rsidRPr="000C7EAF" w:rsidRDefault="00B15736" w:rsidP="00B15736">
      <w:pPr>
        <w:pStyle w:val="Heading2"/>
        <w:rPr>
          <w:lang w:val="en-GB"/>
        </w:rPr>
      </w:pPr>
    </w:p>
    <w:p w14:paraId="2EA9AF54" w14:textId="77777777" w:rsidR="00EA2E36" w:rsidRPr="00EA2E36" w:rsidRDefault="00EA2E36" w:rsidP="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 xml:space="preserve">The enterprise governance of information and technology (EGIT) framework COBIT 2019, issued by ISACA, divides management (Align/Plan/Organize, Build/Acquire/Implement, Deliver/Service/Support, and Monitor/Evaluate/Assess) from governance (Evaluate, Direct, and Monitor). Instead of using a one-size-fits-all methodology, its design-factor approach enables an organization to customise governance goals to its risk profile, strategy, and threat scenario. Extending the same goals-cascade reasoning to AI-driven analytics oversight, ISACA's 2025 </w:t>
      </w:r>
      <w:r w:rsidRPr="00EA2E36">
        <w:rPr>
          <w:rFonts w:asciiTheme="minorHAnsi" w:hAnsiTheme="minorHAnsi"/>
          <w:sz w:val="24"/>
          <w:szCs w:val="24"/>
          <w:lang w:val="en-IN"/>
        </w:rPr>
        <w:lastRenderedPageBreak/>
        <w:t>recommendation on applying COBIT to AI system governance is especially pertinent to ALL. It recommends that AI use cases be strategically aligned, risk-assessed, and monitored like any other IT operation [10]. The case's lack of coordination and ambiguous assignment of security tasks are directly addressed by this distinct separation of operational management and board-level governance.</w:t>
      </w:r>
    </w:p>
    <w:p w14:paraId="095BF453" w14:textId="35CC4844" w:rsidR="0085033A" w:rsidRPr="000C7EAF" w:rsidRDefault="00000000" w:rsidP="00B15736">
      <w:pPr>
        <w:pStyle w:val="Heading2"/>
        <w:rPr>
          <w:lang w:val="en-GB"/>
        </w:rPr>
      </w:pPr>
      <w:bookmarkStart w:id="6" w:name="_Toc236176814"/>
      <w:r w:rsidRPr="000C7EAF">
        <w:rPr>
          <w:lang w:val="en-GB"/>
        </w:rPr>
        <w:t>2.4 ISO/IEC 27000 Series</w:t>
      </w:r>
      <w:r w:rsidR="00B15736" w:rsidRPr="000C7EAF">
        <w:rPr>
          <w:lang w:val="en-GB"/>
        </w:rPr>
        <w:t>:</w:t>
      </w:r>
      <w:bookmarkEnd w:id="6"/>
    </w:p>
    <w:p w14:paraId="72C84372" w14:textId="77777777" w:rsidR="00EA2E36" w:rsidRPr="000C7EAF" w:rsidRDefault="00EA2E36" w:rsidP="00B15736">
      <w:pPr>
        <w:pStyle w:val="Heading2"/>
        <w:rPr>
          <w:lang w:val="en-GB"/>
        </w:rPr>
      </w:pPr>
    </w:p>
    <w:p w14:paraId="736CE375" w14:textId="77777777" w:rsidR="00EA2E36" w:rsidRPr="00EA2E36" w:rsidRDefault="00EA2E36" w:rsidP="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Information security management system (ISMS) requirements and guidelines are specified in the ISO/IEC 27000 series. Analysts have directly linked the emergence of cloud-dependent and hybrid operating models to the 2022 revision of ISO/IEC 27001, which reorganised Annex A, reducing the control set from 114 to 93 and adding 11 new controls covering threat intelligence, cloud security, and ICT readiness for business continuity [9]. The case's worry about the lack of a formalised compliance audit would be directly addressed by certification, which would provide ALL's clients and regulators with independent assurance that its ISMS is successful.</w:t>
      </w:r>
    </w:p>
    <w:p w14:paraId="3AEF9A28" w14:textId="77777777" w:rsidR="00EA2E36" w:rsidRPr="000C7EAF" w:rsidRDefault="00EA2E36">
      <w:pPr>
        <w:spacing w:after="200" w:line="300" w:lineRule="auto"/>
        <w:jc w:val="both"/>
        <w:rPr>
          <w:rFonts w:asciiTheme="minorHAnsi" w:hAnsiTheme="minorHAnsi"/>
          <w:sz w:val="24"/>
          <w:szCs w:val="24"/>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604"/>
        <w:gridCol w:w="2567"/>
        <w:gridCol w:w="2571"/>
        <w:gridCol w:w="2858"/>
      </w:tblGrid>
      <w:tr w:rsidR="0085033A" w:rsidRPr="000C7EAF" w14:paraId="7AD18F8F" w14:textId="77777777">
        <w:tc>
          <w:tcPr>
            <w:tcW w:w="1500" w:type="dxa"/>
            <w:shd w:val="clear" w:color="auto" w:fill="1B3A4B"/>
            <w:tcMar>
              <w:top w:w="100" w:type="dxa"/>
              <w:left w:w="120" w:type="dxa"/>
              <w:bottom w:w="100" w:type="dxa"/>
              <w:right w:w="120" w:type="dxa"/>
            </w:tcMar>
          </w:tcPr>
          <w:p w14:paraId="779B53FA"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Framework</w:t>
            </w:r>
          </w:p>
        </w:tc>
        <w:tc>
          <w:tcPr>
            <w:tcW w:w="2600" w:type="dxa"/>
            <w:shd w:val="clear" w:color="auto" w:fill="1B3A4B"/>
            <w:tcMar>
              <w:top w:w="100" w:type="dxa"/>
              <w:left w:w="120" w:type="dxa"/>
              <w:bottom w:w="100" w:type="dxa"/>
              <w:right w:w="120" w:type="dxa"/>
            </w:tcMar>
          </w:tcPr>
          <w:p w14:paraId="1CF18586"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Primary Focus</w:t>
            </w:r>
          </w:p>
        </w:tc>
        <w:tc>
          <w:tcPr>
            <w:tcW w:w="2600" w:type="dxa"/>
            <w:shd w:val="clear" w:color="auto" w:fill="1B3A4B"/>
            <w:tcMar>
              <w:top w:w="100" w:type="dxa"/>
              <w:left w:w="120" w:type="dxa"/>
              <w:bottom w:w="100" w:type="dxa"/>
              <w:right w:w="120" w:type="dxa"/>
            </w:tcMar>
          </w:tcPr>
          <w:p w14:paraId="789C2823"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Structure</w:t>
            </w:r>
          </w:p>
        </w:tc>
        <w:tc>
          <w:tcPr>
            <w:tcW w:w="2900" w:type="dxa"/>
            <w:shd w:val="clear" w:color="auto" w:fill="1B3A4B"/>
            <w:tcMar>
              <w:top w:w="100" w:type="dxa"/>
              <w:left w:w="120" w:type="dxa"/>
              <w:bottom w:w="100" w:type="dxa"/>
              <w:right w:w="120" w:type="dxa"/>
            </w:tcMar>
          </w:tcPr>
          <w:p w14:paraId="19BCCB57"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 xml:space="preserve">Relevance to </w:t>
            </w:r>
            <w:proofErr w:type="spellStart"/>
            <w:r w:rsidRPr="000C7EAF">
              <w:rPr>
                <w:rFonts w:asciiTheme="minorHAnsi" w:hAnsiTheme="minorHAnsi"/>
                <w:b/>
                <w:bCs/>
                <w:color w:val="FFFFFF"/>
                <w:sz w:val="24"/>
                <w:szCs w:val="24"/>
              </w:rPr>
              <w:t>AeroLink</w:t>
            </w:r>
            <w:proofErr w:type="spellEnd"/>
          </w:p>
        </w:tc>
      </w:tr>
      <w:tr w:rsidR="0085033A" w:rsidRPr="000C7EAF" w14:paraId="2225D488" w14:textId="77777777">
        <w:tc>
          <w:tcPr>
            <w:tcW w:w="1500" w:type="dxa"/>
            <w:shd w:val="clear" w:color="auto" w:fill="EDF1F3"/>
            <w:tcMar>
              <w:top w:w="90" w:type="dxa"/>
              <w:left w:w="120" w:type="dxa"/>
              <w:bottom w:w="90" w:type="dxa"/>
              <w:right w:w="120" w:type="dxa"/>
            </w:tcMar>
          </w:tcPr>
          <w:p w14:paraId="547D61AD" w14:textId="77777777" w:rsidR="0085033A" w:rsidRPr="000C7EAF" w:rsidRDefault="00000000">
            <w:pPr>
              <w:rPr>
                <w:rFonts w:asciiTheme="minorHAnsi" w:hAnsiTheme="minorHAnsi"/>
                <w:sz w:val="24"/>
                <w:szCs w:val="24"/>
              </w:rPr>
            </w:pPr>
            <w:r w:rsidRPr="000C7EAF">
              <w:rPr>
                <w:rFonts w:asciiTheme="minorHAnsi" w:hAnsiTheme="minorHAnsi"/>
                <w:sz w:val="24"/>
                <w:szCs w:val="24"/>
              </w:rPr>
              <w:t>ITIL 4</w:t>
            </w:r>
          </w:p>
        </w:tc>
        <w:tc>
          <w:tcPr>
            <w:tcW w:w="2600" w:type="dxa"/>
            <w:shd w:val="clear" w:color="auto" w:fill="EDF1F3"/>
            <w:tcMar>
              <w:top w:w="90" w:type="dxa"/>
              <w:left w:w="120" w:type="dxa"/>
              <w:bottom w:w="90" w:type="dxa"/>
              <w:right w:w="120" w:type="dxa"/>
            </w:tcMar>
          </w:tcPr>
          <w:p w14:paraId="69190615" w14:textId="77777777" w:rsidR="0085033A" w:rsidRPr="000C7EAF" w:rsidRDefault="00000000">
            <w:pPr>
              <w:rPr>
                <w:rFonts w:asciiTheme="minorHAnsi" w:hAnsiTheme="minorHAnsi"/>
                <w:sz w:val="24"/>
                <w:szCs w:val="24"/>
              </w:rPr>
            </w:pPr>
            <w:r w:rsidRPr="000C7EAF">
              <w:rPr>
                <w:rFonts w:asciiTheme="minorHAnsi" w:hAnsiTheme="minorHAnsi"/>
                <w:sz w:val="24"/>
                <w:szCs w:val="24"/>
              </w:rPr>
              <w:t>IT service management and value co-creation</w:t>
            </w:r>
          </w:p>
        </w:tc>
        <w:tc>
          <w:tcPr>
            <w:tcW w:w="2600" w:type="dxa"/>
            <w:shd w:val="clear" w:color="auto" w:fill="EDF1F3"/>
            <w:tcMar>
              <w:top w:w="90" w:type="dxa"/>
              <w:left w:w="120" w:type="dxa"/>
              <w:bottom w:w="90" w:type="dxa"/>
              <w:right w:w="120" w:type="dxa"/>
            </w:tcMar>
          </w:tcPr>
          <w:p w14:paraId="000B447A" w14:textId="77777777" w:rsidR="0085033A" w:rsidRPr="000C7EAF" w:rsidRDefault="00000000">
            <w:pPr>
              <w:rPr>
                <w:rFonts w:asciiTheme="minorHAnsi" w:hAnsiTheme="minorHAnsi"/>
                <w:sz w:val="24"/>
                <w:szCs w:val="24"/>
              </w:rPr>
            </w:pPr>
            <w:r w:rsidRPr="000C7EAF">
              <w:rPr>
                <w:rFonts w:asciiTheme="minorHAnsi" w:hAnsiTheme="minorHAnsi"/>
                <w:sz w:val="24"/>
                <w:szCs w:val="24"/>
              </w:rPr>
              <w:t>Service Value System with 34 management practices; extension modules (e.g. Sustainability)</w:t>
            </w:r>
          </w:p>
        </w:tc>
        <w:tc>
          <w:tcPr>
            <w:tcW w:w="2900" w:type="dxa"/>
            <w:shd w:val="clear" w:color="auto" w:fill="EDF1F3"/>
            <w:tcMar>
              <w:top w:w="90" w:type="dxa"/>
              <w:left w:w="120" w:type="dxa"/>
              <w:bottom w:w="90" w:type="dxa"/>
              <w:right w:w="120" w:type="dxa"/>
            </w:tcMar>
          </w:tcPr>
          <w:p w14:paraId="4B4E9E90" w14:textId="77777777" w:rsidR="0085033A" w:rsidRPr="000C7EAF" w:rsidRDefault="00000000">
            <w:pPr>
              <w:rPr>
                <w:rFonts w:asciiTheme="minorHAnsi" w:hAnsiTheme="minorHAnsi"/>
                <w:sz w:val="24"/>
                <w:szCs w:val="24"/>
              </w:rPr>
            </w:pPr>
            <w:r w:rsidRPr="000C7EAF">
              <w:rPr>
                <w:rFonts w:asciiTheme="minorHAnsi" w:hAnsiTheme="minorHAnsi"/>
                <w:sz w:val="24"/>
                <w:szCs w:val="24"/>
              </w:rPr>
              <w:t>Standardises outsourced IaaS/SaaS service delivery</w:t>
            </w:r>
          </w:p>
        </w:tc>
      </w:tr>
      <w:tr w:rsidR="0085033A" w:rsidRPr="000C7EAF" w14:paraId="7C086CCC" w14:textId="77777777">
        <w:tc>
          <w:tcPr>
            <w:tcW w:w="1500" w:type="dxa"/>
            <w:tcMar>
              <w:top w:w="90" w:type="dxa"/>
              <w:left w:w="120" w:type="dxa"/>
              <w:bottom w:w="90" w:type="dxa"/>
              <w:right w:w="120" w:type="dxa"/>
            </w:tcMar>
          </w:tcPr>
          <w:p w14:paraId="20571AD5" w14:textId="77777777" w:rsidR="0085033A" w:rsidRPr="000C7EAF" w:rsidRDefault="00000000">
            <w:pPr>
              <w:rPr>
                <w:rFonts w:asciiTheme="minorHAnsi" w:hAnsiTheme="minorHAnsi"/>
                <w:sz w:val="24"/>
                <w:szCs w:val="24"/>
              </w:rPr>
            </w:pPr>
            <w:r w:rsidRPr="000C7EAF">
              <w:rPr>
                <w:rFonts w:asciiTheme="minorHAnsi" w:hAnsiTheme="minorHAnsi"/>
                <w:sz w:val="24"/>
                <w:szCs w:val="24"/>
              </w:rPr>
              <w:t>NIST CSF 2.0</w:t>
            </w:r>
          </w:p>
        </w:tc>
        <w:tc>
          <w:tcPr>
            <w:tcW w:w="2600" w:type="dxa"/>
            <w:tcMar>
              <w:top w:w="90" w:type="dxa"/>
              <w:left w:w="120" w:type="dxa"/>
              <w:bottom w:w="90" w:type="dxa"/>
              <w:right w:w="120" w:type="dxa"/>
            </w:tcMar>
          </w:tcPr>
          <w:p w14:paraId="48AD2469" w14:textId="77777777" w:rsidR="0085033A" w:rsidRPr="000C7EAF" w:rsidRDefault="00000000">
            <w:pPr>
              <w:rPr>
                <w:rFonts w:asciiTheme="minorHAnsi" w:hAnsiTheme="minorHAnsi"/>
                <w:sz w:val="24"/>
                <w:szCs w:val="24"/>
              </w:rPr>
            </w:pPr>
            <w:r w:rsidRPr="000C7EAF">
              <w:rPr>
                <w:rFonts w:asciiTheme="minorHAnsi" w:hAnsiTheme="minorHAnsi"/>
                <w:sz w:val="24"/>
                <w:szCs w:val="24"/>
              </w:rPr>
              <w:t>Cybersecurity risk management and governance</w:t>
            </w:r>
          </w:p>
        </w:tc>
        <w:tc>
          <w:tcPr>
            <w:tcW w:w="2600" w:type="dxa"/>
            <w:tcMar>
              <w:top w:w="90" w:type="dxa"/>
              <w:left w:w="120" w:type="dxa"/>
              <w:bottom w:w="90" w:type="dxa"/>
              <w:right w:w="120" w:type="dxa"/>
            </w:tcMar>
          </w:tcPr>
          <w:p w14:paraId="355AB17A" w14:textId="77777777" w:rsidR="0085033A" w:rsidRPr="000C7EAF" w:rsidRDefault="00000000">
            <w:pPr>
              <w:rPr>
                <w:rFonts w:asciiTheme="minorHAnsi" w:hAnsiTheme="minorHAnsi"/>
                <w:sz w:val="24"/>
                <w:szCs w:val="24"/>
              </w:rPr>
            </w:pPr>
            <w:r w:rsidRPr="000C7EAF">
              <w:rPr>
                <w:rFonts w:asciiTheme="minorHAnsi" w:hAnsiTheme="minorHAnsi"/>
                <w:sz w:val="24"/>
                <w:szCs w:val="24"/>
              </w:rPr>
              <w:t>Six functions: Govern, Identify, Protect, Detect, Respond, Recover (22 categories, 106 subcategories)</w:t>
            </w:r>
          </w:p>
        </w:tc>
        <w:tc>
          <w:tcPr>
            <w:tcW w:w="2900" w:type="dxa"/>
            <w:tcMar>
              <w:top w:w="90" w:type="dxa"/>
              <w:left w:w="120" w:type="dxa"/>
              <w:bottom w:w="90" w:type="dxa"/>
              <w:right w:w="120" w:type="dxa"/>
            </w:tcMar>
          </w:tcPr>
          <w:p w14:paraId="73576D49" w14:textId="77777777" w:rsidR="0085033A" w:rsidRPr="000C7EAF" w:rsidRDefault="00000000">
            <w:pPr>
              <w:rPr>
                <w:rFonts w:asciiTheme="minorHAnsi" w:hAnsiTheme="minorHAnsi"/>
                <w:sz w:val="24"/>
                <w:szCs w:val="24"/>
              </w:rPr>
            </w:pPr>
            <w:r w:rsidRPr="000C7EAF">
              <w:rPr>
                <w:rFonts w:asciiTheme="minorHAnsi" w:hAnsiTheme="minorHAnsi"/>
                <w:sz w:val="24"/>
                <w:szCs w:val="24"/>
              </w:rPr>
              <w:t>Risk-based lifecycle for protecting IoT and PII assets</w:t>
            </w:r>
          </w:p>
        </w:tc>
      </w:tr>
      <w:tr w:rsidR="0085033A" w:rsidRPr="000C7EAF" w14:paraId="6AE196F5" w14:textId="77777777">
        <w:tc>
          <w:tcPr>
            <w:tcW w:w="1500" w:type="dxa"/>
            <w:shd w:val="clear" w:color="auto" w:fill="EDF1F3"/>
            <w:tcMar>
              <w:top w:w="90" w:type="dxa"/>
              <w:left w:w="120" w:type="dxa"/>
              <w:bottom w:w="90" w:type="dxa"/>
              <w:right w:w="120" w:type="dxa"/>
            </w:tcMar>
          </w:tcPr>
          <w:p w14:paraId="6A42C1DF" w14:textId="77777777" w:rsidR="0085033A" w:rsidRPr="000C7EAF" w:rsidRDefault="00000000">
            <w:pPr>
              <w:rPr>
                <w:rFonts w:asciiTheme="minorHAnsi" w:hAnsiTheme="minorHAnsi"/>
                <w:sz w:val="24"/>
                <w:szCs w:val="24"/>
              </w:rPr>
            </w:pPr>
            <w:r w:rsidRPr="000C7EAF">
              <w:rPr>
                <w:rFonts w:asciiTheme="minorHAnsi" w:hAnsiTheme="minorHAnsi"/>
                <w:sz w:val="24"/>
                <w:szCs w:val="24"/>
              </w:rPr>
              <w:t>COBIT 2019</w:t>
            </w:r>
          </w:p>
        </w:tc>
        <w:tc>
          <w:tcPr>
            <w:tcW w:w="2600" w:type="dxa"/>
            <w:shd w:val="clear" w:color="auto" w:fill="EDF1F3"/>
            <w:tcMar>
              <w:top w:w="90" w:type="dxa"/>
              <w:left w:w="120" w:type="dxa"/>
              <w:bottom w:w="90" w:type="dxa"/>
              <w:right w:w="120" w:type="dxa"/>
            </w:tcMar>
          </w:tcPr>
          <w:p w14:paraId="1E147A48" w14:textId="77777777" w:rsidR="0085033A" w:rsidRPr="000C7EAF" w:rsidRDefault="00000000">
            <w:pPr>
              <w:rPr>
                <w:rFonts w:asciiTheme="minorHAnsi" w:hAnsiTheme="minorHAnsi"/>
                <w:sz w:val="24"/>
                <w:szCs w:val="24"/>
              </w:rPr>
            </w:pPr>
            <w:r w:rsidRPr="000C7EAF">
              <w:rPr>
                <w:rFonts w:asciiTheme="minorHAnsi" w:hAnsiTheme="minorHAnsi"/>
                <w:sz w:val="24"/>
                <w:szCs w:val="24"/>
              </w:rPr>
              <w:t>Enterprise governance of information and technology</w:t>
            </w:r>
          </w:p>
        </w:tc>
        <w:tc>
          <w:tcPr>
            <w:tcW w:w="2600" w:type="dxa"/>
            <w:shd w:val="clear" w:color="auto" w:fill="EDF1F3"/>
            <w:tcMar>
              <w:top w:w="90" w:type="dxa"/>
              <w:left w:w="120" w:type="dxa"/>
              <w:bottom w:w="90" w:type="dxa"/>
              <w:right w:w="120" w:type="dxa"/>
            </w:tcMar>
          </w:tcPr>
          <w:p w14:paraId="12A3CFB6" w14:textId="77777777" w:rsidR="0085033A" w:rsidRPr="000C7EAF" w:rsidRDefault="00000000">
            <w:pPr>
              <w:rPr>
                <w:rFonts w:asciiTheme="minorHAnsi" w:hAnsiTheme="minorHAnsi"/>
                <w:sz w:val="24"/>
                <w:szCs w:val="24"/>
              </w:rPr>
            </w:pPr>
            <w:r w:rsidRPr="000C7EAF">
              <w:rPr>
                <w:rFonts w:asciiTheme="minorHAnsi" w:hAnsiTheme="minorHAnsi"/>
                <w:sz w:val="24"/>
                <w:szCs w:val="24"/>
              </w:rPr>
              <w:t>Governance (EDM) and Management (APO, BAI, DSS, MEA) domains with 11 tailorable design factors</w:t>
            </w:r>
          </w:p>
        </w:tc>
        <w:tc>
          <w:tcPr>
            <w:tcW w:w="2900" w:type="dxa"/>
            <w:shd w:val="clear" w:color="auto" w:fill="EDF1F3"/>
            <w:tcMar>
              <w:top w:w="90" w:type="dxa"/>
              <w:left w:w="120" w:type="dxa"/>
              <w:bottom w:w="90" w:type="dxa"/>
              <w:right w:w="120" w:type="dxa"/>
            </w:tcMar>
          </w:tcPr>
          <w:p w14:paraId="31642B65" w14:textId="77777777" w:rsidR="0085033A" w:rsidRPr="000C7EAF" w:rsidRDefault="00000000">
            <w:pPr>
              <w:rPr>
                <w:rFonts w:asciiTheme="minorHAnsi" w:hAnsiTheme="minorHAnsi"/>
                <w:sz w:val="24"/>
                <w:szCs w:val="24"/>
              </w:rPr>
            </w:pPr>
            <w:r w:rsidRPr="000C7EAF">
              <w:rPr>
                <w:rFonts w:asciiTheme="minorHAnsi" w:hAnsiTheme="minorHAnsi"/>
                <w:sz w:val="24"/>
                <w:szCs w:val="24"/>
              </w:rPr>
              <w:t>Clarifies board-level accountability ALL currently lacks, including for AI oversight</w:t>
            </w:r>
          </w:p>
        </w:tc>
      </w:tr>
      <w:tr w:rsidR="0085033A" w:rsidRPr="000C7EAF" w14:paraId="6E159AB5" w14:textId="77777777">
        <w:tc>
          <w:tcPr>
            <w:tcW w:w="1500" w:type="dxa"/>
            <w:tcMar>
              <w:top w:w="90" w:type="dxa"/>
              <w:left w:w="120" w:type="dxa"/>
              <w:bottom w:w="90" w:type="dxa"/>
              <w:right w:w="120" w:type="dxa"/>
            </w:tcMar>
          </w:tcPr>
          <w:p w14:paraId="6B6929F7" w14:textId="77777777" w:rsidR="0085033A" w:rsidRPr="000C7EAF" w:rsidRDefault="00000000">
            <w:pPr>
              <w:rPr>
                <w:rFonts w:asciiTheme="minorHAnsi" w:hAnsiTheme="minorHAnsi"/>
                <w:sz w:val="24"/>
                <w:szCs w:val="24"/>
              </w:rPr>
            </w:pPr>
            <w:r w:rsidRPr="000C7EAF">
              <w:rPr>
                <w:rFonts w:asciiTheme="minorHAnsi" w:hAnsiTheme="minorHAnsi"/>
                <w:sz w:val="24"/>
                <w:szCs w:val="24"/>
              </w:rPr>
              <w:t>ISO/IEC 27000 series (27001:2022)</w:t>
            </w:r>
          </w:p>
        </w:tc>
        <w:tc>
          <w:tcPr>
            <w:tcW w:w="2600" w:type="dxa"/>
            <w:tcMar>
              <w:top w:w="90" w:type="dxa"/>
              <w:left w:w="120" w:type="dxa"/>
              <w:bottom w:w="90" w:type="dxa"/>
              <w:right w:w="120" w:type="dxa"/>
            </w:tcMar>
          </w:tcPr>
          <w:p w14:paraId="3C7BD766" w14:textId="77777777" w:rsidR="0085033A" w:rsidRPr="000C7EAF" w:rsidRDefault="00000000">
            <w:pPr>
              <w:rPr>
                <w:rFonts w:asciiTheme="minorHAnsi" w:hAnsiTheme="minorHAnsi"/>
                <w:sz w:val="24"/>
                <w:szCs w:val="24"/>
              </w:rPr>
            </w:pPr>
            <w:r w:rsidRPr="000C7EAF">
              <w:rPr>
                <w:rFonts w:asciiTheme="minorHAnsi" w:hAnsiTheme="minorHAnsi"/>
                <w:sz w:val="24"/>
                <w:szCs w:val="24"/>
              </w:rPr>
              <w:t>Information security management system (ISMS) and controls</w:t>
            </w:r>
          </w:p>
        </w:tc>
        <w:tc>
          <w:tcPr>
            <w:tcW w:w="2600" w:type="dxa"/>
            <w:tcMar>
              <w:top w:w="90" w:type="dxa"/>
              <w:left w:w="120" w:type="dxa"/>
              <w:bottom w:w="90" w:type="dxa"/>
              <w:right w:w="120" w:type="dxa"/>
            </w:tcMar>
          </w:tcPr>
          <w:p w14:paraId="760348D5" w14:textId="77777777" w:rsidR="0085033A" w:rsidRPr="000C7EAF" w:rsidRDefault="00000000">
            <w:pPr>
              <w:rPr>
                <w:rFonts w:asciiTheme="minorHAnsi" w:hAnsiTheme="minorHAnsi"/>
                <w:sz w:val="24"/>
                <w:szCs w:val="24"/>
              </w:rPr>
            </w:pPr>
            <w:r w:rsidRPr="000C7EAF">
              <w:rPr>
                <w:rFonts w:asciiTheme="minorHAnsi" w:hAnsiTheme="minorHAnsi"/>
                <w:sz w:val="24"/>
                <w:szCs w:val="24"/>
              </w:rPr>
              <w:t>Clauses 4-10 (management requirements) plus Annex A: 93 controls in 4 themes</w:t>
            </w:r>
          </w:p>
        </w:tc>
        <w:tc>
          <w:tcPr>
            <w:tcW w:w="2900" w:type="dxa"/>
            <w:tcMar>
              <w:top w:w="90" w:type="dxa"/>
              <w:left w:w="120" w:type="dxa"/>
              <w:bottom w:w="90" w:type="dxa"/>
              <w:right w:w="120" w:type="dxa"/>
            </w:tcMar>
          </w:tcPr>
          <w:p w14:paraId="770DF8FB" w14:textId="77777777" w:rsidR="0085033A" w:rsidRPr="000C7EAF" w:rsidRDefault="00000000">
            <w:pPr>
              <w:rPr>
                <w:rFonts w:asciiTheme="minorHAnsi" w:hAnsiTheme="minorHAnsi"/>
                <w:sz w:val="24"/>
                <w:szCs w:val="24"/>
              </w:rPr>
            </w:pPr>
            <w:r w:rsidRPr="000C7EAF">
              <w:rPr>
                <w:rFonts w:asciiTheme="minorHAnsi" w:hAnsiTheme="minorHAnsi"/>
                <w:sz w:val="24"/>
                <w:szCs w:val="24"/>
              </w:rPr>
              <w:t>Gives ALL a certifiable baseline that supports GDPR accountability</w:t>
            </w:r>
          </w:p>
        </w:tc>
      </w:tr>
    </w:tbl>
    <w:p w14:paraId="4DDD16C0" w14:textId="77777777" w:rsidR="0085033A" w:rsidRPr="000C7EAF" w:rsidRDefault="00000000">
      <w:pPr>
        <w:spacing w:before="60" w:after="320"/>
        <w:jc w:val="center"/>
        <w:rPr>
          <w:rFonts w:asciiTheme="minorHAnsi" w:hAnsiTheme="minorHAnsi"/>
          <w:sz w:val="24"/>
          <w:szCs w:val="24"/>
        </w:rPr>
      </w:pPr>
      <w:r w:rsidRPr="000C7EAF">
        <w:rPr>
          <w:rFonts w:asciiTheme="minorHAnsi" w:hAnsiTheme="minorHAnsi"/>
          <w:i/>
          <w:iCs/>
          <w:sz w:val="24"/>
          <w:szCs w:val="24"/>
        </w:rPr>
        <w:t xml:space="preserve">Table 1: Comparison of Candidate Frameworks and Their Relevance to </w:t>
      </w:r>
      <w:proofErr w:type="spellStart"/>
      <w:r w:rsidRPr="000C7EAF">
        <w:rPr>
          <w:rFonts w:asciiTheme="minorHAnsi" w:hAnsiTheme="minorHAnsi"/>
          <w:i/>
          <w:iCs/>
          <w:sz w:val="24"/>
          <w:szCs w:val="24"/>
        </w:rPr>
        <w:t>AeroLink</w:t>
      </w:r>
      <w:proofErr w:type="spellEnd"/>
      <w:r w:rsidRPr="000C7EAF">
        <w:rPr>
          <w:rFonts w:asciiTheme="minorHAnsi" w:hAnsiTheme="minorHAnsi"/>
          <w:i/>
          <w:iCs/>
          <w:sz w:val="24"/>
          <w:szCs w:val="24"/>
        </w:rPr>
        <w:t xml:space="preserve"> Logistics</w:t>
      </w:r>
    </w:p>
    <w:p w14:paraId="35BEAD7A" w14:textId="5CD563ED" w:rsidR="0085033A" w:rsidRPr="000C7EAF" w:rsidRDefault="00000000" w:rsidP="00B15736">
      <w:pPr>
        <w:pStyle w:val="Heading1"/>
        <w:rPr>
          <w:lang w:val="en-GB"/>
        </w:rPr>
      </w:pPr>
      <w:bookmarkStart w:id="7" w:name="_Toc236176815"/>
      <w:r w:rsidRPr="000C7EAF">
        <w:rPr>
          <w:lang w:val="en-GB"/>
        </w:rPr>
        <w:lastRenderedPageBreak/>
        <w:t xml:space="preserve">3. Proposed Design: An Integrated Approach for </w:t>
      </w:r>
      <w:proofErr w:type="spellStart"/>
      <w:r w:rsidRPr="000C7EAF">
        <w:rPr>
          <w:lang w:val="en-GB"/>
        </w:rPr>
        <w:t>AeroLink</w:t>
      </w:r>
      <w:proofErr w:type="spellEnd"/>
      <w:r w:rsidRPr="000C7EAF">
        <w:rPr>
          <w:lang w:val="en-GB"/>
        </w:rPr>
        <w:t xml:space="preserve"> Logistics</w:t>
      </w:r>
      <w:r w:rsidR="00B15736" w:rsidRPr="000C7EAF">
        <w:rPr>
          <w:lang w:val="en-GB"/>
        </w:rPr>
        <w:t>:</w:t>
      </w:r>
      <w:bookmarkEnd w:id="7"/>
    </w:p>
    <w:p w14:paraId="1785E583" w14:textId="77777777" w:rsidR="00EA2E36" w:rsidRDefault="00EA2E36" w:rsidP="00EA2E36">
      <w:pPr>
        <w:spacing w:after="200" w:line="300" w:lineRule="auto"/>
        <w:jc w:val="both"/>
        <w:rPr>
          <w:rFonts w:asciiTheme="minorHAnsi" w:hAnsiTheme="minorHAnsi"/>
          <w:sz w:val="24"/>
          <w:szCs w:val="24"/>
          <w:lang w:val="en-IN"/>
        </w:rPr>
      </w:pPr>
    </w:p>
    <w:p w14:paraId="0091391B" w14:textId="06C2816D" w:rsidR="00EA2E36" w:rsidRPr="00EA2E36" w:rsidRDefault="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 xml:space="preserve">This design layers the four frameworks discussed above—COBIT 2019 for board-level governance, NIST CSF 2.0 for risk-driven cybersecurity management, ISO/IEC 27001 for certifiable operational controls, and ITIL 4 for day-to-day service and vendor delivery—so that each </w:t>
      </w:r>
      <w:proofErr w:type="gramStart"/>
      <w:r w:rsidRPr="00EA2E36">
        <w:rPr>
          <w:rFonts w:asciiTheme="minorHAnsi" w:hAnsiTheme="minorHAnsi"/>
          <w:sz w:val="24"/>
          <w:szCs w:val="24"/>
          <w:lang w:val="en-IN"/>
        </w:rPr>
        <w:t>functions</w:t>
      </w:r>
      <w:proofErr w:type="gramEnd"/>
      <w:r w:rsidRPr="00EA2E36">
        <w:rPr>
          <w:rFonts w:asciiTheme="minorHAnsi" w:hAnsiTheme="minorHAnsi"/>
          <w:sz w:val="24"/>
          <w:szCs w:val="24"/>
          <w:lang w:val="en-IN"/>
        </w:rPr>
        <w:t xml:space="preserve"> at the level of the organization that best suits it.</w:t>
      </w:r>
    </w:p>
    <w:p w14:paraId="2DB4E7C2" w14:textId="102BBB99" w:rsidR="00B730D0" w:rsidRPr="000C7EAF" w:rsidRDefault="00B730D0" w:rsidP="00B730D0">
      <w:pPr>
        <w:spacing w:after="200" w:line="300" w:lineRule="auto"/>
        <w:ind w:left="720" w:firstLine="720"/>
        <w:jc w:val="both"/>
        <w:rPr>
          <w:rFonts w:asciiTheme="minorHAnsi" w:hAnsiTheme="minorHAnsi"/>
          <w:sz w:val="24"/>
          <w:szCs w:val="24"/>
        </w:rPr>
      </w:pPr>
      <w:r w:rsidRPr="000C7EAF">
        <w:rPr>
          <w:noProof/>
        </w:rPr>
        <w:drawing>
          <wp:inline distT="0" distB="0" distL="0" distR="0" wp14:anchorId="78C88B72" wp14:editId="409A9913">
            <wp:extent cx="4572000" cy="4000500"/>
            <wp:effectExtent l="0" t="0" r="0" b="0"/>
            <wp:docPr id="296714062" name="Picture 296714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4572000" cy="4000500"/>
                    </a:xfrm>
                    <a:prstGeom prst="rect">
                      <a:avLst/>
                    </a:prstGeom>
                  </pic:spPr>
                </pic:pic>
              </a:graphicData>
            </a:graphic>
          </wp:inline>
        </w:drawing>
      </w:r>
    </w:p>
    <w:p w14:paraId="1BCF7441" w14:textId="77777777" w:rsidR="0085033A" w:rsidRPr="000C7EAF" w:rsidRDefault="00000000">
      <w:pPr>
        <w:spacing w:before="200" w:after="60"/>
        <w:jc w:val="center"/>
        <w:rPr>
          <w:rFonts w:asciiTheme="minorHAnsi" w:hAnsiTheme="minorHAnsi"/>
          <w:sz w:val="24"/>
          <w:szCs w:val="24"/>
        </w:rPr>
      </w:pPr>
      <w:r w:rsidRPr="000C7EAF">
        <w:rPr>
          <w:rFonts w:asciiTheme="minorHAnsi" w:hAnsiTheme="minorHAnsi"/>
          <w:noProof/>
          <w:sz w:val="24"/>
          <w:szCs w:val="24"/>
        </w:rPr>
        <w:drawing>
          <wp:inline distT="0" distB="0" distL="0" distR="0" wp14:anchorId="5AE9A1CE" wp14:editId="4FF13945">
            <wp:extent cx="0" cy="0"/>
            <wp:effectExtent l="0" t="0" r="0" b="0"/>
            <wp:docPr id="308679342" name="Picture 308679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8"/>
                    <a:srcRect/>
                    <a:stretch>
                      <a:fillRect/>
                    </a:stretch>
                  </pic:blipFill>
                  <pic:spPr bwMode="auto">
                    <a:xfrm>
                      <a:off x="0" y="0"/>
                      <a:ext cx="0" cy="0"/>
                    </a:xfrm>
                    <a:prstGeom prst="rect">
                      <a:avLst/>
                    </a:prstGeom>
                  </pic:spPr>
                </pic:pic>
              </a:graphicData>
            </a:graphic>
          </wp:inline>
        </w:drawing>
      </w:r>
    </w:p>
    <w:p w14:paraId="00ABB29D" w14:textId="77777777" w:rsidR="0085033A" w:rsidRPr="000C7EAF" w:rsidRDefault="00000000">
      <w:pPr>
        <w:spacing w:before="60" w:after="320"/>
        <w:jc w:val="center"/>
        <w:rPr>
          <w:rFonts w:asciiTheme="minorHAnsi" w:hAnsiTheme="minorHAnsi"/>
          <w:sz w:val="24"/>
          <w:szCs w:val="24"/>
        </w:rPr>
      </w:pPr>
      <w:r w:rsidRPr="000C7EAF">
        <w:rPr>
          <w:rFonts w:asciiTheme="minorHAnsi" w:hAnsiTheme="minorHAnsi"/>
          <w:i/>
          <w:iCs/>
          <w:sz w:val="24"/>
          <w:szCs w:val="24"/>
        </w:rPr>
        <w:t xml:space="preserve">Figure 2: Proposed Integrated Governance Model for </w:t>
      </w:r>
      <w:proofErr w:type="spellStart"/>
      <w:r w:rsidRPr="000C7EAF">
        <w:rPr>
          <w:rFonts w:asciiTheme="minorHAnsi" w:hAnsiTheme="minorHAnsi"/>
          <w:i/>
          <w:iCs/>
          <w:sz w:val="24"/>
          <w:szCs w:val="24"/>
        </w:rPr>
        <w:t>AeroLink</w:t>
      </w:r>
      <w:proofErr w:type="spellEnd"/>
      <w:r w:rsidRPr="000C7EAF">
        <w:rPr>
          <w:rFonts w:asciiTheme="minorHAnsi" w:hAnsiTheme="minorHAnsi"/>
          <w:i/>
          <w:iCs/>
          <w:sz w:val="24"/>
          <w:szCs w:val="24"/>
        </w:rPr>
        <w:t xml:space="preserve"> Logistics</w:t>
      </w:r>
    </w:p>
    <w:p w14:paraId="55EFF212" w14:textId="32D10E4A" w:rsidR="0085033A" w:rsidRPr="000C7EAF" w:rsidRDefault="00000000" w:rsidP="00B15736">
      <w:pPr>
        <w:pStyle w:val="Heading2"/>
        <w:rPr>
          <w:lang w:val="en-GB"/>
        </w:rPr>
      </w:pPr>
      <w:bookmarkStart w:id="8" w:name="_Toc236176816"/>
      <w:r w:rsidRPr="000C7EAF">
        <w:rPr>
          <w:lang w:val="en-GB"/>
        </w:rPr>
        <w:t>3.1 Governance and Strategic Planning for Security</w:t>
      </w:r>
      <w:r w:rsidR="00B15736" w:rsidRPr="000C7EAF">
        <w:rPr>
          <w:lang w:val="en-GB"/>
        </w:rPr>
        <w:t>:</w:t>
      </w:r>
      <w:bookmarkEnd w:id="8"/>
    </w:p>
    <w:p w14:paraId="3C3258A0" w14:textId="77777777" w:rsidR="00B15736" w:rsidRPr="000C7EAF" w:rsidRDefault="00B15736" w:rsidP="00B15736">
      <w:pPr>
        <w:pStyle w:val="Heading2"/>
        <w:rPr>
          <w:lang w:val="en-GB"/>
        </w:rPr>
      </w:pPr>
    </w:p>
    <w:p w14:paraId="6316AA32" w14:textId="77777777" w:rsidR="00EA2E36" w:rsidRPr="00EA2E36" w:rsidRDefault="00EA2E36" w:rsidP="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A Board-level Information Security and Risk Committee that oversees resource allocation, assesses strategy, and tracks performance on a quarterly basis should be established by ALL using COBIT 2019's EDM domain. The coordination gap mentioned in the case should be closed by a CISO reporting directly to this committee with the help of a DPO. A three-year plan for ISO/IEC 27001 certification should be established by strategic planning, with NIST CSF 2.0 profiles serving as interim benchmarks. This investment is necessary since understaffed teams are closely linked to slower detection and response, and 52% of firms polled report having insufficient cybersecurity budgets [5].</w:t>
      </w:r>
    </w:p>
    <w:p w14:paraId="4111A01C" w14:textId="77777777" w:rsidR="00EA2E36" w:rsidRPr="000C7EAF" w:rsidRDefault="00EA2E36">
      <w:pPr>
        <w:spacing w:after="200" w:line="300" w:lineRule="auto"/>
        <w:jc w:val="both"/>
        <w:rPr>
          <w:rFonts w:asciiTheme="minorHAnsi" w:hAnsiTheme="minorHAnsi"/>
          <w:sz w:val="24"/>
          <w:szCs w:val="24"/>
        </w:rPr>
      </w:pPr>
    </w:p>
    <w:p w14:paraId="6F699867" w14:textId="727ECEA9" w:rsidR="0085033A" w:rsidRPr="000C7EAF" w:rsidRDefault="00000000" w:rsidP="00B15736">
      <w:pPr>
        <w:pStyle w:val="Heading2"/>
        <w:rPr>
          <w:lang w:val="en-GB"/>
        </w:rPr>
      </w:pPr>
      <w:bookmarkStart w:id="9" w:name="_Toc236176817"/>
      <w:r w:rsidRPr="000C7EAF">
        <w:rPr>
          <w:lang w:val="en-GB"/>
        </w:rPr>
        <w:lastRenderedPageBreak/>
        <w:t>3.2 Compliance (Laws and Ethics)</w:t>
      </w:r>
      <w:r w:rsidR="00B15736" w:rsidRPr="000C7EAF">
        <w:rPr>
          <w:lang w:val="en-GB"/>
        </w:rPr>
        <w:t>:</w:t>
      </w:r>
      <w:bookmarkEnd w:id="9"/>
    </w:p>
    <w:p w14:paraId="4332EF03" w14:textId="77777777" w:rsidR="00B15736" w:rsidRPr="000C7EAF" w:rsidRDefault="00B15736" w:rsidP="00B15736">
      <w:pPr>
        <w:pStyle w:val="Heading2"/>
        <w:rPr>
          <w:lang w:val="en-GB"/>
        </w:rPr>
      </w:pPr>
    </w:p>
    <w:p w14:paraId="219BF9E9" w14:textId="61D7B2FF" w:rsidR="00EA2E36" w:rsidRPr="00EA2E36" w:rsidRDefault="00EA2E36" w:rsidP="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 xml:space="preserve">Everywhere it handles the personal data of EU/UK citizens, ALL must abide by the GDPR in addition to comparable data protection regulations in other jurisdictions. The European Data Protection Board reported about €1.15 billion in cumulative GDPR fines issued in 2025 alone [6], and independent tracking reveals fines issued for failures spanning inadequate technical measures, insufficient transparency, and unlawful surveillance across sectors, including transport [7]. This indicates that enforcement in this area has intensified rather than eased. A compliance unit in the CISO's office should conduct Data Protection Impact Assessments (DPIAs) for new AI analytics use cases, keep a regulatory registry that links relevant legislation to </w:t>
      </w:r>
      <w:proofErr w:type="gramStart"/>
      <w:r w:rsidRPr="00EA2E36">
        <w:rPr>
          <w:rFonts w:asciiTheme="minorHAnsi" w:hAnsiTheme="minorHAnsi"/>
          <w:sz w:val="24"/>
          <w:szCs w:val="24"/>
          <w:lang w:val="en-IN"/>
        </w:rPr>
        <w:t>particular business</w:t>
      </w:r>
      <w:proofErr w:type="gramEnd"/>
      <w:r w:rsidRPr="00EA2E36">
        <w:rPr>
          <w:rFonts w:asciiTheme="minorHAnsi" w:hAnsiTheme="minorHAnsi"/>
          <w:sz w:val="24"/>
          <w:szCs w:val="24"/>
          <w:lang w:val="en-IN"/>
        </w:rPr>
        <w:t xml:space="preserve"> operations, and record legal justifications for processing.</w:t>
      </w:r>
      <w:r w:rsidRPr="00EA2E36">
        <w:rPr>
          <w:sz w:val="24"/>
          <w:szCs w:val="24"/>
          <w:lang w:val="en-IN"/>
        </w:rPr>
        <w:t xml:space="preserve"> </w:t>
      </w:r>
      <w:r w:rsidRPr="00EA2E36">
        <w:rPr>
          <w:rFonts w:asciiTheme="minorHAnsi" w:hAnsiTheme="minorHAnsi"/>
          <w:sz w:val="24"/>
          <w:szCs w:val="24"/>
          <w:lang w:val="en-IN"/>
        </w:rPr>
        <w:t>Instead of gathering data just because it is technically possible, ALL should ethically adopt data minimisation and purpose limiting for its IoT devices and AI models.</w:t>
      </w:r>
    </w:p>
    <w:p w14:paraId="7FCF01A6" w14:textId="11F8114A" w:rsidR="0085033A" w:rsidRPr="000C7EAF" w:rsidRDefault="00000000" w:rsidP="00B15736">
      <w:pPr>
        <w:pStyle w:val="Heading2"/>
        <w:rPr>
          <w:lang w:val="en-GB"/>
        </w:rPr>
      </w:pPr>
      <w:bookmarkStart w:id="10" w:name="_Toc236176818"/>
      <w:r w:rsidRPr="000C7EAF">
        <w:rPr>
          <w:lang w:val="en-GB"/>
        </w:rPr>
        <w:t>3.3 Security Policies and Procedures</w:t>
      </w:r>
      <w:r w:rsidR="00B15736" w:rsidRPr="000C7EAF">
        <w:rPr>
          <w:lang w:val="en-GB"/>
        </w:rPr>
        <w:t>:</w:t>
      </w:r>
      <w:bookmarkEnd w:id="10"/>
    </w:p>
    <w:p w14:paraId="4BF9FCCC" w14:textId="77777777" w:rsidR="00EA2E36" w:rsidRDefault="00EA2E36" w:rsidP="00EA2E36">
      <w:pPr>
        <w:spacing w:after="200" w:line="300" w:lineRule="auto"/>
        <w:jc w:val="both"/>
        <w:rPr>
          <w:rFonts w:asciiTheme="minorHAnsi" w:hAnsiTheme="minorHAnsi"/>
          <w:sz w:val="24"/>
          <w:szCs w:val="24"/>
          <w:lang w:val="en-IN"/>
        </w:rPr>
      </w:pPr>
    </w:p>
    <w:p w14:paraId="16F706BD" w14:textId="5063E956" w:rsidR="00EA2E36" w:rsidRPr="00EA2E36" w:rsidRDefault="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A Board-approved information security policy should be at the top of the hierarchy, followed by operating procedures that are in line with ISO/IEC 27001 Annex A, supporting requirements for encryption, access control, permitted usage, and remote/unmanaged-device access. A BYOD standard that requires baseline endpoint protection, required MFA, and conditional access before any unmanaged device can access internal apps is crucial given the case's focus on unmanaged devices.</w:t>
      </w:r>
    </w:p>
    <w:p w14:paraId="035916B3" w14:textId="5D61E813" w:rsidR="0085033A" w:rsidRPr="000C7EAF" w:rsidRDefault="00000000" w:rsidP="00B15736">
      <w:pPr>
        <w:pStyle w:val="Heading2"/>
        <w:rPr>
          <w:lang w:val="en-GB"/>
        </w:rPr>
      </w:pPr>
      <w:bookmarkStart w:id="11" w:name="_Toc236176819"/>
      <w:r w:rsidRPr="000C7EAF">
        <w:rPr>
          <w:lang w:val="en-GB"/>
        </w:rPr>
        <w:t>3.4 Risk Management and Assessment</w:t>
      </w:r>
      <w:r w:rsidR="00B15736" w:rsidRPr="000C7EAF">
        <w:rPr>
          <w:lang w:val="en-GB"/>
        </w:rPr>
        <w:t>:</w:t>
      </w:r>
      <w:bookmarkEnd w:id="11"/>
    </w:p>
    <w:p w14:paraId="29FE3503" w14:textId="77777777" w:rsidR="00B15736" w:rsidRPr="000C7EAF" w:rsidRDefault="00B15736" w:rsidP="00B15736">
      <w:pPr>
        <w:pStyle w:val="Heading2"/>
        <w:rPr>
          <w:lang w:val="en-GB"/>
        </w:rPr>
      </w:pPr>
    </w:p>
    <w:p w14:paraId="4B8C3B82" w14:textId="392BD607" w:rsidR="00EA2E36" w:rsidRPr="00EA2E36" w:rsidRDefault="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Everyone should use NIST CSF 2.0. Determine how to create an asset inventory that includes cloud workloads, IoT sensors, and third-party data flows. Then, use a recognised approach to rate each asset's impact and likelihood. Supply chain risk should be evaluated as a separate category because 88% of infrastructure is outsourced. This is in line with NIST's specific recommendation, which calls for ongoing supplier relationship monitoring as opposed to a one-time onboarding check [2]. Supply chain compromise was listed as one of the top cybersecurity risks confronting the EU in 2024 [4], so this makes sense. Decisions about contract renewal and procurement should be directly influenced by vendor risk scores.</w:t>
      </w:r>
    </w:p>
    <w:p w14:paraId="25EC41E9" w14:textId="664433FE" w:rsidR="0085033A" w:rsidRPr="000C7EAF" w:rsidRDefault="00000000" w:rsidP="00B15736">
      <w:pPr>
        <w:pStyle w:val="Heading2"/>
        <w:rPr>
          <w:lang w:val="en-GB"/>
        </w:rPr>
      </w:pPr>
      <w:bookmarkStart w:id="12" w:name="_Toc236176820"/>
      <w:r w:rsidRPr="000C7EAF">
        <w:rPr>
          <w:lang w:val="en-GB"/>
        </w:rPr>
        <w:t>3.5 Security Management Models and Practices</w:t>
      </w:r>
      <w:r w:rsidR="00B15736" w:rsidRPr="000C7EAF">
        <w:rPr>
          <w:lang w:val="en-GB"/>
        </w:rPr>
        <w:t>:</w:t>
      </w:r>
      <w:bookmarkEnd w:id="12"/>
    </w:p>
    <w:p w14:paraId="6BEE1893" w14:textId="77777777" w:rsidR="00B15736" w:rsidRPr="000C7EAF" w:rsidRDefault="00B15736" w:rsidP="00B15736">
      <w:pPr>
        <w:pStyle w:val="Heading2"/>
        <w:rPr>
          <w:lang w:val="en-GB"/>
        </w:rPr>
      </w:pPr>
    </w:p>
    <w:p w14:paraId="7D19788E" w14:textId="5395F0C0" w:rsidR="00EA2E36" w:rsidRPr="00EA2E36" w:rsidRDefault="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 xml:space="preserve">Given ALL's remote and multi-vendor operational style, a </w:t>
      </w:r>
      <w:proofErr w:type="spellStart"/>
      <w:r w:rsidRPr="00EA2E36">
        <w:rPr>
          <w:rFonts w:asciiTheme="minorHAnsi" w:hAnsiTheme="minorHAnsi"/>
          <w:sz w:val="24"/>
          <w:szCs w:val="24"/>
          <w:lang w:val="en-IN"/>
        </w:rPr>
        <w:t>defense</w:t>
      </w:r>
      <w:proofErr w:type="spellEnd"/>
      <w:r w:rsidRPr="00EA2E36">
        <w:rPr>
          <w:rFonts w:asciiTheme="minorHAnsi" w:hAnsiTheme="minorHAnsi"/>
          <w:sz w:val="24"/>
          <w:szCs w:val="24"/>
          <w:lang w:val="en-IN"/>
        </w:rPr>
        <w:t xml:space="preserve">-in-depth approach that combines network segmentation, encryption in transit and at rest, and a Zero Trust access philosophy (verify explicitly, least-privilege access, presume breach) is advised. Identity, devices, networks, applications and workloads, and data are the five pillars that make up CISA's Zero Trust Maturity Model, version 2.0, which is evaluated at conventional, initial, advanced, and optimal maturity stages [3]. Since it eliminates the presumption that anything inside the </w:t>
      </w:r>
      <w:r w:rsidRPr="00EA2E36">
        <w:rPr>
          <w:rFonts w:asciiTheme="minorHAnsi" w:hAnsiTheme="minorHAnsi"/>
          <w:sz w:val="24"/>
          <w:szCs w:val="24"/>
          <w:lang w:val="en-IN"/>
        </w:rPr>
        <w:lastRenderedPageBreak/>
        <w:t xml:space="preserve">perimeter can be trusted by default, Zero Trust is especially well-suited to an organization where partners, suppliers, and employees connect from unmanaged devices across time zones. </w:t>
      </w:r>
      <w:proofErr w:type="gramStart"/>
      <w:r w:rsidRPr="00EA2E36">
        <w:rPr>
          <w:rFonts w:asciiTheme="minorHAnsi" w:hAnsiTheme="minorHAnsi"/>
          <w:sz w:val="24"/>
          <w:szCs w:val="24"/>
          <w:lang w:val="en-IN"/>
        </w:rPr>
        <w:t>ALL</w:t>
      </w:r>
      <w:proofErr w:type="gramEnd"/>
      <w:r w:rsidRPr="00EA2E36">
        <w:rPr>
          <w:rFonts w:asciiTheme="minorHAnsi" w:hAnsiTheme="minorHAnsi"/>
          <w:sz w:val="24"/>
          <w:szCs w:val="24"/>
          <w:lang w:val="en-IN"/>
        </w:rPr>
        <w:t xml:space="preserve"> should start by focusing on the identity and device pillars since they are most directly related to the case's description of unauthorised access.</w:t>
      </w:r>
    </w:p>
    <w:p w14:paraId="3EF1BE90" w14:textId="2831B950" w:rsidR="0085033A" w:rsidRPr="000C7EAF" w:rsidRDefault="00000000" w:rsidP="00B15736">
      <w:pPr>
        <w:pStyle w:val="Heading2"/>
        <w:rPr>
          <w:lang w:val="en-GB"/>
        </w:rPr>
      </w:pPr>
      <w:bookmarkStart w:id="13" w:name="_Toc236176821"/>
      <w:r w:rsidRPr="000C7EAF">
        <w:rPr>
          <w:lang w:val="en-GB"/>
        </w:rPr>
        <w:t>3.6 Contingency and Business Continuity Planning</w:t>
      </w:r>
      <w:r w:rsidR="00B15736" w:rsidRPr="000C7EAF">
        <w:rPr>
          <w:lang w:val="en-GB"/>
        </w:rPr>
        <w:t>:</w:t>
      </w:r>
      <w:bookmarkEnd w:id="13"/>
    </w:p>
    <w:p w14:paraId="490C37AB" w14:textId="77777777" w:rsidR="00B15736" w:rsidRPr="000C7EAF" w:rsidRDefault="00B15736" w:rsidP="00B15736">
      <w:pPr>
        <w:pStyle w:val="Heading2"/>
        <w:rPr>
          <w:lang w:val="en-GB"/>
        </w:rPr>
      </w:pPr>
    </w:p>
    <w:p w14:paraId="3C060678" w14:textId="1689973C" w:rsidR="00EA2E36" w:rsidRPr="00EA2E36" w:rsidRDefault="00EA2E36">
      <w:pPr>
        <w:spacing w:after="200" w:line="300" w:lineRule="auto"/>
        <w:jc w:val="both"/>
        <w:rPr>
          <w:rFonts w:asciiTheme="minorHAnsi" w:hAnsiTheme="minorHAnsi"/>
          <w:sz w:val="24"/>
          <w:szCs w:val="24"/>
          <w:lang w:val="en-IN"/>
        </w:rPr>
      </w:pPr>
      <w:r w:rsidRPr="00EA2E36">
        <w:rPr>
          <w:rFonts w:asciiTheme="minorHAnsi" w:hAnsiTheme="minorHAnsi"/>
          <w:sz w:val="24"/>
          <w:szCs w:val="24"/>
          <w:lang w:val="en-IN"/>
        </w:rPr>
        <w:t>With agreed-upon Recovery Time and Point Objectives for every crucial logistics service, ALL should create a Business Continuity Plan (BCP) and Disaster Recovery Plan (DRP) that addresses ransomware situations, vendor outages, and cloud connectivity loss. According to the ISO/IEC 27001 continuity requirement and the Recover function of NIST CSF 2.0 [1], annual tabletop exercises and at least one live failover test should confirm that recovery assumptions are valid.</w:t>
      </w:r>
    </w:p>
    <w:p w14:paraId="393956A2" w14:textId="74C06D17" w:rsidR="0085033A" w:rsidRPr="000C7EAF" w:rsidRDefault="00000000" w:rsidP="00B15736">
      <w:pPr>
        <w:pStyle w:val="Heading2"/>
        <w:rPr>
          <w:lang w:val="en-GB"/>
        </w:rPr>
      </w:pPr>
      <w:bookmarkStart w:id="14" w:name="_Toc236176822"/>
      <w:r w:rsidRPr="000C7EAF">
        <w:rPr>
          <w:lang w:val="en-GB"/>
        </w:rPr>
        <w:t>3.7 Protection Mechanisms and Access Controls</w:t>
      </w:r>
      <w:r w:rsidR="00B15736" w:rsidRPr="000C7EAF">
        <w:rPr>
          <w:lang w:val="en-GB"/>
        </w:rPr>
        <w:t>:</w:t>
      </w:r>
      <w:bookmarkEnd w:id="14"/>
    </w:p>
    <w:p w14:paraId="5B24DF63" w14:textId="77777777" w:rsidR="00B15736" w:rsidRPr="000C7EAF" w:rsidRDefault="00B15736" w:rsidP="00B15736">
      <w:pPr>
        <w:pStyle w:val="Heading2"/>
        <w:rPr>
          <w:lang w:val="en-GB"/>
        </w:rPr>
      </w:pPr>
    </w:p>
    <w:p w14:paraId="04886F34" w14:textId="77777777" w:rsidR="00D94E3D" w:rsidRPr="00D94E3D" w:rsidRDefault="00D94E3D" w:rsidP="00D94E3D">
      <w:pPr>
        <w:spacing w:after="200" w:line="300" w:lineRule="auto"/>
        <w:jc w:val="both"/>
        <w:rPr>
          <w:rFonts w:asciiTheme="minorHAnsi" w:hAnsiTheme="minorHAnsi"/>
          <w:sz w:val="24"/>
          <w:szCs w:val="24"/>
          <w:lang w:val="en-IN"/>
        </w:rPr>
      </w:pPr>
      <w:r w:rsidRPr="00D94E3D">
        <w:rPr>
          <w:rFonts w:asciiTheme="minorHAnsi" w:hAnsiTheme="minorHAnsi"/>
          <w:sz w:val="24"/>
          <w:szCs w:val="24"/>
          <w:lang w:val="en-IN"/>
        </w:rPr>
        <w:t>Baseline controls should include encryption of PII and shipping data both in transit and at rest, role-based access control, and MFA for all remote and privileged access. IoT sensor communication should be separated from corporate IT networks and authenticated at the device level to lessen the possibility that a compromised tracking sensor may find its way into vital systems.</w:t>
      </w:r>
    </w:p>
    <w:p w14:paraId="12A17484" w14:textId="77777777" w:rsidR="00D94E3D" w:rsidRPr="00EA2E36" w:rsidRDefault="00D94E3D" w:rsidP="00EA2E36">
      <w:pPr>
        <w:spacing w:after="200" w:line="300" w:lineRule="auto"/>
        <w:jc w:val="both"/>
        <w:rPr>
          <w:rFonts w:asciiTheme="minorHAnsi" w:hAnsiTheme="minorHAnsi"/>
          <w:sz w:val="24"/>
          <w:szCs w:val="24"/>
        </w:rPr>
      </w:pPr>
    </w:p>
    <w:p w14:paraId="6895AA92" w14:textId="545316F2" w:rsidR="0085033A" w:rsidRPr="000C7EAF" w:rsidRDefault="00000000" w:rsidP="00A76C5B">
      <w:pPr>
        <w:pStyle w:val="Heading2"/>
        <w:rPr>
          <w:lang w:val="en-GB"/>
        </w:rPr>
      </w:pPr>
      <w:bookmarkStart w:id="15" w:name="_Toc236176823"/>
      <w:r w:rsidRPr="000C7EAF">
        <w:rPr>
          <w:lang w:val="en-GB"/>
        </w:rPr>
        <w:t>3.8 Vendor and Service Level Agreement (SLA) Management</w:t>
      </w:r>
      <w:r w:rsidR="00B15736" w:rsidRPr="000C7EAF">
        <w:rPr>
          <w:lang w:val="en-GB"/>
        </w:rPr>
        <w:t>:</w:t>
      </w:r>
      <w:bookmarkEnd w:id="15"/>
    </w:p>
    <w:p w14:paraId="688897F1" w14:textId="77777777" w:rsidR="00A76C5B" w:rsidRPr="000C7EAF" w:rsidRDefault="00A76C5B" w:rsidP="00A76C5B">
      <w:pPr>
        <w:pStyle w:val="Heading2"/>
        <w:rPr>
          <w:lang w:val="en-GB"/>
        </w:rPr>
      </w:pPr>
    </w:p>
    <w:p w14:paraId="34330DD4" w14:textId="77777777" w:rsidR="00D94E3D" w:rsidRPr="00D94E3D" w:rsidRDefault="00D94E3D" w:rsidP="00D94E3D">
      <w:pPr>
        <w:spacing w:after="200" w:line="300" w:lineRule="auto"/>
        <w:jc w:val="both"/>
        <w:rPr>
          <w:rFonts w:asciiTheme="minorHAnsi" w:hAnsiTheme="minorHAnsi"/>
          <w:sz w:val="24"/>
          <w:szCs w:val="24"/>
          <w:lang w:val="en-IN"/>
        </w:rPr>
      </w:pPr>
      <w:r w:rsidRPr="00D94E3D">
        <w:rPr>
          <w:rFonts w:asciiTheme="minorHAnsi" w:hAnsiTheme="minorHAnsi"/>
          <w:sz w:val="24"/>
          <w:szCs w:val="24"/>
          <w:lang w:val="en-IN"/>
        </w:rPr>
        <w:t xml:space="preserve">Vendor governance is essential to ALL's design because </w:t>
      </w:r>
      <w:proofErr w:type="gramStart"/>
      <w:r w:rsidRPr="00D94E3D">
        <w:rPr>
          <w:rFonts w:asciiTheme="minorHAnsi" w:hAnsiTheme="minorHAnsi"/>
          <w:sz w:val="24"/>
          <w:szCs w:val="24"/>
          <w:lang w:val="en-IN"/>
        </w:rPr>
        <w:t>the majority of</w:t>
      </w:r>
      <w:proofErr w:type="gramEnd"/>
      <w:r w:rsidRPr="00D94E3D">
        <w:rPr>
          <w:rFonts w:asciiTheme="minorHAnsi" w:hAnsiTheme="minorHAnsi"/>
          <w:sz w:val="24"/>
          <w:szCs w:val="24"/>
          <w:lang w:val="en-IN"/>
        </w:rPr>
        <w:t xml:space="preserve"> its infrastructure is outsourced. In accordance with current guidelines treating third-party dependencies as a continuously monitored risk category rather than a one-time procurement checkbox, contracts should specify security SLAs (patching timescales, breach notification windows, right-to-audit clauses), and vendors should be tiered by criticality and data sensitivity, with higher tiers subject to independent assurance evidence such as ISO/IEC 27001 or SOC 2 reports [2], [4]. </w:t>
      </w:r>
      <w:proofErr w:type="gramStart"/>
      <w:r w:rsidRPr="00D94E3D">
        <w:rPr>
          <w:rFonts w:asciiTheme="minorHAnsi" w:hAnsiTheme="minorHAnsi"/>
          <w:sz w:val="24"/>
          <w:szCs w:val="24"/>
          <w:lang w:val="en-IN"/>
        </w:rPr>
        <w:t>In order to</w:t>
      </w:r>
      <w:proofErr w:type="gramEnd"/>
      <w:r w:rsidRPr="00D94E3D">
        <w:rPr>
          <w:rFonts w:asciiTheme="minorHAnsi" w:hAnsiTheme="minorHAnsi"/>
          <w:sz w:val="24"/>
          <w:szCs w:val="24"/>
          <w:lang w:val="en-IN"/>
        </w:rPr>
        <w:t xml:space="preserve"> address the case's concern with vendor accountability, Table 2 suggests a RACI (Responsible, Accountable, Consulted, Informed) matrix that clarifies ownership across the Board, CISO/DPO, IT/SOC teams, and suppliers.</w:t>
      </w:r>
    </w:p>
    <w:p w14:paraId="386E2D2B" w14:textId="77777777" w:rsidR="00D94E3D" w:rsidRDefault="00D94E3D">
      <w:pPr>
        <w:spacing w:after="200" w:line="300" w:lineRule="auto"/>
        <w:jc w:val="both"/>
        <w:rPr>
          <w:rFonts w:asciiTheme="minorHAnsi" w:hAnsiTheme="minorHAnsi"/>
          <w:sz w:val="24"/>
          <w:szCs w:val="24"/>
        </w:rPr>
      </w:pPr>
    </w:p>
    <w:p w14:paraId="4E7036DD" w14:textId="77777777" w:rsidR="008264BC" w:rsidRDefault="008264BC">
      <w:pPr>
        <w:spacing w:after="200" w:line="300" w:lineRule="auto"/>
        <w:jc w:val="both"/>
        <w:rPr>
          <w:rFonts w:asciiTheme="minorHAnsi" w:hAnsiTheme="minorHAnsi"/>
          <w:sz w:val="24"/>
          <w:szCs w:val="24"/>
        </w:rPr>
      </w:pPr>
    </w:p>
    <w:p w14:paraId="66BCA455" w14:textId="77777777" w:rsidR="008264BC" w:rsidRDefault="008264BC">
      <w:pPr>
        <w:spacing w:after="200" w:line="300" w:lineRule="auto"/>
        <w:jc w:val="both"/>
        <w:rPr>
          <w:rFonts w:asciiTheme="minorHAnsi" w:hAnsiTheme="minorHAnsi"/>
          <w:sz w:val="24"/>
          <w:szCs w:val="24"/>
        </w:rPr>
      </w:pPr>
    </w:p>
    <w:p w14:paraId="0D0ACDF2" w14:textId="77777777" w:rsidR="008264BC" w:rsidRDefault="008264BC">
      <w:pPr>
        <w:spacing w:after="200" w:line="300" w:lineRule="auto"/>
        <w:jc w:val="both"/>
        <w:rPr>
          <w:rFonts w:asciiTheme="minorHAnsi" w:hAnsiTheme="minorHAnsi"/>
          <w:sz w:val="24"/>
          <w:szCs w:val="24"/>
        </w:rPr>
      </w:pPr>
    </w:p>
    <w:p w14:paraId="6DB657B8" w14:textId="77777777" w:rsidR="008264BC" w:rsidRPr="000C7EAF" w:rsidRDefault="008264BC">
      <w:pPr>
        <w:spacing w:after="200" w:line="300" w:lineRule="auto"/>
        <w:jc w:val="both"/>
        <w:rPr>
          <w:rFonts w:asciiTheme="minorHAnsi" w:hAnsiTheme="minorHAnsi"/>
          <w:sz w:val="24"/>
          <w:szCs w:val="24"/>
        </w:rPr>
      </w:pPr>
    </w:p>
    <w:tbl>
      <w:tblPr>
        <w:tblW w:w="9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1650"/>
        <w:gridCol w:w="1650"/>
        <w:gridCol w:w="1650"/>
        <w:gridCol w:w="1650"/>
      </w:tblGrid>
      <w:tr w:rsidR="0085033A" w:rsidRPr="000C7EAF" w14:paraId="15004F6B" w14:textId="77777777">
        <w:tc>
          <w:tcPr>
            <w:tcW w:w="3000" w:type="dxa"/>
            <w:shd w:val="clear" w:color="auto" w:fill="1B3A4B"/>
            <w:tcMar>
              <w:top w:w="100" w:type="dxa"/>
              <w:left w:w="120" w:type="dxa"/>
              <w:bottom w:w="100" w:type="dxa"/>
              <w:right w:w="120" w:type="dxa"/>
            </w:tcMar>
          </w:tcPr>
          <w:p w14:paraId="15745B7A"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lastRenderedPageBreak/>
              <w:t>Security Activity</w:t>
            </w:r>
          </w:p>
        </w:tc>
        <w:tc>
          <w:tcPr>
            <w:tcW w:w="1650" w:type="dxa"/>
            <w:shd w:val="clear" w:color="auto" w:fill="1B3A4B"/>
            <w:tcMar>
              <w:top w:w="100" w:type="dxa"/>
              <w:left w:w="120" w:type="dxa"/>
              <w:bottom w:w="100" w:type="dxa"/>
              <w:right w:w="120" w:type="dxa"/>
            </w:tcMar>
          </w:tcPr>
          <w:p w14:paraId="2BE6058D"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Board / Exec</w:t>
            </w:r>
          </w:p>
        </w:tc>
        <w:tc>
          <w:tcPr>
            <w:tcW w:w="1650" w:type="dxa"/>
            <w:shd w:val="clear" w:color="auto" w:fill="1B3A4B"/>
            <w:tcMar>
              <w:top w:w="100" w:type="dxa"/>
              <w:left w:w="120" w:type="dxa"/>
              <w:bottom w:w="100" w:type="dxa"/>
              <w:right w:w="120" w:type="dxa"/>
            </w:tcMar>
          </w:tcPr>
          <w:p w14:paraId="326FCED6"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CISO / DPO</w:t>
            </w:r>
          </w:p>
        </w:tc>
        <w:tc>
          <w:tcPr>
            <w:tcW w:w="1650" w:type="dxa"/>
            <w:shd w:val="clear" w:color="auto" w:fill="1B3A4B"/>
            <w:tcMar>
              <w:top w:w="100" w:type="dxa"/>
              <w:left w:w="120" w:type="dxa"/>
              <w:bottom w:w="100" w:type="dxa"/>
              <w:right w:w="120" w:type="dxa"/>
            </w:tcMar>
          </w:tcPr>
          <w:p w14:paraId="065EAEB4"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IT / SOC Team</w:t>
            </w:r>
          </w:p>
        </w:tc>
        <w:tc>
          <w:tcPr>
            <w:tcW w:w="1650" w:type="dxa"/>
            <w:shd w:val="clear" w:color="auto" w:fill="1B3A4B"/>
            <w:tcMar>
              <w:top w:w="100" w:type="dxa"/>
              <w:left w:w="120" w:type="dxa"/>
              <w:bottom w:w="100" w:type="dxa"/>
              <w:right w:w="120" w:type="dxa"/>
            </w:tcMar>
          </w:tcPr>
          <w:p w14:paraId="7960E363" w14:textId="77777777" w:rsidR="0085033A" w:rsidRPr="000C7EAF" w:rsidRDefault="00000000">
            <w:pPr>
              <w:rPr>
                <w:rFonts w:asciiTheme="minorHAnsi" w:hAnsiTheme="minorHAnsi"/>
                <w:sz w:val="24"/>
                <w:szCs w:val="24"/>
              </w:rPr>
            </w:pPr>
            <w:r w:rsidRPr="000C7EAF">
              <w:rPr>
                <w:rFonts w:asciiTheme="minorHAnsi" w:hAnsiTheme="minorHAnsi"/>
                <w:b/>
                <w:bCs/>
                <w:color w:val="FFFFFF"/>
                <w:sz w:val="24"/>
                <w:szCs w:val="24"/>
              </w:rPr>
              <w:t>Vendors</w:t>
            </w:r>
          </w:p>
        </w:tc>
      </w:tr>
      <w:tr w:rsidR="0085033A" w:rsidRPr="000C7EAF" w14:paraId="07BF08CE" w14:textId="77777777">
        <w:tc>
          <w:tcPr>
            <w:tcW w:w="3000" w:type="dxa"/>
            <w:shd w:val="clear" w:color="auto" w:fill="EDF1F3"/>
            <w:tcMar>
              <w:top w:w="90" w:type="dxa"/>
              <w:left w:w="120" w:type="dxa"/>
              <w:bottom w:w="90" w:type="dxa"/>
              <w:right w:w="120" w:type="dxa"/>
            </w:tcMar>
          </w:tcPr>
          <w:p w14:paraId="47F3787D" w14:textId="77777777" w:rsidR="0085033A" w:rsidRPr="000C7EAF" w:rsidRDefault="00000000">
            <w:pPr>
              <w:rPr>
                <w:rFonts w:asciiTheme="minorHAnsi" w:hAnsiTheme="minorHAnsi"/>
                <w:sz w:val="24"/>
                <w:szCs w:val="24"/>
              </w:rPr>
            </w:pPr>
            <w:r w:rsidRPr="000C7EAF">
              <w:rPr>
                <w:rFonts w:asciiTheme="minorHAnsi" w:hAnsiTheme="minorHAnsi"/>
                <w:sz w:val="24"/>
                <w:szCs w:val="24"/>
              </w:rPr>
              <w:t>Set risk appetite &amp; security strategy</w:t>
            </w:r>
          </w:p>
        </w:tc>
        <w:tc>
          <w:tcPr>
            <w:tcW w:w="1650" w:type="dxa"/>
            <w:shd w:val="clear" w:color="auto" w:fill="EDF1F3"/>
            <w:tcMar>
              <w:top w:w="90" w:type="dxa"/>
              <w:left w:w="120" w:type="dxa"/>
              <w:bottom w:w="90" w:type="dxa"/>
              <w:right w:w="120" w:type="dxa"/>
            </w:tcMar>
          </w:tcPr>
          <w:p w14:paraId="62622B39"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shd w:val="clear" w:color="auto" w:fill="EDF1F3"/>
            <w:tcMar>
              <w:top w:w="90" w:type="dxa"/>
              <w:left w:w="120" w:type="dxa"/>
              <w:bottom w:w="90" w:type="dxa"/>
              <w:right w:w="120" w:type="dxa"/>
            </w:tcMar>
          </w:tcPr>
          <w:p w14:paraId="6B212569"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shd w:val="clear" w:color="auto" w:fill="EDF1F3"/>
            <w:tcMar>
              <w:top w:w="90" w:type="dxa"/>
              <w:left w:w="120" w:type="dxa"/>
              <w:bottom w:w="90" w:type="dxa"/>
              <w:right w:w="120" w:type="dxa"/>
            </w:tcMar>
          </w:tcPr>
          <w:p w14:paraId="71A52913"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c>
          <w:tcPr>
            <w:tcW w:w="1650" w:type="dxa"/>
            <w:shd w:val="clear" w:color="auto" w:fill="EDF1F3"/>
            <w:tcMar>
              <w:top w:w="90" w:type="dxa"/>
              <w:left w:w="120" w:type="dxa"/>
              <w:bottom w:w="90" w:type="dxa"/>
              <w:right w:w="120" w:type="dxa"/>
            </w:tcMar>
          </w:tcPr>
          <w:p w14:paraId="6825A886" w14:textId="77777777" w:rsidR="0085033A" w:rsidRPr="000C7EAF" w:rsidRDefault="00000000">
            <w:pPr>
              <w:rPr>
                <w:rFonts w:asciiTheme="minorHAnsi" w:hAnsiTheme="minorHAnsi"/>
                <w:sz w:val="24"/>
                <w:szCs w:val="24"/>
              </w:rPr>
            </w:pPr>
            <w:r w:rsidRPr="000C7EAF">
              <w:rPr>
                <w:rFonts w:asciiTheme="minorHAnsi" w:hAnsiTheme="minorHAnsi"/>
                <w:sz w:val="24"/>
                <w:szCs w:val="24"/>
              </w:rPr>
              <w:t>I</w:t>
            </w:r>
          </w:p>
        </w:tc>
      </w:tr>
      <w:tr w:rsidR="0085033A" w:rsidRPr="000C7EAF" w14:paraId="74A550EB" w14:textId="77777777">
        <w:tc>
          <w:tcPr>
            <w:tcW w:w="3000" w:type="dxa"/>
            <w:tcMar>
              <w:top w:w="90" w:type="dxa"/>
              <w:left w:w="120" w:type="dxa"/>
              <w:bottom w:w="90" w:type="dxa"/>
              <w:right w:w="120" w:type="dxa"/>
            </w:tcMar>
          </w:tcPr>
          <w:p w14:paraId="46C17E6F" w14:textId="77777777" w:rsidR="0085033A" w:rsidRPr="000C7EAF" w:rsidRDefault="00000000">
            <w:pPr>
              <w:rPr>
                <w:rFonts w:asciiTheme="minorHAnsi" w:hAnsiTheme="minorHAnsi"/>
                <w:sz w:val="24"/>
                <w:szCs w:val="24"/>
              </w:rPr>
            </w:pPr>
            <w:r w:rsidRPr="000C7EAF">
              <w:rPr>
                <w:rFonts w:asciiTheme="minorHAnsi" w:hAnsiTheme="minorHAnsi"/>
                <w:sz w:val="24"/>
                <w:szCs w:val="24"/>
              </w:rPr>
              <w:t>GDPR / ISO 27001 compliance audits</w:t>
            </w:r>
          </w:p>
        </w:tc>
        <w:tc>
          <w:tcPr>
            <w:tcW w:w="1650" w:type="dxa"/>
            <w:tcMar>
              <w:top w:w="90" w:type="dxa"/>
              <w:left w:w="120" w:type="dxa"/>
              <w:bottom w:w="90" w:type="dxa"/>
              <w:right w:w="120" w:type="dxa"/>
            </w:tcMar>
          </w:tcPr>
          <w:p w14:paraId="081C39A0"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tcMar>
              <w:top w:w="90" w:type="dxa"/>
              <w:left w:w="120" w:type="dxa"/>
              <w:bottom w:w="90" w:type="dxa"/>
              <w:right w:w="120" w:type="dxa"/>
            </w:tcMar>
          </w:tcPr>
          <w:p w14:paraId="3DDB65AC"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tcMar>
              <w:top w:w="90" w:type="dxa"/>
              <w:left w:w="120" w:type="dxa"/>
              <w:bottom w:w="90" w:type="dxa"/>
              <w:right w:w="120" w:type="dxa"/>
            </w:tcMar>
          </w:tcPr>
          <w:p w14:paraId="24D85A51"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c>
          <w:tcPr>
            <w:tcW w:w="1650" w:type="dxa"/>
            <w:tcMar>
              <w:top w:w="90" w:type="dxa"/>
              <w:left w:w="120" w:type="dxa"/>
              <w:bottom w:w="90" w:type="dxa"/>
              <w:right w:w="120" w:type="dxa"/>
            </w:tcMar>
          </w:tcPr>
          <w:p w14:paraId="1B0D9F4F"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r>
      <w:tr w:rsidR="0085033A" w:rsidRPr="000C7EAF" w14:paraId="39A77D25" w14:textId="77777777">
        <w:tc>
          <w:tcPr>
            <w:tcW w:w="3000" w:type="dxa"/>
            <w:shd w:val="clear" w:color="auto" w:fill="EDF1F3"/>
            <w:tcMar>
              <w:top w:w="90" w:type="dxa"/>
              <w:left w:w="120" w:type="dxa"/>
              <w:bottom w:w="90" w:type="dxa"/>
              <w:right w:w="120" w:type="dxa"/>
            </w:tcMar>
          </w:tcPr>
          <w:p w14:paraId="051E428F" w14:textId="77777777" w:rsidR="0085033A" w:rsidRPr="000C7EAF" w:rsidRDefault="00000000">
            <w:pPr>
              <w:rPr>
                <w:rFonts w:asciiTheme="minorHAnsi" w:hAnsiTheme="minorHAnsi"/>
                <w:sz w:val="24"/>
                <w:szCs w:val="24"/>
              </w:rPr>
            </w:pPr>
            <w:r w:rsidRPr="000C7EAF">
              <w:rPr>
                <w:rFonts w:asciiTheme="minorHAnsi" w:hAnsiTheme="minorHAnsi"/>
                <w:sz w:val="24"/>
                <w:szCs w:val="24"/>
              </w:rPr>
              <w:t>Access control &amp; identity management</w:t>
            </w:r>
          </w:p>
        </w:tc>
        <w:tc>
          <w:tcPr>
            <w:tcW w:w="1650" w:type="dxa"/>
            <w:shd w:val="clear" w:color="auto" w:fill="EDF1F3"/>
            <w:tcMar>
              <w:top w:w="90" w:type="dxa"/>
              <w:left w:w="120" w:type="dxa"/>
              <w:bottom w:w="90" w:type="dxa"/>
              <w:right w:w="120" w:type="dxa"/>
            </w:tcMar>
          </w:tcPr>
          <w:p w14:paraId="74EC0CBC" w14:textId="77777777" w:rsidR="0085033A" w:rsidRPr="000C7EAF" w:rsidRDefault="00000000">
            <w:pPr>
              <w:rPr>
                <w:rFonts w:asciiTheme="minorHAnsi" w:hAnsiTheme="minorHAnsi"/>
                <w:sz w:val="24"/>
                <w:szCs w:val="24"/>
              </w:rPr>
            </w:pPr>
            <w:r w:rsidRPr="000C7EAF">
              <w:rPr>
                <w:rFonts w:asciiTheme="minorHAnsi" w:hAnsiTheme="minorHAnsi"/>
                <w:sz w:val="24"/>
                <w:szCs w:val="24"/>
              </w:rPr>
              <w:t>I</w:t>
            </w:r>
          </w:p>
        </w:tc>
        <w:tc>
          <w:tcPr>
            <w:tcW w:w="1650" w:type="dxa"/>
            <w:shd w:val="clear" w:color="auto" w:fill="EDF1F3"/>
            <w:tcMar>
              <w:top w:w="90" w:type="dxa"/>
              <w:left w:w="120" w:type="dxa"/>
              <w:bottom w:w="90" w:type="dxa"/>
              <w:right w:w="120" w:type="dxa"/>
            </w:tcMar>
          </w:tcPr>
          <w:p w14:paraId="1EB18F9F"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shd w:val="clear" w:color="auto" w:fill="EDF1F3"/>
            <w:tcMar>
              <w:top w:w="90" w:type="dxa"/>
              <w:left w:w="120" w:type="dxa"/>
              <w:bottom w:w="90" w:type="dxa"/>
              <w:right w:w="120" w:type="dxa"/>
            </w:tcMar>
          </w:tcPr>
          <w:p w14:paraId="1CDF7C0A"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shd w:val="clear" w:color="auto" w:fill="EDF1F3"/>
            <w:tcMar>
              <w:top w:w="90" w:type="dxa"/>
              <w:left w:w="120" w:type="dxa"/>
              <w:bottom w:w="90" w:type="dxa"/>
              <w:right w:w="120" w:type="dxa"/>
            </w:tcMar>
          </w:tcPr>
          <w:p w14:paraId="44A644BA"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r>
      <w:tr w:rsidR="0085033A" w:rsidRPr="000C7EAF" w14:paraId="50A4A7EF" w14:textId="77777777">
        <w:tc>
          <w:tcPr>
            <w:tcW w:w="3000" w:type="dxa"/>
            <w:tcMar>
              <w:top w:w="90" w:type="dxa"/>
              <w:left w:w="120" w:type="dxa"/>
              <w:bottom w:w="90" w:type="dxa"/>
              <w:right w:w="120" w:type="dxa"/>
            </w:tcMar>
          </w:tcPr>
          <w:p w14:paraId="6978CBA8" w14:textId="77777777" w:rsidR="0085033A" w:rsidRPr="000C7EAF" w:rsidRDefault="00000000">
            <w:pPr>
              <w:rPr>
                <w:rFonts w:asciiTheme="minorHAnsi" w:hAnsiTheme="minorHAnsi"/>
                <w:sz w:val="24"/>
                <w:szCs w:val="24"/>
              </w:rPr>
            </w:pPr>
            <w:r w:rsidRPr="000C7EAF">
              <w:rPr>
                <w:rFonts w:asciiTheme="minorHAnsi" w:hAnsiTheme="minorHAnsi"/>
                <w:sz w:val="24"/>
                <w:szCs w:val="24"/>
              </w:rPr>
              <w:t>Incident detection &amp; response</w:t>
            </w:r>
          </w:p>
        </w:tc>
        <w:tc>
          <w:tcPr>
            <w:tcW w:w="1650" w:type="dxa"/>
            <w:tcMar>
              <w:top w:w="90" w:type="dxa"/>
              <w:left w:w="120" w:type="dxa"/>
              <w:bottom w:w="90" w:type="dxa"/>
              <w:right w:w="120" w:type="dxa"/>
            </w:tcMar>
          </w:tcPr>
          <w:p w14:paraId="5A29D65A" w14:textId="77777777" w:rsidR="0085033A" w:rsidRPr="000C7EAF" w:rsidRDefault="00000000">
            <w:pPr>
              <w:rPr>
                <w:rFonts w:asciiTheme="minorHAnsi" w:hAnsiTheme="minorHAnsi"/>
                <w:sz w:val="24"/>
                <w:szCs w:val="24"/>
              </w:rPr>
            </w:pPr>
            <w:r w:rsidRPr="000C7EAF">
              <w:rPr>
                <w:rFonts w:asciiTheme="minorHAnsi" w:hAnsiTheme="minorHAnsi"/>
                <w:sz w:val="24"/>
                <w:szCs w:val="24"/>
              </w:rPr>
              <w:t>I</w:t>
            </w:r>
          </w:p>
        </w:tc>
        <w:tc>
          <w:tcPr>
            <w:tcW w:w="1650" w:type="dxa"/>
            <w:tcMar>
              <w:top w:w="90" w:type="dxa"/>
              <w:left w:w="120" w:type="dxa"/>
              <w:bottom w:w="90" w:type="dxa"/>
              <w:right w:w="120" w:type="dxa"/>
            </w:tcMar>
          </w:tcPr>
          <w:p w14:paraId="1211313C"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tcMar>
              <w:top w:w="90" w:type="dxa"/>
              <w:left w:w="120" w:type="dxa"/>
              <w:bottom w:w="90" w:type="dxa"/>
              <w:right w:w="120" w:type="dxa"/>
            </w:tcMar>
          </w:tcPr>
          <w:p w14:paraId="389A8BE9"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tcMar>
              <w:top w:w="90" w:type="dxa"/>
              <w:left w:w="120" w:type="dxa"/>
              <w:bottom w:w="90" w:type="dxa"/>
              <w:right w:w="120" w:type="dxa"/>
            </w:tcMar>
          </w:tcPr>
          <w:p w14:paraId="1BF63D91"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r>
      <w:tr w:rsidR="0085033A" w:rsidRPr="000C7EAF" w14:paraId="14209DA8" w14:textId="77777777">
        <w:tc>
          <w:tcPr>
            <w:tcW w:w="3000" w:type="dxa"/>
            <w:shd w:val="clear" w:color="auto" w:fill="EDF1F3"/>
            <w:tcMar>
              <w:top w:w="90" w:type="dxa"/>
              <w:left w:w="120" w:type="dxa"/>
              <w:bottom w:w="90" w:type="dxa"/>
              <w:right w:w="120" w:type="dxa"/>
            </w:tcMar>
          </w:tcPr>
          <w:p w14:paraId="57CB67DF" w14:textId="77777777" w:rsidR="0085033A" w:rsidRPr="000C7EAF" w:rsidRDefault="00000000">
            <w:pPr>
              <w:rPr>
                <w:rFonts w:asciiTheme="minorHAnsi" w:hAnsiTheme="minorHAnsi"/>
                <w:sz w:val="24"/>
                <w:szCs w:val="24"/>
              </w:rPr>
            </w:pPr>
            <w:r w:rsidRPr="000C7EAF">
              <w:rPr>
                <w:rFonts w:asciiTheme="minorHAnsi" w:hAnsiTheme="minorHAnsi"/>
                <w:sz w:val="24"/>
                <w:szCs w:val="24"/>
              </w:rPr>
              <w:t>Vendor SLA &amp; sub-processor oversight</w:t>
            </w:r>
          </w:p>
        </w:tc>
        <w:tc>
          <w:tcPr>
            <w:tcW w:w="1650" w:type="dxa"/>
            <w:shd w:val="clear" w:color="auto" w:fill="EDF1F3"/>
            <w:tcMar>
              <w:top w:w="90" w:type="dxa"/>
              <w:left w:w="120" w:type="dxa"/>
              <w:bottom w:w="90" w:type="dxa"/>
              <w:right w:w="120" w:type="dxa"/>
            </w:tcMar>
          </w:tcPr>
          <w:p w14:paraId="315CAD01"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c>
          <w:tcPr>
            <w:tcW w:w="1650" w:type="dxa"/>
            <w:shd w:val="clear" w:color="auto" w:fill="EDF1F3"/>
            <w:tcMar>
              <w:top w:w="90" w:type="dxa"/>
              <w:left w:w="120" w:type="dxa"/>
              <w:bottom w:w="90" w:type="dxa"/>
              <w:right w:w="120" w:type="dxa"/>
            </w:tcMar>
          </w:tcPr>
          <w:p w14:paraId="4B65D4C8"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shd w:val="clear" w:color="auto" w:fill="EDF1F3"/>
            <w:tcMar>
              <w:top w:w="90" w:type="dxa"/>
              <w:left w:w="120" w:type="dxa"/>
              <w:bottom w:w="90" w:type="dxa"/>
              <w:right w:w="120" w:type="dxa"/>
            </w:tcMar>
          </w:tcPr>
          <w:p w14:paraId="1CA0D932"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shd w:val="clear" w:color="auto" w:fill="EDF1F3"/>
            <w:tcMar>
              <w:top w:w="90" w:type="dxa"/>
              <w:left w:w="120" w:type="dxa"/>
              <w:bottom w:w="90" w:type="dxa"/>
              <w:right w:w="120" w:type="dxa"/>
            </w:tcMar>
          </w:tcPr>
          <w:p w14:paraId="61B91327"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r>
      <w:tr w:rsidR="0085033A" w:rsidRPr="000C7EAF" w14:paraId="04642305" w14:textId="77777777">
        <w:tc>
          <w:tcPr>
            <w:tcW w:w="3000" w:type="dxa"/>
            <w:tcMar>
              <w:top w:w="90" w:type="dxa"/>
              <w:left w:w="120" w:type="dxa"/>
              <w:bottom w:w="90" w:type="dxa"/>
              <w:right w:w="120" w:type="dxa"/>
            </w:tcMar>
          </w:tcPr>
          <w:p w14:paraId="424CEB61" w14:textId="77777777" w:rsidR="0085033A" w:rsidRPr="000C7EAF" w:rsidRDefault="00000000">
            <w:pPr>
              <w:rPr>
                <w:rFonts w:asciiTheme="minorHAnsi" w:hAnsiTheme="minorHAnsi"/>
                <w:sz w:val="24"/>
                <w:szCs w:val="24"/>
              </w:rPr>
            </w:pPr>
            <w:r w:rsidRPr="000C7EAF">
              <w:rPr>
                <w:rFonts w:asciiTheme="minorHAnsi" w:hAnsiTheme="minorHAnsi"/>
                <w:sz w:val="24"/>
                <w:szCs w:val="24"/>
              </w:rPr>
              <w:t>Business continuity &amp; disaster recovery testing</w:t>
            </w:r>
          </w:p>
        </w:tc>
        <w:tc>
          <w:tcPr>
            <w:tcW w:w="1650" w:type="dxa"/>
            <w:tcMar>
              <w:top w:w="90" w:type="dxa"/>
              <w:left w:w="120" w:type="dxa"/>
              <w:bottom w:w="90" w:type="dxa"/>
              <w:right w:w="120" w:type="dxa"/>
            </w:tcMar>
          </w:tcPr>
          <w:p w14:paraId="1BEECEAB" w14:textId="77777777" w:rsidR="0085033A" w:rsidRPr="000C7EAF" w:rsidRDefault="00000000">
            <w:pPr>
              <w:rPr>
                <w:rFonts w:asciiTheme="minorHAnsi" w:hAnsiTheme="minorHAnsi"/>
                <w:sz w:val="24"/>
                <w:szCs w:val="24"/>
              </w:rPr>
            </w:pPr>
            <w:r w:rsidRPr="000C7EAF">
              <w:rPr>
                <w:rFonts w:asciiTheme="minorHAnsi" w:hAnsiTheme="minorHAnsi"/>
                <w:sz w:val="24"/>
                <w:szCs w:val="24"/>
              </w:rPr>
              <w:t>A</w:t>
            </w:r>
          </w:p>
        </w:tc>
        <w:tc>
          <w:tcPr>
            <w:tcW w:w="1650" w:type="dxa"/>
            <w:tcMar>
              <w:top w:w="90" w:type="dxa"/>
              <w:left w:w="120" w:type="dxa"/>
              <w:bottom w:w="90" w:type="dxa"/>
              <w:right w:w="120" w:type="dxa"/>
            </w:tcMar>
          </w:tcPr>
          <w:p w14:paraId="337B3536"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tcMar>
              <w:top w:w="90" w:type="dxa"/>
              <w:left w:w="120" w:type="dxa"/>
              <w:bottom w:w="90" w:type="dxa"/>
              <w:right w:w="120" w:type="dxa"/>
            </w:tcMar>
          </w:tcPr>
          <w:p w14:paraId="18B53036" w14:textId="77777777" w:rsidR="0085033A" w:rsidRPr="000C7EAF" w:rsidRDefault="00000000">
            <w:pPr>
              <w:rPr>
                <w:rFonts w:asciiTheme="minorHAnsi" w:hAnsiTheme="minorHAnsi"/>
                <w:sz w:val="24"/>
                <w:szCs w:val="24"/>
              </w:rPr>
            </w:pPr>
            <w:r w:rsidRPr="000C7EAF">
              <w:rPr>
                <w:rFonts w:asciiTheme="minorHAnsi" w:hAnsiTheme="minorHAnsi"/>
                <w:sz w:val="24"/>
                <w:szCs w:val="24"/>
              </w:rPr>
              <w:t>R</w:t>
            </w:r>
          </w:p>
        </w:tc>
        <w:tc>
          <w:tcPr>
            <w:tcW w:w="1650" w:type="dxa"/>
            <w:tcMar>
              <w:top w:w="90" w:type="dxa"/>
              <w:left w:w="120" w:type="dxa"/>
              <w:bottom w:w="90" w:type="dxa"/>
              <w:right w:w="120" w:type="dxa"/>
            </w:tcMar>
          </w:tcPr>
          <w:p w14:paraId="7A07480D" w14:textId="77777777" w:rsidR="0085033A" w:rsidRPr="000C7EAF" w:rsidRDefault="00000000">
            <w:pPr>
              <w:rPr>
                <w:rFonts w:asciiTheme="minorHAnsi" w:hAnsiTheme="minorHAnsi"/>
                <w:sz w:val="24"/>
                <w:szCs w:val="24"/>
              </w:rPr>
            </w:pPr>
            <w:r w:rsidRPr="000C7EAF">
              <w:rPr>
                <w:rFonts w:asciiTheme="minorHAnsi" w:hAnsiTheme="minorHAnsi"/>
                <w:sz w:val="24"/>
                <w:szCs w:val="24"/>
              </w:rPr>
              <w:t>C</w:t>
            </w:r>
          </w:p>
        </w:tc>
      </w:tr>
    </w:tbl>
    <w:p w14:paraId="10A039E1" w14:textId="77777777" w:rsidR="0085033A" w:rsidRPr="000C7EAF" w:rsidRDefault="00000000">
      <w:pPr>
        <w:spacing w:before="60" w:after="320"/>
        <w:jc w:val="center"/>
        <w:rPr>
          <w:rFonts w:asciiTheme="minorHAnsi" w:hAnsiTheme="minorHAnsi"/>
          <w:sz w:val="24"/>
          <w:szCs w:val="24"/>
        </w:rPr>
      </w:pPr>
      <w:r w:rsidRPr="000C7EAF">
        <w:rPr>
          <w:rFonts w:asciiTheme="minorHAnsi" w:hAnsiTheme="minorHAnsi"/>
          <w:i/>
          <w:iCs/>
          <w:sz w:val="24"/>
          <w:szCs w:val="24"/>
        </w:rPr>
        <w:t xml:space="preserve">Table 2: Proposed RACI Matrix for Key Security Responsibilities at </w:t>
      </w:r>
      <w:proofErr w:type="spellStart"/>
      <w:r w:rsidRPr="000C7EAF">
        <w:rPr>
          <w:rFonts w:asciiTheme="minorHAnsi" w:hAnsiTheme="minorHAnsi"/>
          <w:i/>
          <w:iCs/>
          <w:sz w:val="24"/>
          <w:szCs w:val="24"/>
        </w:rPr>
        <w:t>AeroLink</w:t>
      </w:r>
      <w:proofErr w:type="spellEnd"/>
      <w:r w:rsidRPr="000C7EAF">
        <w:rPr>
          <w:rFonts w:asciiTheme="minorHAnsi" w:hAnsiTheme="minorHAnsi"/>
          <w:i/>
          <w:iCs/>
          <w:sz w:val="24"/>
          <w:szCs w:val="24"/>
        </w:rPr>
        <w:t xml:space="preserve"> Logistics</w:t>
      </w:r>
    </w:p>
    <w:p w14:paraId="36098785" w14:textId="77777777" w:rsidR="00A76C5B" w:rsidRPr="000C7EAF" w:rsidRDefault="00A76C5B" w:rsidP="00A76C5B">
      <w:pPr>
        <w:pStyle w:val="Heading1"/>
        <w:rPr>
          <w:lang w:val="en-GB"/>
        </w:rPr>
      </w:pPr>
    </w:p>
    <w:p w14:paraId="7F144244" w14:textId="77777777" w:rsidR="00A76C5B" w:rsidRPr="000C7EAF" w:rsidRDefault="00A76C5B" w:rsidP="00A76C5B">
      <w:pPr>
        <w:pStyle w:val="Heading1"/>
        <w:rPr>
          <w:lang w:val="en-GB"/>
        </w:rPr>
      </w:pPr>
    </w:p>
    <w:p w14:paraId="5BFC47DC" w14:textId="77777777" w:rsidR="00A76C5B" w:rsidRPr="000C7EAF" w:rsidRDefault="00A76C5B" w:rsidP="00A76C5B">
      <w:pPr>
        <w:pStyle w:val="Heading1"/>
        <w:rPr>
          <w:lang w:val="en-GB"/>
        </w:rPr>
      </w:pPr>
    </w:p>
    <w:p w14:paraId="3B7BC931" w14:textId="77777777" w:rsidR="00A76C5B" w:rsidRPr="000C7EAF" w:rsidRDefault="00A76C5B" w:rsidP="00A76C5B">
      <w:pPr>
        <w:pStyle w:val="Heading1"/>
        <w:rPr>
          <w:lang w:val="en-GB"/>
        </w:rPr>
      </w:pPr>
    </w:p>
    <w:p w14:paraId="7EE9C829" w14:textId="77777777" w:rsidR="00A76C5B" w:rsidRPr="000C7EAF" w:rsidRDefault="00A76C5B" w:rsidP="00A76C5B">
      <w:pPr>
        <w:pStyle w:val="Heading1"/>
        <w:rPr>
          <w:lang w:val="en-GB"/>
        </w:rPr>
      </w:pPr>
    </w:p>
    <w:p w14:paraId="3F20852C" w14:textId="77777777" w:rsidR="00A76C5B" w:rsidRPr="000C7EAF" w:rsidRDefault="00A76C5B" w:rsidP="00A76C5B">
      <w:pPr>
        <w:pStyle w:val="Heading1"/>
        <w:rPr>
          <w:lang w:val="en-GB"/>
        </w:rPr>
      </w:pPr>
    </w:p>
    <w:p w14:paraId="23797648" w14:textId="77777777" w:rsidR="00A76C5B" w:rsidRPr="000C7EAF" w:rsidRDefault="00A76C5B" w:rsidP="00A76C5B">
      <w:pPr>
        <w:pStyle w:val="Heading1"/>
        <w:rPr>
          <w:lang w:val="en-GB"/>
        </w:rPr>
      </w:pPr>
    </w:p>
    <w:p w14:paraId="01A87127" w14:textId="77777777" w:rsidR="00A76C5B" w:rsidRPr="000C7EAF" w:rsidRDefault="00A76C5B" w:rsidP="00A76C5B">
      <w:pPr>
        <w:pStyle w:val="Heading1"/>
        <w:rPr>
          <w:lang w:val="en-GB"/>
        </w:rPr>
      </w:pPr>
    </w:p>
    <w:p w14:paraId="2B84C8D8" w14:textId="77777777" w:rsidR="00A76C5B" w:rsidRPr="000C7EAF" w:rsidRDefault="00A76C5B" w:rsidP="00A76C5B">
      <w:pPr>
        <w:pStyle w:val="Heading1"/>
        <w:rPr>
          <w:lang w:val="en-GB"/>
        </w:rPr>
      </w:pPr>
    </w:p>
    <w:p w14:paraId="1C09C503" w14:textId="77777777" w:rsidR="00A76C5B" w:rsidRPr="000C7EAF" w:rsidRDefault="00A76C5B" w:rsidP="00A76C5B">
      <w:pPr>
        <w:pStyle w:val="Heading1"/>
        <w:rPr>
          <w:lang w:val="en-GB"/>
        </w:rPr>
      </w:pPr>
    </w:p>
    <w:p w14:paraId="18C97A6B" w14:textId="77777777" w:rsidR="00A76C5B" w:rsidRPr="000C7EAF" w:rsidRDefault="00A76C5B" w:rsidP="00A76C5B">
      <w:pPr>
        <w:pStyle w:val="Heading1"/>
        <w:rPr>
          <w:lang w:val="en-GB"/>
        </w:rPr>
      </w:pPr>
    </w:p>
    <w:p w14:paraId="14674052" w14:textId="77777777" w:rsidR="008264BC" w:rsidRDefault="008264BC" w:rsidP="00A76C5B">
      <w:pPr>
        <w:pStyle w:val="Heading1"/>
        <w:rPr>
          <w:lang w:val="en-GB"/>
        </w:rPr>
      </w:pPr>
    </w:p>
    <w:p w14:paraId="28A84444" w14:textId="77777777" w:rsidR="008264BC" w:rsidRDefault="008264BC" w:rsidP="00A76C5B">
      <w:pPr>
        <w:pStyle w:val="Heading1"/>
        <w:rPr>
          <w:lang w:val="en-GB"/>
        </w:rPr>
      </w:pPr>
    </w:p>
    <w:p w14:paraId="3B03C915" w14:textId="77777777" w:rsidR="008264BC" w:rsidRDefault="008264BC" w:rsidP="00A76C5B">
      <w:pPr>
        <w:pStyle w:val="Heading1"/>
        <w:rPr>
          <w:lang w:val="en-GB"/>
        </w:rPr>
      </w:pPr>
    </w:p>
    <w:p w14:paraId="65C1FCCF" w14:textId="77777777" w:rsidR="008264BC" w:rsidRDefault="008264BC" w:rsidP="00A76C5B">
      <w:pPr>
        <w:pStyle w:val="Heading1"/>
        <w:rPr>
          <w:lang w:val="en-GB"/>
        </w:rPr>
      </w:pPr>
    </w:p>
    <w:p w14:paraId="227256C2" w14:textId="77777777" w:rsidR="008264BC" w:rsidRDefault="008264BC" w:rsidP="00A76C5B">
      <w:pPr>
        <w:pStyle w:val="Heading1"/>
        <w:rPr>
          <w:lang w:val="en-GB"/>
        </w:rPr>
      </w:pPr>
    </w:p>
    <w:p w14:paraId="4CF08D07" w14:textId="77777777" w:rsidR="008264BC" w:rsidRDefault="008264BC" w:rsidP="00A76C5B">
      <w:pPr>
        <w:pStyle w:val="Heading1"/>
        <w:rPr>
          <w:lang w:val="en-GB"/>
        </w:rPr>
      </w:pPr>
    </w:p>
    <w:p w14:paraId="3204B2A1" w14:textId="77777777" w:rsidR="008264BC" w:rsidRDefault="008264BC" w:rsidP="00A76C5B">
      <w:pPr>
        <w:pStyle w:val="Heading1"/>
        <w:rPr>
          <w:lang w:val="en-GB"/>
        </w:rPr>
      </w:pPr>
    </w:p>
    <w:p w14:paraId="7F3CA201" w14:textId="77777777" w:rsidR="008264BC" w:rsidRDefault="008264BC" w:rsidP="00A76C5B">
      <w:pPr>
        <w:pStyle w:val="Heading1"/>
        <w:rPr>
          <w:lang w:val="en-GB"/>
        </w:rPr>
      </w:pPr>
    </w:p>
    <w:p w14:paraId="69BFD80F" w14:textId="77777777" w:rsidR="008264BC" w:rsidRDefault="008264BC" w:rsidP="00A76C5B">
      <w:pPr>
        <w:pStyle w:val="Heading1"/>
        <w:rPr>
          <w:lang w:val="en-GB"/>
        </w:rPr>
      </w:pPr>
    </w:p>
    <w:p w14:paraId="0433BE14" w14:textId="77777777" w:rsidR="008264BC" w:rsidRDefault="008264BC" w:rsidP="00A76C5B">
      <w:pPr>
        <w:pStyle w:val="Heading1"/>
        <w:rPr>
          <w:lang w:val="en-GB"/>
        </w:rPr>
      </w:pPr>
    </w:p>
    <w:p w14:paraId="25630964" w14:textId="77777777" w:rsidR="008264BC" w:rsidRDefault="008264BC" w:rsidP="00A76C5B">
      <w:pPr>
        <w:pStyle w:val="Heading1"/>
        <w:rPr>
          <w:lang w:val="en-GB"/>
        </w:rPr>
      </w:pPr>
    </w:p>
    <w:p w14:paraId="6DD93604" w14:textId="07500F2E" w:rsidR="0085033A" w:rsidRPr="000C7EAF" w:rsidRDefault="00000000" w:rsidP="00A76C5B">
      <w:pPr>
        <w:pStyle w:val="Heading1"/>
        <w:rPr>
          <w:lang w:val="en-GB"/>
        </w:rPr>
      </w:pPr>
      <w:bookmarkStart w:id="16" w:name="_Toc236176824"/>
      <w:r w:rsidRPr="000C7EAF">
        <w:rPr>
          <w:lang w:val="en-GB"/>
        </w:rPr>
        <w:lastRenderedPageBreak/>
        <w:t>4. Critical Discussion: Why Continuous Updates to Regulations and Standards Matter</w:t>
      </w:r>
      <w:r w:rsidR="00A76C5B" w:rsidRPr="000C7EAF">
        <w:rPr>
          <w:lang w:val="en-GB"/>
        </w:rPr>
        <w:t>:</w:t>
      </w:r>
      <w:bookmarkEnd w:id="16"/>
    </w:p>
    <w:p w14:paraId="63D47C17" w14:textId="77777777" w:rsidR="00A76C5B" w:rsidRPr="000C7EAF" w:rsidRDefault="00A76C5B" w:rsidP="00A76C5B">
      <w:pPr>
        <w:pStyle w:val="Heading1"/>
        <w:rPr>
          <w:lang w:val="en-GB"/>
        </w:rPr>
      </w:pPr>
    </w:p>
    <w:p w14:paraId="25E72B26" w14:textId="77777777" w:rsidR="00D94E3D" w:rsidRPr="00D94E3D" w:rsidRDefault="00D94E3D" w:rsidP="00D94E3D">
      <w:pPr>
        <w:spacing w:after="200" w:line="300" w:lineRule="auto"/>
        <w:jc w:val="both"/>
        <w:rPr>
          <w:rFonts w:asciiTheme="minorHAnsi" w:hAnsiTheme="minorHAnsi"/>
          <w:sz w:val="24"/>
          <w:szCs w:val="24"/>
          <w:lang w:val="en-IN"/>
        </w:rPr>
      </w:pPr>
      <w:r w:rsidRPr="00D94E3D">
        <w:rPr>
          <w:rFonts w:asciiTheme="minorHAnsi" w:hAnsiTheme="minorHAnsi"/>
          <w:sz w:val="24"/>
          <w:szCs w:val="24"/>
          <w:lang w:val="en-IN"/>
        </w:rPr>
        <w:t>Three interrelated factors make it a good idea to keep security standards and laws up to date: the rate of technical advancement, the growth of the threat landscape, and the globalisation of compliance duties.</w:t>
      </w:r>
    </w:p>
    <w:p w14:paraId="581B8D1C" w14:textId="77777777" w:rsidR="00D94E3D" w:rsidRPr="00D94E3D" w:rsidRDefault="00D94E3D" w:rsidP="00D94E3D">
      <w:pPr>
        <w:spacing w:after="200" w:line="300" w:lineRule="auto"/>
        <w:jc w:val="both"/>
        <w:rPr>
          <w:rFonts w:asciiTheme="minorHAnsi" w:hAnsiTheme="minorHAnsi"/>
          <w:sz w:val="24"/>
          <w:szCs w:val="24"/>
          <w:lang w:val="en-IN"/>
        </w:rPr>
      </w:pPr>
      <w:r w:rsidRPr="008264BC">
        <w:rPr>
          <w:rFonts w:asciiTheme="minorHAnsi" w:hAnsiTheme="minorHAnsi"/>
          <w:b/>
          <w:bCs/>
          <w:sz w:val="24"/>
          <w:szCs w:val="24"/>
          <w:lang w:val="en-IN"/>
        </w:rPr>
        <w:t>First,</w:t>
      </w:r>
      <w:r w:rsidRPr="00D94E3D">
        <w:rPr>
          <w:rFonts w:asciiTheme="minorHAnsi" w:hAnsiTheme="minorHAnsi"/>
          <w:sz w:val="24"/>
          <w:szCs w:val="24"/>
          <w:lang w:val="en-IN"/>
        </w:rPr>
        <w:t xml:space="preserve"> technology alters the risk surface more quickly than static frameworks can predict. NIST's decision to update its Cybersecurity Framework for the first time in ten years, adding a full Govern function and broadening its scope to include all types of organisations, demonstrates that even well-known frameworks need to be periodically and significantly revised once cloud computing, IoT, and AI change how organisations generate and expose risk [1]. The governance and supply-chain concerns that are currently seen as fundamental, as well as the AI-specific guidelines ISACA has since added to COBIT, would not be reflected in a framework that ALL accepted in 2020 without further evaluation [10].</w:t>
      </w:r>
    </w:p>
    <w:p w14:paraId="0BC03BE8" w14:textId="77777777" w:rsidR="00D94E3D" w:rsidRPr="00D94E3D" w:rsidRDefault="00D94E3D" w:rsidP="00D94E3D">
      <w:pPr>
        <w:spacing w:after="200" w:line="300" w:lineRule="auto"/>
        <w:jc w:val="both"/>
        <w:rPr>
          <w:rFonts w:asciiTheme="minorHAnsi" w:hAnsiTheme="minorHAnsi"/>
          <w:sz w:val="24"/>
          <w:szCs w:val="24"/>
          <w:lang w:val="en-IN"/>
        </w:rPr>
      </w:pPr>
      <w:r w:rsidRPr="008264BC">
        <w:rPr>
          <w:rFonts w:asciiTheme="minorHAnsi" w:hAnsiTheme="minorHAnsi"/>
          <w:b/>
          <w:bCs/>
          <w:sz w:val="24"/>
          <w:szCs w:val="24"/>
          <w:lang w:val="en-IN"/>
        </w:rPr>
        <w:t>Second,</w:t>
      </w:r>
      <w:r w:rsidRPr="00D94E3D">
        <w:rPr>
          <w:rFonts w:asciiTheme="minorHAnsi" w:hAnsiTheme="minorHAnsi"/>
          <w:sz w:val="24"/>
          <w:szCs w:val="24"/>
          <w:lang w:val="en-IN"/>
        </w:rPr>
        <w:t xml:space="preserve"> even if the underlying technology remains same, threat actors always adapt, and outdated control mechanisms gradually lose their efficacy. The need for control catalogues to be periodically pruned and expanded is reflected in the 2022 restructuring of ISO/IEC 27001 Annex A, which added controls for threat intelligence and cloud security [9]. ENISA's 2024 reporting demonstrates why, with over 19,700 vulnerabilities catalogued in the twelve months leading up to mid-2024, supply-chain compromise and credential-based intrusion—both of which were identified as escalating rather than static [4]. Within two years of its initial publication, CISA revised its maturity model in accordance with Zero Trust advice [3].</w:t>
      </w:r>
    </w:p>
    <w:p w14:paraId="6DFC2E9A" w14:textId="77777777" w:rsidR="00D94E3D" w:rsidRDefault="00D94E3D" w:rsidP="00D94E3D">
      <w:pPr>
        <w:spacing w:after="200" w:line="300" w:lineRule="auto"/>
        <w:jc w:val="both"/>
        <w:rPr>
          <w:rFonts w:asciiTheme="minorHAnsi" w:hAnsiTheme="minorHAnsi"/>
          <w:sz w:val="24"/>
          <w:szCs w:val="24"/>
          <w:lang w:val="en-IN"/>
        </w:rPr>
      </w:pPr>
      <w:r w:rsidRPr="008264BC">
        <w:rPr>
          <w:rFonts w:asciiTheme="minorHAnsi" w:hAnsiTheme="minorHAnsi"/>
          <w:b/>
          <w:bCs/>
          <w:sz w:val="24"/>
          <w:szCs w:val="24"/>
          <w:lang w:val="en-IN"/>
        </w:rPr>
        <w:t>Third,</w:t>
      </w:r>
      <w:r w:rsidRPr="00D94E3D">
        <w:rPr>
          <w:rFonts w:asciiTheme="minorHAnsi" w:hAnsiTheme="minorHAnsi"/>
          <w:sz w:val="24"/>
          <w:szCs w:val="24"/>
          <w:lang w:val="en-IN"/>
        </w:rPr>
        <w:t xml:space="preserve"> cross-border compliance is becoming </w:t>
      </w:r>
      <w:proofErr w:type="gramStart"/>
      <w:r w:rsidRPr="00D94E3D">
        <w:rPr>
          <w:rFonts w:asciiTheme="minorHAnsi" w:hAnsiTheme="minorHAnsi"/>
          <w:sz w:val="24"/>
          <w:szCs w:val="24"/>
          <w:lang w:val="en-IN"/>
        </w:rPr>
        <w:t>more and more</w:t>
      </w:r>
      <w:proofErr w:type="gramEnd"/>
      <w:r w:rsidRPr="00D94E3D">
        <w:rPr>
          <w:rFonts w:asciiTheme="minorHAnsi" w:hAnsiTheme="minorHAnsi"/>
          <w:sz w:val="24"/>
          <w:szCs w:val="24"/>
          <w:lang w:val="en-IN"/>
        </w:rPr>
        <w:t xml:space="preserve"> necessary. As ALL operates across time zones and jurisdictions, a logistics firm is subject to several, independently changing legal frameworks. The scope is demonstrated by GDPR enforcement, which has resulted in fines of more than €6 billion since 2018—roughly €1.15 billion in 2025 alone—and is extending into industries including transportation [6], [7]. Regulatory databases and </w:t>
      </w:r>
      <w:proofErr w:type="spellStart"/>
      <w:r w:rsidRPr="00D94E3D">
        <w:rPr>
          <w:rFonts w:asciiTheme="minorHAnsi" w:hAnsiTheme="minorHAnsi"/>
          <w:sz w:val="24"/>
          <w:szCs w:val="24"/>
          <w:lang w:val="en-IN"/>
        </w:rPr>
        <w:t>DPIIf</w:t>
      </w:r>
      <w:proofErr w:type="spellEnd"/>
      <w:r w:rsidRPr="00D94E3D">
        <w:rPr>
          <w:rFonts w:asciiTheme="minorHAnsi" w:hAnsiTheme="minorHAnsi"/>
          <w:sz w:val="24"/>
          <w:szCs w:val="24"/>
          <w:lang w:val="en-IN"/>
        </w:rPr>
        <w:t xml:space="preserve"> they are not reviewed </w:t>
      </w:r>
      <w:proofErr w:type="spellStart"/>
      <w:r w:rsidRPr="00D94E3D">
        <w:rPr>
          <w:rFonts w:asciiTheme="minorHAnsi" w:hAnsiTheme="minorHAnsi"/>
          <w:sz w:val="24"/>
          <w:szCs w:val="24"/>
          <w:lang w:val="en-IN"/>
        </w:rPr>
        <w:t>everytime</w:t>
      </w:r>
      <w:proofErr w:type="spellEnd"/>
      <w:r w:rsidRPr="00D94E3D">
        <w:rPr>
          <w:rFonts w:asciiTheme="minorHAnsi" w:hAnsiTheme="minorHAnsi"/>
          <w:sz w:val="24"/>
          <w:szCs w:val="24"/>
          <w:lang w:val="en-IN"/>
        </w:rPr>
        <w:t xml:space="preserve"> a law is changed or a new data flow is added, they become stale rather than dynamic controls. The immaturity that has already led to ALL's violations would be replicated if regulatory currency were seen as a one-time event rather than an ongoing board-owned endeavour.</w:t>
      </w:r>
    </w:p>
    <w:p w14:paraId="31355482" w14:textId="77777777" w:rsidR="00D94E3D" w:rsidRPr="00D94E3D" w:rsidRDefault="00D94E3D" w:rsidP="00D94E3D">
      <w:pPr>
        <w:spacing w:after="200" w:line="300" w:lineRule="auto"/>
        <w:jc w:val="both"/>
        <w:rPr>
          <w:rFonts w:asciiTheme="minorHAnsi" w:hAnsiTheme="minorHAnsi"/>
          <w:sz w:val="24"/>
          <w:szCs w:val="24"/>
          <w:lang w:val="en-IN"/>
        </w:rPr>
      </w:pPr>
      <w:r w:rsidRPr="00D94E3D">
        <w:rPr>
          <w:rFonts w:asciiTheme="minorHAnsi" w:hAnsiTheme="minorHAnsi"/>
          <w:sz w:val="24"/>
          <w:szCs w:val="24"/>
          <w:lang w:val="en-IN"/>
        </w:rPr>
        <w:t>One plausible counterargument is that ongoing modification results in expense and change fatigue; cybersecurity experts themselves are reporting higher levels of stress due to a changing threat picture [5]. This is a reasonable trade-off, which is one of the reasons NIST created CSF 2.0 to be customisable through Organisational Profiles rather than requiring complete adoption of each update [1]. Using the design-factor logic already present in COBIT 2019, ALL can treat framework updates as a trigger for a scoped gap assessment.</w:t>
      </w:r>
    </w:p>
    <w:p w14:paraId="751F6DB5" w14:textId="77777777" w:rsidR="00A76C5B" w:rsidRPr="000C7EAF" w:rsidRDefault="00A76C5B" w:rsidP="00A76C5B">
      <w:pPr>
        <w:pStyle w:val="Heading1"/>
        <w:rPr>
          <w:lang w:val="en-GB"/>
        </w:rPr>
      </w:pPr>
    </w:p>
    <w:p w14:paraId="500101E1" w14:textId="046A17CB" w:rsidR="0085033A" w:rsidRDefault="00000000" w:rsidP="00A76C5B">
      <w:pPr>
        <w:pStyle w:val="Heading1"/>
        <w:rPr>
          <w:lang w:val="en-GB"/>
        </w:rPr>
      </w:pPr>
      <w:bookmarkStart w:id="17" w:name="_Toc236176825"/>
      <w:r w:rsidRPr="000C7EAF">
        <w:rPr>
          <w:lang w:val="en-GB"/>
        </w:rPr>
        <w:lastRenderedPageBreak/>
        <w:t>5. Assumptions</w:t>
      </w:r>
      <w:r w:rsidR="00A76C5B" w:rsidRPr="000C7EAF">
        <w:rPr>
          <w:lang w:val="en-GB"/>
        </w:rPr>
        <w:t>:</w:t>
      </w:r>
      <w:bookmarkEnd w:id="17"/>
    </w:p>
    <w:p w14:paraId="4B49D36D" w14:textId="77777777" w:rsidR="00D94E3D" w:rsidRPr="000C7EAF" w:rsidRDefault="00D94E3D" w:rsidP="00A76C5B">
      <w:pPr>
        <w:pStyle w:val="Heading1"/>
        <w:rPr>
          <w:lang w:val="en-GB"/>
        </w:rPr>
      </w:pPr>
    </w:p>
    <w:p w14:paraId="3A28C3E9" w14:textId="77777777" w:rsidR="00D94E3D" w:rsidRPr="00D94E3D" w:rsidRDefault="00D94E3D" w:rsidP="00D94E3D">
      <w:pPr>
        <w:spacing w:after="200" w:line="300" w:lineRule="auto"/>
        <w:jc w:val="both"/>
        <w:rPr>
          <w:rFonts w:asciiTheme="minorHAnsi" w:hAnsiTheme="minorHAnsi"/>
          <w:sz w:val="24"/>
          <w:szCs w:val="24"/>
          <w:lang w:val="en-IN"/>
        </w:rPr>
      </w:pPr>
      <w:r w:rsidRPr="00D94E3D">
        <w:rPr>
          <w:rFonts w:asciiTheme="minorHAnsi" w:hAnsiTheme="minorHAnsi"/>
          <w:sz w:val="24"/>
          <w:szCs w:val="24"/>
          <w:lang w:val="en-IN"/>
        </w:rPr>
        <w:t>Since the case scenario does not describe every organisational parameter, the following assumptions were established to provide a specified framework for the design:</w:t>
      </w:r>
    </w:p>
    <w:p w14:paraId="3CF10462" w14:textId="3508A665" w:rsidR="008264BC" w:rsidRP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 xml:space="preserve">It is believed that ALL is a sizable, international company with enough funding to provide a dedicated CISO/DPO role and a phased ISO/IEC 27001 certification over a period of about 24 to 36 months. </w:t>
      </w:r>
    </w:p>
    <w:p w14:paraId="47DBCDC8" w14:textId="77777777" w:rsidR="008264BC" w:rsidRPr="008264BC" w:rsidRDefault="008264BC" w:rsidP="008264BC">
      <w:pPr>
        <w:ind w:left="216"/>
        <w:rPr>
          <w:rFonts w:asciiTheme="minorHAnsi" w:hAnsiTheme="minorHAnsi"/>
          <w:sz w:val="24"/>
          <w:szCs w:val="24"/>
        </w:rPr>
      </w:pPr>
    </w:p>
    <w:p w14:paraId="11968475" w14:textId="16B93B34" w:rsidR="008264BC" w:rsidRP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 xml:space="preserve">Since there </w:t>
      </w:r>
      <w:proofErr w:type="gramStart"/>
      <w:r w:rsidRPr="008264BC">
        <w:rPr>
          <w:rFonts w:asciiTheme="minorHAnsi" w:hAnsiTheme="minorHAnsi"/>
          <w:sz w:val="24"/>
          <w:szCs w:val="24"/>
        </w:rPr>
        <w:t>is</w:t>
      </w:r>
      <w:proofErr w:type="gramEnd"/>
      <w:r w:rsidRPr="008264BC">
        <w:rPr>
          <w:rFonts w:asciiTheme="minorHAnsi" w:hAnsiTheme="minorHAnsi"/>
          <w:sz w:val="24"/>
          <w:szCs w:val="24"/>
        </w:rPr>
        <w:t xml:space="preserve"> no single framework, risk procedure, or compliance audits, it is assumed that ALL's present security maturity is low (reactive rather than proactive). </w:t>
      </w:r>
    </w:p>
    <w:p w14:paraId="5FFE516A" w14:textId="77777777" w:rsidR="008264BC" w:rsidRPr="008264BC" w:rsidRDefault="008264BC" w:rsidP="008264BC">
      <w:pPr>
        <w:ind w:left="216"/>
        <w:rPr>
          <w:rFonts w:asciiTheme="minorHAnsi" w:hAnsiTheme="minorHAnsi"/>
          <w:sz w:val="24"/>
          <w:szCs w:val="24"/>
        </w:rPr>
      </w:pPr>
    </w:p>
    <w:p w14:paraId="30E987A5" w14:textId="6A59D324" w:rsidR="008264BC" w:rsidRP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Considering ALL's European clientele, the GDPR is thought to be the main external regulatory driver, along with other comparable legislation in other operational countries.</w:t>
      </w:r>
    </w:p>
    <w:p w14:paraId="12D4A569" w14:textId="77777777" w:rsidR="008264BC" w:rsidRPr="008264BC" w:rsidRDefault="008264BC" w:rsidP="008264BC">
      <w:pPr>
        <w:ind w:left="216"/>
        <w:rPr>
          <w:rFonts w:asciiTheme="minorHAnsi" w:hAnsiTheme="minorHAnsi"/>
          <w:sz w:val="24"/>
          <w:szCs w:val="24"/>
        </w:rPr>
      </w:pPr>
    </w:p>
    <w:p w14:paraId="32A15274" w14:textId="2B211D49" w:rsidR="008264BC" w:rsidRP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New SLA and audit conditions can be added to current IaaS/SaaS vendor contracts without requiring an immediate provider switch because they are presumed to be renewable within a reasonable timeframe.</w:t>
      </w:r>
    </w:p>
    <w:p w14:paraId="07D11E9C" w14:textId="77777777" w:rsid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Device-level authentication and vendor risk-tiering are justified as complimentary procedures because it is believed that IoT tracking sensors are a combination of ALL-owned and vendor-owned devices.</w:t>
      </w:r>
    </w:p>
    <w:p w14:paraId="3A039AE9" w14:textId="77777777" w:rsidR="008264BC" w:rsidRDefault="008264BC" w:rsidP="008264BC">
      <w:pPr>
        <w:pStyle w:val="ListParagraph"/>
        <w:ind w:left="504"/>
        <w:rPr>
          <w:rFonts w:asciiTheme="minorHAnsi" w:hAnsiTheme="minorHAnsi"/>
          <w:sz w:val="24"/>
          <w:szCs w:val="24"/>
        </w:rPr>
      </w:pPr>
    </w:p>
    <w:p w14:paraId="4E92ACC0" w14:textId="7C8FF6FF" w:rsidR="008264BC" w:rsidRPr="008264BC" w:rsidRDefault="008264BC" w:rsidP="008264BC">
      <w:pPr>
        <w:pStyle w:val="ListParagraph"/>
        <w:numPr>
          <w:ilvl w:val="0"/>
          <w:numId w:val="5"/>
        </w:numPr>
        <w:rPr>
          <w:rFonts w:asciiTheme="minorHAnsi" w:hAnsiTheme="minorHAnsi"/>
          <w:sz w:val="24"/>
          <w:szCs w:val="24"/>
        </w:rPr>
      </w:pPr>
      <w:r w:rsidRPr="008264BC">
        <w:rPr>
          <w:rFonts w:asciiTheme="minorHAnsi" w:hAnsiTheme="minorHAnsi"/>
          <w:sz w:val="24"/>
          <w:szCs w:val="24"/>
        </w:rPr>
        <w:t>The design is preventative and risk-based rather than a reaction to a single identifiable breach because no specific prior incidences beyond those in the case are envisaged.</w:t>
      </w:r>
    </w:p>
    <w:p w14:paraId="665F84F6" w14:textId="77777777" w:rsidR="00A76C5B" w:rsidRPr="000C7EAF" w:rsidRDefault="00A76C5B" w:rsidP="00A76C5B">
      <w:pPr>
        <w:pStyle w:val="Heading1"/>
        <w:rPr>
          <w:lang w:val="en-GB"/>
        </w:rPr>
      </w:pPr>
    </w:p>
    <w:p w14:paraId="402DF180" w14:textId="77777777" w:rsidR="00A76C5B" w:rsidRPr="000C7EAF" w:rsidRDefault="00A76C5B" w:rsidP="00A76C5B">
      <w:pPr>
        <w:pStyle w:val="Heading1"/>
        <w:rPr>
          <w:lang w:val="en-GB"/>
        </w:rPr>
      </w:pPr>
    </w:p>
    <w:p w14:paraId="56EBA542" w14:textId="77777777" w:rsidR="00A76C5B" w:rsidRPr="000C7EAF" w:rsidRDefault="00A76C5B" w:rsidP="00A76C5B">
      <w:pPr>
        <w:pStyle w:val="Heading1"/>
        <w:rPr>
          <w:lang w:val="en-GB"/>
        </w:rPr>
      </w:pPr>
    </w:p>
    <w:p w14:paraId="248EE265" w14:textId="77777777" w:rsidR="00A76C5B" w:rsidRPr="000C7EAF" w:rsidRDefault="00A76C5B" w:rsidP="00A76C5B">
      <w:pPr>
        <w:pStyle w:val="Heading1"/>
        <w:rPr>
          <w:lang w:val="en-GB"/>
        </w:rPr>
      </w:pPr>
    </w:p>
    <w:p w14:paraId="66AC9FE4" w14:textId="77777777" w:rsidR="00A76C5B" w:rsidRPr="000C7EAF" w:rsidRDefault="00A76C5B" w:rsidP="00A76C5B">
      <w:pPr>
        <w:pStyle w:val="Heading1"/>
        <w:rPr>
          <w:lang w:val="en-GB"/>
        </w:rPr>
      </w:pPr>
    </w:p>
    <w:p w14:paraId="2AC682DB" w14:textId="77777777" w:rsidR="00A76C5B" w:rsidRPr="000C7EAF" w:rsidRDefault="00A76C5B" w:rsidP="00A76C5B">
      <w:pPr>
        <w:pStyle w:val="Heading1"/>
        <w:rPr>
          <w:lang w:val="en-GB"/>
        </w:rPr>
      </w:pPr>
    </w:p>
    <w:p w14:paraId="632214C7" w14:textId="77777777" w:rsidR="00A76C5B" w:rsidRPr="000C7EAF" w:rsidRDefault="00A76C5B" w:rsidP="00A76C5B">
      <w:pPr>
        <w:pStyle w:val="Heading1"/>
        <w:rPr>
          <w:lang w:val="en-GB"/>
        </w:rPr>
      </w:pPr>
    </w:p>
    <w:p w14:paraId="3C8B7866" w14:textId="77777777" w:rsidR="00A76C5B" w:rsidRPr="000C7EAF" w:rsidRDefault="00A76C5B" w:rsidP="00A76C5B">
      <w:pPr>
        <w:pStyle w:val="Heading1"/>
        <w:rPr>
          <w:lang w:val="en-GB"/>
        </w:rPr>
      </w:pPr>
    </w:p>
    <w:p w14:paraId="2AE2F0FC" w14:textId="77777777" w:rsidR="00A76C5B" w:rsidRPr="000C7EAF" w:rsidRDefault="00A76C5B" w:rsidP="00A76C5B">
      <w:pPr>
        <w:pStyle w:val="Heading1"/>
        <w:rPr>
          <w:lang w:val="en-GB"/>
        </w:rPr>
      </w:pPr>
    </w:p>
    <w:p w14:paraId="45D23028" w14:textId="77777777" w:rsidR="00A76C5B" w:rsidRPr="000C7EAF" w:rsidRDefault="00A76C5B" w:rsidP="00A76C5B">
      <w:pPr>
        <w:pStyle w:val="Heading1"/>
        <w:rPr>
          <w:lang w:val="en-GB"/>
        </w:rPr>
      </w:pPr>
    </w:p>
    <w:p w14:paraId="0BC8FE35" w14:textId="77777777" w:rsidR="00A76C5B" w:rsidRPr="000C7EAF" w:rsidRDefault="00A76C5B" w:rsidP="00A76C5B">
      <w:pPr>
        <w:pStyle w:val="Heading1"/>
        <w:rPr>
          <w:lang w:val="en-GB"/>
        </w:rPr>
      </w:pPr>
    </w:p>
    <w:p w14:paraId="265070E3" w14:textId="77777777" w:rsidR="00A76C5B" w:rsidRPr="000C7EAF" w:rsidRDefault="00A76C5B" w:rsidP="00A76C5B">
      <w:pPr>
        <w:pStyle w:val="Heading1"/>
        <w:rPr>
          <w:lang w:val="en-GB"/>
        </w:rPr>
      </w:pPr>
    </w:p>
    <w:p w14:paraId="740884C0" w14:textId="77777777" w:rsidR="00A76C5B" w:rsidRPr="000C7EAF" w:rsidRDefault="00A76C5B" w:rsidP="00A76C5B">
      <w:pPr>
        <w:pStyle w:val="Heading1"/>
        <w:rPr>
          <w:lang w:val="en-GB"/>
        </w:rPr>
      </w:pPr>
    </w:p>
    <w:p w14:paraId="0DA58D0B" w14:textId="77777777" w:rsidR="00A76C5B" w:rsidRPr="000C7EAF" w:rsidRDefault="00A76C5B" w:rsidP="00A76C5B">
      <w:pPr>
        <w:pStyle w:val="Heading1"/>
        <w:rPr>
          <w:lang w:val="en-GB"/>
        </w:rPr>
      </w:pPr>
    </w:p>
    <w:p w14:paraId="36EFF77B" w14:textId="77777777" w:rsidR="00A76C5B" w:rsidRPr="000C7EAF" w:rsidRDefault="00A76C5B" w:rsidP="00A76C5B">
      <w:pPr>
        <w:pStyle w:val="Heading1"/>
        <w:rPr>
          <w:lang w:val="en-GB"/>
        </w:rPr>
      </w:pPr>
    </w:p>
    <w:p w14:paraId="2AEA0BC8" w14:textId="77777777" w:rsidR="00A76C5B" w:rsidRPr="000C7EAF" w:rsidRDefault="00A76C5B" w:rsidP="00A76C5B">
      <w:pPr>
        <w:pStyle w:val="Heading1"/>
        <w:rPr>
          <w:lang w:val="en-GB"/>
        </w:rPr>
      </w:pPr>
    </w:p>
    <w:p w14:paraId="0329846E" w14:textId="77777777" w:rsidR="00A76C5B" w:rsidRPr="000C7EAF" w:rsidRDefault="00A76C5B" w:rsidP="00A76C5B">
      <w:pPr>
        <w:pStyle w:val="Heading1"/>
        <w:rPr>
          <w:lang w:val="en-GB"/>
        </w:rPr>
      </w:pPr>
    </w:p>
    <w:p w14:paraId="6562AC85" w14:textId="77777777" w:rsidR="00A76C5B" w:rsidRPr="000C7EAF" w:rsidRDefault="00A76C5B" w:rsidP="00A76C5B">
      <w:pPr>
        <w:pStyle w:val="Heading1"/>
        <w:rPr>
          <w:lang w:val="en-GB"/>
        </w:rPr>
      </w:pPr>
    </w:p>
    <w:p w14:paraId="1BFAFA60" w14:textId="77777777" w:rsidR="00A76C5B" w:rsidRPr="000C7EAF" w:rsidRDefault="00A76C5B" w:rsidP="00A76C5B">
      <w:pPr>
        <w:pStyle w:val="Heading1"/>
        <w:rPr>
          <w:lang w:val="en-GB"/>
        </w:rPr>
      </w:pPr>
    </w:p>
    <w:p w14:paraId="3C85E93D" w14:textId="77777777" w:rsidR="008264BC" w:rsidRDefault="008264BC" w:rsidP="00A76C5B">
      <w:pPr>
        <w:pStyle w:val="Heading1"/>
        <w:rPr>
          <w:lang w:val="en-GB"/>
        </w:rPr>
      </w:pPr>
    </w:p>
    <w:p w14:paraId="6480D4DD" w14:textId="43736210" w:rsidR="0085033A" w:rsidRPr="000C7EAF" w:rsidRDefault="00000000" w:rsidP="00A76C5B">
      <w:pPr>
        <w:pStyle w:val="Heading1"/>
        <w:rPr>
          <w:lang w:val="en-GB"/>
        </w:rPr>
      </w:pPr>
      <w:bookmarkStart w:id="18" w:name="_Toc236176826"/>
      <w:r w:rsidRPr="000C7EAF">
        <w:rPr>
          <w:lang w:val="en-GB"/>
        </w:rPr>
        <w:lastRenderedPageBreak/>
        <w:t>6. Conclusion</w:t>
      </w:r>
      <w:r w:rsidR="00A76C5B" w:rsidRPr="000C7EAF">
        <w:rPr>
          <w:lang w:val="en-GB"/>
        </w:rPr>
        <w:t>:</w:t>
      </w:r>
      <w:bookmarkEnd w:id="18"/>
    </w:p>
    <w:p w14:paraId="5870BF6E" w14:textId="77777777" w:rsidR="00A76C5B" w:rsidRPr="000C7EAF" w:rsidRDefault="00A76C5B" w:rsidP="00A76C5B">
      <w:pPr>
        <w:pStyle w:val="Heading1"/>
        <w:rPr>
          <w:lang w:val="en-GB"/>
        </w:rPr>
      </w:pPr>
    </w:p>
    <w:p w14:paraId="4557EB6D" w14:textId="7BBEF342" w:rsidR="008264BC" w:rsidRPr="008264BC" w:rsidRDefault="008264BC" w:rsidP="008264BC">
      <w:pPr>
        <w:spacing w:after="200" w:line="300" w:lineRule="auto"/>
        <w:jc w:val="both"/>
        <w:rPr>
          <w:rFonts w:asciiTheme="minorHAnsi" w:hAnsiTheme="minorHAnsi"/>
          <w:sz w:val="24"/>
          <w:szCs w:val="24"/>
          <w:lang w:val="en-IN"/>
        </w:rPr>
      </w:pPr>
      <w:r w:rsidRPr="008264BC">
        <w:rPr>
          <w:rFonts w:asciiTheme="minorHAnsi" w:hAnsiTheme="minorHAnsi"/>
          <w:sz w:val="24"/>
          <w:szCs w:val="24"/>
          <w:lang w:val="en-IN"/>
        </w:rPr>
        <w:t xml:space="preserve">The lack of a cohesive framework linking board-level governance, risk-based cybersecurity management, certifiable operational controls, and disciplined vendor/service management is the main cause of </w:t>
      </w:r>
      <w:proofErr w:type="spellStart"/>
      <w:r w:rsidRPr="008264BC">
        <w:rPr>
          <w:rFonts w:asciiTheme="minorHAnsi" w:hAnsiTheme="minorHAnsi"/>
          <w:sz w:val="24"/>
          <w:szCs w:val="24"/>
          <w:lang w:val="en-IN"/>
        </w:rPr>
        <w:t>AeroLink</w:t>
      </w:r>
      <w:proofErr w:type="spellEnd"/>
      <w:r w:rsidRPr="008264BC">
        <w:rPr>
          <w:rFonts w:asciiTheme="minorHAnsi" w:hAnsiTheme="minorHAnsi"/>
          <w:sz w:val="24"/>
          <w:szCs w:val="24"/>
          <w:lang w:val="en-IN"/>
        </w:rPr>
        <w:t xml:space="preserve"> </w:t>
      </w:r>
      <w:proofErr w:type="spellStart"/>
      <w:r w:rsidRPr="008264BC">
        <w:rPr>
          <w:rFonts w:asciiTheme="minorHAnsi" w:hAnsiTheme="minorHAnsi"/>
          <w:sz w:val="24"/>
          <w:szCs w:val="24"/>
          <w:lang w:val="en-IN"/>
        </w:rPr>
        <w:t>Logistics's</w:t>
      </w:r>
      <w:proofErr w:type="spellEnd"/>
      <w:r w:rsidRPr="008264BC">
        <w:rPr>
          <w:rFonts w:asciiTheme="minorHAnsi" w:hAnsiTheme="minorHAnsi"/>
          <w:sz w:val="24"/>
          <w:szCs w:val="24"/>
          <w:lang w:val="en-IN"/>
        </w:rPr>
        <w:t xml:space="preserve"> vulnerability rather than any one missing control. Instead of choosing one framework alone, ALL may handle governance, compliance, policy, risk assessment, protection measures, continuity, and vendor monitoring as a single system by overlaying COBIT 2019, NIST CSF 2.0, ISO/IEC 27001, and ITIL 4. Growing GDPR enforcement, an expanding supply-chain threat landscape, and the expansion of frameworks like COBIT into AI oversight all suggest that cloud, IoT, and AI technologies, adversary tactics, and cross-border regulation will continue to evolve [4], [6], [10].</w:t>
      </w:r>
      <w:r w:rsidRPr="008264BC">
        <w:rPr>
          <w:sz w:val="24"/>
          <w:szCs w:val="24"/>
          <w:lang w:val="en-IN"/>
        </w:rPr>
        <w:t xml:space="preserve"> </w:t>
      </w:r>
      <w:r w:rsidRPr="008264BC">
        <w:rPr>
          <w:rFonts w:asciiTheme="minorHAnsi" w:hAnsiTheme="minorHAnsi"/>
          <w:sz w:val="24"/>
          <w:szCs w:val="24"/>
          <w:lang w:val="en-IN"/>
        </w:rPr>
        <w:t xml:space="preserve">This structure </w:t>
      </w:r>
      <w:proofErr w:type="gramStart"/>
      <w:r w:rsidRPr="008264BC">
        <w:rPr>
          <w:rFonts w:asciiTheme="minorHAnsi" w:hAnsiTheme="minorHAnsi"/>
          <w:sz w:val="24"/>
          <w:szCs w:val="24"/>
          <w:lang w:val="en-IN"/>
        </w:rPr>
        <w:t>has to</w:t>
      </w:r>
      <w:proofErr w:type="gramEnd"/>
      <w:r w:rsidRPr="008264BC">
        <w:rPr>
          <w:rFonts w:asciiTheme="minorHAnsi" w:hAnsiTheme="minorHAnsi"/>
          <w:sz w:val="24"/>
          <w:szCs w:val="24"/>
          <w:lang w:val="en-IN"/>
        </w:rPr>
        <w:t xml:space="preserve"> be examined on a regular basis, with modifications like the Govern function in CSF 2.0 and the updated Annex A of ISO/IEC 27001:2022 serving as natural catalysts for scoped </w:t>
      </w:r>
      <w:proofErr w:type="spellStart"/>
      <w:r w:rsidRPr="008264BC">
        <w:rPr>
          <w:rFonts w:asciiTheme="minorHAnsi" w:hAnsiTheme="minorHAnsi"/>
          <w:sz w:val="24"/>
          <w:szCs w:val="24"/>
          <w:lang w:val="en-IN"/>
        </w:rPr>
        <w:t>reevaluation</w:t>
      </w:r>
      <w:proofErr w:type="spellEnd"/>
      <w:r w:rsidRPr="008264BC">
        <w:rPr>
          <w:rFonts w:asciiTheme="minorHAnsi" w:hAnsiTheme="minorHAnsi"/>
          <w:sz w:val="24"/>
          <w:szCs w:val="24"/>
          <w:lang w:val="en-IN"/>
        </w:rPr>
        <w:t>.</w:t>
      </w:r>
    </w:p>
    <w:p w14:paraId="54E59B01" w14:textId="58EF9F4B" w:rsidR="008264BC" w:rsidRPr="008264BC" w:rsidRDefault="008264BC" w:rsidP="008264BC">
      <w:pPr>
        <w:spacing w:after="200" w:line="300" w:lineRule="auto"/>
        <w:jc w:val="both"/>
        <w:rPr>
          <w:rFonts w:asciiTheme="minorHAnsi" w:hAnsiTheme="minorHAnsi"/>
          <w:sz w:val="24"/>
          <w:szCs w:val="24"/>
          <w:lang w:val="en-IN"/>
        </w:rPr>
      </w:pPr>
    </w:p>
    <w:p w14:paraId="2DA14AED" w14:textId="77777777" w:rsidR="00A76C5B" w:rsidRPr="000C7EAF" w:rsidRDefault="00A76C5B" w:rsidP="00A76C5B">
      <w:pPr>
        <w:pStyle w:val="Heading1"/>
        <w:rPr>
          <w:lang w:val="en-GB"/>
        </w:rPr>
      </w:pPr>
    </w:p>
    <w:p w14:paraId="463A89D9" w14:textId="77777777" w:rsidR="00A76C5B" w:rsidRPr="000C7EAF" w:rsidRDefault="00A76C5B" w:rsidP="00A76C5B">
      <w:pPr>
        <w:pStyle w:val="Heading1"/>
        <w:rPr>
          <w:lang w:val="en-GB"/>
        </w:rPr>
      </w:pPr>
    </w:p>
    <w:p w14:paraId="461E0CC6" w14:textId="77777777" w:rsidR="00A76C5B" w:rsidRPr="000C7EAF" w:rsidRDefault="00A76C5B" w:rsidP="00A76C5B">
      <w:pPr>
        <w:pStyle w:val="Heading1"/>
        <w:rPr>
          <w:lang w:val="en-GB"/>
        </w:rPr>
      </w:pPr>
    </w:p>
    <w:p w14:paraId="776F8F86" w14:textId="77777777" w:rsidR="00A76C5B" w:rsidRPr="000C7EAF" w:rsidRDefault="00A76C5B" w:rsidP="00A76C5B">
      <w:pPr>
        <w:pStyle w:val="Heading1"/>
        <w:rPr>
          <w:lang w:val="en-GB"/>
        </w:rPr>
      </w:pPr>
    </w:p>
    <w:p w14:paraId="315871D1" w14:textId="77777777" w:rsidR="00A76C5B" w:rsidRPr="000C7EAF" w:rsidRDefault="00A76C5B" w:rsidP="00A76C5B">
      <w:pPr>
        <w:pStyle w:val="Heading1"/>
        <w:rPr>
          <w:lang w:val="en-GB"/>
        </w:rPr>
      </w:pPr>
    </w:p>
    <w:p w14:paraId="5DCF52E8" w14:textId="77777777" w:rsidR="00A76C5B" w:rsidRPr="000C7EAF" w:rsidRDefault="00A76C5B" w:rsidP="00A76C5B">
      <w:pPr>
        <w:pStyle w:val="Heading1"/>
        <w:rPr>
          <w:lang w:val="en-GB"/>
        </w:rPr>
      </w:pPr>
    </w:p>
    <w:p w14:paraId="7190A587" w14:textId="77777777" w:rsidR="00A76C5B" w:rsidRPr="000C7EAF" w:rsidRDefault="00A76C5B" w:rsidP="00A76C5B">
      <w:pPr>
        <w:pStyle w:val="Heading1"/>
        <w:rPr>
          <w:lang w:val="en-GB"/>
        </w:rPr>
      </w:pPr>
    </w:p>
    <w:p w14:paraId="713F61CF" w14:textId="77777777" w:rsidR="00A76C5B" w:rsidRPr="000C7EAF" w:rsidRDefault="00A76C5B" w:rsidP="00A76C5B">
      <w:pPr>
        <w:pStyle w:val="Heading1"/>
        <w:rPr>
          <w:lang w:val="en-GB"/>
        </w:rPr>
      </w:pPr>
    </w:p>
    <w:p w14:paraId="13B483B9" w14:textId="77777777" w:rsidR="00A76C5B" w:rsidRPr="000C7EAF" w:rsidRDefault="00A76C5B" w:rsidP="00A76C5B">
      <w:pPr>
        <w:pStyle w:val="Heading1"/>
        <w:rPr>
          <w:lang w:val="en-GB"/>
        </w:rPr>
      </w:pPr>
    </w:p>
    <w:p w14:paraId="732AC3ED" w14:textId="77777777" w:rsidR="00A76C5B" w:rsidRPr="000C7EAF" w:rsidRDefault="00A76C5B" w:rsidP="00A76C5B">
      <w:pPr>
        <w:pStyle w:val="Heading1"/>
        <w:rPr>
          <w:lang w:val="en-GB"/>
        </w:rPr>
      </w:pPr>
    </w:p>
    <w:p w14:paraId="2750F362" w14:textId="77777777" w:rsidR="00A76C5B" w:rsidRPr="000C7EAF" w:rsidRDefault="00A76C5B" w:rsidP="00A76C5B">
      <w:pPr>
        <w:pStyle w:val="Heading1"/>
        <w:rPr>
          <w:lang w:val="en-GB"/>
        </w:rPr>
      </w:pPr>
    </w:p>
    <w:p w14:paraId="786A7C3B" w14:textId="77777777" w:rsidR="00A76C5B" w:rsidRPr="000C7EAF" w:rsidRDefault="00A76C5B" w:rsidP="00A76C5B">
      <w:pPr>
        <w:pStyle w:val="Heading1"/>
        <w:rPr>
          <w:lang w:val="en-GB"/>
        </w:rPr>
      </w:pPr>
    </w:p>
    <w:p w14:paraId="5A8DB3C2" w14:textId="77777777" w:rsidR="00A76C5B" w:rsidRPr="000C7EAF" w:rsidRDefault="00A76C5B" w:rsidP="00A76C5B">
      <w:pPr>
        <w:pStyle w:val="Heading1"/>
        <w:rPr>
          <w:lang w:val="en-GB"/>
        </w:rPr>
      </w:pPr>
    </w:p>
    <w:p w14:paraId="7A61A6F1" w14:textId="77777777" w:rsidR="00A76C5B" w:rsidRPr="000C7EAF" w:rsidRDefault="00A76C5B" w:rsidP="00A76C5B">
      <w:pPr>
        <w:pStyle w:val="Heading1"/>
        <w:rPr>
          <w:lang w:val="en-GB"/>
        </w:rPr>
      </w:pPr>
    </w:p>
    <w:p w14:paraId="4D9A0785" w14:textId="77777777" w:rsidR="00A76C5B" w:rsidRPr="000C7EAF" w:rsidRDefault="00A76C5B" w:rsidP="00A76C5B">
      <w:pPr>
        <w:pStyle w:val="Heading1"/>
        <w:rPr>
          <w:lang w:val="en-GB"/>
        </w:rPr>
      </w:pPr>
    </w:p>
    <w:p w14:paraId="31391D8B" w14:textId="77777777" w:rsidR="00A76C5B" w:rsidRPr="000C7EAF" w:rsidRDefault="00A76C5B" w:rsidP="00A76C5B">
      <w:pPr>
        <w:pStyle w:val="Heading1"/>
        <w:rPr>
          <w:lang w:val="en-GB"/>
        </w:rPr>
      </w:pPr>
    </w:p>
    <w:p w14:paraId="651DC172" w14:textId="77777777" w:rsidR="00A76C5B" w:rsidRPr="000C7EAF" w:rsidRDefault="00A76C5B" w:rsidP="00A76C5B">
      <w:pPr>
        <w:pStyle w:val="Heading1"/>
        <w:rPr>
          <w:lang w:val="en-GB"/>
        </w:rPr>
      </w:pPr>
    </w:p>
    <w:p w14:paraId="420D627E" w14:textId="77777777" w:rsidR="00A76C5B" w:rsidRPr="000C7EAF" w:rsidRDefault="00A76C5B" w:rsidP="00A76C5B">
      <w:pPr>
        <w:pStyle w:val="Heading1"/>
        <w:rPr>
          <w:lang w:val="en-GB"/>
        </w:rPr>
      </w:pPr>
    </w:p>
    <w:p w14:paraId="05778EA9" w14:textId="77777777" w:rsidR="00A76C5B" w:rsidRPr="000C7EAF" w:rsidRDefault="00A76C5B" w:rsidP="00A76C5B">
      <w:pPr>
        <w:pStyle w:val="Heading1"/>
        <w:rPr>
          <w:lang w:val="en-GB"/>
        </w:rPr>
      </w:pPr>
    </w:p>
    <w:p w14:paraId="1FD5CED2" w14:textId="77777777" w:rsidR="00A76C5B" w:rsidRPr="000C7EAF" w:rsidRDefault="00A76C5B" w:rsidP="00A76C5B">
      <w:pPr>
        <w:pStyle w:val="Heading1"/>
        <w:rPr>
          <w:lang w:val="en-GB"/>
        </w:rPr>
      </w:pPr>
    </w:p>
    <w:p w14:paraId="15722C83" w14:textId="77777777" w:rsidR="00A76C5B" w:rsidRPr="000C7EAF" w:rsidRDefault="00A76C5B" w:rsidP="00A76C5B">
      <w:pPr>
        <w:pStyle w:val="Heading1"/>
        <w:rPr>
          <w:lang w:val="en-GB"/>
        </w:rPr>
      </w:pPr>
    </w:p>
    <w:p w14:paraId="391F38BE" w14:textId="77777777" w:rsidR="00A76C5B" w:rsidRPr="000C7EAF" w:rsidRDefault="00A76C5B" w:rsidP="00A76C5B">
      <w:pPr>
        <w:pStyle w:val="Heading1"/>
        <w:rPr>
          <w:lang w:val="en-GB"/>
        </w:rPr>
      </w:pPr>
    </w:p>
    <w:p w14:paraId="48ECF552" w14:textId="77777777" w:rsidR="00A76C5B" w:rsidRPr="000C7EAF" w:rsidRDefault="00A76C5B" w:rsidP="00A76C5B">
      <w:pPr>
        <w:pStyle w:val="Heading1"/>
        <w:rPr>
          <w:lang w:val="en-GB"/>
        </w:rPr>
      </w:pPr>
    </w:p>
    <w:p w14:paraId="2B2414A5" w14:textId="77777777" w:rsidR="00A76C5B" w:rsidRPr="000C7EAF" w:rsidRDefault="00A76C5B" w:rsidP="00A76C5B">
      <w:pPr>
        <w:pStyle w:val="Heading1"/>
        <w:rPr>
          <w:lang w:val="en-GB"/>
        </w:rPr>
      </w:pPr>
    </w:p>
    <w:p w14:paraId="79D7A408" w14:textId="77777777" w:rsidR="00A76C5B" w:rsidRPr="000C7EAF" w:rsidRDefault="00A76C5B" w:rsidP="00A76C5B">
      <w:pPr>
        <w:pStyle w:val="Heading1"/>
        <w:rPr>
          <w:lang w:val="en-GB"/>
        </w:rPr>
      </w:pPr>
    </w:p>
    <w:p w14:paraId="004A7D46" w14:textId="60BCC3CF" w:rsidR="0085033A" w:rsidRPr="000C7EAF" w:rsidRDefault="00A76C5B" w:rsidP="00A76C5B">
      <w:pPr>
        <w:pStyle w:val="Heading1"/>
        <w:rPr>
          <w:lang w:val="en-GB"/>
        </w:rPr>
      </w:pPr>
      <w:bookmarkStart w:id="19" w:name="_Toc236176827"/>
      <w:r w:rsidRPr="000C7EAF">
        <w:rPr>
          <w:lang w:val="en-GB"/>
        </w:rPr>
        <w:t>7.References:</w:t>
      </w:r>
      <w:bookmarkEnd w:id="19"/>
    </w:p>
    <w:p w14:paraId="2398EC46" w14:textId="77777777" w:rsidR="00A76C5B" w:rsidRPr="000C7EAF" w:rsidRDefault="00A76C5B" w:rsidP="00A76C5B">
      <w:pPr>
        <w:pStyle w:val="Heading1"/>
        <w:rPr>
          <w:lang w:val="en-GB"/>
        </w:rPr>
      </w:pPr>
    </w:p>
    <w:p w14:paraId="44B499D5"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[1</w:t>
      </w:r>
      <w:proofErr w:type="gramStart"/>
      <w:r w:rsidRPr="000C7EAF">
        <w:rPr>
          <w:rFonts w:asciiTheme="minorHAnsi" w:hAnsiTheme="minorHAnsi"/>
          <w:sz w:val="24"/>
          <w:szCs w:val="24"/>
        </w:rPr>
        <w:t>]  National</w:t>
      </w:r>
      <w:proofErr w:type="gramEnd"/>
      <w:r w:rsidRPr="000C7EAF">
        <w:rPr>
          <w:rFonts w:asciiTheme="minorHAnsi" w:hAnsiTheme="minorHAnsi"/>
          <w:sz w:val="24"/>
          <w:szCs w:val="24"/>
        </w:rPr>
        <w:t xml:space="preserve"> Institute of Standards and Technology, "The NIST Cybersecurity Framework (CSF) 2.0," NIST Cybersecurity White Paper (CSWP) 29, Gaithersburg, MD, USA, Feb. 2024.</w:t>
      </w:r>
    </w:p>
    <w:p w14:paraId="5F7E4B15"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[2</w:t>
      </w:r>
      <w:proofErr w:type="gramStart"/>
      <w:r w:rsidRPr="000C7EAF">
        <w:rPr>
          <w:rFonts w:asciiTheme="minorHAnsi" w:hAnsiTheme="minorHAnsi"/>
          <w:sz w:val="24"/>
          <w:szCs w:val="24"/>
        </w:rPr>
        <w:t>]  National</w:t>
      </w:r>
      <w:proofErr w:type="gramEnd"/>
      <w:r w:rsidRPr="000C7EAF">
        <w:rPr>
          <w:rFonts w:asciiTheme="minorHAnsi" w:hAnsiTheme="minorHAnsi"/>
          <w:sz w:val="24"/>
          <w:szCs w:val="24"/>
        </w:rPr>
        <w:t xml:space="preserve"> Institute of Standards and Technology, "Cybersecurity Supply Chain Risk Management Practices for Systems and Organizations," NIST Special Publication 800-161r1, Gaithersburg, MD, USA, May 2022, updated Nov. 2024.</w:t>
      </w:r>
    </w:p>
    <w:p w14:paraId="0B135087"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[3</w:t>
      </w:r>
      <w:proofErr w:type="gramStart"/>
      <w:r w:rsidRPr="000C7EAF">
        <w:rPr>
          <w:rFonts w:asciiTheme="minorHAnsi" w:hAnsiTheme="minorHAnsi"/>
          <w:sz w:val="24"/>
          <w:szCs w:val="24"/>
        </w:rPr>
        <w:t>]  Cybersecurity</w:t>
      </w:r>
      <w:proofErr w:type="gramEnd"/>
      <w:r w:rsidRPr="000C7EAF">
        <w:rPr>
          <w:rFonts w:asciiTheme="minorHAnsi" w:hAnsiTheme="minorHAnsi"/>
          <w:sz w:val="24"/>
          <w:szCs w:val="24"/>
        </w:rPr>
        <w:t xml:space="preserve"> and Infrastructure Security Agency, "Zero Trust Maturity Model," version 2.0, Washington, DC, USA, Apr. 2023.</w:t>
      </w:r>
    </w:p>
    <w:p w14:paraId="7F051418"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[4</w:t>
      </w:r>
      <w:proofErr w:type="gramStart"/>
      <w:r w:rsidRPr="000C7EAF">
        <w:rPr>
          <w:rFonts w:asciiTheme="minorHAnsi" w:hAnsiTheme="minorHAnsi"/>
          <w:sz w:val="24"/>
          <w:szCs w:val="24"/>
        </w:rPr>
        <w:t>]  European</w:t>
      </w:r>
      <w:proofErr w:type="gramEnd"/>
      <w:r w:rsidRPr="000C7EAF">
        <w:rPr>
          <w:rFonts w:asciiTheme="minorHAnsi" w:hAnsiTheme="minorHAnsi"/>
          <w:sz w:val="24"/>
          <w:szCs w:val="24"/>
        </w:rPr>
        <w:t xml:space="preserve"> Union Agency for Cybersecurity, "ENISA Threat Landscape 2024," Publications Office of the European Union, Athens, Greece, Sep. 2024.</w:t>
      </w:r>
    </w:p>
    <w:p w14:paraId="00E0E0BF"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[5</w:t>
      </w:r>
      <w:proofErr w:type="gramStart"/>
      <w:r w:rsidRPr="000C7EAF">
        <w:rPr>
          <w:rFonts w:asciiTheme="minorHAnsi" w:hAnsiTheme="minorHAnsi"/>
          <w:sz w:val="24"/>
          <w:szCs w:val="24"/>
        </w:rPr>
        <w:t>]  ISACA</w:t>
      </w:r>
      <w:proofErr w:type="gramEnd"/>
      <w:r w:rsidRPr="000C7EAF">
        <w:rPr>
          <w:rFonts w:asciiTheme="minorHAnsi" w:hAnsiTheme="minorHAnsi"/>
          <w:sz w:val="24"/>
          <w:szCs w:val="24"/>
        </w:rPr>
        <w:t>, "State of Cybersecurity 2024," Schaumburg, IL, USA, Oct. 2024.</w:t>
      </w:r>
    </w:p>
    <w:p w14:paraId="4E1AB4F6"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[6</w:t>
      </w:r>
      <w:proofErr w:type="gramStart"/>
      <w:r w:rsidRPr="000C7EAF">
        <w:rPr>
          <w:rFonts w:asciiTheme="minorHAnsi" w:hAnsiTheme="minorHAnsi"/>
          <w:sz w:val="24"/>
          <w:szCs w:val="24"/>
        </w:rPr>
        <w:t>]  European</w:t>
      </w:r>
      <w:proofErr w:type="gramEnd"/>
      <w:r w:rsidRPr="000C7EAF">
        <w:rPr>
          <w:rFonts w:asciiTheme="minorHAnsi" w:hAnsiTheme="minorHAnsi"/>
          <w:sz w:val="24"/>
          <w:szCs w:val="24"/>
        </w:rPr>
        <w:t xml:space="preserve"> Data Protection Board, "EDPB 2025 Annual Report," Brussels, Belgium, Apr. 2026.</w:t>
      </w:r>
    </w:p>
    <w:p w14:paraId="719D1656"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[7</w:t>
      </w:r>
      <w:proofErr w:type="gramStart"/>
      <w:r w:rsidRPr="000C7EAF">
        <w:rPr>
          <w:rFonts w:asciiTheme="minorHAnsi" w:hAnsiTheme="minorHAnsi"/>
          <w:sz w:val="24"/>
          <w:szCs w:val="24"/>
        </w:rPr>
        <w:t>]  CMS</w:t>
      </w:r>
      <w:proofErr w:type="gramEnd"/>
      <w:r w:rsidRPr="000C7EAF">
        <w:rPr>
          <w:rFonts w:asciiTheme="minorHAnsi" w:hAnsiTheme="minorHAnsi"/>
          <w:sz w:val="24"/>
          <w:szCs w:val="24"/>
        </w:rPr>
        <w:t xml:space="preserve"> Legal Services EEIG, "GDPR Enforcement Tracker Report," 6th ed., May 2025.</w:t>
      </w:r>
    </w:p>
    <w:p w14:paraId="326EC5CC"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[8</w:t>
      </w:r>
      <w:proofErr w:type="gramStart"/>
      <w:r w:rsidRPr="000C7EAF">
        <w:rPr>
          <w:rFonts w:asciiTheme="minorHAnsi" w:hAnsiTheme="minorHAnsi"/>
          <w:sz w:val="24"/>
          <w:szCs w:val="24"/>
        </w:rPr>
        <w:t xml:space="preserve">]  </w:t>
      </w:r>
      <w:proofErr w:type="spellStart"/>
      <w:r w:rsidRPr="000C7EAF">
        <w:rPr>
          <w:rFonts w:asciiTheme="minorHAnsi" w:hAnsiTheme="minorHAnsi"/>
          <w:sz w:val="24"/>
          <w:szCs w:val="24"/>
        </w:rPr>
        <w:t>PeopleCert</w:t>
      </w:r>
      <w:proofErr w:type="spellEnd"/>
      <w:proofErr w:type="gramEnd"/>
      <w:r w:rsidRPr="000C7EAF">
        <w:rPr>
          <w:rFonts w:asciiTheme="minorHAnsi" w:hAnsiTheme="minorHAnsi"/>
          <w:sz w:val="24"/>
          <w:szCs w:val="24"/>
        </w:rPr>
        <w:t xml:space="preserve"> / AXELOS, "ITIL 4 Specialist: Sustainability in Digital and IT," London, U.K., 2023.</w:t>
      </w:r>
    </w:p>
    <w:p w14:paraId="5EA6F3F5" w14:textId="77777777" w:rsidR="0085033A" w:rsidRPr="000C7EAF"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[9</w:t>
      </w:r>
      <w:proofErr w:type="gramStart"/>
      <w:r w:rsidRPr="000C7EAF">
        <w:rPr>
          <w:rFonts w:asciiTheme="minorHAnsi" w:hAnsiTheme="minorHAnsi"/>
          <w:sz w:val="24"/>
          <w:szCs w:val="24"/>
        </w:rPr>
        <w:t>]  A</w:t>
      </w:r>
      <w:proofErr w:type="gramEnd"/>
      <w:r w:rsidRPr="000C7EAF">
        <w:rPr>
          <w:rFonts w:asciiTheme="minorHAnsi" w:hAnsiTheme="minorHAnsi"/>
          <w:sz w:val="24"/>
          <w:szCs w:val="24"/>
        </w:rPr>
        <w:t>-LIGN, "Unveiling ISO 27001:2022: The 9 Critical Updates You Need to Know," Tampa, FL, USA, 2023.</w:t>
      </w:r>
    </w:p>
    <w:p w14:paraId="45E9D778" w14:textId="77777777" w:rsidR="0085033A" w:rsidRPr="00B15736" w:rsidRDefault="00000000">
      <w:pPr>
        <w:spacing w:after="160" w:line="280" w:lineRule="auto"/>
        <w:ind w:left="431" w:hanging="431"/>
        <w:rPr>
          <w:rFonts w:asciiTheme="minorHAnsi" w:hAnsiTheme="minorHAnsi"/>
          <w:sz w:val="24"/>
          <w:szCs w:val="24"/>
        </w:rPr>
      </w:pPr>
      <w:r w:rsidRPr="000C7EAF">
        <w:rPr>
          <w:rFonts w:asciiTheme="minorHAnsi" w:hAnsiTheme="minorHAnsi"/>
          <w:sz w:val="24"/>
          <w:szCs w:val="24"/>
        </w:rPr>
        <w:t>[10</w:t>
      </w:r>
      <w:proofErr w:type="gramStart"/>
      <w:r w:rsidRPr="000C7EAF">
        <w:rPr>
          <w:rFonts w:asciiTheme="minorHAnsi" w:hAnsiTheme="minorHAnsi"/>
          <w:sz w:val="24"/>
          <w:szCs w:val="24"/>
        </w:rPr>
        <w:t>]  ISACA</w:t>
      </w:r>
      <w:proofErr w:type="gramEnd"/>
      <w:r w:rsidRPr="000C7EAF">
        <w:rPr>
          <w:rFonts w:asciiTheme="minorHAnsi" w:hAnsiTheme="minorHAnsi"/>
          <w:sz w:val="24"/>
          <w:szCs w:val="24"/>
        </w:rPr>
        <w:t>, "Leveraging COBIT for Effective AI System Governance," white paper, Schaumburg, IL, USA, 2025.</w:t>
      </w:r>
    </w:p>
    <w:sectPr w:rsidR="0085033A" w:rsidRPr="00B15736">
      <w:pgSz w:w="11906" w:h="16838"/>
      <w:pgMar w:top="1080" w:right="1080" w:bottom="1080" w:left="108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264031A5"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438pt;height:460.2pt;visibility:visible;mso-wrap-style:square" o:bullet="t">
        <v:imagedata r:id="rId1" o:title=""/>
      </v:shape>
    </w:pict>
  </w:numPicBullet>
  <w:abstractNum w:abstractNumId="0" w15:restartNumberingAfterBreak="0">
    <w:nsid w:val="378F2867"/>
    <w:multiLevelType w:val="hybridMultilevel"/>
    <w:tmpl w:val="3F32EBD2"/>
    <w:lvl w:ilvl="0" w:tplc="785E4E6C">
      <w:start w:val="1"/>
      <w:numFmt w:val="bullet"/>
      <w:lvlText w:val="●"/>
      <w:lvlJc w:val="left"/>
      <w:pPr>
        <w:ind w:left="720" w:hanging="360"/>
      </w:pPr>
    </w:lvl>
    <w:lvl w:ilvl="1" w:tplc="01FA566E">
      <w:start w:val="1"/>
      <w:numFmt w:val="bullet"/>
      <w:lvlText w:val="○"/>
      <w:lvlJc w:val="left"/>
      <w:pPr>
        <w:ind w:left="1440" w:hanging="360"/>
      </w:pPr>
    </w:lvl>
    <w:lvl w:ilvl="2" w:tplc="551A2FC6">
      <w:start w:val="1"/>
      <w:numFmt w:val="bullet"/>
      <w:lvlText w:val="■"/>
      <w:lvlJc w:val="left"/>
      <w:pPr>
        <w:ind w:left="2160" w:hanging="360"/>
      </w:pPr>
    </w:lvl>
    <w:lvl w:ilvl="3" w:tplc="34EE0894">
      <w:start w:val="1"/>
      <w:numFmt w:val="bullet"/>
      <w:lvlText w:val="●"/>
      <w:lvlJc w:val="left"/>
      <w:pPr>
        <w:ind w:left="2880" w:hanging="360"/>
      </w:pPr>
    </w:lvl>
    <w:lvl w:ilvl="4" w:tplc="7A3E3B7C">
      <w:start w:val="1"/>
      <w:numFmt w:val="bullet"/>
      <w:lvlText w:val="○"/>
      <w:lvlJc w:val="left"/>
      <w:pPr>
        <w:ind w:left="3600" w:hanging="360"/>
      </w:pPr>
    </w:lvl>
    <w:lvl w:ilvl="5" w:tplc="5B624A86">
      <w:start w:val="1"/>
      <w:numFmt w:val="bullet"/>
      <w:lvlText w:val="■"/>
      <w:lvlJc w:val="left"/>
      <w:pPr>
        <w:ind w:left="4320" w:hanging="360"/>
      </w:pPr>
    </w:lvl>
    <w:lvl w:ilvl="6" w:tplc="606C89CE">
      <w:start w:val="1"/>
      <w:numFmt w:val="bullet"/>
      <w:lvlText w:val="●"/>
      <w:lvlJc w:val="left"/>
      <w:pPr>
        <w:ind w:left="5040" w:hanging="360"/>
      </w:pPr>
    </w:lvl>
    <w:lvl w:ilvl="7" w:tplc="42ECD134">
      <w:start w:val="1"/>
      <w:numFmt w:val="bullet"/>
      <w:lvlText w:val="●"/>
      <w:lvlJc w:val="left"/>
      <w:pPr>
        <w:ind w:left="5760" w:hanging="360"/>
      </w:pPr>
    </w:lvl>
    <w:lvl w:ilvl="8" w:tplc="3E56C95E">
      <w:start w:val="1"/>
      <w:numFmt w:val="bullet"/>
      <w:lvlText w:val="●"/>
      <w:lvlJc w:val="left"/>
      <w:pPr>
        <w:ind w:left="6480" w:hanging="360"/>
      </w:pPr>
    </w:lvl>
  </w:abstractNum>
  <w:abstractNum w:abstractNumId="1" w15:restartNumberingAfterBreak="0">
    <w:nsid w:val="470132D1"/>
    <w:multiLevelType w:val="hybridMultilevel"/>
    <w:tmpl w:val="5A9EE824"/>
    <w:lvl w:ilvl="0" w:tplc="CCE02964">
      <w:start w:val="1"/>
      <w:numFmt w:val="bullet"/>
      <w:lvlText w:val="•"/>
      <w:lvlJc w:val="left"/>
      <w:pPr>
        <w:ind w:left="504" w:hanging="288"/>
      </w:p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4A8A4F47"/>
    <w:multiLevelType w:val="hybridMultilevel"/>
    <w:tmpl w:val="28F83D2A"/>
    <w:lvl w:ilvl="0" w:tplc="CCE02964">
      <w:start w:val="1"/>
      <w:numFmt w:val="bullet"/>
      <w:lvlText w:val="•"/>
      <w:lvlJc w:val="left"/>
      <w:pPr>
        <w:ind w:left="504" w:hanging="288"/>
      </w:pPr>
    </w:lvl>
    <w:lvl w:ilvl="1" w:tplc="28222762">
      <w:start w:val="1"/>
      <w:numFmt w:val="bullet"/>
      <w:lvlText w:val="◦"/>
      <w:lvlJc w:val="left"/>
      <w:pPr>
        <w:ind w:left="1008" w:hanging="288"/>
      </w:pPr>
    </w:lvl>
    <w:lvl w:ilvl="2" w:tplc="5C98A83C">
      <w:numFmt w:val="decimal"/>
      <w:lvlText w:val=""/>
      <w:lvlJc w:val="left"/>
    </w:lvl>
    <w:lvl w:ilvl="3" w:tplc="88EC30C2">
      <w:numFmt w:val="decimal"/>
      <w:lvlText w:val=""/>
      <w:lvlJc w:val="left"/>
    </w:lvl>
    <w:lvl w:ilvl="4" w:tplc="EF007BE2">
      <w:numFmt w:val="decimal"/>
      <w:lvlText w:val=""/>
      <w:lvlJc w:val="left"/>
    </w:lvl>
    <w:lvl w:ilvl="5" w:tplc="2C7CFAAA">
      <w:numFmt w:val="decimal"/>
      <w:lvlText w:val=""/>
      <w:lvlJc w:val="left"/>
    </w:lvl>
    <w:lvl w:ilvl="6" w:tplc="DD3A8DB6">
      <w:numFmt w:val="decimal"/>
      <w:lvlText w:val=""/>
      <w:lvlJc w:val="left"/>
    </w:lvl>
    <w:lvl w:ilvl="7" w:tplc="0174F98E">
      <w:numFmt w:val="decimal"/>
      <w:lvlText w:val=""/>
      <w:lvlJc w:val="left"/>
    </w:lvl>
    <w:lvl w:ilvl="8" w:tplc="52DAC43C">
      <w:numFmt w:val="decimal"/>
      <w:lvlText w:val=""/>
      <w:lvlJc w:val="left"/>
    </w:lvl>
  </w:abstractNum>
  <w:abstractNum w:abstractNumId="3" w15:restartNumberingAfterBreak="0">
    <w:nsid w:val="587019D9"/>
    <w:multiLevelType w:val="hybridMultilevel"/>
    <w:tmpl w:val="1F9AD3EA"/>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454904944">
    <w:abstractNumId w:val="0"/>
    <w:lvlOverride w:ilvl="0">
      <w:startOverride w:val="1"/>
    </w:lvlOverride>
  </w:num>
  <w:num w:numId="2" w16cid:durableId="1924145311">
    <w:abstractNumId w:val="2"/>
    <w:lvlOverride w:ilvl="0">
      <w:startOverride w:val="1"/>
    </w:lvlOverride>
  </w:num>
  <w:num w:numId="3" w16cid:durableId="13042738">
    <w:abstractNumId w:val="3"/>
  </w:num>
  <w:num w:numId="4" w16cid:durableId="1662585654">
    <w:abstractNumId w:val="2"/>
  </w:num>
  <w:num w:numId="5" w16cid:durableId="33306915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033A"/>
    <w:rsid w:val="000C7EAF"/>
    <w:rsid w:val="001C7366"/>
    <w:rsid w:val="00445771"/>
    <w:rsid w:val="007432D6"/>
    <w:rsid w:val="008264BC"/>
    <w:rsid w:val="0085033A"/>
    <w:rsid w:val="008750EE"/>
    <w:rsid w:val="00884463"/>
    <w:rsid w:val="00907C55"/>
    <w:rsid w:val="00A76C5B"/>
    <w:rsid w:val="00B15736"/>
    <w:rsid w:val="00B730D0"/>
    <w:rsid w:val="00D94E3D"/>
    <w:rsid w:val="00DC08F4"/>
    <w:rsid w:val="00E178C4"/>
    <w:rsid w:val="00EA2E36"/>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24FD84"/>
  <w15:docId w15:val="{CC2134D4-C7EE-40ED-BC76-28C1EE12F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style>
  <w:style w:type="character" w:customStyle="1" w:styleId="EndnoteTextChar">
    <w:name w:val="Endnote Text Char"/>
    <w:link w:val="EndnoteText"/>
    <w:uiPriority w:val="99"/>
    <w:semiHidden/>
    <w:unhideWhenUsed/>
    <w:rPr>
      <w:sz w:val="20"/>
      <w:szCs w:val="20"/>
    </w:rPr>
  </w:style>
  <w:style w:type="paragraph" w:styleId="TOCHeading">
    <w:name w:val="TOC Heading"/>
    <w:basedOn w:val="Heading1"/>
    <w:next w:val="Normal"/>
    <w:uiPriority w:val="39"/>
    <w:unhideWhenUsed/>
    <w:qFormat/>
    <w:rsid w:val="008264BC"/>
    <w:pPr>
      <w:keepNext/>
      <w:keepLines/>
      <w:spacing w:before="240" w:line="259" w:lineRule="auto"/>
      <w:outlineLvl w:val="9"/>
    </w:pPr>
    <w:rPr>
      <w:rFonts w:asciiTheme="majorHAnsi" w:eastAsiaTheme="majorEastAsia" w:hAnsiTheme="majorHAnsi" w:cstheme="majorBidi"/>
      <w:color w:val="0F4761" w:themeColor="accent1" w:themeShade="BF"/>
      <w:lang w:val="en-US" w:eastAsia="en-US"/>
    </w:rPr>
  </w:style>
  <w:style w:type="paragraph" w:styleId="TOC1">
    <w:name w:val="toc 1"/>
    <w:basedOn w:val="Normal"/>
    <w:next w:val="Normal"/>
    <w:autoRedefine/>
    <w:uiPriority w:val="39"/>
    <w:unhideWhenUsed/>
    <w:rsid w:val="008264BC"/>
    <w:pPr>
      <w:spacing w:after="100"/>
    </w:pPr>
  </w:style>
  <w:style w:type="paragraph" w:styleId="TOC2">
    <w:name w:val="toc 2"/>
    <w:basedOn w:val="Normal"/>
    <w:next w:val="Normal"/>
    <w:autoRedefine/>
    <w:uiPriority w:val="39"/>
    <w:unhideWhenUsed/>
    <w:rsid w:val="008264BC"/>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F3048-9C70-49A3-8069-5715697A4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15</Pages>
  <Words>3498</Words>
  <Characters>19939</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Vivek Nelapati (2511594)</cp:lastModifiedBy>
  <cp:revision>7</cp:revision>
  <dcterms:created xsi:type="dcterms:W3CDTF">2026-07-28T21:56:00Z</dcterms:created>
  <dcterms:modified xsi:type="dcterms:W3CDTF">2026-07-28T23:45:00Z</dcterms:modified>
</cp:coreProperties>
</file>