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854ECF"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D1B21EA"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CF678F">
        <w:rPr>
          <w:rFonts w:ascii="Arial" w:hAnsi="Arial" w:cs="Arial"/>
          <w:sz w:val="28"/>
          <w:szCs w:val="28"/>
          <w:lang w:val="nl-NL"/>
        </w:rPr>
        <w:t>Introduction to Health and Social Care</w:t>
      </w:r>
    </w:p>
    <w:p w14:paraId="537571AF" w14:textId="5E3EA2E5"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CF678F">
        <w:rPr>
          <w:rFonts w:ascii="Arial" w:hAnsi="Arial" w:cs="Arial"/>
          <w:sz w:val="28"/>
          <w:szCs w:val="28"/>
        </w:rPr>
        <w:t xml:space="preserve"> </w:t>
      </w:r>
      <w:r w:rsidR="006D3619">
        <w:rPr>
          <w:rFonts w:ascii="Arial" w:hAnsi="Arial" w:cs="Arial"/>
          <w:sz w:val="28"/>
          <w:szCs w:val="28"/>
        </w:rPr>
        <w:t>LCHS4003</w:t>
      </w:r>
    </w:p>
    <w:p w14:paraId="0A48766D" w14:textId="022787B4" w:rsidR="00074402" w:rsidRPr="00CF678F" w:rsidRDefault="00074402" w:rsidP="00CD33A8">
      <w:pPr>
        <w:tabs>
          <w:tab w:val="left" w:pos="6540"/>
        </w:tabs>
        <w:spacing w:line="360" w:lineRule="auto"/>
        <w:rPr>
          <w:rFonts w:ascii="Arial" w:hAnsi="Arial" w:cs="Arial"/>
          <w:sz w:val="22"/>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CF678F">
        <w:rPr>
          <w:rFonts w:ascii="Arial" w:hAnsi="Arial" w:cs="Arial"/>
          <w:sz w:val="28"/>
          <w:szCs w:val="28"/>
          <w:lang w:val="nl-NL"/>
        </w:rPr>
        <w:t xml:space="preserve"> Oana-Zlatita Ilici</w:t>
      </w:r>
    </w:p>
    <w:p w14:paraId="39AA4413" w14:textId="32088E73"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CF678F">
        <w:rPr>
          <w:rFonts w:ascii="Arial" w:hAnsi="Arial" w:cs="Arial"/>
          <w:sz w:val="28"/>
          <w:szCs w:val="28"/>
          <w:lang w:val="nl-NL"/>
        </w:rPr>
        <w:t xml:space="preserve"> 2516914</w:t>
      </w:r>
    </w:p>
    <w:p w14:paraId="1A0B2D2B" w14:textId="19B8ABB1"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CF678F">
        <w:rPr>
          <w:rFonts w:ascii="Arial" w:hAnsi="Arial" w:cs="Arial"/>
          <w:sz w:val="28"/>
          <w:szCs w:val="28"/>
        </w:rPr>
        <w:t xml:space="preserve"> </w:t>
      </w:r>
      <w:r w:rsidR="006D3619">
        <w:rPr>
          <w:rFonts w:ascii="Arial" w:hAnsi="Arial" w:cs="Arial"/>
          <w:sz w:val="28"/>
          <w:szCs w:val="28"/>
        </w:rPr>
        <w:t xml:space="preserve">Dr </w:t>
      </w:r>
      <w:r w:rsidR="00CF678F">
        <w:rPr>
          <w:rFonts w:ascii="Arial" w:hAnsi="Arial" w:cs="Arial"/>
          <w:sz w:val="28"/>
          <w:szCs w:val="28"/>
        </w:rPr>
        <w:t>Shepherd Ziko</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24DD9A13" w:rsidR="00B87E75" w:rsidRPr="00CD33A8" w:rsidRDefault="00A2216F" w:rsidP="00E620E7">
      <w:pPr>
        <w:pStyle w:val="Heading1"/>
      </w:pPr>
      <w:r>
        <w:lastRenderedPageBreak/>
        <w:t xml:space="preserve">       </w:t>
      </w:r>
      <w:r w:rsidR="00B87E75" w:rsidRPr="00CD33A8">
        <w:t>Table of contents</w:t>
      </w:r>
    </w:p>
    <w:p w14:paraId="13E00080" w14:textId="137FF22A" w:rsidR="00B87E75" w:rsidRPr="00CD33A8" w:rsidRDefault="00B87E75" w:rsidP="00CD33A8">
      <w:pPr>
        <w:spacing w:line="360" w:lineRule="auto"/>
        <w:rPr>
          <w:rFonts w:asciiTheme="minorBidi" w:hAnsiTheme="minorBidi"/>
          <w:sz w:val="22"/>
        </w:rPr>
      </w:pPr>
    </w:p>
    <w:p w14:paraId="05FB13CD" w14:textId="6E79383F" w:rsidR="00C12EBB" w:rsidRPr="00C12EBB" w:rsidRDefault="00C12EBB" w:rsidP="00C12EBB">
      <w:pPr>
        <w:pStyle w:val="ListParagraph"/>
        <w:shd w:val="clear" w:color="auto" w:fill="FFFFFF"/>
        <w:spacing w:after="0" w:line="240" w:lineRule="auto"/>
        <w:rPr>
          <w:rFonts w:ascii="Arial" w:eastAsia="Times New Roman" w:hAnsi="Arial" w:cs="Arial"/>
          <w:color w:val="222222"/>
          <w:szCs w:val="24"/>
          <w:lang w:eastAsia="en-GB"/>
        </w:rPr>
      </w:pPr>
      <w:r>
        <w:rPr>
          <w:rFonts w:ascii="Arial" w:eastAsia="Times New Roman" w:hAnsi="Arial" w:cs="Arial"/>
          <w:color w:val="222222"/>
          <w:szCs w:val="24"/>
          <w:lang w:eastAsia="en-GB"/>
        </w:rPr>
        <w:t>1.</w:t>
      </w:r>
      <w:r w:rsidRPr="00C12EBB">
        <w:rPr>
          <w:rFonts w:ascii="Arial" w:eastAsia="Times New Roman" w:hAnsi="Arial" w:cs="Arial"/>
          <w:color w:val="222222"/>
          <w:szCs w:val="24"/>
          <w:lang w:eastAsia="en-GB"/>
        </w:rPr>
        <w:t>Introduction ................................................................................................1</w:t>
      </w:r>
    </w:p>
    <w:p w14:paraId="44064C92" w14:textId="77777777" w:rsidR="00C12EBB" w:rsidRDefault="00C12EBB" w:rsidP="00C12EBB">
      <w:pPr>
        <w:pStyle w:val="ListParagraph"/>
        <w:shd w:val="clear" w:color="auto" w:fill="FFFFFF"/>
        <w:spacing w:after="0" w:line="240" w:lineRule="auto"/>
        <w:rPr>
          <w:rFonts w:ascii="Arial" w:eastAsia="Times New Roman" w:hAnsi="Arial" w:cs="Arial"/>
          <w:color w:val="222222"/>
          <w:szCs w:val="24"/>
          <w:lang w:eastAsia="en-GB"/>
        </w:rPr>
      </w:pPr>
    </w:p>
    <w:p w14:paraId="28BD3B76" w14:textId="5523B542" w:rsidR="00C12EBB" w:rsidRPr="00C12EBB" w:rsidRDefault="00C12EBB" w:rsidP="00C12EBB">
      <w:pPr>
        <w:pStyle w:val="ListParagraph"/>
        <w:shd w:val="clear" w:color="auto" w:fill="FFFFFF"/>
        <w:spacing w:after="0" w:line="240" w:lineRule="auto"/>
        <w:rPr>
          <w:rFonts w:ascii="Arial" w:eastAsia="Times New Roman" w:hAnsi="Arial" w:cs="Arial"/>
          <w:color w:val="222222"/>
          <w:szCs w:val="24"/>
          <w:lang w:eastAsia="en-GB"/>
        </w:rPr>
      </w:pPr>
      <w:r w:rsidRPr="00C12EBB">
        <w:rPr>
          <w:rFonts w:ascii="Arial" w:eastAsia="Times New Roman" w:hAnsi="Arial" w:cs="Arial"/>
          <w:color w:val="222222"/>
          <w:szCs w:val="24"/>
          <w:lang w:eastAsia="en-GB"/>
        </w:rPr>
        <w:t>2. Efficient Communication in Mr. Ahmed’s Care .....................................</w:t>
      </w:r>
      <w:r>
        <w:rPr>
          <w:rFonts w:ascii="Arial" w:eastAsia="Times New Roman" w:hAnsi="Arial" w:cs="Arial"/>
          <w:color w:val="222222"/>
          <w:szCs w:val="24"/>
          <w:lang w:eastAsia="en-GB"/>
        </w:rPr>
        <w:t>...</w:t>
      </w:r>
      <w:r w:rsidRPr="00C12EBB">
        <w:rPr>
          <w:rFonts w:ascii="Arial" w:eastAsia="Times New Roman" w:hAnsi="Arial" w:cs="Arial"/>
          <w:color w:val="222222"/>
          <w:szCs w:val="24"/>
          <w:lang w:eastAsia="en-GB"/>
        </w:rPr>
        <w:t>. 3</w:t>
      </w:r>
      <w:r w:rsidRPr="00C12EBB">
        <w:rPr>
          <w:rFonts w:ascii="Arial" w:eastAsia="Times New Roman" w:hAnsi="Arial" w:cs="Arial"/>
          <w:color w:val="222222"/>
          <w:szCs w:val="24"/>
          <w:lang w:eastAsia="en-GB"/>
        </w:rPr>
        <w:br/>
      </w:r>
      <w:r w:rsidRPr="00C12EBB">
        <w:rPr>
          <w:rFonts w:ascii="Arial" w:eastAsia="Times New Roman" w:hAnsi="Arial" w:cs="Arial"/>
          <w:color w:val="222222"/>
          <w:szCs w:val="24"/>
          <w:lang w:eastAsia="en-GB"/>
        </w:rPr>
        <w:br/>
        <w:t>3. Administrative Skills and Record Keeping ................................................ 4</w:t>
      </w:r>
      <w:r w:rsidRPr="00C12EBB">
        <w:rPr>
          <w:rFonts w:ascii="Arial" w:eastAsia="Times New Roman" w:hAnsi="Arial" w:cs="Arial"/>
          <w:color w:val="222222"/>
          <w:szCs w:val="24"/>
          <w:lang w:eastAsia="en-GB"/>
        </w:rPr>
        <w:br/>
      </w:r>
      <w:r w:rsidRPr="00C12EBB">
        <w:rPr>
          <w:rFonts w:ascii="Arial" w:eastAsia="Times New Roman" w:hAnsi="Arial" w:cs="Arial"/>
          <w:color w:val="222222"/>
          <w:szCs w:val="24"/>
          <w:lang w:eastAsia="en-GB"/>
        </w:rPr>
        <w:br/>
        <w:t>4. Collaborative Working in Multi-Agency Teams ......................................</w:t>
      </w:r>
      <w:r>
        <w:rPr>
          <w:rFonts w:ascii="Arial" w:eastAsia="Times New Roman" w:hAnsi="Arial" w:cs="Arial"/>
          <w:color w:val="222222"/>
          <w:szCs w:val="24"/>
          <w:lang w:eastAsia="en-GB"/>
        </w:rPr>
        <w:t>....</w:t>
      </w:r>
      <w:r w:rsidRPr="00C12EBB">
        <w:rPr>
          <w:rFonts w:ascii="Arial" w:eastAsia="Times New Roman" w:hAnsi="Arial" w:cs="Arial"/>
          <w:color w:val="222222"/>
          <w:szCs w:val="24"/>
          <w:lang w:eastAsia="en-GB"/>
        </w:rPr>
        <w:t>5</w:t>
      </w:r>
      <w:r w:rsidRPr="00C12EBB">
        <w:rPr>
          <w:rFonts w:ascii="Arial" w:eastAsia="Times New Roman" w:hAnsi="Arial" w:cs="Arial"/>
          <w:color w:val="222222"/>
          <w:szCs w:val="24"/>
          <w:lang w:eastAsia="en-GB"/>
        </w:rPr>
        <w:br/>
      </w:r>
      <w:r w:rsidRPr="00C12EBB">
        <w:rPr>
          <w:rFonts w:ascii="Arial" w:eastAsia="Times New Roman" w:hAnsi="Arial" w:cs="Arial"/>
          <w:color w:val="222222"/>
          <w:szCs w:val="24"/>
          <w:lang w:eastAsia="en-GB"/>
        </w:rPr>
        <w:br/>
        <w:t>5. Conclusion................................................................................................. 6</w:t>
      </w:r>
      <w:r w:rsidRPr="00C12EBB">
        <w:rPr>
          <w:rFonts w:ascii="Arial" w:eastAsia="Times New Roman" w:hAnsi="Arial" w:cs="Arial"/>
          <w:color w:val="222222"/>
          <w:szCs w:val="24"/>
          <w:lang w:eastAsia="en-GB"/>
        </w:rPr>
        <w:br/>
      </w:r>
      <w:r w:rsidRPr="00C12EBB">
        <w:rPr>
          <w:rFonts w:ascii="Arial" w:eastAsia="Times New Roman" w:hAnsi="Arial" w:cs="Arial"/>
          <w:color w:val="222222"/>
          <w:szCs w:val="24"/>
          <w:lang w:eastAsia="en-GB"/>
        </w:rPr>
        <w:br/>
        <w:t>6. Reference.................................................................................................. 7</w:t>
      </w:r>
    </w:p>
    <w:p w14:paraId="2E79F7ED" w14:textId="182913C0" w:rsidR="00B87E75" w:rsidRPr="00C12EBB" w:rsidRDefault="00B87E75" w:rsidP="00CD33A8">
      <w:pPr>
        <w:spacing w:line="360" w:lineRule="auto"/>
        <w:rPr>
          <w:rFonts w:ascii="Arial" w:hAnsi="Arial" w:cs="Arial"/>
          <w:sz w:val="22"/>
        </w:rPr>
      </w:pPr>
    </w:p>
    <w:p w14:paraId="7AE771D5" w14:textId="1C06E45A" w:rsidR="00B87E75" w:rsidRPr="00CD33A8" w:rsidRDefault="00B87E75" w:rsidP="00CD33A8">
      <w:pPr>
        <w:spacing w:line="360" w:lineRule="auto"/>
        <w:rPr>
          <w:rFonts w:asciiTheme="minorBidi" w:hAnsiTheme="minorBidi"/>
          <w:sz w:val="22"/>
        </w:rPr>
      </w:pPr>
    </w:p>
    <w:p w14:paraId="6E8DB53E" w14:textId="3A799787" w:rsidR="008A769D" w:rsidRPr="00CF678F" w:rsidRDefault="00B87E75" w:rsidP="008A769D">
      <w:pPr>
        <w:pStyle w:val="ListParagraph"/>
        <w:spacing w:line="360" w:lineRule="auto"/>
        <w:rPr>
          <w:rFonts w:ascii="Arial" w:hAnsi="Arial" w:cs="Arial"/>
          <w:b/>
          <w:bCs/>
          <w:sz w:val="22"/>
        </w:rPr>
      </w:pPr>
      <w:r w:rsidRPr="00CF678F">
        <w:rPr>
          <w:rFonts w:asciiTheme="minorBidi" w:hAnsiTheme="minorBidi"/>
          <w:sz w:val="22"/>
        </w:rPr>
        <w:br w:type="page"/>
      </w:r>
      <w:r w:rsidRPr="00CF678F">
        <w:rPr>
          <w:rFonts w:ascii="Arial" w:hAnsi="Arial" w:cs="Arial"/>
          <w:b/>
          <w:bCs/>
          <w:sz w:val="22"/>
        </w:rPr>
        <w:lastRenderedPageBreak/>
        <w:t>Introduction</w:t>
      </w:r>
    </w:p>
    <w:p w14:paraId="127318B8" w14:textId="4746FE3F" w:rsidR="00E96C72" w:rsidRDefault="008A769D" w:rsidP="00E96C72">
      <w:pPr>
        <w:pStyle w:val="ListParagraph"/>
        <w:spacing w:line="360" w:lineRule="auto"/>
        <w:rPr>
          <w:rFonts w:ascii="Arial" w:hAnsi="Arial" w:cs="Arial"/>
          <w:sz w:val="22"/>
        </w:rPr>
      </w:pPr>
      <w:r w:rsidRPr="00CF678F">
        <w:rPr>
          <w:rFonts w:ascii="Arial" w:hAnsi="Arial" w:cs="Arial"/>
          <w:color w:val="222222"/>
          <w:sz w:val="22"/>
          <w:shd w:val="clear" w:color="auto" w:fill="FFFFFF"/>
        </w:rPr>
        <w:t xml:space="preserve">This report examines the multi-faceted care requirements of Mr. Ahmed, a 68-year-old individual recovering from a stroke. The analysis focuses on three critical pillars of health and social care: effective communication, administrative proficiency in record-keeping, and the necessity of multi-agency collaboration. Mr. Ahmed’s case presents specific complexities, including language barriers, physical rehabilitation </w:t>
      </w:r>
      <w:r w:rsidR="00E96C72">
        <w:rPr>
          <w:rFonts w:ascii="Arial" w:hAnsi="Arial" w:cs="Arial"/>
          <w:color w:val="222222"/>
          <w:sz w:val="22"/>
          <w:shd w:val="clear" w:color="auto" w:fill="FFFFFF"/>
        </w:rPr>
        <w:t>n</w:t>
      </w:r>
      <w:r w:rsidR="00E96C72" w:rsidRPr="00CF678F">
        <w:rPr>
          <w:rFonts w:ascii="Arial" w:hAnsi="Arial" w:cs="Arial"/>
          <w:color w:val="222222"/>
          <w:sz w:val="22"/>
          <w:shd w:val="clear" w:color="auto" w:fill="FFFFFF"/>
        </w:rPr>
        <w:t>eeds</w:t>
      </w:r>
      <w:r w:rsidRPr="00CF678F">
        <w:rPr>
          <w:rFonts w:ascii="Arial" w:hAnsi="Arial" w:cs="Arial"/>
          <w:color w:val="222222"/>
          <w:sz w:val="22"/>
          <w:shd w:val="clear" w:color="auto" w:fill="FFFFFF"/>
        </w:rPr>
        <w:t xml:space="preserve">, and a recent safeguarding incident involving a missed domiciliary visit. </w:t>
      </w:r>
      <w:r w:rsidRPr="00E96C72">
        <w:rPr>
          <w:rFonts w:ascii="Arial" w:hAnsi="Arial" w:cs="Arial"/>
          <w:color w:val="222222"/>
          <w:sz w:val="22"/>
          <w:shd w:val="clear" w:color="auto" w:fill="FFFFFF"/>
        </w:rPr>
        <w:t>This report will evaluate how professional practice must align with UK legislative frameworks, specifically the Equality Act 2010 and the Data Protection Act 2018. By applying theoretical communication models and examining the roles of the multidisciplinary team (MDT), the report aims to demonstrate how integrated, person-centred care can improve outcomes for service users while maintaining legal and ethical standards in a professional healthcare e</w:t>
      </w:r>
      <w:r w:rsidRPr="00E96C72">
        <w:rPr>
          <w:rFonts w:ascii="Arial" w:hAnsi="Arial" w:cs="Arial"/>
          <w:sz w:val="22"/>
        </w:rPr>
        <w:t>nvironment.</w:t>
      </w:r>
    </w:p>
    <w:p w14:paraId="20CD9169" w14:textId="3D5C2137" w:rsidR="00E96C72" w:rsidRPr="00E96C72" w:rsidRDefault="00E96C72" w:rsidP="00E96C72">
      <w:pPr>
        <w:pStyle w:val="ListParagraph"/>
        <w:spacing w:line="360" w:lineRule="auto"/>
        <w:rPr>
          <w:rFonts w:ascii="Arial" w:hAnsi="Arial" w:cs="Arial"/>
          <w:sz w:val="22"/>
        </w:rPr>
      </w:pPr>
      <w:r w:rsidRPr="00E96C72">
        <w:rPr>
          <w:rFonts w:ascii="Arial" w:hAnsi="Arial" w:cs="Arial"/>
          <w:sz w:val="22"/>
          <w:lang w:eastAsia="en-GB"/>
        </w:rPr>
        <w:t>Central to this analysis is the principle of person-centred care, which mandates that the individual remains at the heart of every clinical decision. For Mr. Ahmed, this involves moving beyond a purely medical model of disability to one that respects his unique cultural background and personal preferences (Rogers, 2003). Ensuring that his care is both dignified and responsive is not only an ethical requirement but also a core component of the Health and Social Care Act 2008 (Regulated Activities) Regulations 2014. Furthermore, the report will address the professional duty of candour, exploring how the MDT must remain accountable and transparent following the domiciliary service failure (General Medical Council, 2022). By integrating these elements, the following sections will illustrate how a robust, inter-professional approach can mitigate risks and promote holistic recovery.</w:t>
      </w:r>
    </w:p>
    <w:p w14:paraId="38F83168" w14:textId="77777777" w:rsidR="00E96C72" w:rsidRPr="00CF678F" w:rsidRDefault="00E96C72" w:rsidP="008A769D">
      <w:pPr>
        <w:pStyle w:val="ListParagraph"/>
        <w:spacing w:line="360" w:lineRule="auto"/>
        <w:rPr>
          <w:rFonts w:ascii="Arial" w:hAnsi="Arial" w:cs="Arial"/>
          <w:sz w:val="22"/>
        </w:rPr>
      </w:pPr>
    </w:p>
    <w:p w14:paraId="5803A0DB" w14:textId="77777777" w:rsidR="008A769D" w:rsidRPr="00CF678F" w:rsidRDefault="008A769D" w:rsidP="008A769D">
      <w:pPr>
        <w:pStyle w:val="ListParagraph"/>
        <w:spacing w:line="360" w:lineRule="auto"/>
        <w:rPr>
          <w:rFonts w:ascii="Arial" w:hAnsi="Arial" w:cs="Arial"/>
          <w:color w:val="222222"/>
          <w:sz w:val="22"/>
          <w:shd w:val="clear" w:color="auto" w:fill="FFFFFF"/>
        </w:rPr>
      </w:pPr>
    </w:p>
    <w:p w14:paraId="32F1867F" w14:textId="154E3A82" w:rsidR="00CF678F" w:rsidRPr="00CF678F" w:rsidRDefault="008A769D" w:rsidP="00CF678F">
      <w:pPr>
        <w:pStyle w:val="ListParagraph"/>
        <w:spacing w:line="360" w:lineRule="auto"/>
        <w:rPr>
          <w:rFonts w:ascii="Arial" w:hAnsi="Arial" w:cs="Arial"/>
          <w:color w:val="222222"/>
          <w:sz w:val="22"/>
          <w:shd w:val="clear" w:color="auto" w:fill="FFFFFF"/>
        </w:rPr>
      </w:pPr>
      <w:r w:rsidRPr="00CF678F">
        <w:rPr>
          <w:rFonts w:ascii="Arial" w:hAnsi="Arial" w:cs="Arial"/>
          <w:b/>
          <w:bCs/>
          <w:color w:val="222222"/>
          <w:sz w:val="22"/>
          <w:shd w:val="clear" w:color="auto" w:fill="FFFFFF"/>
        </w:rPr>
        <w:t>Efficient Communication in Mr. Ahmed’s Care</w:t>
      </w:r>
      <w:r w:rsidRPr="00CF678F">
        <w:rPr>
          <w:rFonts w:ascii="Arial" w:hAnsi="Arial" w:cs="Arial"/>
          <w:color w:val="222222"/>
          <w:sz w:val="22"/>
          <w:shd w:val="clear" w:color="auto" w:fill="FFFFFF"/>
        </w:rPr>
        <w:t xml:space="preserve"> </w:t>
      </w:r>
      <w:r w:rsidRPr="00CF678F">
        <w:rPr>
          <w:rFonts w:ascii="Arial" w:hAnsi="Arial" w:cs="Arial"/>
          <w:color w:val="222222"/>
          <w:sz w:val="22"/>
        </w:rPr>
        <w:br/>
      </w:r>
      <w:r w:rsidRPr="00CF678F">
        <w:rPr>
          <w:rFonts w:ascii="Arial" w:hAnsi="Arial" w:cs="Arial"/>
          <w:color w:val="222222"/>
          <w:sz w:val="22"/>
          <w:shd w:val="clear" w:color="auto" w:fill="FFFFFF"/>
        </w:rPr>
        <w:t>Effective communication is the cornerstone of person-centred care, ensuring that the service user remains at the heart of the decision-making process. In Mr. Ahmed’s case, communication is complicated by his limited English proficiency and post-stroke recovery. To address this, professionals must apply Berlo’s SMCR Model (Source, Message, Channel, Receiver). In this context, the 'Source' (health professional) must ensure the 'Message' is adapted to the 'Receiver's' (Mr. Ahmed) decoding abilities. Because Mr. Ahmed struggles with complex English, the 'Channel' should include non-verbal cues, visual aids, or the use of a professional interpreter rather than relying solely on his wife, to ensure his individual autonomy is respected.</w:t>
      </w:r>
      <w:r w:rsidRPr="00CF678F">
        <w:rPr>
          <w:rFonts w:ascii="Arial" w:hAnsi="Arial" w:cs="Arial"/>
          <w:color w:val="222222"/>
          <w:sz w:val="22"/>
        </w:rPr>
        <w:br/>
      </w:r>
      <w:r w:rsidRPr="00CF678F">
        <w:rPr>
          <w:rFonts w:ascii="Arial" w:hAnsi="Arial" w:cs="Arial"/>
          <w:color w:val="222222"/>
          <w:sz w:val="22"/>
          <w:shd w:val="clear" w:color="auto" w:fill="FFFFFF"/>
        </w:rPr>
        <w:t xml:space="preserve">Furthermore, the Equality Act 2010 mandates that service providers make </w:t>
      </w:r>
      <w:r w:rsidRPr="00CF678F">
        <w:rPr>
          <w:rFonts w:ascii="Arial" w:hAnsi="Arial" w:cs="Arial"/>
          <w:color w:val="222222"/>
          <w:sz w:val="22"/>
          <w:shd w:val="clear" w:color="auto" w:fill="FFFFFF"/>
        </w:rPr>
        <w:lastRenderedPageBreak/>
        <w:t>"reasonable adjustments" to ensure that individuals with protected characteristics, such as disability (stroke) and race/language, are not disadvantaged. Communication must be inclusive; failing to provide information in a format Mr. Ahmed understands would constitute a breach of the Act. While his wife facilitates communication, professionals must be wary of "diagnostic overshadowing" or ignoring the service user’s direct input. Communication should be empathetic and patient, allowing Mr. Ahmed sufficient time to process information, which is a key principle of the 6Cs in Nursing (Care, Compassion, Competence, Communication, Courage, and Commitment).</w:t>
      </w:r>
      <w:r w:rsidRPr="00CF678F">
        <w:rPr>
          <w:rFonts w:ascii="Arial" w:hAnsi="Arial" w:cs="Arial"/>
          <w:color w:val="222222"/>
          <w:sz w:val="22"/>
        </w:rPr>
        <w:br/>
      </w:r>
      <w:r w:rsidRPr="00CF678F">
        <w:rPr>
          <w:rFonts w:ascii="Arial" w:hAnsi="Arial" w:cs="Arial"/>
          <w:color w:val="222222"/>
          <w:sz w:val="22"/>
          <w:shd w:val="clear" w:color="auto" w:fill="FFFFFF"/>
        </w:rPr>
        <w:t xml:space="preserve">Active listening is also vital when engaging with Mr. Ahmed’s wife. As a primary caregiver, her insights are invaluable, but professional boundaries must be maintained to ensure the information shared is accurate and that Mr. Ahmed’s own voice is not lost. By using the SOLER (Sit squarely, Open posture, </w:t>
      </w:r>
      <w:proofErr w:type="gramStart"/>
      <w:r w:rsidR="006459C9">
        <w:rPr>
          <w:rFonts w:ascii="Arial" w:hAnsi="Arial" w:cs="Arial"/>
          <w:color w:val="222222"/>
          <w:sz w:val="22"/>
          <w:shd w:val="clear" w:color="auto" w:fill="FFFFFF"/>
        </w:rPr>
        <w:t>L</w:t>
      </w:r>
      <w:r w:rsidR="006459C9" w:rsidRPr="00CF678F">
        <w:rPr>
          <w:rFonts w:ascii="Arial" w:hAnsi="Arial" w:cs="Arial"/>
          <w:color w:val="222222"/>
          <w:sz w:val="22"/>
          <w:shd w:val="clear" w:color="auto" w:fill="FFFFFF"/>
        </w:rPr>
        <w:t>ean</w:t>
      </w:r>
      <w:proofErr w:type="gramEnd"/>
      <w:r w:rsidRPr="00CF678F">
        <w:rPr>
          <w:rFonts w:ascii="Arial" w:hAnsi="Arial" w:cs="Arial"/>
          <w:color w:val="222222"/>
          <w:sz w:val="22"/>
          <w:shd w:val="clear" w:color="auto" w:fill="FFFFFF"/>
        </w:rPr>
        <w:t xml:space="preserve"> forward, Eye contact, Relax) technique, practitioners can foster a trusting environment that encourages the family to voice concerns, such as the recent missed visit. Effective communication serves as a preventative measure against safeguarding failures, ensuring that all parties are aware of the care plan and medication schedules.</w:t>
      </w:r>
      <w:r w:rsidR="00CF678F" w:rsidRPr="00CF678F">
        <w:rPr>
          <w:rFonts w:ascii="Arial" w:hAnsi="Arial" w:cs="Arial"/>
          <w:color w:val="222222"/>
          <w:sz w:val="22"/>
          <w:shd w:val="clear" w:color="auto" w:fill="FFFFFF"/>
        </w:rPr>
        <w:t xml:space="preserve">  </w:t>
      </w:r>
    </w:p>
    <w:p w14:paraId="68BC7705" w14:textId="77777777" w:rsidR="00CF678F" w:rsidRPr="00CF678F" w:rsidRDefault="00CF678F" w:rsidP="00CF678F">
      <w:pPr>
        <w:pStyle w:val="ListParagraph"/>
        <w:spacing w:line="360" w:lineRule="auto"/>
        <w:rPr>
          <w:rFonts w:ascii="Arial" w:hAnsi="Arial" w:cs="Arial"/>
          <w:b/>
          <w:bCs/>
          <w:color w:val="222222"/>
          <w:sz w:val="22"/>
          <w:shd w:val="clear" w:color="auto" w:fill="FFFFFF"/>
        </w:rPr>
      </w:pPr>
    </w:p>
    <w:p w14:paraId="234BB8CA" w14:textId="77777777" w:rsidR="00E96C72" w:rsidRDefault="00CF678F" w:rsidP="00E96C72">
      <w:pPr>
        <w:pStyle w:val="ListParagraph"/>
        <w:spacing w:line="360" w:lineRule="auto"/>
        <w:rPr>
          <w:rFonts w:ascii="Arial" w:hAnsi="Arial" w:cs="Arial"/>
          <w:color w:val="222222"/>
          <w:sz w:val="22"/>
          <w:shd w:val="clear" w:color="auto" w:fill="FFFFFF"/>
        </w:rPr>
      </w:pPr>
      <w:r w:rsidRPr="00CF678F">
        <w:rPr>
          <w:rFonts w:ascii="Arial" w:hAnsi="Arial" w:cs="Arial"/>
          <w:b/>
          <w:bCs/>
          <w:color w:val="222222"/>
          <w:sz w:val="22"/>
          <w:shd w:val="clear" w:color="auto" w:fill="FFFFFF"/>
        </w:rPr>
        <w:t>Administrative Skills and Record Keeping</w:t>
      </w:r>
      <w:r w:rsidRPr="00CF678F">
        <w:rPr>
          <w:rFonts w:ascii="Arial" w:hAnsi="Arial" w:cs="Arial"/>
          <w:color w:val="222222"/>
          <w:sz w:val="22"/>
          <w:shd w:val="clear" w:color="auto" w:fill="FFFFFF"/>
        </w:rPr>
        <w:t xml:space="preserve"> </w:t>
      </w:r>
      <w:r w:rsidRPr="00CF678F">
        <w:rPr>
          <w:rFonts w:ascii="Arial" w:hAnsi="Arial" w:cs="Arial"/>
          <w:color w:val="222222"/>
          <w:sz w:val="22"/>
        </w:rPr>
        <w:br/>
      </w:r>
      <w:r w:rsidRPr="00CF678F">
        <w:rPr>
          <w:rFonts w:ascii="Arial" w:hAnsi="Arial" w:cs="Arial"/>
          <w:color w:val="222222"/>
          <w:sz w:val="22"/>
          <w:shd w:val="clear" w:color="auto" w:fill="FFFFFF"/>
        </w:rPr>
        <w:t>In professional practice, administrative skills are not merely clerical but are essential for safety and legal accountability. For Mr. Ahmed, accurate record-keeping is critical due to the complexity of his medication regime and the involvement of multiple agencies. The recent missed home visit and subsequent delayed medication highlight a failure in administrative oversight. Under the Data Protection Act 2018 (incorporating GDPR), personal data must be processed lawfully, accurately, and kept up to date. The incident report currently under investigation is a legal document; it must be objective, factual, and completed promptly to ensure a clear audit trail.</w:t>
      </w:r>
      <w:r w:rsidRPr="00CF678F">
        <w:rPr>
          <w:rFonts w:ascii="Arial" w:hAnsi="Arial" w:cs="Arial"/>
          <w:color w:val="222222"/>
          <w:sz w:val="22"/>
        </w:rPr>
        <w:br/>
      </w:r>
      <w:r w:rsidRPr="00CF678F">
        <w:rPr>
          <w:rFonts w:ascii="Arial" w:hAnsi="Arial" w:cs="Arial"/>
          <w:color w:val="222222"/>
          <w:sz w:val="22"/>
        </w:rPr>
        <w:br/>
      </w:r>
      <w:r w:rsidRPr="00CF678F">
        <w:rPr>
          <w:rFonts w:ascii="Arial" w:hAnsi="Arial" w:cs="Arial"/>
          <w:color w:val="222222"/>
          <w:sz w:val="22"/>
          <w:shd w:val="clear" w:color="auto" w:fill="FFFFFF"/>
        </w:rPr>
        <w:t>The Principles of Good Record Keeping, as outlined by regulatory bodies like the NMC or HCPC, dictate that records must be "contemporaneous" (written at the time of the event). For the district nurse and domiciliary care workers, documenting each visit, the specific wound care provided, and the exact timing of medication administration is vital. This ensures "continuity of care." If a visit is missed, the administrative system must have a robust "red flag" mechanism to alert the agency and the GP immediately.</w:t>
      </w:r>
      <w:r w:rsidRPr="00CF678F">
        <w:rPr>
          <w:rFonts w:ascii="Arial" w:hAnsi="Arial" w:cs="Arial"/>
          <w:color w:val="222222"/>
          <w:sz w:val="22"/>
        </w:rPr>
        <w:br/>
      </w:r>
      <w:r w:rsidRPr="00CF678F">
        <w:rPr>
          <w:rFonts w:ascii="Arial" w:hAnsi="Arial" w:cs="Arial"/>
          <w:color w:val="222222"/>
          <w:sz w:val="22"/>
          <w:shd w:val="clear" w:color="auto" w:fill="FFFFFF"/>
        </w:rPr>
        <w:t xml:space="preserve">Furthermore, the Caldicott Principles must be applied when sharing Mr. Ahmed’s data between the GP, the speech and language therapist, and the care agency. Only </w:t>
      </w:r>
      <w:r w:rsidRPr="00CF678F">
        <w:rPr>
          <w:rFonts w:ascii="Arial" w:hAnsi="Arial" w:cs="Arial"/>
          <w:color w:val="222222"/>
          <w:sz w:val="22"/>
          <w:shd w:val="clear" w:color="auto" w:fill="FFFFFF"/>
        </w:rPr>
        <w:lastRenderedPageBreak/>
        <w:t>the minimum necessary information should be shared, and it must be done through secure channels to protect his privacy. Good administration also involves maintaining the MAR (Medication Administration Record) charts accurately. A failure to sign a MAR chart, or an error in recording, can lead to life-threatening clinical mistakes. Therefore, administrative proficiency is directly linked to the principle of "non-maleficence" (doing no harm). By adhering to the Health and Social Care Act 2008 (Regulated Activities) Regulations 2014, specifically Regulation 17 (Good Governance), the care provider must maintain an accurate record for each service user to ensure their safety and welfare.</w:t>
      </w:r>
    </w:p>
    <w:p w14:paraId="3FDCB9FB" w14:textId="77777777" w:rsidR="00E96C72" w:rsidRDefault="00E96C72" w:rsidP="00E96C72">
      <w:pPr>
        <w:pStyle w:val="ListParagraph"/>
        <w:spacing w:line="360" w:lineRule="auto"/>
        <w:rPr>
          <w:rFonts w:ascii="Arial" w:eastAsia="Times New Roman" w:hAnsi="Arial" w:cs="Arial"/>
          <w:b/>
          <w:bCs/>
          <w:color w:val="222222"/>
          <w:sz w:val="22"/>
          <w:lang w:eastAsia="en-GB"/>
        </w:rPr>
      </w:pPr>
    </w:p>
    <w:p w14:paraId="63017F2D" w14:textId="3AB7C940" w:rsidR="00CC2AD1" w:rsidRDefault="00CF678F" w:rsidP="00CC2AD1">
      <w:pPr>
        <w:pStyle w:val="ListParagraph"/>
        <w:spacing w:line="360" w:lineRule="auto"/>
        <w:rPr>
          <w:rFonts w:ascii="Arial" w:eastAsia="Times New Roman" w:hAnsi="Arial" w:cs="Arial"/>
          <w:color w:val="222222"/>
          <w:sz w:val="22"/>
          <w:lang w:eastAsia="en-GB"/>
        </w:rPr>
      </w:pPr>
      <w:r w:rsidRPr="00CF678F">
        <w:rPr>
          <w:rFonts w:ascii="Arial" w:eastAsia="Times New Roman" w:hAnsi="Arial" w:cs="Arial"/>
          <w:b/>
          <w:bCs/>
          <w:color w:val="222222"/>
          <w:sz w:val="22"/>
          <w:lang w:eastAsia="en-GB"/>
        </w:rPr>
        <w:t>Collaborative Working in Multi-Agency Teams</w:t>
      </w:r>
      <w:r w:rsidRPr="00CF678F">
        <w:rPr>
          <w:rFonts w:ascii="Arial" w:eastAsia="Times New Roman" w:hAnsi="Arial" w:cs="Arial"/>
          <w:color w:val="222222"/>
          <w:sz w:val="22"/>
          <w:lang w:eastAsia="en-GB"/>
        </w:rPr>
        <w:t xml:space="preserve"> </w:t>
      </w:r>
      <w:r w:rsidRPr="00CF678F">
        <w:rPr>
          <w:rFonts w:ascii="Arial" w:eastAsia="Times New Roman" w:hAnsi="Arial" w:cs="Arial"/>
          <w:color w:val="222222"/>
          <w:sz w:val="22"/>
          <w:lang w:eastAsia="en-GB"/>
        </w:rPr>
        <w:br/>
        <w:t>Collaborative working is essential for Mr. Ahmed’s holistic recovery, as no single professional can meet all his needs. The Multidisciplinary Team (MDT)—comprising the GP, district nurse, speech and language therapist (SLT), and domiciliary workers—must operate as a cohesive unit. For example, the SLT’s work on swallowing is directly linked to the domiciliary worker’s meal preparation and the district nurse’s monitoring of nutritional status.</w:t>
      </w:r>
      <w:r w:rsidRPr="00CF678F">
        <w:rPr>
          <w:rFonts w:ascii="Arial" w:eastAsia="Times New Roman" w:hAnsi="Arial" w:cs="Arial"/>
          <w:color w:val="222222"/>
          <w:sz w:val="22"/>
          <w:lang w:eastAsia="en-GB"/>
        </w:rPr>
        <w:br/>
      </w:r>
      <w:r w:rsidRPr="00CF678F">
        <w:rPr>
          <w:rFonts w:ascii="Arial" w:eastAsia="Times New Roman" w:hAnsi="Arial" w:cs="Arial"/>
          <w:color w:val="222222"/>
          <w:sz w:val="22"/>
          <w:lang w:eastAsia="en-GB"/>
        </w:rPr>
        <w:br/>
        <w:t>To foster effective collaboration, agencies should use Integrated Care Pathways (ICPs) and shared digital platforms for real-time updates. Regular MDT meetings (or "huddles") allow for the sharing of expertise and the alignment of goals. However, multi-agency working faces challenges such as "professional silos," where different agencies fail to communicate due to varying organizational cultures or incompatible IT systems. The missed visit in Mr. Ahmed’s case is a prime example of a breakdown in multi-agency synchronicity.</w:t>
      </w:r>
      <w:r w:rsidRPr="00CF678F">
        <w:rPr>
          <w:rFonts w:ascii="Arial" w:eastAsia="Times New Roman" w:hAnsi="Arial" w:cs="Arial"/>
          <w:color w:val="222222"/>
          <w:sz w:val="22"/>
          <w:lang w:eastAsia="en-GB"/>
        </w:rPr>
        <w:br/>
      </w:r>
      <w:r w:rsidRPr="00CF678F">
        <w:rPr>
          <w:rFonts w:ascii="Arial" w:eastAsia="Times New Roman" w:hAnsi="Arial" w:cs="Arial"/>
          <w:color w:val="222222"/>
          <w:sz w:val="22"/>
          <w:lang w:eastAsia="en-GB"/>
        </w:rPr>
        <w:br/>
        <w:t>To overcome these challenges, a Lead Professional (or Care Coordinator) should be appointed to act as the central point of contact. Strategies such as SBAR (Situation, Background, Assessment, Recommendation) reporting can standardize communication between the district nurse and the GP, reducing the risk of clinical errors. By fostering a culture of mutual respect and shared accountability, the team can ensure that the "Total Care" package is greater than the sum of its parts, ultimately improving Mr. Ahmed’s quality of life and preventing further safeguarding incidents.</w:t>
      </w:r>
      <w:r w:rsidR="00CC2AD1" w:rsidRPr="00CC2AD1">
        <w:rPr>
          <w:rFonts w:ascii="Arial" w:hAnsi="Arial" w:cs="Arial"/>
          <w:color w:val="222222"/>
          <w:shd w:val="clear" w:color="auto" w:fill="FFFFFF"/>
        </w:rPr>
        <w:t xml:space="preserve"> </w:t>
      </w:r>
      <w:r w:rsidR="00CC2AD1" w:rsidRPr="00CC2AD1">
        <w:rPr>
          <w:rFonts w:ascii="Arial" w:hAnsi="Arial" w:cs="Arial"/>
          <w:color w:val="222222"/>
          <w:sz w:val="22"/>
          <w:shd w:val="clear" w:color="auto" w:fill="FFFFFF"/>
        </w:rPr>
        <w:t xml:space="preserve">The implementation of a Lead Professional or Care Coordinator is further supported by the Health and Care Act 2022, which emphasizes the legal duty for agencies to collaborate to reduce the risk of patients "falling through the gaps." Recent studies in the UK highlight that having a dedicated coordinator significantly </w:t>
      </w:r>
      <w:r w:rsidR="00CC2AD1" w:rsidRPr="00CC2AD1">
        <w:rPr>
          <w:rFonts w:ascii="Arial" w:hAnsi="Arial" w:cs="Arial"/>
          <w:color w:val="222222"/>
          <w:sz w:val="22"/>
          <w:shd w:val="clear" w:color="auto" w:fill="FFFFFF"/>
        </w:rPr>
        <w:lastRenderedPageBreak/>
        <w:t>improves the continuity of care for patients with multiple comorbidities, as it provides a clear line of accountability and reduces the administrative burden on individual clinical staff (NHS England, 2023). Furthermore, the use of structured communication frameworks like SBAR is now recognized as a gold standard in the UK for enhancing clinical safety during handovers, ensuring that critical information—such as Mr. Ahmed’s missed visits or nutritional needs—is conveyed accurately and acted upon promptly by all members of the MDT (Care Quality Commission [CQC], 2024).</w:t>
      </w:r>
    </w:p>
    <w:p w14:paraId="642D4353" w14:textId="0DE38B30" w:rsidR="00CF678F" w:rsidRPr="00E96C72" w:rsidRDefault="00CF678F" w:rsidP="00E96C72">
      <w:pPr>
        <w:pStyle w:val="ListParagraph"/>
        <w:spacing w:line="360" w:lineRule="auto"/>
        <w:rPr>
          <w:rFonts w:ascii="Arial" w:hAnsi="Arial" w:cs="Arial"/>
          <w:color w:val="222222"/>
          <w:sz w:val="22"/>
          <w:shd w:val="clear" w:color="auto" w:fill="FFFFFF"/>
        </w:rPr>
      </w:pPr>
      <w:r w:rsidRPr="00CF678F">
        <w:rPr>
          <w:rFonts w:ascii="Arial" w:eastAsia="Times New Roman" w:hAnsi="Arial" w:cs="Arial"/>
          <w:color w:val="222222"/>
          <w:sz w:val="22"/>
          <w:lang w:eastAsia="en-GB"/>
        </w:rPr>
        <w:br/>
      </w:r>
      <w:r w:rsidRPr="00CF678F">
        <w:rPr>
          <w:rFonts w:ascii="Arial" w:eastAsia="Times New Roman" w:hAnsi="Arial" w:cs="Arial"/>
          <w:color w:val="222222"/>
          <w:sz w:val="22"/>
          <w:lang w:eastAsia="en-GB"/>
        </w:rPr>
        <w:br/>
      </w:r>
      <w:r w:rsidRPr="00CF678F">
        <w:rPr>
          <w:rFonts w:ascii="Arial" w:eastAsia="Times New Roman" w:hAnsi="Arial" w:cs="Arial"/>
          <w:b/>
          <w:bCs/>
          <w:color w:val="222222"/>
          <w:sz w:val="22"/>
          <w:lang w:eastAsia="en-GB"/>
        </w:rPr>
        <w:t xml:space="preserve">Conclusion </w:t>
      </w:r>
      <w:r w:rsidRPr="00CF678F">
        <w:rPr>
          <w:rFonts w:ascii="Arial" w:eastAsia="Times New Roman" w:hAnsi="Arial" w:cs="Arial"/>
          <w:color w:val="222222"/>
          <w:sz w:val="22"/>
          <w:lang w:eastAsia="en-GB"/>
        </w:rPr>
        <w:br/>
        <w:t>In conclusion, the care of Mr. Ahmed demonstrates that clinical recovery is inseparable from professional standards in communication, administration, and collaboration. Addressing his language barriers through the Equality Act 2010 ensures equitable treatment, while rigorous adherence to the Data Protection Act 2018 and meticulous record-keeping provides a safety net against medical errors. The recent failure in care delivery underscores the vital need for seamless multi-agency working; without it, the efforts of individual professionals like the GP or SLT are undermined. Moving forward, the investigation into the missed visit must lead to a more robust administrative framework and improved communication protocols within the MDT. By placing Mr. Ahmed’s preferences and safety at the centre of a collaborative, legally compliant approach, health and social care providers can ensure a more resilient and effective recovery process for post-stroke patients in the community.</w:t>
      </w:r>
    </w:p>
    <w:p w14:paraId="685BFD1C" w14:textId="77777777" w:rsidR="006D3619" w:rsidRDefault="006D3619" w:rsidP="006D3619">
      <w:pPr>
        <w:shd w:val="clear" w:color="auto" w:fill="FFFFFF"/>
        <w:spacing w:after="0" w:line="240" w:lineRule="auto"/>
      </w:pPr>
    </w:p>
    <w:p w14:paraId="70B6E40C"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43EE23AD"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7E3AA60B"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5E1E0047"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7B001F10"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0377339F"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28FF3335"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28AA4F3C"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4A4309CF"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02ACAACC"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4EFBF95D"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41C2B661"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322FDFB6"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0E94D74C"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47EBA3F8"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77219DBB"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0DA33E09" w14:textId="77777777" w:rsidR="00E45F94" w:rsidRDefault="00E45F94" w:rsidP="00E45F94">
      <w:pPr>
        <w:shd w:val="clear" w:color="auto" w:fill="FFFFFF"/>
        <w:spacing w:after="0" w:line="240" w:lineRule="auto"/>
        <w:rPr>
          <w:rFonts w:ascii="Arial" w:eastAsia="Times New Roman" w:hAnsi="Arial" w:cs="Arial"/>
          <w:b/>
          <w:bCs/>
          <w:color w:val="222222"/>
          <w:sz w:val="22"/>
          <w:lang w:eastAsia="en-GB"/>
        </w:rPr>
      </w:pPr>
    </w:p>
    <w:p w14:paraId="1425F4AC" w14:textId="408D15F5" w:rsidR="001D7C03" w:rsidRDefault="006D3619" w:rsidP="00CC2AD1">
      <w:pPr>
        <w:shd w:val="clear" w:color="auto" w:fill="FFFFFF"/>
        <w:spacing w:after="0" w:line="240" w:lineRule="auto"/>
        <w:rPr>
          <w:rFonts w:ascii="Arial" w:eastAsia="Times New Roman" w:hAnsi="Arial" w:cs="Arial"/>
          <w:color w:val="222222"/>
          <w:sz w:val="22"/>
          <w:lang w:eastAsia="en-GB"/>
        </w:rPr>
      </w:pPr>
      <w:r w:rsidRPr="00155813">
        <w:rPr>
          <w:rFonts w:ascii="Arial" w:eastAsia="Times New Roman" w:hAnsi="Arial" w:cs="Arial"/>
          <w:b/>
          <w:bCs/>
          <w:color w:val="222222"/>
          <w:sz w:val="22"/>
          <w:lang w:eastAsia="en-GB"/>
        </w:rPr>
        <w:lastRenderedPageBreak/>
        <w:t>References</w:t>
      </w:r>
      <w:r w:rsidRPr="00155813">
        <w:rPr>
          <w:rFonts w:ascii="Arial" w:eastAsia="Times New Roman" w:hAnsi="Arial" w:cs="Arial"/>
          <w:color w:val="222222"/>
          <w:sz w:val="22"/>
          <w:lang w:eastAsia="en-GB"/>
        </w:rPr>
        <w:br/>
      </w:r>
    </w:p>
    <w:p w14:paraId="7CE9C704" w14:textId="4C2E1628" w:rsidR="00155813" w:rsidRPr="00463D77" w:rsidRDefault="00155813" w:rsidP="00CC2AD1">
      <w:pPr>
        <w:shd w:val="clear" w:color="auto" w:fill="FFFFFF"/>
        <w:spacing w:after="0" w:line="240" w:lineRule="auto"/>
        <w:rPr>
          <w:rFonts w:ascii="Arial" w:eastAsia="Times New Roman" w:hAnsi="Arial" w:cs="Arial"/>
          <w:color w:val="222222"/>
          <w:sz w:val="22"/>
          <w:lang w:eastAsia="en-GB"/>
        </w:rPr>
      </w:pPr>
      <w:r w:rsidRPr="00463D77">
        <w:rPr>
          <w:rFonts w:ascii="Arial" w:hAnsi="Arial" w:cs="Arial"/>
          <w:color w:val="222222"/>
          <w:sz w:val="22"/>
          <w:shd w:val="clear" w:color="auto" w:fill="FFFFFF"/>
        </w:rPr>
        <w:t>Care Quality Commission (CQC). (2024) The state of health care and adult social care in England 2023/24. London: CQC. Available at: </w:t>
      </w:r>
      <w:hyperlink r:id="rId9" w:tgtFrame="_blank" w:history="1">
        <w:r w:rsidRPr="00463D77">
          <w:rPr>
            <w:rStyle w:val="Hyperlink"/>
            <w:rFonts w:cs="Arial"/>
            <w:color w:val="1155CC"/>
            <w:sz w:val="22"/>
            <w:shd w:val="clear" w:color="auto" w:fill="FFFFFF"/>
          </w:rPr>
          <w:t>https://www.cqc.gov.uk/publications/major-reports/state-care</w:t>
        </w:r>
      </w:hyperlink>
      <w:r w:rsidRPr="00463D77">
        <w:rPr>
          <w:rFonts w:ascii="Arial" w:hAnsi="Arial" w:cs="Arial"/>
          <w:color w:val="222222"/>
          <w:sz w:val="22"/>
          <w:shd w:val="clear" w:color="auto" w:fill="FFFFFF"/>
        </w:rPr>
        <w:t> (Accessed: 22 April 2026).</w:t>
      </w:r>
      <w:r w:rsidRPr="00463D77">
        <w:rPr>
          <w:rFonts w:ascii="Arial" w:hAnsi="Arial" w:cs="Arial"/>
          <w:color w:val="222222"/>
          <w:sz w:val="22"/>
        </w:rPr>
        <w:br/>
      </w:r>
      <w:r w:rsidRPr="00463D77">
        <w:rPr>
          <w:rFonts w:ascii="Arial" w:hAnsi="Arial" w:cs="Arial"/>
          <w:color w:val="222222"/>
          <w:sz w:val="22"/>
        </w:rPr>
        <w:br/>
      </w:r>
      <w:r w:rsidRPr="00463D77">
        <w:rPr>
          <w:rFonts w:ascii="Arial" w:hAnsi="Arial" w:cs="Arial"/>
          <w:color w:val="222222"/>
          <w:sz w:val="22"/>
          <w:shd w:val="clear" w:color="auto" w:fill="FFFFFF"/>
        </w:rPr>
        <w:t>Data Protection Act 2018. c. 12. Available at: </w:t>
      </w:r>
      <w:hyperlink r:id="rId10" w:tgtFrame="_blank" w:history="1">
        <w:r w:rsidRPr="00463D77">
          <w:rPr>
            <w:rStyle w:val="Hyperlink"/>
            <w:rFonts w:cs="Arial"/>
            <w:color w:val="1155CC"/>
            <w:sz w:val="22"/>
            <w:shd w:val="clear" w:color="auto" w:fill="FFFFFF"/>
          </w:rPr>
          <w:t>https://www.legislation.gov.uk/ukpga/2018/12/contents</w:t>
        </w:r>
      </w:hyperlink>
      <w:r w:rsidRPr="00463D77">
        <w:rPr>
          <w:rFonts w:ascii="Arial" w:hAnsi="Arial" w:cs="Arial"/>
          <w:color w:val="222222"/>
          <w:sz w:val="22"/>
          <w:shd w:val="clear" w:color="auto" w:fill="FFFFFF"/>
        </w:rPr>
        <w:t> (Accessed: 16 April 2026).</w:t>
      </w:r>
      <w:r w:rsidRPr="00463D77">
        <w:rPr>
          <w:rFonts w:ascii="Arial" w:hAnsi="Arial" w:cs="Arial"/>
          <w:color w:val="222222"/>
          <w:sz w:val="22"/>
        </w:rPr>
        <w:br/>
      </w:r>
      <w:r w:rsidRPr="00463D77">
        <w:rPr>
          <w:rFonts w:ascii="Arial" w:hAnsi="Arial" w:cs="Arial"/>
          <w:color w:val="222222"/>
          <w:sz w:val="22"/>
        </w:rPr>
        <w:br/>
      </w:r>
      <w:r w:rsidRPr="00463D77">
        <w:rPr>
          <w:rFonts w:ascii="Arial" w:hAnsi="Arial" w:cs="Arial"/>
          <w:color w:val="222222"/>
          <w:sz w:val="22"/>
          <w:shd w:val="clear" w:color="auto" w:fill="FFFFFF"/>
        </w:rPr>
        <w:t>Department of Health. (2012) Liberating the NHS: No decision about me, without me. London: The Stationery Office. Available at: </w:t>
      </w:r>
      <w:hyperlink r:id="rId11" w:tgtFrame="_blank" w:history="1">
        <w:r w:rsidRPr="00463D77">
          <w:rPr>
            <w:rStyle w:val="Hyperlink"/>
            <w:rFonts w:cs="Arial"/>
            <w:color w:val="1155CC"/>
            <w:sz w:val="22"/>
            <w:shd w:val="clear" w:color="auto" w:fill="FFFFFF"/>
          </w:rPr>
          <w:t>https://www.gov.uk/government/publications/liberating-the-nhs-no-decision-about-me-without-me</w:t>
        </w:r>
      </w:hyperlink>
      <w:r w:rsidRPr="00463D77">
        <w:rPr>
          <w:rFonts w:ascii="Arial" w:hAnsi="Arial" w:cs="Arial"/>
          <w:color w:val="222222"/>
          <w:sz w:val="22"/>
          <w:shd w:val="clear" w:color="auto" w:fill="FFFFFF"/>
        </w:rPr>
        <w:t> (Accessed: 22 April 2026).</w:t>
      </w:r>
      <w:r w:rsidRPr="00463D77">
        <w:rPr>
          <w:rFonts w:ascii="Arial" w:hAnsi="Arial" w:cs="Arial"/>
          <w:color w:val="222222"/>
          <w:sz w:val="22"/>
        </w:rPr>
        <w:br/>
      </w:r>
      <w:r w:rsidRPr="00463D77">
        <w:rPr>
          <w:rFonts w:ascii="Arial" w:hAnsi="Arial" w:cs="Arial"/>
          <w:color w:val="222222"/>
          <w:sz w:val="22"/>
        </w:rPr>
        <w:br/>
      </w:r>
      <w:r w:rsidRPr="00463D77">
        <w:rPr>
          <w:rFonts w:ascii="Arial" w:hAnsi="Arial" w:cs="Arial"/>
          <w:color w:val="222222"/>
          <w:sz w:val="22"/>
          <w:shd w:val="clear" w:color="auto" w:fill="FFFFFF"/>
        </w:rPr>
        <w:t>Equality Act 2010. c. 15. Available at: </w:t>
      </w:r>
      <w:hyperlink r:id="rId12" w:tgtFrame="_blank" w:history="1">
        <w:r w:rsidRPr="00463D77">
          <w:rPr>
            <w:rStyle w:val="Hyperlink"/>
            <w:rFonts w:cs="Arial"/>
            <w:color w:val="1155CC"/>
            <w:sz w:val="22"/>
            <w:shd w:val="clear" w:color="auto" w:fill="FFFFFF"/>
          </w:rPr>
          <w:t>https://www.legislation.gov.uk/ukpga/2010/15/contents</w:t>
        </w:r>
      </w:hyperlink>
      <w:r w:rsidRPr="00463D77">
        <w:rPr>
          <w:rFonts w:ascii="Arial" w:hAnsi="Arial" w:cs="Arial"/>
          <w:color w:val="222222"/>
          <w:sz w:val="22"/>
          <w:shd w:val="clear" w:color="auto" w:fill="FFFFFF"/>
        </w:rPr>
        <w:t> (Accessed: 16 April 2026).</w:t>
      </w:r>
      <w:r w:rsidRPr="00463D77">
        <w:rPr>
          <w:rFonts w:ascii="Arial" w:hAnsi="Arial" w:cs="Arial"/>
          <w:color w:val="222222"/>
          <w:sz w:val="22"/>
        </w:rPr>
        <w:br/>
      </w:r>
      <w:r w:rsidRPr="00463D77">
        <w:rPr>
          <w:rFonts w:ascii="Arial" w:hAnsi="Arial" w:cs="Arial"/>
          <w:color w:val="222222"/>
          <w:sz w:val="22"/>
        </w:rPr>
        <w:br/>
      </w:r>
      <w:r w:rsidRPr="00463D77">
        <w:rPr>
          <w:rFonts w:ascii="Arial" w:hAnsi="Arial" w:cs="Arial"/>
          <w:color w:val="222222"/>
          <w:sz w:val="22"/>
          <w:shd w:val="clear" w:color="auto" w:fill="FFFFFF"/>
        </w:rPr>
        <w:t>Health and Care Act 2022. (c. 31). London: The Stationery Office. Available at: </w:t>
      </w:r>
      <w:hyperlink r:id="rId13" w:tgtFrame="_blank" w:history="1">
        <w:r w:rsidRPr="00463D77">
          <w:rPr>
            <w:rStyle w:val="Hyperlink"/>
            <w:rFonts w:cs="Arial"/>
            <w:color w:val="1155CC"/>
            <w:sz w:val="22"/>
            <w:shd w:val="clear" w:color="auto" w:fill="FFFFFF"/>
          </w:rPr>
          <w:t>https://www.legislation.gov.uk/ukpga/2022/31/contents</w:t>
        </w:r>
      </w:hyperlink>
      <w:r w:rsidRPr="00463D77">
        <w:rPr>
          <w:rFonts w:ascii="Arial" w:hAnsi="Arial" w:cs="Arial"/>
          <w:color w:val="222222"/>
          <w:sz w:val="22"/>
          <w:shd w:val="clear" w:color="auto" w:fill="FFFFFF"/>
        </w:rPr>
        <w:t xml:space="preserve"> (Accessed: </w:t>
      </w:r>
      <w:r w:rsidRPr="00463D77">
        <w:rPr>
          <w:rFonts w:ascii="Arial" w:hAnsi="Arial" w:cs="Arial"/>
          <w:color w:val="222222"/>
          <w:sz w:val="22"/>
          <w:shd w:val="clear" w:color="auto" w:fill="FFFFFF"/>
        </w:rPr>
        <w:t xml:space="preserve">16 </w:t>
      </w:r>
      <w:r w:rsidRPr="00463D77">
        <w:rPr>
          <w:rFonts w:ascii="Arial" w:hAnsi="Arial" w:cs="Arial"/>
          <w:color w:val="222222"/>
          <w:sz w:val="22"/>
          <w:shd w:val="clear" w:color="auto" w:fill="FFFFFF"/>
        </w:rPr>
        <w:t>April 2026).</w:t>
      </w:r>
      <w:r w:rsidRPr="00463D77">
        <w:rPr>
          <w:rFonts w:ascii="Arial" w:hAnsi="Arial" w:cs="Arial"/>
          <w:color w:val="222222"/>
          <w:sz w:val="22"/>
        </w:rPr>
        <w:br/>
      </w:r>
      <w:r w:rsidRPr="00463D77">
        <w:rPr>
          <w:rFonts w:ascii="Arial" w:hAnsi="Arial" w:cs="Arial"/>
          <w:color w:val="222222"/>
          <w:sz w:val="22"/>
        </w:rPr>
        <w:br/>
      </w:r>
      <w:r w:rsidRPr="00463D77">
        <w:rPr>
          <w:rFonts w:ascii="Arial" w:hAnsi="Arial" w:cs="Arial"/>
          <w:color w:val="222222"/>
          <w:sz w:val="22"/>
          <w:shd w:val="clear" w:color="auto" w:fill="FFFFFF"/>
        </w:rPr>
        <w:t>Health and Care Professions Council (HCPC). (2016) Standards of conduct, performance and ethics. London: HCPC. Available at: </w:t>
      </w:r>
      <w:hyperlink r:id="rId14" w:tgtFrame="_blank" w:history="1">
        <w:r w:rsidRPr="00463D77">
          <w:rPr>
            <w:rStyle w:val="Hyperlink"/>
            <w:rFonts w:cs="Arial"/>
            <w:color w:val="1155CC"/>
            <w:sz w:val="22"/>
            <w:shd w:val="clear" w:color="auto" w:fill="FFFFFF"/>
          </w:rPr>
          <w:t>https://www.hcpc-uk.org/standards/standards-of-conduct-performance-and-ethics/</w:t>
        </w:r>
      </w:hyperlink>
      <w:r w:rsidRPr="00463D77">
        <w:rPr>
          <w:rFonts w:ascii="Arial" w:hAnsi="Arial" w:cs="Arial"/>
          <w:color w:val="222222"/>
          <w:sz w:val="22"/>
          <w:shd w:val="clear" w:color="auto" w:fill="FFFFFF"/>
        </w:rPr>
        <w:t xml:space="preserve"> (Accessed: </w:t>
      </w:r>
      <w:r w:rsidRPr="00463D77">
        <w:rPr>
          <w:rFonts w:ascii="Arial" w:hAnsi="Arial" w:cs="Arial"/>
          <w:color w:val="222222"/>
          <w:sz w:val="22"/>
          <w:shd w:val="clear" w:color="auto" w:fill="FFFFFF"/>
        </w:rPr>
        <w:t>16</w:t>
      </w:r>
      <w:r w:rsidRPr="00463D77">
        <w:rPr>
          <w:rFonts w:ascii="Arial" w:hAnsi="Arial" w:cs="Arial"/>
          <w:color w:val="222222"/>
          <w:sz w:val="22"/>
          <w:shd w:val="clear" w:color="auto" w:fill="FFFFFF"/>
        </w:rPr>
        <w:t xml:space="preserve"> April 2026).</w:t>
      </w:r>
      <w:r w:rsidRPr="00463D77">
        <w:rPr>
          <w:rFonts w:ascii="Arial" w:hAnsi="Arial" w:cs="Arial"/>
          <w:color w:val="222222"/>
          <w:sz w:val="22"/>
        </w:rPr>
        <w:br/>
      </w:r>
      <w:r w:rsidRPr="00463D77">
        <w:rPr>
          <w:rFonts w:ascii="Arial" w:hAnsi="Arial" w:cs="Arial"/>
          <w:color w:val="222222"/>
          <w:sz w:val="22"/>
        </w:rPr>
        <w:br/>
      </w:r>
      <w:r w:rsidRPr="00463D77">
        <w:rPr>
          <w:rFonts w:ascii="Arial" w:hAnsi="Arial" w:cs="Arial"/>
          <w:color w:val="222222"/>
          <w:sz w:val="22"/>
          <w:shd w:val="clear" w:color="auto" w:fill="FFFFFF"/>
        </w:rPr>
        <w:t>NHS England. (2023) National Framework for NHS Continuing Healthcare and NHS-funded Nursing Care. London: Department of Health and Social Care. Available at: </w:t>
      </w:r>
      <w:hyperlink r:id="rId15" w:tgtFrame="_blank" w:history="1">
        <w:r w:rsidRPr="00463D77">
          <w:rPr>
            <w:rStyle w:val="Hyperlink"/>
            <w:rFonts w:cs="Arial"/>
            <w:color w:val="1155CC"/>
            <w:sz w:val="22"/>
            <w:shd w:val="clear" w:color="auto" w:fill="FFFFFF"/>
          </w:rPr>
          <w:t>https://www.gov.uk/government/publications/national-framework-for-nhs-continuing-healthcare-and-nhs-funded-nursing-care</w:t>
        </w:r>
      </w:hyperlink>
      <w:r w:rsidRPr="00463D77">
        <w:rPr>
          <w:rFonts w:ascii="Arial" w:hAnsi="Arial" w:cs="Arial"/>
          <w:color w:val="222222"/>
          <w:sz w:val="22"/>
          <w:shd w:val="clear" w:color="auto" w:fill="FFFFFF"/>
        </w:rPr>
        <w:t xml:space="preserve"> (Accessed: </w:t>
      </w:r>
      <w:r w:rsidRPr="00463D77">
        <w:rPr>
          <w:rFonts w:ascii="Arial" w:hAnsi="Arial" w:cs="Arial"/>
          <w:color w:val="222222"/>
          <w:sz w:val="22"/>
          <w:shd w:val="clear" w:color="auto" w:fill="FFFFFF"/>
        </w:rPr>
        <w:t>18</w:t>
      </w:r>
      <w:r w:rsidRPr="00463D77">
        <w:rPr>
          <w:rFonts w:ascii="Arial" w:hAnsi="Arial" w:cs="Arial"/>
          <w:color w:val="222222"/>
          <w:sz w:val="22"/>
          <w:shd w:val="clear" w:color="auto" w:fill="FFFFFF"/>
        </w:rPr>
        <w:t xml:space="preserve"> April 2026).</w:t>
      </w:r>
      <w:r w:rsidRPr="00463D77">
        <w:rPr>
          <w:rFonts w:ascii="Arial" w:hAnsi="Arial" w:cs="Arial"/>
          <w:color w:val="222222"/>
          <w:sz w:val="22"/>
        </w:rPr>
        <w:br/>
      </w:r>
      <w:r w:rsidRPr="00463D77">
        <w:rPr>
          <w:rFonts w:ascii="Arial" w:hAnsi="Arial" w:cs="Arial"/>
          <w:color w:val="222222"/>
          <w:sz w:val="22"/>
        </w:rPr>
        <w:br/>
      </w:r>
      <w:r w:rsidRPr="00463D77">
        <w:rPr>
          <w:rFonts w:ascii="Arial" w:hAnsi="Arial" w:cs="Arial"/>
          <w:color w:val="222222"/>
          <w:sz w:val="22"/>
          <w:shd w:val="clear" w:color="auto" w:fill="FFFFFF"/>
        </w:rPr>
        <w:t>Nursing and Midwifery Council (NMC). (2018) The Code: Professional standards of practice and behaviour for nurses, midwives and nursing associates. London: NMC. Available at: </w:t>
      </w:r>
      <w:hyperlink r:id="rId16" w:tgtFrame="_blank" w:history="1">
        <w:r w:rsidRPr="00463D77">
          <w:rPr>
            <w:rStyle w:val="Hyperlink"/>
            <w:rFonts w:cs="Arial"/>
            <w:color w:val="1155CC"/>
            <w:sz w:val="22"/>
            <w:shd w:val="clear" w:color="auto" w:fill="FFFFFF"/>
          </w:rPr>
          <w:t>https://www.nmc.org.uk/standards/code/</w:t>
        </w:r>
      </w:hyperlink>
      <w:r w:rsidRPr="00463D77">
        <w:rPr>
          <w:rFonts w:ascii="Arial" w:hAnsi="Arial" w:cs="Arial"/>
          <w:color w:val="222222"/>
          <w:sz w:val="22"/>
          <w:shd w:val="clear" w:color="auto" w:fill="FFFFFF"/>
        </w:rPr>
        <w:t xml:space="preserve"> (Accessed: </w:t>
      </w:r>
      <w:r w:rsidRPr="00463D77">
        <w:rPr>
          <w:rFonts w:ascii="Arial" w:hAnsi="Arial" w:cs="Arial"/>
          <w:color w:val="222222"/>
          <w:sz w:val="22"/>
          <w:shd w:val="clear" w:color="auto" w:fill="FFFFFF"/>
        </w:rPr>
        <w:t>18</w:t>
      </w:r>
      <w:r w:rsidRPr="00463D77">
        <w:rPr>
          <w:rFonts w:ascii="Arial" w:hAnsi="Arial" w:cs="Arial"/>
          <w:color w:val="222222"/>
          <w:sz w:val="22"/>
          <w:shd w:val="clear" w:color="auto" w:fill="FFFFFF"/>
        </w:rPr>
        <w:t xml:space="preserve"> April 2026).</w:t>
      </w:r>
      <w:r w:rsidRPr="00463D77">
        <w:rPr>
          <w:rFonts w:ascii="Arial" w:hAnsi="Arial" w:cs="Arial"/>
          <w:color w:val="222222"/>
          <w:sz w:val="22"/>
        </w:rPr>
        <w:br/>
      </w:r>
      <w:r w:rsidRPr="00463D77">
        <w:rPr>
          <w:rFonts w:ascii="Arial" w:hAnsi="Arial" w:cs="Arial"/>
          <w:color w:val="222222"/>
          <w:sz w:val="22"/>
        </w:rPr>
        <w:br/>
      </w:r>
      <w:r w:rsidRPr="00463D77">
        <w:rPr>
          <w:rFonts w:ascii="Arial" w:hAnsi="Arial" w:cs="Arial"/>
          <w:color w:val="222222"/>
          <w:sz w:val="22"/>
          <w:shd w:val="clear" w:color="auto" w:fill="FFFFFF"/>
        </w:rPr>
        <w:t>Skills for Care. (2020) Effective communication in health and social care. Leeds: Skills for Care. Available at: </w:t>
      </w:r>
      <w:hyperlink r:id="rId17" w:tgtFrame="_blank" w:history="1">
        <w:r w:rsidRPr="00463D77">
          <w:rPr>
            <w:rStyle w:val="Hyperlink"/>
            <w:rFonts w:cs="Arial"/>
            <w:color w:val="1155CC"/>
            <w:sz w:val="22"/>
            <w:shd w:val="clear" w:color="auto" w:fill="FFFFFF"/>
          </w:rPr>
          <w:t>https://www.skillsforcare.org.uk/resources/documents/developing-your-workforce/communication-skills/effective-communication.pdf</w:t>
        </w:r>
      </w:hyperlink>
      <w:r w:rsidRPr="00463D77">
        <w:rPr>
          <w:rFonts w:ascii="Arial" w:hAnsi="Arial" w:cs="Arial"/>
          <w:color w:val="222222"/>
          <w:sz w:val="22"/>
          <w:shd w:val="clear" w:color="auto" w:fill="FFFFFF"/>
        </w:rPr>
        <w:t xml:space="preserve"> (Accessed: </w:t>
      </w:r>
      <w:r w:rsidRPr="00463D77">
        <w:rPr>
          <w:rFonts w:ascii="Arial" w:hAnsi="Arial" w:cs="Arial"/>
          <w:color w:val="222222"/>
          <w:sz w:val="22"/>
          <w:shd w:val="clear" w:color="auto" w:fill="FFFFFF"/>
        </w:rPr>
        <w:t xml:space="preserve">18 </w:t>
      </w:r>
      <w:r w:rsidRPr="00463D77">
        <w:rPr>
          <w:rFonts w:ascii="Arial" w:hAnsi="Arial" w:cs="Arial"/>
          <w:color w:val="222222"/>
          <w:sz w:val="22"/>
          <w:shd w:val="clear" w:color="auto" w:fill="FFFFFF"/>
        </w:rPr>
        <w:t>April 2026).</w:t>
      </w:r>
    </w:p>
    <w:sectPr w:rsidR="00155813" w:rsidRPr="00463D77" w:rsidSect="00E620E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85702" w14:textId="77777777" w:rsidR="008A6FAB" w:rsidRDefault="008A6FAB" w:rsidP="003E4ECF">
      <w:pPr>
        <w:spacing w:after="0" w:line="240" w:lineRule="auto"/>
      </w:pPr>
      <w:r>
        <w:separator/>
      </w:r>
    </w:p>
  </w:endnote>
  <w:endnote w:type="continuationSeparator" w:id="0">
    <w:p w14:paraId="4F01AE85" w14:textId="77777777" w:rsidR="008A6FAB" w:rsidRDefault="008A6FA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D069D" w14:textId="77777777" w:rsidR="008A6FAB" w:rsidRDefault="008A6FAB" w:rsidP="003E4ECF">
      <w:pPr>
        <w:spacing w:after="0" w:line="240" w:lineRule="auto"/>
      </w:pPr>
      <w:r>
        <w:separator/>
      </w:r>
    </w:p>
  </w:footnote>
  <w:footnote w:type="continuationSeparator" w:id="0">
    <w:p w14:paraId="061E6E30" w14:textId="77777777" w:rsidR="008A6FAB" w:rsidRDefault="008A6FAB"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D714D"/>
    <w:multiLevelType w:val="hybridMultilevel"/>
    <w:tmpl w:val="9800D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8C4DF4"/>
    <w:multiLevelType w:val="hybridMultilevel"/>
    <w:tmpl w:val="B558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B46315"/>
    <w:multiLevelType w:val="hybridMultilevel"/>
    <w:tmpl w:val="6838C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6056753">
    <w:abstractNumId w:val="0"/>
  </w:num>
  <w:num w:numId="2" w16cid:durableId="225452759">
    <w:abstractNumId w:val="1"/>
  </w:num>
  <w:num w:numId="3" w16cid:durableId="5419424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55813"/>
    <w:rsid w:val="001D7C03"/>
    <w:rsid w:val="00216C85"/>
    <w:rsid w:val="00220FBA"/>
    <w:rsid w:val="0026393A"/>
    <w:rsid w:val="00273EDD"/>
    <w:rsid w:val="002C3965"/>
    <w:rsid w:val="00321C4C"/>
    <w:rsid w:val="00392BBC"/>
    <w:rsid w:val="003E4ECF"/>
    <w:rsid w:val="00463D77"/>
    <w:rsid w:val="004A2305"/>
    <w:rsid w:val="004A736E"/>
    <w:rsid w:val="00523F25"/>
    <w:rsid w:val="0057044A"/>
    <w:rsid w:val="006459C9"/>
    <w:rsid w:val="006925AA"/>
    <w:rsid w:val="006D3619"/>
    <w:rsid w:val="00725177"/>
    <w:rsid w:val="00750851"/>
    <w:rsid w:val="007A1B8D"/>
    <w:rsid w:val="00814A9E"/>
    <w:rsid w:val="00854ECF"/>
    <w:rsid w:val="008A6FAB"/>
    <w:rsid w:val="008A769D"/>
    <w:rsid w:val="008E3943"/>
    <w:rsid w:val="0090040D"/>
    <w:rsid w:val="009010A0"/>
    <w:rsid w:val="009D052C"/>
    <w:rsid w:val="009D1D1E"/>
    <w:rsid w:val="00A035FD"/>
    <w:rsid w:val="00A2216F"/>
    <w:rsid w:val="00AB7DA5"/>
    <w:rsid w:val="00AD23A0"/>
    <w:rsid w:val="00B87E75"/>
    <w:rsid w:val="00C12EBB"/>
    <w:rsid w:val="00CC2AD1"/>
    <w:rsid w:val="00CC7F58"/>
    <w:rsid w:val="00CD33A8"/>
    <w:rsid w:val="00CF678F"/>
    <w:rsid w:val="00DA5F5A"/>
    <w:rsid w:val="00E45F94"/>
    <w:rsid w:val="00E569FD"/>
    <w:rsid w:val="00E620E7"/>
    <w:rsid w:val="00E96C72"/>
    <w:rsid w:val="00F163E6"/>
    <w:rsid w:val="00F66E1B"/>
    <w:rsid w:val="00FB2B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8A769D"/>
    <w:pPr>
      <w:ind w:left="720"/>
      <w:contextualSpacing/>
    </w:pPr>
  </w:style>
  <w:style w:type="character" w:styleId="Hyperlink">
    <w:name w:val="Hyperlink"/>
    <w:basedOn w:val="DefaultParagraphFont"/>
    <w:uiPriority w:val="99"/>
    <w:semiHidden/>
    <w:unhideWhenUsed/>
    <w:rsid w:val="0015581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gislation.gov.uk/ukpga/2022/31/content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2010/15/contents" TargetMode="External"/><Relationship Id="rId17" Type="http://schemas.openxmlformats.org/officeDocument/2006/relationships/hyperlink" Target="https://www.skillsforcare.org.uk/resources/documents/developing-your-workforce/communication-skills/effective-communication.pdf" TargetMode="External"/><Relationship Id="rId2" Type="http://schemas.openxmlformats.org/officeDocument/2006/relationships/styles" Target="styles.xml"/><Relationship Id="rId16" Type="http://schemas.openxmlformats.org/officeDocument/2006/relationships/hyperlink" Target="https://www.nmc.org.uk/standards/cod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liberating-the-nhs-no-decision-about-me-without-me" TargetMode="External"/><Relationship Id="rId5" Type="http://schemas.openxmlformats.org/officeDocument/2006/relationships/footnotes" Target="footnotes.xml"/><Relationship Id="rId15" Type="http://schemas.openxmlformats.org/officeDocument/2006/relationships/hyperlink" Target="https://www.gov.uk/government/publications/national-framework-for-nhs-continuing-healthcare-and-nhs-funded-nursing-care" TargetMode="External"/><Relationship Id="rId10" Type="http://schemas.openxmlformats.org/officeDocument/2006/relationships/hyperlink" Target="https://www.legislation.gov.uk/ukpga/2018/12/content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qc.gov.uk/publications/major-reports/state-care" TargetMode="External"/><Relationship Id="rId14" Type="http://schemas.openxmlformats.org/officeDocument/2006/relationships/hyperlink" Target="https://www.hcpc-uk.org/standards/standards-of-conduct-performance-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1987</Words>
  <Characters>11326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Oana-Zlatita Ilici (2516914)</cp:lastModifiedBy>
  <cp:revision>2</cp:revision>
  <dcterms:created xsi:type="dcterms:W3CDTF">2026-04-22T22:03:00Z</dcterms:created>
  <dcterms:modified xsi:type="dcterms:W3CDTF">2026-04-22T22:03:00Z</dcterms:modified>
</cp:coreProperties>
</file>