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ADEC060" w14:textId="77777777" w:rsidR="00463788" w:rsidRDefault="00463788" w:rsidP="00463788">
      <w:pPr>
        <w:rPr>
          <w:rFonts w:ascii="Arial" w:hAnsi="Arial" w:cs="Arial"/>
          <w:b/>
        </w:rPr>
      </w:pPr>
    </w:p>
    <w:p w14:paraId="3E86E9D5" w14:textId="264535D0" w:rsidR="00463788" w:rsidRDefault="00463788" w:rsidP="00463788">
      <w:pPr>
        <w:jc w:val="center"/>
        <w:rPr>
          <w:rFonts w:ascii="Arial" w:hAnsi="Arial" w:cs="Arial"/>
          <w:b/>
        </w:rPr>
      </w:pPr>
      <w:r>
        <w:rPr>
          <w:noProof/>
        </w:rPr>
        <w:drawing>
          <wp:inline distT="0" distB="0" distL="0" distR="0" wp14:anchorId="3CE1509F" wp14:editId="5940CEAA">
            <wp:extent cx="2809875" cy="1114425"/>
            <wp:effectExtent l="0" t="0" r="9525" b="9525"/>
            <wp:docPr id="330859168"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09875" cy="1114425"/>
                    </a:xfrm>
                    <a:prstGeom prst="rect">
                      <a:avLst/>
                    </a:prstGeom>
                    <a:noFill/>
                    <a:ln>
                      <a:noFill/>
                    </a:ln>
                  </pic:spPr>
                </pic:pic>
              </a:graphicData>
            </a:graphic>
          </wp:inline>
        </w:drawing>
      </w:r>
    </w:p>
    <w:p w14:paraId="58C56ABE" w14:textId="77777777" w:rsidR="00463788" w:rsidRDefault="00463788" w:rsidP="00463788">
      <w:pPr>
        <w:jc w:val="center"/>
        <w:rPr>
          <w:rFonts w:ascii="Arial" w:hAnsi="Arial" w:cs="Arial"/>
          <w:b/>
        </w:rPr>
      </w:pPr>
    </w:p>
    <w:p w14:paraId="289CD71D" w14:textId="77777777" w:rsidR="00463788" w:rsidRDefault="00463788" w:rsidP="00463788">
      <w:pPr>
        <w:jc w:val="center"/>
        <w:rPr>
          <w:rFonts w:cstheme="minorHAnsi"/>
          <w:b/>
        </w:rPr>
      </w:pPr>
    </w:p>
    <w:p w14:paraId="1042401E" w14:textId="1E26F391" w:rsidR="00463788" w:rsidRDefault="00463788" w:rsidP="00463788">
      <w:pPr>
        <w:pStyle w:val="Heading1"/>
        <w:jc w:val="center"/>
        <w:rPr>
          <w:rFonts w:asciiTheme="minorHAnsi" w:hAnsiTheme="minorHAnsi" w:cstheme="minorHAnsi"/>
        </w:rPr>
      </w:pPr>
      <w:bookmarkStart w:id="0" w:name="_Toc183519280"/>
      <w:r w:rsidRPr="00463788">
        <w:rPr>
          <w:rFonts w:asciiTheme="minorHAnsi" w:hAnsiTheme="minorHAnsi" w:cstheme="minorHAnsi"/>
        </w:rPr>
        <w:t>Data Security, Governance and Compliance</w:t>
      </w:r>
      <w:bookmarkEnd w:id="0"/>
    </w:p>
    <w:p w14:paraId="58A27200" w14:textId="77777777" w:rsidR="00463788" w:rsidRDefault="00463788" w:rsidP="00463788">
      <w:pPr>
        <w:jc w:val="right"/>
        <w:rPr>
          <w:rFonts w:cstheme="minorHAnsi"/>
        </w:rPr>
      </w:pPr>
    </w:p>
    <w:p w14:paraId="6AFC3F31" w14:textId="77777777" w:rsidR="00463788" w:rsidRDefault="00463788" w:rsidP="00463788">
      <w:pPr>
        <w:jc w:val="right"/>
        <w:rPr>
          <w:rFonts w:cstheme="minorHAnsi"/>
          <w:color w:val="0070C0"/>
          <w:sz w:val="32"/>
          <w:szCs w:val="32"/>
        </w:rPr>
      </w:pPr>
      <w:r>
        <w:rPr>
          <w:rFonts w:cstheme="minorHAnsi"/>
          <w:color w:val="0070C0"/>
          <w:sz w:val="32"/>
          <w:szCs w:val="32"/>
        </w:rPr>
        <w:t>Paul Newman 1805494</w:t>
      </w:r>
    </w:p>
    <w:p w14:paraId="6A1128CB" w14:textId="71100503" w:rsidR="00463788" w:rsidRDefault="00463788" w:rsidP="00463788">
      <w:pPr>
        <w:jc w:val="right"/>
        <w:rPr>
          <w:rFonts w:cstheme="minorHAnsi"/>
          <w:color w:val="0070C0"/>
          <w:sz w:val="32"/>
          <w:szCs w:val="32"/>
        </w:rPr>
      </w:pPr>
      <w:r>
        <w:rPr>
          <w:rFonts w:cstheme="minorHAnsi"/>
          <w:color w:val="0070C0"/>
          <w:sz w:val="32"/>
          <w:szCs w:val="32"/>
        </w:rPr>
        <w:t xml:space="preserve">Module </w:t>
      </w:r>
      <w:r w:rsidRPr="00463788">
        <w:rPr>
          <w:rFonts w:cstheme="minorHAnsi"/>
          <w:color w:val="0070C0"/>
          <w:sz w:val="32"/>
          <w:szCs w:val="32"/>
        </w:rPr>
        <w:t>ACCA7028</w:t>
      </w:r>
    </w:p>
    <w:p w14:paraId="3461FA5B" w14:textId="5D57A38B" w:rsidR="002914A8" w:rsidRDefault="00463788" w:rsidP="00463788">
      <w:pPr>
        <w:jc w:val="right"/>
        <w:rPr>
          <w:rFonts w:cstheme="minorHAnsi"/>
          <w:color w:val="0070C0"/>
          <w:sz w:val="32"/>
          <w:szCs w:val="32"/>
        </w:rPr>
      </w:pPr>
      <w:r w:rsidRPr="00463788">
        <w:rPr>
          <w:rFonts w:cstheme="minorHAnsi"/>
          <w:color w:val="0070C0"/>
          <w:sz w:val="32"/>
          <w:szCs w:val="32"/>
        </w:rPr>
        <w:t>Assoc. Prof. Carlene Campbell</w:t>
      </w:r>
    </w:p>
    <w:p w14:paraId="43D9161D" w14:textId="77777777" w:rsidR="00463788" w:rsidRDefault="00463788" w:rsidP="00463788">
      <w:pPr>
        <w:jc w:val="right"/>
        <w:rPr>
          <w:rFonts w:cstheme="minorHAnsi"/>
          <w:color w:val="0070C0"/>
          <w:sz w:val="32"/>
          <w:szCs w:val="32"/>
        </w:rPr>
      </w:pPr>
    </w:p>
    <w:p w14:paraId="73BB75EE" w14:textId="77777777" w:rsidR="00463788" w:rsidRDefault="00463788" w:rsidP="00463788">
      <w:pPr>
        <w:jc w:val="right"/>
        <w:rPr>
          <w:rFonts w:cstheme="minorHAnsi"/>
          <w:color w:val="0070C0"/>
          <w:sz w:val="32"/>
          <w:szCs w:val="32"/>
        </w:rPr>
      </w:pPr>
    </w:p>
    <w:p w14:paraId="42C57455" w14:textId="77777777" w:rsidR="00463788" w:rsidRDefault="00463788" w:rsidP="00463788">
      <w:pPr>
        <w:jc w:val="right"/>
        <w:rPr>
          <w:rFonts w:cstheme="minorHAnsi"/>
          <w:color w:val="0070C0"/>
          <w:sz w:val="32"/>
          <w:szCs w:val="32"/>
        </w:rPr>
      </w:pPr>
    </w:p>
    <w:p w14:paraId="01526047" w14:textId="77777777" w:rsidR="00463788" w:rsidRDefault="00463788" w:rsidP="00463788">
      <w:pPr>
        <w:jc w:val="right"/>
        <w:rPr>
          <w:rFonts w:cstheme="minorHAnsi"/>
          <w:color w:val="0070C0"/>
          <w:sz w:val="32"/>
          <w:szCs w:val="32"/>
        </w:rPr>
      </w:pPr>
    </w:p>
    <w:p w14:paraId="613A8412" w14:textId="77777777" w:rsidR="00463788" w:rsidRDefault="00463788" w:rsidP="00463788">
      <w:pPr>
        <w:jc w:val="right"/>
        <w:rPr>
          <w:rFonts w:cstheme="minorHAnsi"/>
          <w:color w:val="0070C0"/>
          <w:sz w:val="32"/>
          <w:szCs w:val="32"/>
        </w:rPr>
      </w:pPr>
    </w:p>
    <w:p w14:paraId="45C0B178" w14:textId="77777777" w:rsidR="00463788" w:rsidRDefault="00463788" w:rsidP="00463788">
      <w:pPr>
        <w:jc w:val="right"/>
        <w:rPr>
          <w:rFonts w:cstheme="minorHAnsi"/>
          <w:color w:val="0070C0"/>
          <w:sz w:val="32"/>
          <w:szCs w:val="32"/>
        </w:rPr>
      </w:pPr>
    </w:p>
    <w:p w14:paraId="1FBE644D" w14:textId="77777777" w:rsidR="00463788" w:rsidRDefault="00463788" w:rsidP="00463788">
      <w:pPr>
        <w:jc w:val="right"/>
        <w:rPr>
          <w:rFonts w:cstheme="minorHAnsi"/>
          <w:color w:val="0070C0"/>
          <w:sz w:val="32"/>
          <w:szCs w:val="32"/>
        </w:rPr>
      </w:pPr>
    </w:p>
    <w:p w14:paraId="23E61EFA" w14:textId="77777777" w:rsidR="00463788" w:rsidRDefault="00463788" w:rsidP="00463788">
      <w:pPr>
        <w:jc w:val="right"/>
        <w:rPr>
          <w:rFonts w:cstheme="minorHAnsi"/>
          <w:color w:val="0070C0"/>
          <w:sz w:val="32"/>
          <w:szCs w:val="32"/>
        </w:rPr>
      </w:pPr>
    </w:p>
    <w:p w14:paraId="68ADF3BF" w14:textId="77777777" w:rsidR="00463788" w:rsidRDefault="00463788" w:rsidP="00463788">
      <w:pPr>
        <w:jc w:val="right"/>
        <w:rPr>
          <w:rFonts w:cstheme="minorHAnsi"/>
          <w:color w:val="0070C0"/>
          <w:sz w:val="32"/>
          <w:szCs w:val="32"/>
        </w:rPr>
      </w:pPr>
    </w:p>
    <w:p w14:paraId="0FF3EABF" w14:textId="77777777" w:rsidR="00463788" w:rsidRDefault="00463788" w:rsidP="00463788">
      <w:pPr>
        <w:jc w:val="right"/>
        <w:rPr>
          <w:rFonts w:cstheme="minorHAnsi"/>
          <w:color w:val="0070C0"/>
          <w:sz w:val="32"/>
          <w:szCs w:val="32"/>
        </w:rPr>
      </w:pPr>
    </w:p>
    <w:p w14:paraId="4E5ED467" w14:textId="77777777" w:rsidR="00463788" w:rsidRDefault="00463788" w:rsidP="00463788">
      <w:pPr>
        <w:rPr>
          <w:rFonts w:cstheme="minorHAnsi"/>
          <w:color w:val="0070C0"/>
          <w:sz w:val="32"/>
          <w:szCs w:val="32"/>
        </w:rPr>
      </w:pPr>
    </w:p>
    <w:sdt>
      <w:sdtPr>
        <w:rPr>
          <w:rFonts w:asciiTheme="minorHAnsi" w:eastAsiaTheme="minorHAnsi" w:hAnsiTheme="minorHAnsi" w:cstheme="minorBidi"/>
          <w:color w:val="auto"/>
          <w:kern w:val="2"/>
          <w:sz w:val="22"/>
          <w:szCs w:val="22"/>
          <w:lang w:val="en-GB"/>
          <w14:ligatures w14:val="standardContextual"/>
        </w:rPr>
        <w:id w:val="-58557283"/>
        <w:docPartObj>
          <w:docPartGallery w:val="Table of Contents"/>
          <w:docPartUnique/>
        </w:docPartObj>
      </w:sdtPr>
      <w:sdtEndPr>
        <w:rPr>
          <w:b/>
          <w:bCs/>
          <w:noProof/>
        </w:rPr>
      </w:sdtEndPr>
      <w:sdtContent>
        <w:p w14:paraId="05CA8BC3" w14:textId="176E51B9" w:rsidR="00463788" w:rsidRDefault="00463788">
          <w:pPr>
            <w:pStyle w:val="TOCHeading"/>
          </w:pPr>
          <w:r>
            <w:t>Contents</w:t>
          </w:r>
        </w:p>
        <w:p w14:paraId="26C4B31D" w14:textId="62FB0225" w:rsidR="00F62F57" w:rsidRDefault="00463788">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3519280" w:history="1">
            <w:r w:rsidR="00F62F57" w:rsidRPr="007B45AA">
              <w:rPr>
                <w:rStyle w:val="Hyperlink"/>
                <w:rFonts w:cstheme="minorHAnsi"/>
                <w:noProof/>
              </w:rPr>
              <w:t>Data Security, Governance and Compliance</w:t>
            </w:r>
            <w:r w:rsidR="00F62F57">
              <w:rPr>
                <w:noProof/>
                <w:webHidden/>
              </w:rPr>
              <w:tab/>
            </w:r>
            <w:r w:rsidR="00F62F57">
              <w:rPr>
                <w:noProof/>
                <w:webHidden/>
              </w:rPr>
              <w:fldChar w:fldCharType="begin"/>
            </w:r>
            <w:r w:rsidR="00F62F57">
              <w:rPr>
                <w:noProof/>
                <w:webHidden/>
              </w:rPr>
              <w:instrText xml:space="preserve"> PAGEREF _Toc183519280 \h </w:instrText>
            </w:r>
            <w:r w:rsidR="00F62F57">
              <w:rPr>
                <w:noProof/>
                <w:webHidden/>
              </w:rPr>
            </w:r>
            <w:r w:rsidR="00F62F57">
              <w:rPr>
                <w:noProof/>
                <w:webHidden/>
              </w:rPr>
              <w:fldChar w:fldCharType="separate"/>
            </w:r>
            <w:r w:rsidR="00F62F57">
              <w:rPr>
                <w:noProof/>
                <w:webHidden/>
              </w:rPr>
              <w:t>1</w:t>
            </w:r>
            <w:r w:rsidR="00F62F57">
              <w:rPr>
                <w:noProof/>
                <w:webHidden/>
              </w:rPr>
              <w:fldChar w:fldCharType="end"/>
            </w:r>
          </w:hyperlink>
        </w:p>
        <w:p w14:paraId="631836AD" w14:textId="7837FD5D" w:rsidR="00F62F57" w:rsidRDefault="00F62F57">
          <w:pPr>
            <w:pStyle w:val="TOC2"/>
            <w:tabs>
              <w:tab w:val="right" w:leader="dot" w:pos="9016"/>
            </w:tabs>
            <w:rPr>
              <w:rFonts w:eastAsiaTheme="minorEastAsia"/>
              <w:noProof/>
              <w:sz w:val="24"/>
              <w:szCs w:val="24"/>
              <w:lang w:eastAsia="en-GB"/>
            </w:rPr>
          </w:pPr>
          <w:hyperlink w:anchor="_Toc183519281" w:history="1">
            <w:r w:rsidRPr="007B45AA">
              <w:rPr>
                <w:rStyle w:val="Hyperlink"/>
                <w:noProof/>
              </w:rPr>
              <w:t>Table of Figures</w:t>
            </w:r>
            <w:r>
              <w:rPr>
                <w:noProof/>
                <w:webHidden/>
              </w:rPr>
              <w:tab/>
            </w:r>
            <w:r>
              <w:rPr>
                <w:noProof/>
                <w:webHidden/>
              </w:rPr>
              <w:fldChar w:fldCharType="begin"/>
            </w:r>
            <w:r>
              <w:rPr>
                <w:noProof/>
                <w:webHidden/>
              </w:rPr>
              <w:instrText xml:space="preserve"> PAGEREF _Toc183519281 \h </w:instrText>
            </w:r>
            <w:r>
              <w:rPr>
                <w:noProof/>
                <w:webHidden/>
              </w:rPr>
            </w:r>
            <w:r>
              <w:rPr>
                <w:noProof/>
                <w:webHidden/>
              </w:rPr>
              <w:fldChar w:fldCharType="separate"/>
            </w:r>
            <w:r>
              <w:rPr>
                <w:noProof/>
                <w:webHidden/>
              </w:rPr>
              <w:t>3</w:t>
            </w:r>
            <w:r>
              <w:rPr>
                <w:noProof/>
                <w:webHidden/>
              </w:rPr>
              <w:fldChar w:fldCharType="end"/>
            </w:r>
          </w:hyperlink>
        </w:p>
        <w:p w14:paraId="32F66E34" w14:textId="7854841A" w:rsidR="00F62F57" w:rsidRDefault="00F62F57">
          <w:pPr>
            <w:pStyle w:val="TOC2"/>
            <w:tabs>
              <w:tab w:val="right" w:leader="dot" w:pos="9016"/>
            </w:tabs>
            <w:rPr>
              <w:rFonts w:eastAsiaTheme="minorEastAsia"/>
              <w:noProof/>
              <w:sz w:val="24"/>
              <w:szCs w:val="24"/>
              <w:lang w:eastAsia="en-GB"/>
            </w:rPr>
          </w:pPr>
          <w:hyperlink w:anchor="_Toc183519282" w:history="1">
            <w:r w:rsidRPr="007B45AA">
              <w:rPr>
                <w:rStyle w:val="Hyperlink"/>
                <w:noProof/>
              </w:rPr>
              <w:t>1. Compliance (Laws and Ethics)</w:t>
            </w:r>
            <w:r>
              <w:rPr>
                <w:noProof/>
                <w:webHidden/>
              </w:rPr>
              <w:tab/>
            </w:r>
            <w:r>
              <w:rPr>
                <w:noProof/>
                <w:webHidden/>
              </w:rPr>
              <w:fldChar w:fldCharType="begin"/>
            </w:r>
            <w:r>
              <w:rPr>
                <w:noProof/>
                <w:webHidden/>
              </w:rPr>
              <w:instrText xml:space="preserve"> PAGEREF _Toc183519282 \h </w:instrText>
            </w:r>
            <w:r>
              <w:rPr>
                <w:noProof/>
                <w:webHidden/>
              </w:rPr>
            </w:r>
            <w:r>
              <w:rPr>
                <w:noProof/>
                <w:webHidden/>
              </w:rPr>
              <w:fldChar w:fldCharType="separate"/>
            </w:r>
            <w:r>
              <w:rPr>
                <w:noProof/>
                <w:webHidden/>
              </w:rPr>
              <w:t>4</w:t>
            </w:r>
            <w:r>
              <w:rPr>
                <w:noProof/>
                <w:webHidden/>
              </w:rPr>
              <w:fldChar w:fldCharType="end"/>
            </w:r>
          </w:hyperlink>
        </w:p>
        <w:p w14:paraId="32EE9530" w14:textId="2D9677A6" w:rsidR="00F62F57" w:rsidRDefault="00F62F57">
          <w:pPr>
            <w:pStyle w:val="TOC2"/>
            <w:tabs>
              <w:tab w:val="right" w:leader="dot" w:pos="9016"/>
            </w:tabs>
            <w:rPr>
              <w:rFonts w:eastAsiaTheme="minorEastAsia"/>
              <w:noProof/>
              <w:sz w:val="24"/>
              <w:szCs w:val="24"/>
              <w:lang w:eastAsia="en-GB"/>
            </w:rPr>
          </w:pPr>
          <w:hyperlink w:anchor="_Toc183519283" w:history="1">
            <w:r w:rsidRPr="007B45AA">
              <w:rPr>
                <w:rStyle w:val="Hyperlink"/>
                <w:noProof/>
              </w:rPr>
              <w:t>2. Governance and Strategic Planning for Security</w:t>
            </w:r>
            <w:r>
              <w:rPr>
                <w:noProof/>
                <w:webHidden/>
              </w:rPr>
              <w:tab/>
            </w:r>
            <w:r>
              <w:rPr>
                <w:noProof/>
                <w:webHidden/>
              </w:rPr>
              <w:fldChar w:fldCharType="begin"/>
            </w:r>
            <w:r>
              <w:rPr>
                <w:noProof/>
                <w:webHidden/>
              </w:rPr>
              <w:instrText xml:space="preserve"> PAGEREF _Toc183519283 \h </w:instrText>
            </w:r>
            <w:r>
              <w:rPr>
                <w:noProof/>
                <w:webHidden/>
              </w:rPr>
            </w:r>
            <w:r>
              <w:rPr>
                <w:noProof/>
                <w:webHidden/>
              </w:rPr>
              <w:fldChar w:fldCharType="separate"/>
            </w:r>
            <w:r>
              <w:rPr>
                <w:noProof/>
                <w:webHidden/>
              </w:rPr>
              <w:t>6</w:t>
            </w:r>
            <w:r>
              <w:rPr>
                <w:noProof/>
                <w:webHidden/>
              </w:rPr>
              <w:fldChar w:fldCharType="end"/>
            </w:r>
          </w:hyperlink>
        </w:p>
        <w:p w14:paraId="05DE132E" w14:textId="6C56B2B4" w:rsidR="00F62F57" w:rsidRDefault="00F62F57">
          <w:pPr>
            <w:pStyle w:val="TOC2"/>
            <w:tabs>
              <w:tab w:val="right" w:leader="dot" w:pos="9016"/>
            </w:tabs>
            <w:rPr>
              <w:rFonts w:eastAsiaTheme="minorEastAsia"/>
              <w:noProof/>
              <w:sz w:val="24"/>
              <w:szCs w:val="24"/>
              <w:lang w:eastAsia="en-GB"/>
            </w:rPr>
          </w:pPr>
          <w:hyperlink w:anchor="_Toc183519284" w:history="1">
            <w:r w:rsidRPr="007B45AA">
              <w:rPr>
                <w:rStyle w:val="Hyperlink"/>
                <w:noProof/>
              </w:rPr>
              <w:t>3. Security Policies</w:t>
            </w:r>
            <w:r>
              <w:rPr>
                <w:noProof/>
                <w:webHidden/>
              </w:rPr>
              <w:tab/>
            </w:r>
            <w:r>
              <w:rPr>
                <w:noProof/>
                <w:webHidden/>
              </w:rPr>
              <w:fldChar w:fldCharType="begin"/>
            </w:r>
            <w:r>
              <w:rPr>
                <w:noProof/>
                <w:webHidden/>
              </w:rPr>
              <w:instrText xml:space="preserve"> PAGEREF _Toc183519284 \h </w:instrText>
            </w:r>
            <w:r>
              <w:rPr>
                <w:noProof/>
                <w:webHidden/>
              </w:rPr>
            </w:r>
            <w:r>
              <w:rPr>
                <w:noProof/>
                <w:webHidden/>
              </w:rPr>
              <w:fldChar w:fldCharType="separate"/>
            </w:r>
            <w:r>
              <w:rPr>
                <w:noProof/>
                <w:webHidden/>
              </w:rPr>
              <w:t>7</w:t>
            </w:r>
            <w:r>
              <w:rPr>
                <w:noProof/>
                <w:webHidden/>
              </w:rPr>
              <w:fldChar w:fldCharType="end"/>
            </w:r>
          </w:hyperlink>
        </w:p>
        <w:p w14:paraId="33927CCA" w14:textId="04D80935" w:rsidR="00F62F57" w:rsidRDefault="00F62F57">
          <w:pPr>
            <w:pStyle w:val="TOC2"/>
            <w:tabs>
              <w:tab w:val="right" w:leader="dot" w:pos="9016"/>
            </w:tabs>
            <w:rPr>
              <w:rFonts w:eastAsiaTheme="minorEastAsia"/>
              <w:noProof/>
              <w:sz w:val="24"/>
              <w:szCs w:val="24"/>
              <w:lang w:eastAsia="en-GB"/>
            </w:rPr>
          </w:pPr>
          <w:hyperlink w:anchor="_Toc183519285" w:history="1">
            <w:r w:rsidRPr="007B45AA">
              <w:rPr>
                <w:rStyle w:val="Hyperlink"/>
                <w:noProof/>
              </w:rPr>
              <w:t>4. Risk Management</w:t>
            </w:r>
            <w:r>
              <w:rPr>
                <w:noProof/>
                <w:webHidden/>
              </w:rPr>
              <w:tab/>
            </w:r>
            <w:r>
              <w:rPr>
                <w:noProof/>
                <w:webHidden/>
              </w:rPr>
              <w:fldChar w:fldCharType="begin"/>
            </w:r>
            <w:r>
              <w:rPr>
                <w:noProof/>
                <w:webHidden/>
              </w:rPr>
              <w:instrText xml:space="preserve"> PAGEREF _Toc183519285 \h </w:instrText>
            </w:r>
            <w:r>
              <w:rPr>
                <w:noProof/>
                <w:webHidden/>
              </w:rPr>
            </w:r>
            <w:r>
              <w:rPr>
                <w:noProof/>
                <w:webHidden/>
              </w:rPr>
              <w:fldChar w:fldCharType="separate"/>
            </w:r>
            <w:r>
              <w:rPr>
                <w:noProof/>
                <w:webHidden/>
              </w:rPr>
              <w:t>8</w:t>
            </w:r>
            <w:r>
              <w:rPr>
                <w:noProof/>
                <w:webHidden/>
              </w:rPr>
              <w:fldChar w:fldCharType="end"/>
            </w:r>
          </w:hyperlink>
        </w:p>
        <w:p w14:paraId="15CA2A40" w14:textId="63105548" w:rsidR="00F62F57" w:rsidRDefault="00F62F57">
          <w:pPr>
            <w:pStyle w:val="TOC2"/>
            <w:tabs>
              <w:tab w:val="right" w:leader="dot" w:pos="9016"/>
            </w:tabs>
            <w:rPr>
              <w:rFonts w:eastAsiaTheme="minorEastAsia"/>
              <w:noProof/>
              <w:sz w:val="24"/>
              <w:szCs w:val="24"/>
              <w:lang w:eastAsia="en-GB"/>
            </w:rPr>
          </w:pPr>
          <w:hyperlink w:anchor="_Toc183519286" w:history="1">
            <w:r w:rsidRPr="007B45AA">
              <w:rPr>
                <w:rStyle w:val="Hyperlink"/>
                <w:noProof/>
              </w:rPr>
              <w:t>5. Security Management Models and Practices</w:t>
            </w:r>
            <w:r>
              <w:rPr>
                <w:noProof/>
                <w:webHidden/>
              </w:rPr>
              <w:tab/>
            </w:r>
            <w:r>
              <w:rPr>
                <w:noProof/>
                <w:webHidden/>
              </w:rPr>
              <w:fldChar w:fldCharType="begin"/>
            </w:r>
            <w:r>
              <w:rPr>
                <w:noProof/>
                <w:webHidden/>
              </w:rPr>
              <w:instrText xml:space="preserve"> PAGEREF _Toc183519286 \h </w:instrText>
            </w:r>
            <w:r>
              <w:rPr>
                <w:noProof/>
                <w:webHidden/>
              </w:rPr>
            </w:r>
            <w:r>
              <w:rPr>
                <w:noProof/>
                <w:webHidden/>
              </w:rPr>
              <w:fldChar w:fldCharType="separate"/>
            </w:r>
            <w:r>
              <w:rPr>
                <w:noProof/>
                <w:webHidden/>
              </w:rPr>
              <w:t>9</w:t>
            </w:r>
            <w:r>
              <w:rPr>
                <w:noProof/>
                <w:webHidden/>
              </w:rPr>
              <w:fldChar w:fldCharType="end"/>
            </w:r>
          </w:hyperlink>
        </w:p>
        <w:p w14:paraId="07C39D10" w14:textId="0DEDFB52" w:rsidR="00F62F57" w:rsidRDefault="00F62F57">
          <w:pPr>
            <w:pStyle w:val="TOC2"/>
            <w:tabs>
              <w:tab w:val="right" w:leader="dot" w:pos="9016"/>
            </w:tabs>
            <w:rPr>
              <w:rFonts w:eastAsiaTheme="minorEastAsia"/>
              <w:noProof/>
              <w:sz w:val="24"/>
              <w:szCs w:val="24"/>
              <w:lang w:eastAsia="en-GB"/>
            </w:rPr>
          </w:pPr>
          <w:hyperlink w:anchor="_Toc183519287" w:history="1">
            <w:r w:rsidRPr="007B45AA">
              <w:rPr>
                <w:rStyle w:val="Hyperlink"/>
                <w:noProof/>
              </w:rPr>
              <w:t>6. Contingency Planning</w:t>
            </w:r>
            <w:r>
              <w:rPr>
                <w:noProof/>
                <w:webHidden/>
              </w:rPr>
              <w:tab/>
            </w:r>
            <w:r>
              <w:rPr>
                <w:noProof/>
                <w:webHidden/>
              </w:rPr>
              <w:fldChar w:fldCharType="begin"/>
            </w:r>
            <w:r>
              <w:rPr>
                <w:noProof/>
                <w:webHidden/>
              </w:rPr>
              <w:instrText xml:space="preserve"> PAGEREF _Toc183519287 \h </w:instrText>
            </w:r>
            <w:r>
              <w:rPr>
                <w:noProof/>
                <w:webHidden/>
              </w:rPr>
            </w:r>
            <w:r>
              <w:rPr>
                <w:noProof/>
                <w:webHidden/>
              </w:rPr>
              <w:fldChar w:fldCharType="separate"/>
            </w:r>
            <w:r>
              <w:rPr>
                <w:noProof/>
                <w:webHidden/>
              </w:rPr>
              <w:t>9</w:t>
            </w:r>
            <w:r>
              <w:rPr>
                <w:noProof/>
                <w:webHidden/>
              </w:rPr>
              <w:fldChar w:fldCharType="end"/>
            </w:r>
          </w:hyperlink>
        </w:p>
        <w:p w14:paraId="766D310C" w14:textId="3ED3C4B2" w:rsidR="00F62F57" w:rsidRDefault="00F62F57">
          <w:pPr>
            <w:pStyle w:val="TOC2"/>
            <w:tabs>
              <w:tab w:val="right" w:leader="dot" w:pos="9016"/>
            </w:tabs>
            <w:rPr>
              <w:rFonts w:eastAsiaTheme="minorEastAsia"/>
              <w:noProof/>
              <w:sz w:val="24"/>
              <w:szCs w:val="24"/>
              <w:lang w:eastAsia="en-GB"/>
            </w:rPr>
          </w:pPr>
          <w:hyperlink w:anchor="_Toc183519288" w:history="1">
            <w:r w:rsidRPr="007B45AA">
              <w:rPr>
                <w:rStyle w:val="Hyperlink"/>
                <w:noProof/>
              </w:rPr>
              <w:t>7. Protection Mechanisms</w:t>
            </w:r>
            <w:r>
              <w:rPr>
                <w:noProof/>
                <w:webHidden/>
              </w:rPr>
              <w:tab/>
            </w:r>
            <w:r>
              <w:rPr>
                <w:noProof/>
                <w:webHidden/>
              </w:rPr>
              <w:fldChar w:fldCharType="begin"/>
            </w:r>
            <w:r>
              <w:rPr>
                <w:noProof/>
                <w:webHidden/>
              </w:rPr>
              <w:instrText xml:space="preserve"> PAGEREF _Toc183519288 \h </w:instrText>
            </w:r>
            <w:r>
              <w:rPr>
                <w:noProof/>
                <w:webHidden/>
              </w:rPr>
            </w:r>
            <w:r>
              <w:rPr>
                <w:noProof/>
                <w:webHidden/>
              </w:rPr>
              <w:fldChar w:fldCharType="separate"/>
            </w:r>
            <w:r>
              <w:rPr>
                <w:noProof/>
                <w:webHidden/>
              </w:rPr>
              <w:t>10</w:t>
            </w:r>
            <w:r>
              <w:rPr>
                <w:noProof/>
                <w:webHidden/>
              </w:rPr>
              <w:fldChar w:fldCharType="end"/>
            </w:r>
          </w:hyperlink>
        </w:p>
        <w:p w14:paraId="55FF8914" w14:textId="630AA7BB" w:rsidR="00F62F57" w:rsidRDefault="00F62F57">
          <w:pPr>
            <w:pStyle w:val="TOC2"/>
            <w:tabs>
              <w:tab w:val="right" w:leader="dot" w:pos="9016"/>
            </w:tabs>
            <w:rPr>
              <w:rFonts w:eastAsiaTheme="minorEastAsia"/>
              <w:noProof/>
              <w:sz w:val="24"/>
              <w:szCs w:val="24"/>
              <w:lang w:eastAsia="en-GB"/>
            </w:rPr>
          </w:pPr>
          <w:hyperlink w:anchor="_Toc183519289" w:history="1">
            <w:r w:rsidRPr="007B45AA">
              <w:rPr>
                <w:rStyle w:val="Hyperlink"/>
                <w:noProof/>
              </w:rPr>
              <w:t>8. Service Level Agreements (SLA)</w:t>
            </w:r>
            <w:r>
              <w:rPr>
                <w:noProof/>
                <w:webHidden/>
              </w:rPr>
              <w:tab/>
            </w:r>
            <w:r>
              <w:rPr>
                <w:noProof/>
                <w:webHidden/>
              </w:rPr>
              <w:fldChar w:fldCharType="begin"/>
            </w:r>
            <w:r>
              <w:rPr>
                <w:noProof/>
                <w:webHidden/>
              </w:rPr>
              <w:instrText xml:space="preserve"> PAGEREF _Toc183519289 \h </w:instrText>
            </w:r>
            <w:r>
              <w:rPr>
                <w:noProof/>
                <w:webHidden/>
              </w:rPr>
            </w:r>
            <w:r>
              <w:rPr>
                <w:noProof/>
                <w:webHidden/>
              </w:rPr>
              <w:fldChar w:fldCharType="separate"/>
            </w:r>
            <w:r>
              <w:rPr>
                <w:noProof/>
                <w:webHidden/>
              </w:rPr>
              <w:t>10</w:t>
            </w:r>
            <w:r>
              <w:rPr>
                <w:noProof/>
                <w:webHidden/>
              </w:rPr>
              <w:fldChar w:fldCharType="end"/>
            </w:r>
          </w:hyperlink>
        </w:p>
        <w:p w14:paraId="473A9783" w14:textId="34664C31" w:rsidR="00F62F57" w:rsidRDefault="00F62F57">
          <w:pPr>
            <w:pStyle w:val="TOC2"/>
            <w:tabs>
              <w:tab w:val="right" w:leader="dot" w:pos="9016"/>
            </w:tabs>
            <w:rPr>
              <w:rFonts w:eastAsiaTheme="minorEastAsia"/>
              <w:noProof/>
              <w:sz w:val="24"/>
              <w:szCs w:val="24"/>
              <w:lang w:eastAsia="en-GB"/>
            </w:rPr>
          </w:pPr>
          <w:hyperlink w:anchor="_Toc183519290" w:history="1">
            <w:r w:rsidRPr="007B45AA">
              <w:rPr>
                <w:rStyle w:val="Hyperlink"/>
                <w:noProof/>
              </w:rPr>
              <w:t>Conclusion</w:t>
            </w:r>
            <w:r>
              <w:rPr>
                <w:noProof/>
                <w:webHidden/>
              </w:rPr>
              <w:tab/>
            </w:r>
            <w:r>
              <w:rPr>
                <w:noProof/>
                <w:webHidden/>
              </w:rPr>
              <w:fldChar w:fldCharType="begin"/>
            </w:r>
            <w:r>
              <w:rPr>
                <w:noProof/>
                <w:webHidden/>
              </w:rPr>
              <w:instrText xml:space="preserve"> PAGEREF _Toc183519290 \h </w:instrText>
            </w:r>
            <w:r>
              <w:rPr>
                <w:noProof/>
                <w:webHidden/>
              </w:rPr>
            </w:r>
            <w:r>
              <w:rPr>
                <w:noProof/>
                <w:webHidden/>
              </w:rPr>
              <w:fldChar w:fldCharType="separate"/>
            </w:r>
            <w:r>
              <w:rPr>
                <w:noProof/>
                <w:webHidden/>
              </w:rPr>
              <w:t>10</w:t>
            </w:r>
            <w:r>
              <w:rPr>
                <w:noProof/>
                <w:webHidden/>
              </w:rPr>
              <w:fldChar w:fldCharType="end"/>
            </w:r>
          </w:hyperlink>
        </w:p>
        <w:p w14:paraId="2DD34EDD" w14:textId="2147ACCE" w:rsidR="00F62F57" w:rsidRDefault="00F62F57">
          <w:pPr>
            <w:pStyle w:val="TOC1"/>
            <w:tabs>
              <w:tab w:val="right" w:leader="dot" w:pos="9016"/>
            </w:tabs>
            <w:rPr>
              <w:rFonts w:eastAsiaTheme="minorEastAsia"/>
              <w:noProof/>
              <w:sz w:val="24"/>
              <w:szCs w:val="24"/>
              <w:lang w:eastAsia="en-GB"/>
            </w:rPr>
          </w:pPr>
          <w:hyperlink w:anchor="_Toc183519291" w:history="1">
            <w:r w:rsidRPr="007B45AA">
              <w:rPr>
                <w:rStyle w:val="Hyperlink"/>
                <w:noProof/>
              </w:rPr>
              <w:t>Bibliography</w:t>
            </w:r>
            <w:r>
              <w:rPr>
                <w:noProof/>
                <w:webHidden/>
              </w:rPr>
              <w:tab/>
            </w:r>
            <w:r>
              <w:rPr>
                <w:noProof/>
                <w:webHidden/>
              </w:rPr>
              <w:fldChar w:fldCharType="begin"/>
            </w:r>
            <w:r>
              <w:rPr>
                <w:noProof/>
                <w:webHidden/>
              </w:rPr>
              <w:instrText xml:space="preserve"> PAGEREF _Toc183519291 \h </w:instrText>
            </w:r>
            <w:r>
              <w:rPr>
                <w:noProof/>
                <w:webHidden/>
              </w:rPr>
            </w:r>
            <w:r>
              <w:rPr>
                <w:noProof/>
                <w:webHidden/>
              </w:rPr>
              <w:fldChar w:fldCharType="separate"/>
            </w:r>
            <w:r>
              <w:rPr>
                <w:noProof/>
                <w:webHidden/>
              </w:rPr>
              <w:t>11</w:t>
            </w:r>
            <w:r>
              <w:rPr>
                <w:noProof/>
                <w:webHidden/>
              </w:rPr>
              <w:fldChar w:fldCharType="end"/>
            </w:r>
          </w:hyperlink>
        </w:p>
        <w:p w14:paraId="46607402" w14:textId="1E8538B2" w:rsidR="00463788" w:rsidRDefault="00463788">
          <w:r>
            <w:rPr>
              <w:b/>
              <w:bCs/>
              <w:noProof/>
            </w:rPr>
            <w:fldChar w:fldCharType="end"/>
          </w:r>
        </w:p>
      </w:sdtContent>
    </w:sdt>
    <w:p w14:paraId="2E552E8F" w14:textId="77777777" w:rsidR="00463788" w:rsidRDefault="00463788" w:rsidP="00463788">
      <w:pPr>
        <w:rPr>
          <w:rFonts w:cstheme="minorHAnsi"/>
          <w:color w:val="0070C0"/>
          <w:sz w:val="32"/>
          <w:szCs w:val="32"/>
        </w:rPr>
      </w:pPr>
    </w:p>
    <w:p w14:paraId="209BBB9A" w14:textId="77777777" w:rsidR="00463788" w:rsidRDefault="00463788" w:rsidP="00463788">
      <w:pPr>
        <w:rPr>
          <w:rFonts w:cstheme="minorHAnsi"/>
          <w:color w:val="0070C0"/>
          <w:sz w:val="32"/>
          <w:szCs w:val="32"/>
        </w:rPr>
      </w:pPr>
    </w:p>
    <w:p w14:paraId="63FA455B" w14:textId="77777777" w:rsidR="00463788" w:rsidRDefault="00463788" w:rsidP="00463788">
      <w:pPr>
        <w:rPr>
          <w:rFonts w:cstheme="minorHAnsi"/>
          <w:color w:val="0070C0"/>
          <w:sz w:val="32"/>
          <w:szCs w:val="32"/>
        </w:rPr>
      </w:pPr>
    </w:p>
    <w:p w14:paraId="22B895F1" w14:textId="77777777" w:rsidR="00463788" w:rsidRDefault="00463788" w:rsidP="00463788">
      <w:pPr>
        <w:rPr>
          <w:rFonts w:cstheme="minorHAnsi"/>
          <w:color w:val="0070C0"/>
          <w:sz w:val="32"/>
          <w:szCs w:val="32"/>
        </w:rPr>
      </w:pPr>
    </w:p>
    <w:p w14:paraId="733E745A" w14:textId="77777777" w:rsidR="00463788" w:rsidRDefault="00463788" w:rsidP="00463788">
      <w:pPr>
        <w:rPr>
          <w:rFonts w:cstheme="minorHAnsi"/>
          <w:color w:val="0070C0"/>
          <w:sz w:val="32"/>
          <w:szCs w:val="32"/>
        </w:rPr>
      </w:pPr>
    </w:p>
    <w:p w14:paraId="05620F33" w14:textId="77777777" w:rsidR="00463788" w:rsidRDefault="00463788" w:rsidP="00463788">
      <w:pPr>
        <w:rPr>
          <w:rFonts w:cstheme="minorHAnsi"/>
          <w:color w:val="0070C0"/>
          <w:sz w:val="32"/>
          <w:szCs w:val="32"/>
        </w:rPr>
      </w:pPr>
    </w:p>
    <w:p w14:paraId="47A2CAC0" w14:textId="77777777" w:rsidR="00463788" w:rsidRDefault="00463788" w:rsidP="00463788">
      <w:pPr>
        <w:rPr>
          <w:rFonts w:cstheme="minorHAnsi"/>
          <w:color w:val="0070C0"/>
          <w:sz w:val="32"/>
          <w:szCs w:val="32"/>
        </w:rPr>
      </w:pPr>
    </w:p>
    <w:p w14:paraId="498FBDE2" w14:textId="77777777" w:rsidR="00463788" w:rsidRDefault="00463788" w:rsidP="00463788">
      <w:pPr>
        <w:rPr>
          <w:rFonts w:cstheme="minorHAnsi"/>
          <w:color w:val="0070C0"/>
          <w:sz w:val="32"/>
          <w:szCs w:val="32"/>
        </w:rPr>
      </w:pPr>
    </w:p>
    <w:p w14:paraId="4D36750B" w14:textId="77777777" w:rsidR="00463788" w:rsidRDefault="00463788" w:rsidP="00463788">
      <w:pPr>
        <w:rPr>
          <w:rFonts w:cstheme="minorHAnsi"/>
          <w:color w:val="0070C0"/>
          <w:sz w:val="32"/>
          <w:szCs w:val="32"/>
        </w:rPr>
      </w:pPr>
    </w:p>
    <w:p w14:paraId="34684F2F" w14:textId="77777777" w:rsidR="00463788" w:rsidRDefault="00463788" w:rsidP="00463788">
      <w:pPr>
        <w:rPr>
          <w:rFonts w:cstheme="minorHAnsi"/>
          <w:color w:val="0070C0"/>
          <w:sz w:val="32"/>
          <w:szCs w:val="32"/>
        </w:rPr>
      </w:pPr>
    </w:p>
    <w:p w14:paraId="7D1EED53" w14:textId="77777777" w:rsidR="00463788" w:rsidRDefault="00463788" w:rsidP="00463788">
      <w:pPr>
        <w:rPr>
          <w:rFonts w:cstheme="minorHAnsi"/>
          <w:color w:val="0070C0"/>
          <w:sz w:val="32"/>
          <w:szCs w:val="32"/>
        </w:rPr>
      </w:pPr>
    </w:p>
    <w:p w14:paraId="1F251AA3" w14:textId="77777777" w:rsidR="00463788" w:rsidRDefault="00463788" w:rsidP="00463788">
      <w:pPr>
        <w:rPr>
          <w:rFonts w:cstheme="minorHAnsi"/>
          <w:color w:val="0070C0"/>
          <w:sz w:val="32"/>
          <w:szCs w:val="32"/>
        </w:rPr>
      </w:pPr>
    </w:p>
    <w:p w14:paraId="48E1B59F" w14:textId="77777777" w:rsidR="00463788" w:rsidRDefault="00463788" w:rsidP="00463788">
      <w:pPr>
        <w:rPr>
          <w:rFonts w:cstheme="minorHAnsi"/>
          <w:color w:val="0070C0"/>
          <w:sz w:val="32"/>
          <w:szCs w:val="32"/>
        </w:rPr>
      </w:pPr>
    </w:p>
    <w:p w14:paraId="4ECB36F2" w14:textId="3AF19F53" w:rsidR="00E851DA" w:rsidRDefault="00E851DA" w:rsidP="00E851DA">
      <w:pPr>
        <w:pStyle w:val="Heading2"/>
      </w:pPr>
      <w:bookmarkStart w:id="1" w:name="_Toc183519281"/>
      <w:r>
        <w:t>Table of Figures</w:t>
      </w:r>
      <w:bookmarkEnd w:id="1"/>
      <w:r>
        <w:t xml:space="preserve"> </w:t>
      </w:r>
    </w:p>
    <w:p w14:paraId="33074A24" w14:textId="65A03983" w:rsidR="00E851DA" w:rsidRDefault="00463788">
      <w:pPr>
        <w:pStyle w:val="TableofFigures"/>
        <w:tabs>
          <w:tab w:val="right" w:leader="dot" w:pos="9016"/>
        </w:tabs>
        <w:rPr>
          <w:noProof/>
        </w:rPr>
      </w:pPr>
      <w:r>
        <w:rPr>
          <w:rFonts w:cstheme="minorHAnsi"/>
          <w:color w:val="0070C0"/>
          <w:sz w:val="32"/>
          <w:szCs w:val="32"/>
        </w:rPr>
        <w:fldChar w:fldCharType="begin"/>
      </w:r>
      <w:r>
        <w:rPr>
          <w:rFonts w:cstheme="minorHAnsi"/>
          <w:color w:val="0070C0"/>
          <w:sz w:val="32"/>
          <w:szCs w:val="32"/>
        </w:rPr>
        <w:instrText xml:space="preserve"> TOC \h \z \c "Figure" </w:instrText>
      </w:r>
      <w:r>
        <w:rPr>
          <w:rFonts w:cstheme="minorHAnsi"/>
          <w:color w:val="0070C0"/>
          <w:sz w:val="32"/>
          <w:szCs w:val="32"/>
        </w:rPr>
        <w:fldChar w:fldCharType="separate"/>
      </w:r>
      <w:hyperlink w:anchor="_Toc183519227" w:history="1">
        <w:r w:rsidR="00E851DA" w:rsidRPr="002B2452">
          <w:rPr>
            <w:rStyle w:val="Hyperlink"/>
            <w:noProof/>
          </w:rPr>
          <w:t>Figure 1 Compliance Framework</w:t>
        </w:r>
        <w:r w:rsidR="00E851DA">
          <w:rPr>
            <w:noProof/>
            <w:webHidden/>
          </w:rPr>
          <w:tab/>
        </w:r>
        <w:r w:rsidR="00E851DA">
          <w:rPr>
            <w:noProof/>
            <w:webHidden/>
          </w:rPr>
          <w:fldChar w:fldCharType="begin"/>
        </w:r>
        <w:r w:rsidR="00E851DA">
          <w:rPr>
            <w:noProof/>
            <w:webHidden/>
          </w:rPr>
          <w:instrText xml:space="preserve"> PAGEREF _Toc183519227 \h </w:instrText>
        </w:r>
        <w:r w:rsidR="00E851DA">
          <w:rPr>
            <w:noProof/>
            <w:webHidden/>
          </w:rPr>
        </w:r>
        <w:r w:rsidR="00E851DA">
          <w:rPr>
            <w:noProof/>
            <w:webHidden/>
          </w:rPr>
          <w:fldChar w:fldCharType="separate"/>
        </w:r>
        <w:r w:rsidR="00E851DA">
          <w:rPr>
            <w:noProof/>
            <w:webHidden/>
          </w:rPr>
          <w:t>5</w:t>
        </w:r>
        <w:r w:rsidR="00E851DA">
          <w:rPr>
            <w:noProof/>
            <w:webHidden/>
          </w:rPr>
          <w:fldChar w:fldCharType="end"/>
        </w:r>
      </w:hyperlink>
    </w:p>
    <w:p w14:paraId="39B41BE6" w14:textId="55B7CDD3" w:rsidR="00E851DA" w:rsidRDefault="00E851DA">
      <w:pPr>
        <w:pStyle w:val="TableofFigures"/>
        <w:tabs>
          <w:tab w:val="right" w:leader="dot" w:pos="9016"/>
        </w:tabs>
        <w:rPr>
          <w:noProof/>
        </w:rPr>
      </w:pPr>
      <w:hyperlink w:anchor="_Toc183519228" w:history="1">
        <w:r w:rsidRPr="002B2452">
          <w:rPr>
            <w:rStyle w:val="Hyperlink"/>
            <w:noProof/>
          </w:rPr>
          <w:t>Figure 2 Cybersecurity Framework</w:t>
        </w:r>
        <w:r>
          <w:rPr>
            <w:noProof/>
            <w:webHidden/>
          </w:rPr>
          <w:tab/>
        </w:r>
        <w:r>
          <w:rPr>
            <w:noProof/>
            <w:webHidden/>
          </w:rPr>
          <w:fldChar w:fldCharType="begin"/>
        </w:r>
        <w:r>
          <w:rPr>
            <w:noProof/>
            <w:webHidden/>
          </w:rPr>
          <w:instrText xml:space="preserve"> PAGEREF _Toc183519228 \h </w:instrText>
        </w:r>
        <w:r>
          <w:rPr>
            <w:noProof/>
            <w:webHidden/>
          </w:rPr>
        </w:r>
        <w:r>
          <w:rPr>
            <w:noProof/>
            <w:webHidden/>
          </w:rPr>
          <w:fldChar w:fldCharType="separate"/>
        </w:r>
        <w:r>
          <w:rPr>
            <w:noProof/>
            <w:webHidden/>
          </w:rPr>
          <w:t>6</w:t>
        </w:r>
        <w:r>
          <w:rPr>
            <w:noProof/>
            <w:webHidden/>
          </w:rPr>
          <w:fldChar w:fldCharType="end"/>
        </w:r>
      </w:hyperlink>
    </w:p>
    <w:p w14:paraId="4D9F11B5" w14:textId="7EA39402" w:rsidR="00E851DA" w:rsidRDefault="00E851DA">
      <w:pPr>
        <w:pStyle w:val="TableofFigures"/>
        <w:tabs>
          <w:tab w:val="right" w:leader="dot" w:pos="9016"/>
        </w:tabs>
        <w:rPr>
          <w:noProof/>
        </w:rPr>
      </w:pPr>
      <w:hyperlink w:anchor="_Toc183519229" w:history="1">
        <w:r w:rsidRPr="002B2452">
          <w:rPr>
            <w:rStyle w:val="Hyperlink"/>
            <w:noProof/>
          </w:rPr>
          <w:t>Figure 3 Policy Framework</w:t>
        </w:r>
        <w:r>
          <w:rPr>
            <w:noProof/>
            <w:webHidden/>
          </w:rPr>
          <w:tab/>
        </w:r>
        <w:r>
          <w:rPr>
            <w:noProof/>
            <w:webHidden/>
          </w:rPr>
          <w:fldChar w:fldCharType="begin"/>
        </w:r>
        <w:r>
          <w:rPr>
            <w:noProof/>
            <w:webHidden/>
          </w:rPr>
          <w:instrText xml:space="preserve"> PAGEREF _Toc183519229 \h </w:instrText>
        </w:r>
        <w:r>
          <w:rPr>
            <w:noProof/>
            <w:webHidden/>
          </w:rPr>
        </w:r>
        <w:r>
          <w:rPr>
            <w:noProof/>
            <w:webHidden/>
          </w:rPr>
          <w:fldChar w:fldCharType="separate"/>
        </w:r>
        <w:r>
          <w:rPr>
            <w:noProof/>
            <w:webHidden/>
          </w:rPr>
          <w:t>7</w:t>
        </w:r>
        <w:r>
          <w:rPr>
            <w:noProof/>
            <w:webHidden/>
          </w:rPr>
          <w:fldChar w:fldCharType="end"/>
        </w:r>
      </w:hyperlink>
    </w:p>
    <w:p w14:paraId="6A772DB5" w14:textId="5EEA8293" w:rsidR="00E851DA" w:rsidRDefault="00E851DA">
      <w:pPr>
        <w:pStyle w:val="TableofFigures"/>
        <w:tabs>
          <w:tab w:val="right" w:leader="dot" w:pos="9016"/>
        </w:tabs>
        <w:rPr>
          <w:noProof/>
        </w:rPr>
      </w:pPr>
      <w:hyperlink w:anchor="_Toc183519230" w:history="1">
        <w:r w:rsidRPr="002B2452">
          <w:rPr>
            <w:rStyle w:val="Hyperlink"/>
            <w:noProof/>
          </w:rPr>
          <w:t>Figure 4 Rist Assessment</w:t>
        </w:r>
        <w:r>
          <w:rPr>
            <w:noProof/>
            <w:webHidden/>
          </w:rPr>
          <w:tab/>
        </w:r>
        <w:r>
          <w:rPr>
            <w:noProof/>
            <w:webHidden/>
          </w:rPr>
          <w:fldChar w:fldCharType="begin"/>
        </w:r>
        <w:r>
          <w:rPr>
            <w:noProof/>
            <w:webHidden/>
          </w:rPr>
          <w:instrText xml:space="preserve"> PAGEREF _Toc183519230 \h </w:instrText>
        </w:r>
        <w:r>
          <w:rPr>
            <w:noProof/>
            <w:webHidden/>
          </w:rPr>
        </w:r>
        <w:r>
          <w:rPr>
            <w:noProof/>
            <w:webHidden/>
          </w:rPr>
          <w:fldChar w:fldCharType="separate"/>
        </w:r>
        <w:r>
          <w:rPr>
            <w:noProof/>
            <w:webHidden/>
          </w:rPr>
          <w:t>8</w:t>
        </w:r>
        <w:r>
          <w:rPr>
            <w:noProof/>
            <w:webHidden/>
          </w:rPr>
          <w:fldChar w:fldCharType="end"/>
        </w:r>
      </w:hyperlink>
    </w:p>
    <w:p w14:paraId="249517C5" w14:textId="79217A9A" w:rsidR="00463788" w:rsidRDefault="00463788" w:rsidP="00463788">
      <w:pPr>
        <w:rPr>
          <w:rFonts w:cstheme="minorHAnsi"/>
          <w:color w:val="0070C0"/>
          <w:sz w:val="32"/>
          <w:szCs w:val="32"/>
        </w:rPr>
      </w:pPr>
      <w:r>
        <w:rPr>
          <w:rFonts w:cstheme="minorHAnsi"/>
          <w:color w:val="0070C0"/>
          <w:sz w:val="32"/>
          <w:szCs w:val="32"/>
        </w:rPr>
        <w:fldChar w:fldCharType="end"/>
      </w:r>
    </w:p>
    <w:p w14:paraId="5A5F054C" w14:textId="77777777" w:rsidR="00463788" w:rsidRDefault="00463788" w:rsidP="00463788">
      <w:pPr>
        <w:jc w:val="right"/>
        <w:rPr>
          <w:rFonts w:cstheme="minorHAnsi"/>
          <w:color w:val="0070C0"/>
          <w:sz w:val="32"/>
          <w:szCs w:val="32"/>
        </w:rPr>
      </w:pPr>
    </w:p>
    <w:p w14:paraId="6351776C" w14:textId="77777777" w:rsidR="00463788" w:rsidRDefault="00463788" w:rsidP="00463788">
      <w:pPr>
        <w:jc w:val="right"/>
        <w:rPr>
          <w:rFonts w:cstheme="minorHAnsi"/>
          <w:color w:val="0070C0"/>
          <w:sz w:val="32"/>
          <w:szCs w:val="32"/>
        </w:rPr>
      </w:pPr>
    </w:p>
    <w:p w14:paraId="02D4E05F" w14:textId="77777777" w:rsidR="00463788" w:rsidRDefault="00463788" w:rsidP="00463788">
      <w:pPr>
        <w:jc w:val="right"/>
        <w:rPr>
          <w:rFonts w:cstheme="minorHAnsi"/>
          <w:color w:val="0070C0"/>
          <w:sz w:val="32"/>
          <w:szCs w:val="32"/>
        </w:rPr>
      </w:pPr>
    </w:p>
    <w:p w14:paraId="35781B7A" w14:textId="77777777" w:rsidR="00463788" w:rsidRDefault="00463788" w:rsidP="00463788">
      <w:pPr>
        <w:jc w:val="right"/>
        <w:rPr>
          <w:rFonts w:cstheme="minorHAnsi"/>
          <w:color w:val="0070C0"/>
          <w:sz w:val="32"/>
          <w:szCs w:val="32"/>
        </w:rPr>
      </w:pPr>
    </w:p>
    <w:p w14:paraId="1462D881" w14:textId="77777777" w:rsidR="00463788" w:rsidRDefault="00463788" w:rsidP="00463788">
      <w:pPr>
        <w:jc w:val="right"/>
        <w:rPr>
          <w:rFonts w:cstheme="minorHAnsi"/>
          <w:color w:val="0070C0"/>
          <w:sz w:val="32"/>
          <w:szCs w:val="32"/>
        </w:rPr>
      </w:pPr>
    </w:p>
    <w:p w14:paraId="5BA14B6C" w14:textId="77777777" w:rsidR="00463788" w:rsidRDefault="00463788" w:rsidP="00463788">
      <w:pPr>
        <w:jc w:val="right"/>
        <w:rPr>
          <w:rFonts w:cstheme="minorHAnsi"/>
          <w:color w:val="0070C0"/>
          <w:sz w:val="32"/>
          <w:szCs w:val="32"/>
        </w:rPr>
      </w:pPr>
    </w:p>
    <w:p w14:paraId="0E97E679" w14:textId="77777777" w:rsidR="00463788" w:rsidRDefault="00463788" w:rsidP="00463788">
      <w:pPr>
        <w:jc w:val="right"/>
        <w:rPr>
          <w:rFonts w:cstheme="minorHAnsi"/>
          <w:color w:val="0070C0"/>
          <w:sz w:val="32"/>
          <w:szCs w:val="32"/>
        </w:rPr>
      </w:pPr>
    </w:p>
    <w:p w14:paraId="1EC79195" w14:textId="77777777" w:rsidR="00463788" w:rsidRDefault="00463788" w:rsidP="00463788">
      <w:pPr>
        <w:jc w:val="right"/>
        <w:rPr>
          <w:rFonts w:cstheme="minorHAnsi"/>
          <w:color w:val="0070C0"/>
          <w:sz w:val="32"/>
          <w:szCs w:val="32"/>
        </w:rPr>
      </w:pPr>
    </w:p>
    <w:p w14:paraId="176D1C0C" w14:textId="77777777" w:rsidR="00463788" w:rsidRDefault="00463788" w:rsidP="00463788">
      <w:pPr>
        <w:jc w:val="right"/>
        <w:rPr>
          <w:rFonts w:cstheme="minorHAnsi"/>
          <w:color w:val="0070C0"/>
          <w:sz w:val="32"/>
          <w:szCs w:val="32"/>
        </w:rPr>
      </w:pPr>
    </w:p>
    <w:p w14:paraId="5A55B4EA" w14:textId="77777777" w:rsidR="00463788" w:rsidRDefault="00463788" w:rsidP="00463788">
      <w:pPr>
        <w:jc w:val="right"/>
        <w:rPr>
          <w:rFonts w:cstheme="minorHAnsi"/>
          <w:color w:val="0070C0"/>
          <w:sz w:val="32"/>
          <w:szCs w:val="32"/>
        </w:rPr>
      </w:pPr>
    </w:p>
    <w:p w14:paraId="2F6E222D" w14:textId="77777777" w:rsidR="00463788" w:rsidRDefault="00463788" w:rsidP="00463788">
      <w:pPr>
        <w:jc w:val="right"/>
        <w:rPr>
          <w:rFonts w:cstheme="minorHAnsi"/>
          <w:color w:val="0070C0"/>
          <w:sz w:val="32"/>
          <w:szCs w:val="32"/>
        </w:rPr>
      </w:pPr>
    </w:p>
    <w:p w14:paraId="47B95103" w14:textId="77777777" w:rsidR="00463788" w:rsidRDefault="00463788" w:rsidP="00463788">
      <w:pPr>
        <w:jc w:val="right"/>
        <w:rPr>
          <w:rFonts w:cstheme="minorHAnsi"/>
          <w:color w:val="0070C0"/>
          <w:sz w:val="32"/>
          <w:szCs w:val="32"/>
        </w:rPr>
      </w:pPr>
    </w:p>
    <w:p w14:paraId="54E7147B" w14:textId="77777777" w:rsidR="00463788" w:rsidRDefault="00463788" w:rsidP="00463788">
      <w:pPr>
        <w:jc w:val="right"/>
        <w:rPr>
          <w:rFonts w:cstheme="minorHAnsi"/>
          <w:color w:val="0070C0"/>
          <w:sz w:val="32"/>
          <w:szCs w:val="32"/>
        </w:rPr>
      </w:pPr>
    </w:p>
    <w:p w14:paraId="66576585" w14:textId="77777777" w:rsidR="00463788" w:rsidRDefault="00463788" w:rsidP="00463788">
      <w:pPr>
        <w:jc w:val="right"/>
        <w:rPr>
          <w:rFonts w:cstheme="minorHAnsi"/>
          <w:color w:val="0070C0"/>
          <w:sz w:val="32"/>
          <w:szCs w:val="32"/>
        </w:rPr>
      </w:pPr>
    </w:p>
    <w:p w14:paraId="31DEB2AD" w14:textId="77777777" w:rsidR="00463788" w:rsidRDefault="00463788" w:rsidP="00463788">
      <w:pPr>
        <w:jc w:val="right"/>
        <w:rPr>
          <w:rFonts w:cstheme="minorHAnsi"/>
          <w:color w:val="0070C0"/>
          <w:sz w:val="32"/>
          <w:szCs w:val="32"/>
        </w:rPr>
      </w:pPr>
    </w:p>
    <w:p w14:paraId="4A998EFC" w14:textId="77777777" w:rsidR="00463788" w:rsidRDefault="00463788" w:rsidP="00463788">
      <w:pPr>
        <w:jc w:val="right"/>
        <w:rPr>
          <w:rFonts w:cstheme="minorHAnsi"/>
          <w:color w:val="0070C0"/>
          <w:sz w:val="32"/>
          <w:szCs w:val="32"/>
        </w:rPr>
      </w:pPr>
    </w:p>
    <w:p w14:paraId="56E34ADE" w14:textId="77777777" w:rsidR="00463788" w:rsidRDefault="00463788" w:rsidP="00463788">
      <w:pPr>
        <w:jc w:val="right"/>
        <w:rPr>
          <w:rFonts w:cstheme="minorHAnsi"/>
          <w:color w:val="0070C0"/>
          <w:sz w:val="32"/>
          <w:szCs w:val="32"/>
        </w:rPr>
      </w:pPr>
    </w:p>
    <w:p w14:paraId="2107B910" w14:textId="77777777" w:rsidR="00463788" w:rsidRDefault="00463788" w:rsidP="00E851DA">
      <w:pPr>
        <w:rPr>
          <w:rFonts w:cstheme="minorHAnsi"/>
          <w:color w:val="0070C0"/>
          <w:sz w:val="32"/>
          <w:szCs w:val="32"/>
        </w:rPr>
      </w:pPr>
    </w:p>
    <w:p w14:paraId="0B6F81E4" w14:textId="77777777" w:rsidR="00463788" w:rsidRDefault="00463788" w:rsidP="00463788">
      <w:pPr>
        <w:jc w:val="right"/>
        <w:rPr>
          <w:rFonts w:cstheme="minorHAnsi"/>
          <w:color w:val="0070C0"/>
          <w:sz w:val="32"/>
          <w:szCs w:val="32"/>
        </w:rPr>
      </w:pPr>
    </w:p>
    <w:p w14:paraId="745BE3B0" w14:textId="77777777" w:rsidR="00474100" w:rsidRPr="00474100" w:rsidRDefault="00474100" w:rsidP="00474100">
      <w:pPr>
        <w:rPr>
          <w:rFonts w:cstheme="minorHAnsi"/>
          <w:color w:val="0070C0"/>
          <w:sz w:val="32"/>
          <w:szCs w:val="32"/>
        </w:rPr>
      </w:pPr>
      <w:r w:rsidRPr="00474100">
        <w:rPr>
          <w:rFonts w:cstheme="minorHAnsi"/>
          <w:color w:val="0070C0"/>
          <w:sz w:val="32"/>
          <w:szCs w:val="32"/>
        </w:rPr>
        <w:t>Comprehensive Approach to Addressing NG’s Security Needs</w:t>
      </w:r>
    </w:p>
    <w:p w14:paraId="5F1A604F" w14:textId="5B1067D5" w:rsidR="00474100" w:rsidRPr="00474100" w:rsidRDefault="00474100" w:rsidP="00474100">
      <w:r w:rsidRPr="00474100">
        <w:t>The security of information systems is paramount in today’s interconnected and digital world. Organizations like NatureGarden (NG) face increasing pressures to maintain confidentiality, integrity, and availability (CIA) of their information assets, as their reliance on the internet grows. With a significant online presence and a global customer base, NG needs a robust security framework to mitigate risks associated with cloud services, wireless networks, and Bring Your Own Device (BYOD) policies. This document outlines a comprehensive strategy to address NG’s security needs by focusing on critical elements such as compliance, governance, risk management, protection mechanisms, and contingency planning</w:t>
      </w:r>
      <w:sdt>
        <w:sdtPr>
          <w:id w:val="-1679042670"/>
          <w:citation/>
        </w:sdtPr>
        <w:sdtEndPr/>
        <w:sdtContent>
          <w:r w:rsidR="00476BE5">
            <w:fldChar w:fldCharType="begin"/>
          </w:r>
          <w:r w:rsidR="00476BE5">
            <w:rPr>
              <w:lang w:val="en-US"/>
            </w:rPr>
            <w:instrText xml:space="preserve"> CITATION Gen23 \l 1033 </w:instrText>
          </w:r>
          <w:r w:rsidR="00476BE5">
            <w:fldChar w:fldCharType="separate"/>
          </w:r>
          <w:r w:rsidR="00476BE5">
            <w:rPr>
              <w:noProof/>
              <w:lang w:val="en-US"/>
            </w:rPr>
            <w:t xml:space="preserve"> </w:t>
          </w:r>
          <w:r w:rsidR="00476BE5" w:rsidRPr="00476BE5">
            <w:rPr>
              <w:noProof/>
              <w:lang w:val="en-US"/>
            </w:rPr>
            <w:t>[1]</w:t>
          </w:r>
          <w:r w:rsidR="00476BE5">
            <w:fldChar w:fldCharType="end"/>
          </w:r>
        </w:sdtContent>
      </w:sdt>
      <w:sdt>
        <w:sdtPr>
          <w:id w:val="-2066477746"/>
          <w:citation/>
        </w:sdtPr>
        <w:sdtEndPr/>
        <w:sdtContent>
          <w:r w:rsidR="00476BE5">
            <w:fldChar w:fldCharType="begin"/>
          </w:r>
          <w:r w:rsidR="00476BE5">
            <w:rPr>
              <w:lang w:val="en-US"/>
            </w:rPr>
            <w:instrText xml:space="preserve"> CITATION Bru21 \l 1033 </w:instrText>
          </w:r>
          <w:r w:rsidR="00476BE5">
            <w:fldChar w:fldCharType="separate"/>
          </w:r>
          <w:r w:rsidR="00476BE5">
            <w:rPr>
              <w:noProof/>
              <w:lang w:val="en-US"/>
            </w:rPr>
            <w:t xml:space="preserve"> </w:t>
          </w:r>
          <w:r w:rsidR="00476BE5" w:rsidRPr="00476BE5">
            <w:rPr>
              <w:noProof/>
              <w:lang w:val="en-US"/>
            </w:rPr>
            <w:t>[2]</w:t>
          </w:r>
          <w:r w:rsidR="00476BE5">
            <w:fldChar w:fldCharType="end"/>
          </w:r>
        </w:sdtContent>
      </w:sdt>
      <w:r w:rsidRPr="00474100">
        <w:t>.</w:t>
      </w:r>
    </w:p>
    <w:p w14:paraId="02B08898" w14:textId="14A586A2" w:rsidR="00463788" w:rsidRDefault="00474100" w:rsidP="00474100">
      <w:r w:rsidRPr="00474100">
        <w:t>The company is faced with significant security challenges, especially considering the nature of its operations, including the pressure to allow employees and customers to access company resources through personal devices. Therefore, a detailed, multi-layered security approach is necessary to protect both personal and intellectual data from external and internal threats</w:t>
      </w:r>
      <w:sdt>
        <w:sdtPr>
          <w:id w:val="1658414686"/>
          <w:citation/>
        </w:sdtPr>
        <w:sdtEndPr/>
        <w:sdtContent>
          <w:r w:rsidR="00476BE5">
            <w:fldChar w:fldCharType="begin"/>
          </w:r>
          <w:r w:rsidR="00476BE5">
            <w:rPr>
              <w:lang w:val="en-US"/>
            </w:rPr>
            <w:instrText xml:space="preserve"> CITATION Bru21 \l 1033 </w:instrText>
          </w:r>
          <w:r w:rsidR="00476BE5">
            <w:fldChar w:fldCharType="separate"/>
          </w:r>
          <w:r w:rsidR="00476BE5">
            <w:rPr>
              <w:noProof/>
              <w:lang w:val="en-US"/>
            </w:rPr>
            <w:t xml:space="preserve"> </w:t>
          </w:r>
          <w:r w:rsidR="00476BE5" w:rsidRPr="00476BE5">
            <w:rPr>
              <w:noProof/>
              <w:lang w:val="en-US"/>
            </w:rPr>
            <w:t>[2]</w:t>
          </w:r>
          <w:r w:rsidR="00476BE5">
            <w:fldChar w:fldCharType="end"/>
          </w:r>
        </w:sdtContent>
      </w:sdt>
      <w:r w:rsidRPr="00474100">
        <w:t>.</w:t>
      </w:r>
    </w:p>
    <w:p w14:paraId="468C5411" w14:textId="77777777" w:rsidR="00991293" w:rsidRDefault="00991293" w:rsidP="00474100"/>
    <w:p w14:paraId="63F581DF" w14:textId="1CAE8464" w:rsidR="00991293" w:rsidRPr="00A32DC8" w:rsidRDefault="00E851DA" w:rsidP="006361F0">
      <w:pPr>
        <w:pStyle w:val="Heading2"/>
      </w:pPr>
      <w:bookmarkStart w:id="2" w:name="_Toc183519282"/>
      <w:r>
        <w:t xml:space="preserve">1. </w:t>
      </w:r>
      <w:r w:rsidR="00991293" w:rsidRPr="00A32DC8">
        <w:t>Compliance (Laws and Ethics)</w:t>
      </w:r>
      <w:bookmarkEnd w:id="2"/>
    </w:p>
    <w:p w14:paraId="1B359DBA" w14:textId="2AA0B466" w:rsidR="00991293" w:rsidRDefault="00991293" w:rsidP="005D0D81">
      <w:r w:rsidRPr="00991293">
        <w:t>Compliance is crucial for any organization, particularly in sectors dealing with sensitive data like customer information, intellectual property, and financial records. Compliance entails adhering to relevant laws, industry standards, and ethical norms. For NG, this will require aligning its policies with local and international regulations. As a company that operates globally, NG must comply with regulations across various regions, ensuring customer data privacy and security are safeguarded</w:t>
      </w:r>
      <w:sdt>
        <w:sdtPr>
          <w:id w:val="1201130504"/>
          <w:citation/>
        </w:sdtPr>
        <w:sdtEndPr/>
        <w:sdtContent>
          <w:r w:rsidR="00476BE5">
            <w:fldChar w:fldCharType="begin"/>
          </w:r>
          <w:r w:rsidR="00476BE5">
            <w:rPr>
              <w:lang w:val="en-US"/>
            </w:rPr>
            <w:instrText xml:space="preserve"> CITATION Bru21 \l 1033 </w:instrText>
          </w:r>
          <w:r w:rsidR="00476BE5">
            <w:fldChar w:fldCharType="separate"/>
          </w:r>
          <w:r w:rsidR="00476BE5">
            <w:rPr>
              <w:noProof/>
              <w:lang w:val="en-US"/>
            </w:rPr>
            <w:t xml:space="preserve"> </w:t>
          </w:r>
          <w:r w:rsidR="00476BE5" w:rsidRPr="00476BE5">
            <w:rPr>
              <w:noProof/>
              <w:lang w:val="en-US"/>
            </w:rPr>
            <w:t>[2]</w:t>
          </w:r>
          <w:r w:rsidR="00476BE5">
            <w:fldChar w:fldCharType="end"/>
          </w:r>
        </w:sdtContent>
      </w:sdt>
      <w:r w:rsidRPr="00991293">
        <w:t>.</w:t>
      </w:r>
    </w:p>
    <w:p w14:paraId="678A4D7B" w14:textId="2A8B9AE7" w:rsidR="00991293" w:rsidRPr="001F1E83" w:rsidRDefault="00991293" w:rsidP="00991293">
      <w:pPr>
        <w:rPr>
          <w:b/>
          <w:bCs/>
          <w:i/>
          <w:iCs/>
        </w:rPr>
      </w:pPr>
      <w:r w:rsidRPr="001F1E83">
        <w:rPr>
          <w:b/>
          <w:bCs/>
          <w:i/>
          <w:iCs/>
        </w:rPr>
        <w:t>How to Approach:</w:t>
      </w:r>
    </w:p>
    <w:p w14:paraId="615DD751" w14:textId="3CFACE8E" w:rsidR="00991293" w:rsidRPr="001F1E83" w:rsidRDefault="00991293" w:rsidP="002A7C2C">
      <w:pPr>
        <w:rPr>
          <w:b/>
          <w:bCs/>
        </w:rPr>
      </w:pPr>
      <w:r w:rsidRPr="001F1E83">
        <w:rPr>
          <w:b/>
          <w:bCs/>
        </w:rPr>
        <w:t>Identify Relevant Regulations:</w:t>
      </w:r>
    </w:p>
    <w:p w14:paraId="725A78F1" w14:textId="177D638B" w:rsidR="00991293" w:rsidRDefault="00991293" w:rsidP="005D0D81">
      <w:pPr>
        <w:pStyle w:val="ListParagraph"/>
        <w:numPr>
          <w:ilvl w:val="0"/>
          <w:numId w:val="10"/>
        </w:numPr>
      </w:pPr>
      <w:r w:rsidRPr="00991293">
        <w:t>General Data Protection Regulation (GDPR): NG must ensure that it complies with GDPR regulations to safeguard the personal data of customers in the European Union. This regulation is particularly important as it mandates clear consent protocols for the collection and processing of personal data, ensuring that customers have full control over their data.</w:t>
      </w:r>
    </w:p>
    <w:p w14:paraId="20815AC8" w14:textId="460FE245" w:rsidR="00991293" w:rsidRDefault="00991293" w:rsidP="005D0D81">
      <w:pPr>
        <w:pStyle w:val="ListParagraph"/>
        <w:numPr>
          <w:ilvl w:val="0"/>
          <w:numId w:val="10"/>
        </w:numPr>
      </w:pPr>
      <w:r w:rsidRPr="00991293">
        <w:t>California Consumer Privacy Act (CCPA): For its U.S. customers, NG will need to align its practices with the CCPA, which emphasizes transparency and the rights of consumers to request information on what personal data is collected and how it is used</w:t>
      </w:r>
      <w:sdt>
        <w:sdtPr>
          <w:id w:val="256099324"/>
          <w:citation/>
        </w:sdtPr>
        <w:sdtContent>
          <w:r w:rsidR="00986F02">
            <w:fldChar w:fldCharType="begin"/>
          </w:r>
          <w:r w:rsidR="00986F02">
            <w:rPr>
              <w:lang w:val="en-US"/>
            </w:rPr>
            <w:instrText xml:space="preserve"> CITATION Sri04 \l 1033 </w:instrText>
          </w:r>
          <w:r w:rsidR="00986F02">
            <w:fldChar w:fldCharType="separate"/>
          </w:r>
          <w:r w:rsidR="00986F02">
            <w:rPr>
              <w:noProof/>
              <w:lang w:val="en-US"/>
            </w:rPr>
            <w:t xml:space="preserve"> </w:t>
          </w:r>
          <w:r w:rsidR="00986F02" w:rsidRPr="00986F02">
            <w:rPr>
              <w:noProof/>
              <w:lang w:val="en-US"/>
            </w:rPr>
            <w:t>[3]</w:t>
          </w:r>
          <w:r w:rsidR="00986F02">
            <w:fldChar w:fldCharType="end"/>
          </w:r>
        </w:sdtContent>
      </w:sdt>
      <w:r w:rsidRPr="00991293">
        <w:t>.</w:t>
      </w:r>
    </w:p>
    <w:p w14:paraId="5CBDCC0E" w14:textId="56943ACC" w:rsidR="00991293" w:rsidRDefault="00991293" w:rsidP="005D0D81">
      <w:pPr>
        <w:pStyle w:val="ListParagraph"/>
        <w:numPr>
          <w:ilvl w:val="0"/>
          <w:numId w:val="10"/>
        </w:numPr>
      </w:pPr>
      <w:r w:rsidRPr="00991293">
        <w:t>Industry-Specific Regulations: If NG operates in industries such as finance or healthcare, compliance with Payment Card Industry Data Security Standard (PCI DSS) and Health Insurance Portability and Accountability Act (HIPAA) is essential</w:t>
      </w:r>
      <w:sdt>
        <w:sdtPr>
          <w:id w:val="1162433469"/>
          <w:citation/>
        </w:sdtPr>
        <w:sdtEndPr/>
        <w:sdtContent>
          <w:r w:rsidR="00476BE5">
            <w:fldChar w:fldCharType="begin"/>
          </w:r>
          <w:r w:rsidR="00476BE5">
            <w:rPr>
              <w:lang w:val="en-US"/>
            </w:rPr>
            <w:instrText xml:space="preserve"> CITATION Bru21 \l 1033 </w:instrText>
          </w:r>
          <w:r w:rsidR="00476BE5">
            <w:fldChar w:fldCharType="separate"/>
          </w:r>
          <w:r w:rsidR="00476BE5">
            <w:rPr>
              <w:noProof/>
              <w:lang w:val="en-US"/>
            </w:rPr>
            <w:t xml:space="preserve"> </w:t>
          </w:r>
          <w:r w:rsidR="00476BE5" w:rsidRPr="00476BE5">
            <w:rPr>
              <w:noProof/>
              <w:lang w:val="en-US"/>
            </w:rPr>
            <w:t>[2]</w:t>
          </w:r>
          <w:r w:rsidR="00476BE5">
            <w:fldChar w:fldCharType="end"/>
          </w:r>
        </w:sdtContent>
      </w:sdt>
      <w:r w:rsidRPr="00991293">
        <w:t>.</w:t>
      </w:r>
    </w:p>
    <w:p w14:paraId="6523D9B2" w14:textId="77777777" w:rsidR="002A7C2C" w:rsidRDefault="002A7C2C" w:rsidP="002A7C2C">
      <w:pPr>
        <w:pStyle w:val="ListParagraph"/>
        <w:ind w:left="1080"/>
      </w:pPr>
    </w:p>
    <w:p w14:paraId="15B589E6" w14:textId="77777777" w:rsidR="002A7C2C" w:rsidRDefault="002A7C2C" w:rsidP="002A7C2C">
      <w:pPr>
        <w:pStyle w:val="ListParagraph"/>
        <w:ind w:left="1080"/>
      </w:pPr>
    </w:p>
    <w:p w14:paraId="4362DE89" w14:textId="77777777" w:rsidR="002A7C2C" w:rsidRDefault="002A7C2C" w:rsidP="002A7C2C">
      <w:pPr>
        <w:pStyle w:val="ListParagraph"/>
        <w:ind w:left="1080"/>
      </w:pPr>
    </w:p>
    <w:p w14:paraId="74B1EC03" w14:textId="77777777" w:rsidR="002A7C2C" w:rsidRDefault="002A7C2C" w:rsidP="002A7C2C">
      <w:pPr>
        <w:pStyle w:val="ListParagraph"/>
        <w:ind w:left="1080"/>
      </w:pPr>
    </w:p>
    <w:p w14:paraId="7AA53CE4" w14:textId="77777777" w:rsidR="002A7C2C" w:rsidRDefault="002A7C2C" w:rsidP="002A7C2C">
      <w:pPr>
        <w:pStyle w:val="ListParagraph"/>
        <w:ind w:left="1080"/>
      </w:pPr>
    </w:p>
    <w:p w14:paraId="05CEFFEF" w14:textId="77777777" w:rsidR="002A7C2C" w:rsidRDefault="002A7C2C" w:rsidP="002A7C2C">
      <w:pPr>
        <w:pStyle w:val="ListParagraph"/>
        <w:ind w:left="1080"/>
      </w:pPr>
    </w:p>
    <w:p w14:paraId="2BF3D79C" w14:textId="7EA7E4E1" w:rsidR="00991293" w:rsidRPr="00A32DC8" w:rsidRDefault="002A7C2C" w:rsidP="00A32DC8">
      <w:pPr>
        <w:rPr>
          <w:b/>
          <w:bCs/>
        </w:rPr>
      </w:pPr>
      <w:r w:rsidRPr="00A32DC8">
        <w:rPr>
          <w:b/>
          <w:bCs/>
        </w:rPr>
        <w:t>Establish Continuous Monitoring and Auditing:</w:t>
      </w:r>
    </w:p>
    <w:p w14:paraId="351FD05C" w14:textId="45153244" w:rsidR="00816AFA" w:rsidRDefault="002A7C2C" w:rsidP="005D0D81">
      <w:r w:rsidRPr="002A7C2C">
        <w:t>Periodically review data handling practices and systems to ensure compliance with data protection laws.</w:t>
      </w:r>
      <w:r w:rsidR="0011384C">
        <w:t xml:space="preserve"> </w:t>
      </w:r>
      <w:r w:rsidR="00834A0D" w:rsidRPr="00834A0D">
        <w:t>Implement compliance tracking tools like OneTrust or TrustArc to maintain continuous oversight of data protection processes, ensuring that NG adapts quickly to evolving privacy laws.</w:t>
      </w:r>
      <w:r w:rsidR="0011384C">
        <w:t xml:space="preserve"> </w:t>
      </w:r>
      <w:r w:rsidR="0011384C" w:rsidRPr="0011384C">
        <w:t>Implement compliance tracking tools like OneTrust or TrustArc to maintain continuous oversight of data protection processes, ensuring that NG adapts quickly to evolving privacy laws. These tools provide automated compliance checks, monitoring, and alerts to help NG stay up to date with the latest regulations and best practices for data protection. By regularly reviewing and updating data handling procedures and compliance measures, NG can ensure that sensitive information is properly safeguarded, and that compliance is maintained without introducing unnecessary delays or risks</w:t>
      </w:r>
      <w:sdt>
        <w:sdtPr>
          <w:id w:val="-757125102"/>
          <w:citation/>
        </w:sdtPr>
        <w:sdtEndPr/>
        <w:sdtContent>
          <w:r w:rsidR="00476BE5">
            <w:fldChar w:fldCharType="begin"/>
          </w:r>
          <w:r w:rsidR="00476BE5">
            <w:rPr>
              <w:lang w:val="en-US"/>
            </w:rPr>
            <w:instrText xml:space="preserve"> CITATION Gen23 \l 1033 </w:instrText>
          </w:r>
          <w:r w:rsidR="00476BE5">
            <w:fldChar w:fldCharType="separate"/>
          </w:r>
          <w:r w:rsidR="00476BE5">
            <w:rPr>
              <w:noProof/>
              <w:lang w:val="en-US"/>
            </w:rPr>
            <w:t xml:space="preserve"> </w:t>
          </w:r>
          <w:r w:rsidR="00476BE5" w:rsidRPr="00476BE5">
            <w:rPr>
              <w:noProof/>
              <w:lang w:val="en-US"/>
            </w:rPr>
            <w:t>[1]</w:t>
          </w:r>
          <w:r w:rsidR="00476BE5">
            <w:fldChar w:fldCharType="end"/>
          </w:r>
        </w:sdtContent>
      </w:sdt>
      <w:sdt>
        <w:sdtPr>
          <w:id w:val="-1545592950"/>
          <w:citation/>
        </w:sdtPr>
        <w:sdtContent>
          <w:r w:rsidR="00986F02">
            <w:fldChar w:fldCharType="begin"/>
          </w:r>
          <w:r w:rsidR="00986F02">
            <w:rPr>
              <w:lang w:val="en-US"/>
            </w:rPr>
            <w:instrText xml:space="preserve"> CITATION Sri04 \l 1033 </w:instrText>
          </w:r>
          <w:r w:rsidR="00986F02">
            <w:fldChar w:fldCharType="separate"/>
          </w:r>
          <w:r w:rsidR="00986F02">
            <w:rPr>
              <w:noProof/>
              <w:lang w:val="en-US"/>
            </w:rPr>
            <w:t xml:space="preserve"> </w:t>
          </w:r>
          <w:r w:rsidR="00986F02" w:rsidRPr="00986F02">
            <w:rPr>
              <w:noProof/>
              <w:lang w:val="en-US"/>
            </w:rPr>
            <w:t>[3]</w:t>
          </w:r>
          <w:r w:rsidR="00986F02">
            <w:fldChar w:fldCharType="end"/>
          </w:r>
        </w:sdtContent>
      </w:sdt>
      <w:r w:rsidR="0011384C" w:rsidRPr="0011384C">
        <w:t>.</w:t>
      </w:r>
    </w:p>
    <w:p w14:paraId="468A2275" w14:textId="1C57D604" w:rsidR="00834A0D" w:rsidRPr="00816AFA" w:rsidRDefault="00834A0D" w:rsidP="00816AFA">
      <w:pPr>
        <w:rPr>
          <w:b/>
          <w:bCs/>
        </w:rPr>
      </w:pPr>
      <w:r w:rsidRPr="00816AFA">
        <w:rPr>
          <w:b/>
          <w:bCs/>
        </w:rPr>
        <w:t>Ethical Data Practices:</w:t>
      </w:r>
    </w:p>
    <w:p w14:paraId="1416B77E" w14:textId="052BE8A6" w:rsidR="00834A0D" w:rsidRDefault="00816AFA" w:rsidP="005D0D81">
      <w:pPr>
        <w:pStyle w:val="ListParagraph"/>
        <w:numPr>
          <w:ilvl w:val="0"/>
          <w:numId w:val="10"/>
        </w:numPr>
      </w:pPr>
      <w:r w:rsidRPr="00816AFA">
        <w:t>NG must ensure transparency with users regarding data usage. This includes implementing privacy policies that outline the collection, use, and storage of personal data.</w:t>
      </w:r>
      <w:r w:rsidR="00416485" w:rsidRPr="00416485">
        <w:t xml:space="preserve"> These policies should be easily accessible and written in clear, understandable language. Additionally, NG should provide users with the ability to opt-out of data collection, allow them to access their personal data upon request, and ensure that third-party data sharing practices are clearly disclosed, fostering trust and accountability</w:t>
      </w:r>
      <w:sdt>
        <w:sdtPr>
          <w:id w:val="-709796431"/>
          <w:citation/>
        </w:sdtPr>
        <w:sdtEndPr/>
        <w:sdtContent>
          <w:r w:rsidR="00476BE5">
            <w:fldChar w:fldCharType="begin"/>
          </w:r>
          <w:r w:rsidR="00476BE5">
            <w:rPr>
              <w:lang w:val="en-US"/>
            </w:rPr>
            <w:instrText xml:space="preserve"> CITATION Bru21 \l 1033 </w:instrText>
          </w:r>
          <w:r w:rsidR="00476BE5">
            <w:fldChar w:fldCharType="separate"/>
          </w:r>
          <w:r w:rsidR="00476BE5">
            <w:rPr>
              <w:noProof/>
              <w:lang w:val="en-US"/>
            </w:rPr>
            <w:t xml:space="preserve"> </w:t>
          </w:r>
          <w:r w:rsidR="00476BE5" w:rsidRPr="00476BE5">
            <w:rPr>
              <w:noProof/>
              <w:lang w:val="en-US"/>
            </w:rPr>
            <w:t>[2]</w:t>
          </w:r>
          <w:r w:rsidR="00476BE5">
            <w:fldChar w:fldCharType="end"/>
          </w:r>
        </w:sdtContent>
      </w:sdt>
      <w:r w:rsidR="00416485" w:rsidRPr="00416485">
        <w:t>.</w:t>
      </w:r>
      <w:r w:rsidR="00416485">
        <w:t xml:space="preserve"> </w:t>
      </w:r>
    </w:p>
    <w:p w14:paraId="7534C05E" w14:textId="5A3B400C" w:rsidR="00483664" w:rsidRDefault="00483664" w:rsidP="005D0D81">
      <w:pPr>
        <w:pStyle w:val="ListParagraph"/>
        <w:numPr>
          <w:ilvl w:val="0"/>
          <w:numId w:val="10"/>
        </w:numPr>
      </w:pPr>
      <w:r w:rsidRPr="00483664">
        <w:t>Encourage ethical practices by fostering a culture of privacy and data security among employees, ensuring they handle customer and company data responsibly.</w:t>
      </w:r>
      <w:r w:rsidR="00416485">
        <w:t xml:space="preserve"> </w:t>
      </w:r>
      <w:r w:rsidR="00416485" w:rsidRPr="00416485">
        <w:t>This can be achieved through regular training, clear guidelines, and creating awareness about the importance of data protection. Employees should be educated on the risks associated with improper data handling, and incentivized to follow security protocols, ensuring that data security becomes an integral part of NG’s organizational values and daily operations.</w:t>
      </w:r>
    </w:p>
    <w:p w14:paraId="556B93FD" w14:textId="54DC26BF" w:rsidR="00483664" w:rsidRPr="00D1389B" w:rsidRDefault="00D1389B" w:rsidP="00483664">
      <w:pPr>
        <w:rPr>
          <w:b/>
          <w:bCs/>
        </w:rPr>
      </w:pPr>
      <w:r w:rsidRPr="00D1389B">
        <w:rPr>
          <w:b/>
          <w:bCs/>
        </w:rPr>
        <w:t>Practical Examples:</w:t>
      </w:r>
    </w:p>
    <w:p w14:paraId="25C4B992" w14:textId="50368220" w:rsidR="00D1389B" w:rsidRDefault="00D1389B" w:rsidP="00416485">
      <w:pPr>
        <w:pStyle w:val="ListParagraph"/>
        <w:numPr>
          <w:ilvl w:val="0"/>
          <w:numId w:val="10"/>
        </w:numPr>
      </w:pPr>
      <w:r w:rsidRPr="00D1389B">
        <w:t>Automated Privacy Impact Assessments (PIA): Tools like OneTrust or Nymity can automate the process of assessing the impact of new projects on data privacy, helping NG maintain compliance with regulations.</w:t>
      </w:r>
      <w:r w:rsidR="00B70A5C">
        <w:t xml:space="preserve"> </w:t>
      </w:r>
      <w:r w:rsidR="00B70A5C" w:rsidRPr="00B70A5C">
        <w:t>These tools streamline the assessment process by identifying potential privacy risks early in the project lifecycle. By automating the PIA, NG can ensure consistent, timely evaluations, allowing for proactive adjustments to safeguard data privacy. Additionally, the tools generate comprehensive reports to facilitate internal audits and demonstrate compliance during regulatory reviews, reducing the risk of non-compliance</w:t>
      </w:r>
      <w:sdt>
        <w:sdtPr>
          <w:id w:val="-168566008"/>
          <w:citation/>
        </w:sdtPr>
        <w:sdtEndPr/>
        <w:sdtContent>
          <w:r w:rsidR="00476BE5">
            <w:fldChar w:fldCharType="begin"/>
          </w:r>
          <w:r w:rsidR="00476BE5">
            <w:rPr>
              <w:lang w:val="en-US"/>
            </w:rPr>
            <w:instrText xml:space="preserve"> CITATION Bru21 \l 1033 </w:instrText>
          </w:r>
          <w:r w:rsidR="00476BE5">
            <w:fldChar w:fldCharType="separate"/>
          </w:r>
          <w:r w:rsidR="00476BE5">
            <w:rPr>
              <w:noProof/>
              <w:lang w:val="en-US"/>
            </w:rPr>
            <w:t xml:space="preserve"> </w:t>
          </w:r>
          <w:r w:rsidR="00476BE5" w:rsidRPr="00476BE5">
            <w:rPr>
              <w:noProof/>
              <w:lang w:val="en-US"/>
            </w:rPr>
            <w:t>[2]</w:t>
          </w:r>
          <w:r w:rsidR="00476BE5">
            <w:fldChar w:fldCharType="end"/>
          </w:r>
        </w:sdtContent>
      </w:sdt>
      <w:r w:rsidR="00B70A5C" w:rsidRPr="00B70A5C">
        <w:t>.</w:t>
      </w:r>
    </w:p>
    <w:p w14:paraId="1B6F4295" w14:textId="77777777" w:rsidR="00B70A5C" w:rsidRDefault="00B70A5C" w:rsidP="00B70A5C"/>
    <w:p w14:paraId="2EC72226" w14:textId="77777777" w:rsidR="00B70A5C" w:rsidRDefault="00B70A5C" w:rsidP="00B70A5C"/>
    <w:p w14:paraId="30B40B54" w14:textId="454310FB" w:rsidR="00416485" w:rsidRDefault="00047471" w:rsidP="00416485">
      <w:pPr>
        <w:pStyle w:val="ListParagraph"/>
        <w:numPr>
          <w:ilvl w:val="0"/>
          <w:numId w:val="10"/>
        </w:numPr>
      </w:pPr>
      <w:r w:rsidRPr="00047471">
        <w:lastRenderedPageBreak/>
        <w:t>Privacy by Design: NG should adopt a "Privacy by Design" approach, ensuring privacy controls are embedded in all systems from the outset rather than as an afterthought.</w:t>
      </w:r>
      <w:r w:rsidR="00B70A5C" w:rsidRPr="00B70A5C">
        <w:t xml:space="preserve"> </w:t>
      </w:r>
      <w:r w:rsidR="00B70A5C">
        <w:t>These tools streamline the assessment process by identifying potential privacy risks early in the project lifecycle. By automating the PIA, NG can ensure consistent, timely evaluations, allowing for proactive adjustments to safeguard data privacy. Additionally, the tools generate comprehensive reports to facilitate internal audits and demonstrate compliance during regulatory reviews, reducing the risk of non-compliance</w:t>
      </w:r>
      <w:sdt>
        <w:sdtPr>
          <w:id w:val="-903986101"/>
          <w:citation/>
        </w:sdtPr>
        <w:sdtEndPr/>
        <w:sdtContent>
          <w:r w:rsidR="00476BE5">
            <w:fldChar w:fldCharType="begin"/>
          </w:r>
          <w:r w:rsidR="00476BE5">
            <w:rPr>
              <w:lang w:val="en-US"/>
            </w:rPr>
            <w:instrText xml:space="preserve"> CITATION Gen23 \l 1033 </w:instrText>
          </w:r>
          <w:r w:rsidR="00476BE5">
            <w:fldChar w:fldCharType="separate"/>
          </w:r>
          <w:r w:rsidR="00476BE5">
            <w:rPr>
              <w:noProof/>
              <w:lang w:val="en-US"/>
            </w:rPr>
            <w:t xml:space="preserve"> </w:t>
          </w:r>
          <w:r w:rsidR="00476BE5" w:rsidRPr="00476BE5">
            <w:rPr>
              <w:noProof/>
              <w:lang w:val="en-US"/>
            </w:rPr>
            <w:t>[1]</w:t>
          </w:r>
          <w:r w:rsidR="00476BE5">
            <w:fldChar w:fldCharType="end"/>
          </w:r>
        </w:sdtContent>
      </w:sdt>
      <w:sdt>
        <w:sdtPr>
          <w:id w:val="1181087255"/>
          <w:citation/>
        </w:sdtPr>
        <w:sdtContent>
          <w:r w:rsidR="00986F02">
            <w:fldChar w:fldCharType="begin"/>
          </w:r>
          <w:r w:rsidR="00986F02">
            <w:rPr>
              <w:lang w:val="en-US"/>
            </w:rPr>
            <w:instrText xml:space="preserve"> CITATION Sri04 \l 1033 </w:instrText>
          </w:r>
          <w:r w:rsidR="00986F02">
            <w:fldChar w:fldCharType="separate"/>
          </w:r>
          <w:r w:rsidR="00986F02">
            <w:rPr>
              <w:noProof/>
              <w:lang w:val="en-US"/>
            </w:rPr>
            <w:t xml:space="preserve"> </w:t>
          </w:r>
          <w:r w:rsidR="00986F02" w:rsidRPr="00986F02">
            <w:rPr>
              <w:noProof/>
              <w:lang w:val="en-US"/>
            </w:rPr>
            <w:t>[3]</w:t>
          </w:r>
          <w:r w:rsidR="00986F02">
            <w:fldChar w:fldCharType="end"/>
          </w:r>
        </w:sdtContent>
      </w:sdt>
      <w:sdt>
        <w:sdtPr>
          <w:id w:val="1802112037"/>
          <w:citation/>
        </w:sdtPr>
        <w:sdtContent>
          <w:r w:rsidR="00986F02">
            <w:fldChar w:fldCharType="begin"/>
          </w:r>
          <w:r w:rsidR="00986F02">
            <w:rPr>
              <w:lang w:val="en-US"/>
            </w:rPr>
            <w:instrText xml:space="preserve"> CITATION All13 \l 1033 </w:instrText>
          </w:r>
          <w:r w:rsidR="00986F02">
            <w:fldChar w:fldCharType="separate"/>
          </w:r>
          <w:r w:rsidR="00986F02">
            <w:rPr>
              <w:noProof/>
              <w:lang w:val="en-US"/>
            </w:rPr>
            <w:t xml:space="preserve"> </w:t>
          </w:r>
          <w:r w:rsidR="00986F02" w:rsidRPr="00986F02">
            <w:rPr>
              <w:noProof/>
              <w:lang w:val="en-US"/>
            </w:rPr>
            <w:t>[4]</w:t>
          </w:r>
          <w:r w:rsidR="00986F02">
            <w:fldChar w:fldCharType="end"/>
          </w:r>
        </w:sdtContent>
      </w:sdt>
      <w:r w:rsidR="00B70A5C">
        <w:t>.</w:t>
      </w:r>
    </w:p>
    <w:p w14:paraId="429BCD27" w14:textId="3A6BD71C" w:rsidR="00047471" w:rsidRPr="00416485" w:rsidRDefault="00EB62FC" w:rsidP="00047471">
      <w:pPr>
        <w:rPr>
          <w:b/>
          <w:bCs/>
        </w:rPr>
      </w:pPr>
      <w:r w:rsidRPr="00416485">
        <w:rPr>
          <w:b/>
          <w:bCs/>
        </w:rPr>
        <w:t>Compliance Monitoring Framework</w:t>
      </w:r>
    </w:p>
    <w:p w14:paraId="5D03148C" w14:textId="5C98DC3A" w:rsidR="00EB62FC" w:rsidRDefault="00EB62FC" w:rsidP="00047471">
      <w:r>
        <w:rPr>
          <w:noProof/>
        </w:rPr>
        <w:drawing>
          <wp:inline distT="0" distB="0" distL="0" distR="0" wp14:anchorId="6F458B23" wp14:editId="0C4E8887">
            <wp:extent cx="5731510" cy="1473200"/>
            <wp:effectExtent l="0" t="0" r="2540" b="0"/>
            <wp:docPr id="40088106"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88106" name="Picture 1" descr="A screenshot of a computer screen&#10;&#10;Description automatically generated"/>
                    <pic:cNvPicPr/>
                  </pic:nvPicPr>
                  <pic:blipFill>
                    <a:blip r:embed="rId9"/>
                    <a:stretch>
                      <a:fillRect/>
                    </a:stretch>
                  </pic:blipFill>
                  <pic:spPr>
                    <a:xfrm>
                      <a:off x="0" y="0"/>
                      <a:ext cx="5731510" cy="1473200"/>
                    </a:xfrm>
                    <a:prstGeom prst="rect">
                      <a:avLst/>
                    </a:prstGeom>
                  </pic:spPr>
                </pic:pic>
              </a:graphicData>
            </a:graphic>
          </wp:inline>
        </w:drawing>
      </w:r>
    </w:p>
    <w:p w14:paraId="4A7C6AFC" w14:textId="32C08436" w:rsidR="0033222E" w:rsidRDefault="0033222E" w:rsidP="004C20D8">
      <w:pPr>
        <w:pStyle w:val="Caption"/>
      </w:pPr>
      <w:bookmarkStart w:id="3" w:name="_Toc183519227"/>
      <w:r>
        <w:t xml:space="preserve">Figure </w:t>
      </w:r>
      <w:fldSimple w:instr=" SEQ Figure \* ARABIC ">
        <w:r w:rsidR="00FC74FF">
          <w:rPr>
            <w:noProof/>
          </w:rPr>
          <w:t>1</w:t>
        </w:r>
      </w:fldSimple>
      <w:r>
        <w:t xml:space="preserve"> Compliance Framework</w:t>
      </w:r>
      <w:bookmarkEnd w:id="3"/>
    </w:p>
    <w:p w14:paraId="4C26B096" w14:textId="79E78D84" w:rsidR="00EB62FC" w:rsidRDefault="006361F0" w:rsidP="0033222E">
      <w:pPr>
        <w:pStyle w:val="Heading2"/>
      </w:pPr>
      <w:bookmarkStart w:id="4" w:name="_Toc183519283"/>
      <w:r>
        <w:t>2. Governance and Strategic Planning for Security</w:t>
      </w:r>
      <w:bookmarkEnd w:id="4"/>
    </w:p>
    <w:p w14:paraId="69EA376D" w14:textId="69DF68BD" w:rsidR="006361F0" w:rsidRDefault="0033222E" w:rsidP="00047471">
      <w:r w:rsidRPr="0033222E">
        <w:t>Strong governance in cybersecurity helps to ensure that security measures are aligned with the overall goals of the organization. By developing a robust security governance framework, NG can ensure that its strategies are adaptive and responsive to emerging risks and technological advancements.</w:t>
      </w:r>
    </w:p>
    <w:p w14:paraId="2A2F94C6" w14:textId="77777777" w:rsidR="006C368E" w:rsidRPr="001F1E83" w:rsidRDefault="006C368E" w:rsidP="006C368E">
      <w:pPr>
        <w:rPr>
          <w:b/>
          <w:bCs/>
          <w:i/>
          <w:iCs/>
        </w:rPr>
      </w:pPr>
      <w:r w:rsidRPr="001F1E83">
        <w:rPr>
          <w:b/>
          <w:bCs/>
          <w:i/>
          <w:iCs/>
        </w:rPr>
        <w:t>How to Approach:</w:t>
      </w:r>
    </w:p>
    <w:p w14:paraId="24D56926" w14:textId="1A239706" w:rsidR="006C368E" w:rsidRPr="001F1E83" w:rsidRDefault="006C368E" w:rsidP="00047471">
      <w:pPr>
        <w:rPr>
          <w:b/>
          <w:bCs/>
        </w:rPr>
      </w:pPr>
      <w:r w:rsidRPr="001F1E83">
        <w:rPr>
          <w:b/>
          <w:bCs/>
        </w:rPr>
        <w:t>Establish a Cybersecurity Governance Board:</w:t>
      </w:r>
    </w:p>
    <w:p w14:paraId="6DB768D8" w14:textId="084467F8" w:rsidR="005D0D81" w:rsidRDefault="006C368E" w:rsidP="005D0D81">
      <w:pPr>
        <w:pStyle w:val="ListParagraph"/>
        <w:numPr>
          <w:ilvl w:val="0"/>
          <w:numId w:val="9"/>
        </w:numPr>
      </w:pPr>
      <w:r w:rsidRPr="006C368E">
        <w:t>Create a Cybersecurity Governance Board composed of senior management, security experts, and department heads to oversee security strategy. This group would be responsible for aligning security objectives with business goals and ensuring that security resources are allocated effectively.</w:t>
      </w:r>
      <w:r w:rsidR="005D0D81">
        <w:t xml:space="preserve"> </w:t>
      </w:r>
      <w:r w:rsidR="005D0D81" w:rsidRPr="005D0D81">
        <w:t>The board should meet regularly to review security policies, assess risk management efforts, and ensure compliance with regulations. By having cross-departmental involvement, the board can promote a culture of security awareness across all levels of the organization and ensure that security priorities are integrated into the company’s strategic initiatives</w:t>
      </w:r>
      <w:sdt>
        <w:sdtPr>
          <w:id w:val="1512945839"/>
          <w:citation/>
        </w:sdtPr>
        <w:sdtEndPr/>
        <w:sdtContent>
          <w:r w:rsidR="00476BE5">
            <w:fldChar w:fldCharType="begin"/>
          </w:r>
          <w:r w:rsidR="00476BE5">
            <w:rPr>
              <w:lang w:val="en-US"/>
            </w:rPr>
            <w:instrText xml:space="preserve"> CITATION Bru21 \l 1033 </w:instrText>
          </w:r>
          <w:r w:rsidR="00476BE5">
            <w:fldChar w:fldCharType="separate"/>
          </w:r>
          <w:r w:rsidR="00476BE5">
            <w:rPr>
              <w:noProof/>
              <w:lang w:val="en-US"/>
            </w:rPr>
            <w:t xml:space="preserve"> </w:t>
          </w:r>
          <w:r w:rsidR="00476BE5" w:rsidRPr="00476BE5">
            <w:rPr>
              <w:noProof/>
              <w:lang w:val="en-US"/>
            </w:rPr>
            <w:t>[2]</w:t>
          </w:r>
          <w:r w:rsidR="00476BE5">
            <w:fldChar w:fldCharType="end"/>
          </w:r>
        </w:sdtContent>
      </w:sdt>
      <w:r w:rsidR="005D0D81" w:rsidRPr="005D0D81">
        <w:t>.</w:t>
      </w:r>
    </w:p>
    <w:p w14:paraId="5AACFF9B" w14:textId="75304A48" w:rsidR="006C368E" w:rsidRDefault="00BD261F" w:rsidP="005D0D81">
      <w:pPr>
        <w:pStyle w:val="ListParagraph"/>
        <w:numPr>
          <w:ilvl w:val="0"/>
          <w:numId w:val="9"/>
        </w:numPr>
      </w:pPr>
      <w:r w:rsidRPr="00BD261F">
        <w:t>Use frameworks like COBIT to bridge the gap between IT and business strategies, ensuring that security investments align with the company’s long-term vision.</w:t>
      </w:r>
      <w:r w:rsidR="005D0D81">
        <w:t xml:space="preserve"> </w:t>
      </w:r>
      <w:r w:rsidR="005D0D81" w:rsidRPr="005D0D81">
        <w:t>COBIT provides a comprehensive framework for aligning IT processes with business objectives. By using COBIT, NG can ensure that security initiatives are not only technically sound but also directly support business goals, helping to drive value from security investments. This approach improves decision-making, enhances resource allocation, and ensures a cohesive strategy between IT and business leaders</w:t>
      </w:r>
      <w:sdt>
        <w:sdtPr>
          <w:id w:val="-844563271"/>
          <w:citation/>
        </w:sdtPr>
        <w:sdtEndPr/>
        <w:sdtContent>
          <w:r w:rsidR="00476BE5">
            <w:fldChar w:fldCharType="begin"/>
          </w:r>
          <w:r w:rsidR="00476BE5">
            <w:rPr>
              <w:lang w:val="en-US"/>
            </w:rPr>
            <w:instrText xml:space="preserve"> CITATION Gen23 \l 1033 </w:instrText>
          </w:r>
          <w:r w:rsidR="00476BE5">
            <w:fldChar w:fldCharType="separate"/>
          </w:r>
          <w:r w:rsidR="00476BE5">
            <w:rPr>
              <w:noProof/>
              <w:lang w:val="en-US"/>
            </w:rPr>
            <w:t xml:space="preserve"> </w:t>
          </w:r>
          <w:r w:rsidR="00476BE5" w:rsidRPr="00476BE5">
            <w:rPr>
              <w:noProof/>
              <w:lang w:val="en-US"/>
            </w:rPr>
            <w:t>[1]</w:t>
          </w:r>
          <w:r w:rsidR="00476BE5">
            <w:fldChar w:fldCharType="end"/>
          </w:r>
        </w:sdtContent>
      </w:sdt>
      <w:r w:rsidR="005D0D81" w:rsidRPr="005D0D81">
        <w:t>.</w:t>
      </w:r>
    </w:p>
    <w:p w14:paraId="4EDF9CED" w14:textId="32FBD396" w:rsidR="00BD261F" w:rsidRPr="00934A8C" w:rsidRDefault="00934A8C" w:rsidP="00934A8C">
      <w:pPr>
        <w:rPr>
          <w:b/>
          <w:bCs/>
        </w:rPr>
      </w:pPr>
      <w:r w:rsidRPr="00934A8C">
        <w:rPr>
          <w:b/>
          <w:bCs/>
        </w:rPr>
        <w:lastRenderedPageBreak/>
        <w:t>Develop a Security Strategy and Roadmap:</w:t>
      </w:r>
    </w:p>
    <w:p w14:paraId="13686EC1" w14:textId="4D6BAB22" w:rsidR="00934A8C" w:rsidRDefault="00934A8C" w:rsidP="00934A8C">
      <w:pPr>
        <w:pStyle w:val="ListParagraph"/>
        <w:numPr>
          <w:ilvl w:val="0"/>
          <w:numId w:val="7"/>
        </w:numPr>
      </w:pPr>
      <w:r w:rsidRPr="00934A8C">
        <w:t>NG should develop a Cybersecurity Roadmap that outlines key initiatives and security milestones for the next 3-5 years. The roadmap should include investments in security technologies, employee training, and compliance upgrades.</w:t>
      </w:r>
      <w:r w:rsidR="006262E3">
        <w:t xml:space="preserve"> </w:t>
      </w:r>
      <w:r w:rsidR="006262E3" w:rsidRPr="006262E3">
        <w:t>This strategic plan should prioritize critical security initiatives based on emerging threats, budget considerations, and regulatory requirements. It will guide NG’s cybersecurity efforts, ensuring that resources are allocated efficiently to enhance protection, address skill gaps through training programs, and ensure the organization remains compliant with evolving data protection laws. The roadmap should be reviewed annually for updates</w:t>
      </w:r>
      <w:sdt>
        <w:sdtPr>
          <w:id w:val="1126422181"/>
          <w:citation/>
        </w:sdtPr>
        <w:sdtEndPr/>
        <w:sdtContent>
          <w:r w:rsidR="00476BE5">
            <w:fldChar w:fldCharType="begin"/>
          </w:r>
          <w:r w:rsidR="00476BE5">
            <w:rPr>
              <w:lang w:val="en-US"/>
            </w:rPr>
            <w:instrText xml:space="preserve"> CITATION Bru21 \l 1033 </w:instrText>
          </w:r>
          <w:r w:rsidR="00476BE5">
            <w:fldChar w:fldCharType="separate"/>
          </w:r>
          <w:r w:rsidR="00476BE5">
            <w:rPr>
              <w:noProof/>
              <w:lang w:val="en-US"/>
            </w:rPr>
            <w:t xml:space="preserve"> </w:t>
          </w:r>
          <w:r w:rsidR="00476BE5" w:rsidRPr="00476BE5">
            <w:rPr>
              <w:noProof/>
              <w:lang w:val="en-US"/>
            </w:rPr>
            <w:t>[2]</w:t>
          </w:r>
          <w:r w:rsidR="00476BE5">
            <w:fldChar w:fldCharType="end"/>
          </w:r>
        </w:sdtContent>
      </w:sdt>
      <w:r w:rsidR="006262E3" w:rsidRPr="006262E3">
        <w:t>.</w:t>
      </w:r>
    </w:p>
    <w:p w14:paraId="43FCA640" w14:textId="0E1F8B47" w:rsidR="00C47109" w:rsidRDefault="00C47109" w:rsidP="00934A8C">
      <w:pPr>
        <w:pStyle w:val="ListParagraph"/>
        <w:numPr>
          <w:ilvl w:val="0"/>
          <w:numId w:val="7"/>
        </w:numPr>
      </w:pPr>
      <w:r w:rsidRPr="00C47109">
        <w:t>Regular security reviews and risk assessments should be performed to adapt the strategy based on the evolving threat landscape.</w:t>
      </w:r>
      <w:r w:rsidR="006262E3">
        <w:t xml:space="preserve"> </w:t>
      </w:r>
      <w:r w:rsidR="006262E3" w:rsidRPr="006262E3">
        <w:t>These reviews should assess both internal and external security risks, considering new vulnerabilities, attack methods, and regulatory changes. By conducting these assessments regularly, NG can identify weaknesses, update security policies, and refine defence mechanisms to stay ahead of emerging threats, ensuring continuous protection for their systems and data</w:t>
      </w:r>
      <w:sdt>
        <w:sdtPr>
          <w:id w:val="-454715950"/>
          <w:citation/>
        </w:sdtPr>
        <w:sdtContent>
          <w:r w:rsidR="00986F02">
            <w:fldChar w:fldCharType="begin"/>
          </w:r>
          <w:r w:rsidR="00986F02">
            <w:rPr>
              <w:lang w:val="en-US"/>
            </w:rPr>
            <w:instrText xml:space="preserve"> CITATION All13 \l 1033 </w:instrText>
          </w:r>
          <w:r w:rsidR="00986F02">
            <w:fldChar w:fldCharType="separate"/>
          </w:r>
          <w:r w:rsidR="00986F02">
            <w:rPr>
              <w:noProof/>
              <w:lang w:val="en-US"/>
            </w:rPr>
            <w:t xml:space="preserve"> </w:t>
          </w:r>
          <w:r w:rsidR="00986F02" w:rsidRPr="00986F02">
            <w:rPr>
              <w:noProof/>
              <w:lang w:val="en-US"/>
            </w:rPr>
            <w:t>[4]</w:t>
          </w:r>
          <w:r w:rsidR="00986F02">
            <w:fldChar w:fldCharType="end"/>
          </w:r>
        </w:sdtContent>
      </w:sdt>
      <w:r w:rsidR="006262E3" w:rsidRPr="006262E3">
        <w:t>.</w:t>
      </w:r>
    </w:p>
    <w:p w14:paraId="669EDDEE" w14:textId="399046C9" w:rsidR="00C47109" w:rsidRPr="00710183" w:rsidRDefault="00710183" w:rsidP="00C47109">
      <w:pPr>
        <w:rPr>
          <w:b/>
          <w:bCs/>
        </w:rPr>
      </w:pPr>
      <w:r w:rsidRPr="00710183">
        <w:rPr>
          <w:b/>
          <w:bCs/>
        </w:rPr>
        <w:t>Define Roles and Responsibilities:</w:t>
      </w:r>
    </w:p>
    <w:p w14:paraId="46BAAF28" w14:textId="4384B4B8" w:rsidR="00710183" w:rsidRDefault="00710183" w:rsidP="00710183">
      <w:pPr>
        <w:pStyle w:val="ListParagraph"/>
        <w:numPr>
          <w:ilvl w:val="0"/>
          <w:numId w:val="7"/>
        </w:numPr>
      </w:pPr>
      <w:r w:rsidRPr="00710183">
        <w:t>Designate a Chief Information Security Officer (CISO) to lead all cybersecurity-related efforts. The CISO would work closely with IT, legal, and compliance departments to ensure that NG’s security posture remains strong and proactive.</w:t>
      </w:r>
      <w:r w:rsidR="006262E3" w:rsidRPr="006262E3">
        <w:t xml:space="preserve"> The CISO should also play a key role in developing security strategies, overseeing risk management initiatives, and ensuring alignment with business goals. By fostering collaboration across departments, the CISO can help NG implement effective security measures, stay ahead of threats, and ensure compliance with industry regulations, ultimately protecting the organization’s data and reputation</w:t>
      </w:r>
      <w:sdt>
        <w:sdtPr>
          <w:id w:val="1976941840"/>
          <w:citation/>
        </w:sdtPr>
        <w:sdtEndPr/>
        <w:sdtContent>
          <w:r w:rsidR="00476BE5">
            <w:fldChar w:fldCharType="begin"/>
          </w:r>
          <w:r w:rsidR="00476BE5">
            <w:rPr>
              <w:lang w:val="en-US"/>
            </w:rPr>
            <w:instrText xml:space="preserve"> CITATION Bru21 \l 1033 </w:instrText>
          </w:r>
          <w:r w:rsidR="00476BE5">
            <w:fldChar w:fldCharType="separate"/>
          </w:r>
          <w:r w:rsidR="00476BE5">
            <w:rPr>
              <w:noProof/>
              <w:lang w:val="en-US"/>
            </w:rPr>
            <w:t xml:space="preserve"> </w:t>
          </w:r>
          <w:r w:rsidR="00476BE5" w:rsidRPr="00476BE5">
            <w:rPr>
              <w:noProof/>
              <w:lang w:val="en-US"/>
            </w:rPr>
            <w:t>[2]</w:t>
          </w:r>
          <w:r w:rsidR="00476BE5">
            <w:fldChar w:fldCharType="end"/>
          </w:r>
        </w:sdtContent>
      </w:sdt>
      <w:sdt>
        <w:sdtPr>
          <w:id w:val="-1779709945"/>
          <w:citation/>
        </w:sdtPr>
        <w:sdtContent>
          <w:r w:rsidR="00143B3B">
            <w:fldChar w:fldCharType="begin"/>
          </w:r>
          <w:r w:rsidR="00143B3B">
            <w:rPr>
              <w:lang w:val="en-US"/>
            </w:rPr>
            <w:instrText xml:space="preserve"> CITATION All13 \l 1033 </w:instrText>
          </w:r>
          <w:r w:rsidR="00143B3B">
            <w:fldChar w:fldCharType="separate"/>
          </w:r>
          <w:r w:rsidR="00143B3B">
            <w:rPr>
              <w:noProof/>
              <w:lang w:val="en-US"/>
            </w:rPr>
            <w:t xml:space="preserve"> </w:t>
          </w:r>
          <w:r w:rsidR="00143B3B" w:rsidRPr="00143B3B">
            <w:rPr>
              <w:noProof/>
              <w:lang w:val="en-US"/>
            </w:rPr>
            <w:t>[4]</w:t>
          </w:r>
          <w:r w:rsidR="00143B3B">
            <w:fldChar w:fldCharType="end"/>
          </w:r>
        </w:sdtContent>
      </w:sdt>
      <w:r w:rsidR="006262E3" w:rsidRPr="006262E3">
        <w:t>.</w:t>
      </w:r>
    </w:p>
    <w:p w14:paraId="6E3AA32E" w14:textId="41ED32A7" w:rsidR="00710183" w:rsidRDefault="00710183" w:rsidP="00710183">
      <w:pPr>
        <w:pStyle w:val="ListParagraph"/>
        <w:numPr>
          <w:ilvl w:val="0"/>
          <w:numId w:val="7"/>
        </w:numPr>
      </w:pPr>
      <w:r w:rsidRPr="00710183">
        <w:t>Assign specific security responsibilities to department heads to foster a shared sense of accountability for organizational security.</w:t>
      </w:r>
      <w:r w:rsidR="006262E3">
        <w:t xml:space="preserve"> </w:t>
      </w:r>
      <w:r w:rsidR="006262E3" w:rsidRPr="006262E3">
        <w:t>By designating clear security roles, each department head becomes directly responsible for ensuring the security of their area, whether it’s data management, network protection, or user access control. This approach encourages a culture of collective responsibility, where security is prioritized at all levels, leading to more comprehensive and proactive defence strategies. Regular cross-departmental meetings can ensure alignment and facilitate the sharing of best practices</w:t>
      </w:r>
      <w:sdt>
        <w:sdtPr>
          <w:id w:val="-392123375"/>
          <w:citation/>
        </w:sdtPr>
        <w:sdtEndPr/>
        <w:sdtContent>
          <w:r w:rsidR="00476BE5">
            <w:fldChar w:fldCharType="begin"/>
          </w:r>
          <w:r w:rsidR="00476BE5">
            <w:rPr>
              <w:lang w:val="en-US"/>
            </w:rPr>
            <w:instrText xml:space="preserve"> CITATION Gen23 \l 1033 </w:instrText>
          </w:r>
          <w:r w:rsidR="00476BE5">
            <w:fldChar w:fldCharType="separate"/>
          </w:r>
          <w:r w:rsidR="00476BE5">
            <w:rPr>
              <w:noProof/>
              <w:lang w:val="en-US"/>
            </w:rPr>
            <w:t xml:space="preserve"> </w:t>
          </w:r>
          <w:r w:rsidR="00476BE5" w:rsidRPr="00476BE5">
            <w:rPr>
              <w:noProof/>
              <w:lang w:val="en-US"/>
            </w:rPr>
            <w:t>[1]</w:t>
          </w:r>
          <w:r w:rsidR="00476BE5">
            <w:fldChar w:fldCharType="end"/>
          </w:r>
        </w:sdtContent>
      </w:sdt>
      <w:r w:rsidR="006262E3" w:rsidRPr="006262E3">
        <w:t>.</w:t>
      </w:r>
    </w:p>
    <w:p w14:paraId="74BBEFDE" w14:textId="77777777" w:rsidR="006262E3" w:rsidRDefault="006262E3" w:rsidP="006262E3"/>
    <w:p w14:paraId="5FA26F3B" w14:textId="77777777" w:rsidR="006262E3" w:rsidRDefault="006262E3" w:rsidP="006262E3"/>
    <w:p w14:paraId="021610ED" w14:textId="77777777" w:rsidR="006262E3" w:rsidRDefault="006262E3" w:rsidP="006262E3"/>
    <w:p w14:paraId="02BF4F63" w14:textId="77777777" w:rsidR="006262E3" w:rsidRDefault="006262E3" w:rsidP="006262E3"/>
    <w:p w14:paraId="6349D236" w14:textId="77777777" w:rsidR="006262E3" w:rsidRDefault="006262E3" w:rsidP="006262E3"/>
    <w:p w14:paraId="33C12D0D" w14:textId="77777777" w:rsidR="006262E3" w:rsidRDefault="006262E3" w:rsidP="006262E3"/>
    <w:p w14:paraId="725A1D64" w14:textId="77777777" w:rsidR="006262E3" w:rsidRDefault="006262E3" w:rsidP="006262E3"/>
    <w:p w14:paraId="24E287BF" w14:textId="5FEEDC43" w:rsidR="00710183" w:rsidRPr="005E62FF" w:rsidRDefault="005E62FF" w:rsidP="00710183">
      <w:pPr>
        <w:rPr>
          <w:b/>
          <w:bCs/>
        </w:rPr>
      </w:pPr>
      <w:r w:rsidRPr="005E62FF">
        <w:rPr>
          <w:b/>
          <w:bCs/>
        </w:rPr>
        <w:lastRenderedPageBreak/>
        <w:t>Example of Cybersecurity Governance Framework:</w:t>
      </w:r>
    </w:p>
    <w:p w14:paraId="28331AE0" w14:textId="4B0CFB69" w:rsidR="005E62FF" w:rsidRDefault="005E62FF" w:rsidP="00710183">
      <w:r>
        <w:rPr>
          <w:noProof/>
        </w:rPr>
        <w:drawing>
          <wp:inline distT="0" distB="0" distL="0" distR="0" wp14:anchorId="4C15DAB6" wp14:editId="43804878">
            <wp:extent cx="5731510" cy="1382395"/>
            <wp:effectExtent l="0" t="0" r="2540" b="8255"/>
            <wp:docPr id="12983912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39124" name="Picture 1" descr="A screenshot of a computer&#10;&#10;Description automatically generated"/>
                    <pic:cNvPicPr/>
                  </pic:nvPicPr>
                  <pic:blipFill>
                    <a:blip r:embed="rId10"/>
                    <a:stretch>
                      <a:fillRect/>
                    </a:stretch>
                  </pic:blipFill>
                  <pic:spPr>
                    <a:xfrm>
                      <a:off x="0" y="0"/>
                      <a:ext cx="5731510" cy="1382395"/>
                    </a:xfrm>
                    <a:prstGeom prst="rect">
                      <a:avLst/>
                    </a:prstGeom>
                  </pic:spPr>
                </pic:pic>
              </a:graphicData>
            </a:graphic>
          </wp:inline>
        </w:drawing>
      </w:r>
    </w:p>
    <w:p w14:paraId="0A7B91E7" w14:textId="29F2D2AA" w:rsidR="005E62FF" w:rsidRDefault="005E62FF" w:rsidP="00F26DF1">
      <w:pPr>
        <w:pStyle w:val="Caption"/>
      </w:pPr>
      <w:bookmarkStart w:id="5" w:name="_Toc183519228"/>
      <w:r>
        <w:t xml:space="preserve">Figure </w:t>
      </w:r>
      <w:fldSimple w:instr=" SEQ Figure \* ARABIC ">
        <w:r w:rsidR="00FC74FF">
          <w:rPr>
            <w:noProof/>
          </w:rPr>
          <w:t>2</w:t>
        </w:r>
      </w:fldSimple>
      <w:r>
        <w:t xml:space="preserve"> Cybersecurity Framework</w:t>
      </w:r>
      <w:bookmarkEnd w:id="5"/>
    </w:p>
    <w:p w14:paraId="25A93743" w14:textId="315D2767" w:rsidR="005E62FF" w:rsidRDefault="008F79BA" w:rsidP="008F79BA">
      <w:pPr>
        <w:pStyle w:val="Heading2"/>
      </w:pPr>
      <w:bookmarkStart w:id="6" w:name="_Toc183519284"/>
      <w:r w:rsidRPr="008F79BA">
        <w:t>3. Security Policies</w:t>
      </w:r>
      <w:bookmarkEnd w:id="6"/>
    </w:p>
    <w:p w14:paraId="48CE51E3" w14:textId="3EC8AC34" w:rsidR="008F79BA" w:rsidRDefault="008F79BA" w:rsidP="005E62FF">
      <w:r w:rsidRPr="008F79BA">
        <w:t>Security policies serve as the blueprint for securing an organization’s information systems. NG should adopt a comprehensive set of security policies covering all aspects of their operations, including employee behaviour, data protection, and system access controls</w:t>
      </w:r>
      <w:sdt>
        <w:sdtPr>
          <w:id w:val="-875923575"/>
          <w:citation/>
        </w:sdtPr>
        <w:sdtContent>
          <w:r w:rsidR="0082697F">
            <w:fldChar w:fldCharType="begin"/>
          </w:r>
          <w:r w:rsidR="0082697F">
            <w:rPr>
              <w:lang w:val="en-US"/>
            </w:rPr>
            <w:instrText xml:space="preserve"> CITATION Sri12 \l 1033 </w:instrText>
          </w:r>
          <w:r w:rsidR="0082697F">
            <w:fldChar w:fldCharType="separate"/>
          </w:r>
          <w:r w:rsidR="0082697F">
            <w:rPr>
              <w:noProof/>
              <w:lang w:val="en-US"/>
            </w:rPr>
            <w:t xml:space="preserve"> </w:t>
          </w:r>
          <w:r w:rsidR="0082697F" w:rsidRPr="0082697F">
            <w:rPr>
              <w:noProof/>
              <w:lang w:val="en-US"/>
            </w:rPr>
            <w:t>[5]</w:t>
          </w:r>
          <w:r w:rsidR="0082697F">
            <w:fldChar w:fldCharType="end"/>
          </w:r>
        </w:sdtContent>
      </w:sdt>
      <w:r w:rsidRPr="008F79BA">
        <w:t>.</w:t>
      </w:r>
    </w:p>
    <w:p w14:paraId="79275DD7" w14:textId="77777777" w:rsidR="00722E31" w:rsidRPr="001F1E83" w:rsidRDefault="00722E31" w:rsidP="00722E31">
      <w:pPr>
        <w:rPr>
          <w:b/>
          <w:bCs/>
          <w:i/>
          <w:iCs/>
        </w:rPr>
      </w:pPr>
      <w:r w:rsidRPr="001F1E83">
        <w:rPr>
          <w:b/>
          <w:bCs/>
          <w:i/>
          <w:iCs/>
        </w:rPr>
        <w:t>How to Approach:</w:t>
      </w:r>
    </w:p>
    <w:p w14:paraId="55F373F8" w14:textId="71FB8FDB" w:rsidR="008F79BA" w:rsidRPr="001F1E83" w:rsidRDefault="00722E31" w:rsidP="005E62FF">
      <w:pPr>
        <w:rPr>
          <w:b/>
          <w:bCs/>
        </w:rPr>
      </w:pPr>
      <w:r w:rsidRPr="001F1E83">
        <w:rPr>
          <w:b/>
          <w:bCs/>
        </w:rPr>
        <w:t>Create and Enforce Security Policies:</w:t>
      </w:r>
    </w:p>
    <w:p w14:paraId="57045F31" w14:textId="6F1E56D0" w:rsidR="0033222E" w:rsidRDefault="00722E31" w:rsidP="00392274">
      <w:pPr>
        <w:pStyle w:val="ListParagraph"/>
        <w:numPr>
          <w:ilvl w:val="0"/>
          <w:numId w:val="7"/>
        </w:numPr>
      </w:pPr>
      <w:r w:rsidRPr="00722E31">
        <w:t>Develop Access Control Policies to define who can access which resources and under what conditions. These policies should enforce the principle of least privilege to reduce the risk of unauthorized access to sensitive data</w:t>
      </w:r>
      <w:sdt>
        <w:sdtPr>
          <w:id w:val="-1035040568"/>
          <w:citation/>
        </w:sdtPr>
        <w:sdtContent>
          <w:r w:rsidR="0082697F">
            <w:fldChar w:fldCharType="begin"/>
          </w:r>
          <w:r w:rsidR="0082697F">
            <w:rPr>
              <w:lang w:val="en-US"/>
            </w:rPr>
            <w:instrText xml:space="preserve"> CITATION Xia18 \l 1033 </w:instrText>
          </w:r>
          <w:r w:rsidR="0082697F">
            <w:fldChar w:fldCharType="separate"/>
          </w:r>
          <w:r w:rsidR="0082697F">
            <w:rPr>
              <w:noProof/>
              <w:lang w:val="en-US"/>
            </w:rPr>
            <w:t xml:space="preserve"> </w:t>
          </w:r>
          <w:r w:rsidR="0082697F" w:rsidRPr="0082697F">
            <w:rPr>
              <w:noProof/>
              <w:lang w:val="en-US"/>
            </w:rPr>
            <w:t>[6]</w:t>
          </w:r>
          <w:r w:rsidR="0082697F">
            <w:fldChar w:fldCharType="end"/>
          </w:r>
        </w:sdtContent>
      </w:sdt>
      <w:r w:rsidRPr="00722E31">
        <w:t>.</w:t>
      </w:r>
    </w:p>
    <w:p w14:paraId="0074EEC9" w14:textId="6F5ECBC5" w:rsidR="00722E31" w:rsidRDefault="00392274" w:rsidP="00392274">
      <w:pPr>
        <w:pStyle w:val="ListParagraph"/>
        <w:numPr>
          <w:ilvl w:val="0"/>
          <w:numId w:val="7"/>
        </w:numPr>
      </w:pPr>
      <w:r w:rsidRPr="00392274">
        <w:t>Establish Incident Response Policies to guide employees through the correct procedures during a security breach. This includes defining roles, responsibilities, and communication channels.</w:t>
      </w:r>
    </w:p>
    <w:p w14:paraId="74B2791E" w14:textId="46CB7E47" w:rsidR="00392274" w:rsidRDefault="00392274" w:rsidP="00392274">
      <w:pPr>
        <w:pStyle w:val="ListParagraph"/>
        <w:numPr>
          <w:ilvl w:val="0"/>
          <w:numId w:val="7"/>
        </w:numPr>
      </w:pPr>
      <w:r w:rsidRPr="00392274">
        <w:t>Implement a BYOD Policy that outlines security protocols for personal devices accessing the company network, such as requiring the installation of Mobile Device Management (MDM) software</w:t>
      </w:r>
      <w:sdt>
        <w:sdtPr>
          <w:id w:val="-803921792"/>
          <w:citation/>
        </w:sdtPr>
        <w:sdtContent>
          <w:r w:rsidR="00B5021D">
            <w:fldChar w:fldCharType="begin"/>
          </w:r>
          <w:r w:rsidR="00B5021D">
            <w:rPr>
              <w:lang w:val="en-US"/>
            </w:rPr>
            <w:instrText xml:space="preserve"> CITATION Mir23 \l 1033 </w:instrText>
          </w:r>
          <w:r w:rsidR="00B5021D">
            <w:fldChar w:fldCharType="separate"/>
          </w:r>
          <w:r w:rsidR="00B5021D">
            <w:rPr>
              <w:noProof/>
              <w:lang w:val="en-US"/>
            </w:rPr>
            <w:t xml:space="preserve"> </w:t>
          </w:r>
          <w:r w:rsidR="00B5021D" w:rsidRPr="00B5021D">
            <w:rPr>
              <w:noProof/>
              <w:lang w:val="en-US"/>
            </w:rPr>
            <w:t>[7]</w:t>
          </w:r>
          <w:r w:rsidR="00B5021D">
            <w:fldChar w:fldCharType="end"/>
          </w:r>
        </w:sdtContent>
      </w:sdt>
      <w:r w:rsidRPr="00392274">
        <w:t>.</w:t>
      </w:r>
    </w:p>
    <w:p w14:paraId="09BAF18B" w14:textId="6053CF5C" w:rsidR="00392274" w:rsidRPr="00D33A92" w:rsidRDefault="00D33A92" w:rsidP="00392274">
      <w:pPr>
        <w:rPr>
          <w:b/>
          <w:bCs/>
        </w:rPr>
      </w:pPr>
      <w:r w:rsidRPr="00D33A92">
        <w:rPr>
          <w:b/>
          <w:bCs/>
        </w:rPr>
        <w:t>Continuous Updates and Training:</w:t>
      </w:r>
    </w:p>
    <w:p w14:paraId="5E7C0D22" w14:textId="003C80CF" w:rsidR="00D33A92" w:rsidRDefault="00D33A92" w:rsidP="00D33A92">
      <w:pPr>
        <w:pStyle w:val="ListParagraph"/>
        <w:numPr>
          <w:ilvl w:val="0"/>
          <w:numId w:val="7"/>
        </w:numPr>
      </w:pPr>
      <w:r w:rsidRPr="00D33A92">
        <w:t>Conduct annual policy reviews to ensure that security measures remain relevant to the evolving threat landscape.</w:t>
      </w:r>
    </w:p>
    <w:p w14:paraId="5E46EC2D" w14:textId="3D7145A1" w:rsidR="00D33A92" w:rsidRDefault="00D33A92" w:rsidP="00D33A92">
      <w:pPr>
        <w:pStyle w:val="ListParagraph"/>
        <w:numPr>
          <w:ilvl w:val="0"/>
          <w:numId w:val="7"/>
        </w:numPr>
      </w:pPr>
      <w:r w:rsidRPr="00D33A92">
        <w:t>Provide security awareness training for all employees to ensure they understand their responsibilities under NG’s security policies</w:t>
      </w:r>
      <w:sdt>
        <w:sdtPr>
          <w:id w:val="-2034947879"/>
          <w:citation/>
        </w:sdtPr>
        <w:sdtEndPr/>
        <w:sdtContent>
          <w:r w:rsidR="00476BE5">
            <w:fldChar w:fldCharType="begin"/>
          </w:r>
          <w:r w:rsidR="00476BE5">
            <w:rPr>
              <w:lang w:val="en-US"/>
            </w:rPr>
            <w:instrText xml:space="preserve"> CITATION Bru21 \l 1033 </w:instrText>
          </w:r>
          <w:r w:rsidR="00476BE5">
            <w:fldChar w:fldCharType="separate"/>
          </w:r>
          <w:r w:rsidR="00476BE5">
            <w:rPr>
              <w:noProof/>
              <w:lang w:val="en-US"/>
            </w:rPr>
            <w:t xml:space="preserve"> </w:t>
          </w:r>
          <w:r w:rsidR="00476BE5" w:rsidRPr="00476BE5">
            <w:rPr>
              <w:noProof/>
              <w:lang w:val="en-US"/>
            </w:rPr>
            <w:t>[2]</w:t>
          </w:r>
          <w:r w:rsidR="00476BE5">
            <w:fldChar w:fldCharType="end"/>
          </w:r>
        </w:sdtContent>
      </w:sdt>
      <w:sdt>
        <w:sdtPr>
          <w:id w:val="-1883786681"/>
          <w:citation/>
        </w:sdtPr>
        <w:sdtEndPr/>
        <w:sdtContent>
          <w:r w:rsidR="005F3310">
            <w:fldChar w:fldCharType="begin"/>
          </w:r>
          <w:r w:rsidR="005F3310">
            <w:rPr>
              <w:lang w:val="en-US"/>
            </w:rPr>
            <w:instrText xml:space="preserve"> CITATION Nat13 \l 1033 </w:instrText>
          </w:r>
          <w:r w:rsidR="005F3310">
            <w:fldChar w:fldCharType="separate"/>
          </w:r>
          <w:r w:rsidR="005F3310">
            <w:rPr>
              <w:noProof/>
              <w:lang w:val="en-US"/>
            </w:rPr>
            <w:t xml:space="preserve"> </w:t>
          </w:r>
          <w:r w:rsidR="005F3310" w:rsidRPr="005F3310">
            <w:rPr>
              <w:noProof/>
              <w:lang w:val="en-US"/>
            </w:rPr>
            <w:t>[3]</w:t>
          </w:r>
          <w:r w:rsidR="005F3310">
            <w:fldChar w:fldCharType="end"/>
          </w:r>
        </w:sdtContent>
      </w:sdt>
      <w:r w:rsidRPr="00D33A92">
        <w:t>.</w:t>
      </w:r>
    </w:p>
    <w:p w14:paraId="0821AA24" w14:textId="77777777" w:rsidR="00F26DF1" w:rsidRDefault="00F26DF1" w:rsidP="00F26DF1"/>
    <w:p w14:paraId="6A2D5D7E" w14:textId="77777777" w:rsidR="00F26DF1" w:rsidRDefault="00F26DF1" w:rsidP="00F26DF1"/>
    <w:p w14:paraId="6FD5C618" w14:textId="77777777" w:rsidR="00F26DF1" w:rsidRDefault="00F26DF1" w:rsidP="00F26DF1"/>
    <w:p w14:paraId="3EFC8974" w14:textId="77777777" w:rsidR="00F26DF1" w:rsidRDefault="00F26DF1" w:rsidP="00F26DF1"/>
    <w:p w14:paraId="0C9C0309" w14:textId="77777777" w:rsidR="00F26DF1" w:rsidRDefault="00F26DF1" w:rsidP="00F26DF1"/>
    <w:p w14:paraId="198984AF" w14:textId="276FFBD5" w:rsidR="00D33A92" w:rsidRPr="003F73F1" w:rsidRDefault="003F73F1" w:rsidP="00D33A92">
      <w:pPr>
        <w:rPr>
          <w:b/>
          <w:bCs/>
        </w:rPr>
      </w:pPr>
      <w:r w:rsidRPr="003F73F1">
        <w:rPr>
          <w:b/>
          <w:bCs/>
        </w:rPr>
        <w:lastRenderedPageBreak/>
        <w:t>Example of Policy Framework:</w:t>
      </w:r>
    </w:p>
    <w:p w14:paraId="07535FB6" w14:textId="282CF8DD" w:rsidR="003F73F1" w:rsidRDefault="003F73F1" w:rsidP="00D33A92">
      <w:r>
        <w:rPr>
          <w:noProof/>
        </w:rPr>
        <w:drawing>
          <wp:inline distT="0" distB="0" distL="0" distR="0" wp14:anchorId="60540BA0" wp14:editId="2B8C8384">
            <wp:extent cx="5731510" cy="1661795"/>
            <wp:effectExtent l="0" t="0" r="2540" b="0"/>
            <wp:docPr id="166972152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721525" name="Picture 1" descr="A screenshot of a computer&#10;&#10;Description automatically generated"/>
                    <pic:cNvPicPr/>
                  </pic:nvPicPr>
                  <pic:blipFill>
                    <a:blip r:embed="rId11"/>
                    <a:stretch>
                      <a:fillRect/>
                    </a:stretch>
                  </pic:blipFill>
                  <pic:spPr>
                    <a:xfrm>
                      <a:off x="0" y="0"/>
                      <a:ext cx="5731510" cy="1661795"/>
                    </a:xfrm>
                    <a:prstGeom prst="rect">
                      <a:avLst/>
                    </a:prstGeom>
                  </pic:spPr>
                </pic:pic>
              </a:graphicData>
            </a:graphic>
          </wp:inline>
        </w:drawing>
      </w:r>
    </w:p>
    <w:p w14:paraId="4E31B574" w14:textId="588B816C" w:rsidR="003F73F1" w:rsidRDefault="003F73F1" w:rsidP="00F26DF1">
      <w:pPr>
        <w:pStyle w:val="Caption"/>
      </w:pPr>
      <w:bookmarkStart w:id="7" w:name="_Toc183519229"/>
      <w:r>
        <w:t xml:space="preserve">Figure </w:t>
      </w:r>
      <w:fldSimple w:instr=" SEQ Figure \* ARABIC ">
        <w:r w:rsidR="00FC74FF">
          <w:rPr>
            <w:noProof/>
          </w:rPr>
          <w:t>3</w:t>
        </w:r>
      </w:fldSimple>
      <w:r>
        <w:t xml:space="preserve"> Policy Framework</w:t>
      </w:r>
      <w:bookmarkEnd w:id="7"/>
    </w:p>
    <w:p w14:paraId="164A0755" w14:textId="38CEFBE4" w:rsidR="003F73F1" w:rsidRDefault="00295A13" w:rsidP="00C1659A">
      <w:pPr>
        <w:pStyle w:val="Heading2"/>
      </w:pPr>
      <w:bookmarkStart w:id="8" w:name="_Toc183519285"/>
      <w:r w:rsidRPr="00295A13">
        <w:t>4. Risk Management</w:t>
      </w:r>
      <w:bookmarkEnd w:id="8"/>
    </w:p>
    <w:p w14:paraId="24A4F8CC" w14:textId="0CDBCBB7" w:rsidR="00295A13" w:rsidRDefault="00C1659A" w:rsidP="003F73F1">
      <w:r w:rsidRPr="00C1659A">
        <w:t>Risk management is a core component of any organization’s cybersecurity strategy. NG needs a risk management framework that identifies, evaluates, and mitigates risks in a manner that minimizes potential disruptions to operations</w:t>
      </w:r>
      <w:sdt>
        <w:sdtPr>
          <w:id w:val="925775770"/>
          <w:citation/>
        </w:sdtPr>
        <w:sdtEndPr/>
        <w:sdtContent>
          <w:r w:rsidR="005E3914">
            <w:fldChar w:fldCharType="begin"/>
          </w:r>
          <w:r w:rsidR="005E3914">
            <w:rPr>
              <w:lang w:val="en-US"/>
            </w:rPr>
            <w:instrText xml:space="preserve"> CITATION Nat13 \l 1033 </w:instrText>
          </w:r>
          <w:r w:rsidR="005E3914">
            <w:fldChar w:fldCharType="separate"/>
          </w:r>
          <w:r w:rsidR="005E3914">
            <w:rPr>
              <w:noProof/>
              <w:lang w:val="en-US"/>
            </w:rPr>
            <w:t xml:space="preserve"> </w:t>
          </w:r>
          <w:r w:rsidR="005E3914" w:rsidRPr="005E3914">
            <w:rPr>
              <w:noProof/>
              <w:lang w:val="en-US"/>
            </w:rPr>
            <w:t>[3]</w:t>
          </w:r>
          <w:r w:rsidR="005E3914">
            <w:fldChar w:fldCharType="end"/>
          </w:r>
        </w:sdtContent>
      </w:sdt>
      <w:r w:rsidRPr="00C1659A">
        <w:t>.</w:t>
      </w:r>
    </w:p>
    <w:p w14:paraId="24AD0C31" w14:textId="77777777" w:rsidR="001F1E83" w:rsidRPr="001F1E83" w:rsidRDefault="001F1E83" w:rsidP="001F1E83">
      <w:pPr>
        <w:rPr>
          <w:b/>
          <w:bCs/>
          <w:i/>
          <w:iCs/>
        </w:rPr>
      </w:pPr>
      <w:r w:rsidRPr="001F1E83">
        <w:rPr>
          <w:b/>
          <w:bCs/>
          <w:i/>
          <w:iCs/>
        </w:rPr>
        <w:t>How to Approach:</w:t>
      </w:r>
    </w:p>
    <w:p w14:paraId="5A77615B" w14:textId="186C4DE5" w:rsidR="00C1659A" w:rsidRPr="00025F7D" w:rsidRDefault="001F1E83" w:rsidP="003F73F1">
      <w:pPr>
        <w:rPr>
          <w:b/>
          <w:bCs/>
        </w:rPr>
      </w:pPr>
      <w:r w:rsidRPr="00025F7D">
        <w:rPr>
          <w:b/>
          <w:bCs/>
        </w:rPr>
        <w:t>Conduct Regular Risk Assessments:</w:t>
      </w:r>
    </w:p>
    <w:p w14:paraId="20AE896A" w14:textId="4CA96F08" w:rsidR="00742A61" w:rsidRDefault="00742A61" w:rsidP="00742A61">
      <w:pPr>
        <w:pStyle w:val="ListParagraph"/>
        <w:numPr>
          <w:ilvl w:val="0"/>
          <w:numId w:val="7"/>
        </w:numPr>
      </w:pPr>
      <w:r>
        <w:t>Use risk assessment tools like Nessus or Qualys to identify vulnerabilities in the network and systems. These tools perform comprehensive scans to detect weaknesses, misconfigurations, and outdated software across the network. By regularly conducting vulnerability assessments, NG can prioritize and address critical security flaws, reducing the risk of exploitation by malicious actors and improving the overall security posture of its infrastructure</w:t>
      </w:r>
      <w:sdt>
        <w:sdtPr>
          <w:id w:val="-1799208389"/>
          <w:citation/>
        </w:sdtPr>
        <w:sdtEndPr/>
        <w:sdtContent>
          <w:r w:rsidR="00476BE5">
            <w:fldChar w:fldCharType="begin"/>
          </w:r>
          <w:r w:rsidR="00476BE5">
            <w:rPr>
              <w:lang w:val="en-US"/>
            </w:rPr>
            <w:instrText xml:space="preserve"> CITATION Gen23 \l 1033 </w:instrText>
          </w:r>
          <w:r w:rsidR="00476BE5">
            <w:fldChar w:fldCharType="separate"/>
          </w:r>
          <w:r w:rsidR="00476BE5">
            <w:rPr>
              <w:noProof/>
              <w:lang w:val="en-US"/>
            </w:rPr>
            <w:t xml:space="preserve"> </w:t>
          </w:r>
          <w:r w:rsidR="00476BE5" w:rsidRPr="00476BE5">
            <w:rPr>
              <w:noProof/>
              <w:lang w:val="en-US"/>
            </w:rPr>
            <w:t>[1]</w:t>
          </w:r>
          <w:r w:rsidR="00476BE5">
            <w:fldChar w:fldCharType="end"/>
          </w:r>
        </w:sdtContent>
      </w:sdt>
      <w:sdt>
        <w:sdtPr>
          <w:id w:val="-850173600"/>
          <w:citation/>
        </w:sdtPr>
        <w:sdtContent>
          <w:r w:rsidR="00F320AD">
            <w:fldChar w:fldCharType="begin"/>
          </w:r>
          <w:r w:rsidR="00F320AD">
            <w:rPr>
              <w:lang w:val="en-US"/>
            </w:rPr>
            <w:instrText xml:space="preserve"> CITATION Mir23 \l 1033 </w:instrText>
          </w:r>
          <w:r w:rsidR="00F320AD">
            <w:fldChar w:fldCharType="separate"/>
          </w:r>
          <w:r w:rsidR="00F320AD">
            <w:rPr>
              <w:noProof/>
              <w:lang w:val="en-US"/>
            </w:rPr>
            <w:t xml:space="preserve"> </w:t>
          </w:r>
          <w:r w:rsidR="00F320AD" w:rsidRPr="00F320AD">
            <w:rPr>
              <w:noProof/>
              <w:lang w:val="en-US"/>
            </w:rPr>
            <w:t>[7]</w:t>
          </w:r>
          <w:r w:rsidR="00F320AD">
            <w:fldChar w:fldCharType="end"/>
          </w:r>
        </w:sdtContent>
      </w:sdt>
      <w:r>
        <w:t>.</w:t>
      </w:r>
    </w:p>
    <w:p w14:paraId="32B7A1FC" w14:textId="67465FD0" w:rsidR="00742A61" w:rsidRDefault="00742A61" w:rsidP="00742A61">
      <w:pPr>
        <w:pStyle w:val="ListParagraph"/>
        <w:numPr>
          <w:ilvl w:val="0"/>
          <w:numId w:val="7"/>
        </w:numPr>
      </w:pPr>
      <w:r>
        <w:t>Evaluate the likelihood and impact of potential risks using a risk matrix, helping NG prioritize resources for mitigating high-risk areas. A risk matrix provides a visual representation of risks based on their probability and potential impact. By categorizing risks into low, medium, and high levels, NG can allocate resources more effectively, ensuring that critical threats are addressed first, reducing overall vulnerability and minimizing potential damage</w:t>
      </w:r>
      <w:sdt>
        <w:sdtPr>
          <w:id w:val="153114928"/>
          <w:citation/>
        </w:sdtPr>
        <w:sdtEndPr/>
        <w:sdtContent>
          <w:r w:rsidR="00476BE5">
            <w:fldChar w:fldCharType="begin"/>
          </w:r>
          <w:r w:rsidR="00476BE5">
            <w:rPr>
              <w:lang w:val="en-US"/>
            </w:rPr>
            <w:instrText xml:space="preserve"> CITATION Gen23 \l 1033 </w:instrText>
          </w:r>
          <w:r w:rsidR="00476BE5">
            <w:fldChar w:fldCharType="separate"/>
          </w:r>
          <w:r w:rsidR="00476BE5">
            <w:rPr>
              <w:noProof/>
              <w:lang w:val="en-US"/>
            </w:rPr>
            <w:t xml:space="preserve"> </w:t>
          </w:r>
          <w:r w:rsidR="00476BE5" w:rsidRPr="00476BE5">
            <w:rPr>
              <w:noProof/>
              <w:lang w:val="en-US"/>
            </w:rPr>
            <w:t>[1]</w:t>
          </w:r>
          <w:r w:rsidR="00476BE5">
            <w:fldChar w:fldCharType="end"/>
          </w:r>
        </w:sdtContent>
      </w:sdt>
      <w:r>
        <w:t>.</w:t>
      </w:r>
    </w:p>
    <w:p w14:paraId="206D8BB2" w14:textId="5E02F681" w:rsidR="00B63472" w:rsidRPr="001542F3" w:rsidRDefault="001542F3" w:rsidP="00742A61">
      <w:pPr>
        <w:rPr>
          <w:b/>
          <w:bCs/>
        </w:rPr>
      </w:pPr>
      <w:r w:rsidRPr="001542F3">
        <w:rPr>
          <w:b/>
          <w:bCs/>
        </w:rPr>
        <w:t>Develop Mitigation Strategies:</w:t>
      </w:r>
    </w:p>
    <w:p w14:paraId="5C8B0909" w14:textId="313E28D4" w:rsidR="001542F3" w:rsidRDefault="001542F3" w:rsidP="001542F3">
      <w:pPr>
        <w:pStyle w:val="ListParagraph"/>
        <w:numPr>
          <w:ilvl w:val="0"/>
          <w:numId w:val="7"/>
        </w:numPr>
      </w:pPr>
      <w:r w:rsidRPr="001542F3">
        <w:t>Deploy intrusion detection systems (IDS) and intrusion prevention systems (IPS) to monitor network traffic for unusual activity.</w:t>
      </w:r>
      <w:r w:rsidR="003904E2">
        <w:t xml:space="preserve"> </w:t>
      </w:r>
      <w:r w:rsidR="003904E2" w:rsidRPr="003904E2">
        <w:t>IDS monitors and analyses network traffic, alerting NG to potential threats, while IPS takes proactive steps to block malicious activity in real-time. Together, these systems help detect and prevent unauthorized access, malware, and other cyberattacks, enhancing NG's ability to respond quickly to security incidents and protect sensitive data</w:t>
      </w:r>
      <w:sdt>
        <w:sdtPr>
          <w:id w:val="-828207134"/>
          <w:citation/>
        </w:sdtPr>
        <w:sdtEndPr/>
        <w:sdtContent>
          <w:r w:rsidR="005E3914">
            <w:fldChar w:fldCharType="begin"/>
          </w:r>
          <w:r w:rsidR="005E3914">
            <w:rPr>
              <w:lang w:val="en-US"/>
            </w:rPr>
            <w:instrText xml:space="preserve"> CITATION Nat13 \l 1033 </w:instrText>
          </w:r>
          <w:r w:rsidR="005E3914">
            <w:fldChar w:fldCharType="separate"/>
          </w:r>
          <w:r w:rsidR="005E3914">
            <w:rPr>
              <w:noProof/>
              <w:lang w:val="en-US"/>
            </w:rPr>
            <w:t xml:space="preserve"> </w:t>
          </w:r>
          <w:r w:rsidR="005E3914" w:rsidRPr="005E3914">
            <w:rPr>
              <w:noProof/>
              <w:lang w:val="en-US"/>
            </w:rPr>
            <w:t>[3]</w:t>
          </w:r>
          <w:r w:rsidR="005E3914">
            <w:fldChar w:fldCharType="end"/>
          </w:r>
        </w:sdtContent>
      </w:sdt>
      <w:sdt>
        <w:sdtPr>
          <w:id w:val="922992038"/>
          <w:citation/>
        </w:sdtPr>
        <w:sdtEndPr/>
        <w:sdtContent>
          <w:r w:rsidR="005E3914">
            <w:fldChar w:fldCharType="begin"/>
          </w:r>
          <w:r w:rsidR="005E3914">
            <w:rPr>
              <w:lang w:val="en-US"/>
            </w:rPr>
            <w:instrText xml:space="preserve"> CITATION Kev19 \l 1033 </w:instrText>
          </w:r>
          <w:r w:rsidR="005E3914">
            <w:fldChar w:fldCharType="separate"/>
          </w:r>
          <w:r w:rsidR="005E3914">
            <w:rPr>
              <w:noProof/>
              <w:lang w:val="en-US"/>
            </w:rPr>
            <w:t xml:space="preserve"> </w:t>
          </w:r>
          <w:r w:rsidR="005E3914" w:rsidRPr="005E3914">
            <w:rPr>
              <w:noProof/>
              <w:lang w:val="en-US"/>
            </w:rPr>
            <w:t>[4]</w:t>
          </w:r>
          <w:r w:rsidR="005E3914">
            <w:fldChar w:fldCharType="end"/>
          </w:r>
        </w:sdtContent>
      </w:sdt>
      <w:r w:rsidR="003904E2" w:rsidRPr="003904E2">
        <w:t>.</w:t>
      </w:r>
    </w:p>
    <w:p w14:paraId="7A6A0A44" w14:textId="0EBA8651" w:rsidR="001542F3" w:rsidRDefault="00C434F7" w:rsidP="001542F3">
      <w:pPr>
        <w:pStyle w:val="ListParagraph"/>
        <w:numPr>
          <w:ilvl w:val="0"/>
          <w:numId w:val="7"/>
        </w:numPr>
      </w:pPr>
      <w:r w:rsidRPr="00C434F7">
        <w:t>Regularly patch software and hardware to close vulnerabilities and ensure systems are updated with the latest security fixes.</w:t>
      </w:r>
      <w:r w:rsidR="003904E2">
        <w:t xml:space="preserve"> </w:t>
      </w:r>
      <w:r w:rsidR="003904E2" w:rsidRPr="003904E2">
        <w:t xml:space="preserve">Timely patching is crucial to prevent exploitation of known vulnerabilities by cybercriminals. Implementing an automated patch management </w:t>
      </w:r>
      <w:r w:rsidR="003904E2" w:rsidRPr="003904E2">
        <w:lastRenderedPageBreak/>
        <w:t>system ensures that all software and hardware are consistently updated. This reduces the risk of security breaches and enhances overall system stability by addressing bugs and enhancing the functionality of critical applications</w:t>
      </w:r>
      <w:sdt>
        <w:sdtPr>
          <w:id w:val="-1764839801"/>
          <w:citation/>
        </w:sdtPr>
        <w:sdtEndPr/>
        <w:sdtContent>
          <w:r w:rsidR="005E3914">
            <w:fldChar w:fldCharType="begin"/>
          </w:r>
          <w:r w:rsidR="005E3914">
            <w:rPr>
              <w:lang w:val="en-US"/>
            </w:rPr>
            <w:instrText xml:space="preserve"> CITATION Kev19 \l 1033 </w:instrText>
          </w:r>
          <w:r w:rsidR="005E3914">
            <w:fldChar w:fldCharType="separate"/>
          </w:r>
          <w:r w:rsidR="005E3914">
            <w:rPr>
              <w:noProof/>
              <w:lang w:val="en-US"/>
            </w:rPr>
            <w:t xml:space="preserve"> </w:t>
          </w:r>
          <w:r w:rsidR="005E3914" w:rsidRPr="005E3914">
            <w:rPr>
              <w:noProof/>
              <w:lang w:val="en-US"/>
            </w:rPr>
            <w:t>[4]</w:t>
          </w:r>
          <w:r w:rsidR="005E3914">
            <w:fldChar w:fldCharType="end"/>
          </w:r>
        </w:sdtContent>
      </w:sdt>
      <w:r w:rsidR="003904E2" w:rsidRPr="003904E2">
        <w:t>.</w:t>
      </w:r>
    </w:p>
    <w:p w14:paraId="45F569DC" w14:textId="1CE6ECBC" w:rsidR="00C434F7" w:rsidRPr="008568B8" w:rsidRDefault="008568B8" w:rsidP="00C434F7">
      <w:pPr>
        <w:rPr>
          <w:b/>
          <w:bCs/>
        </w:rPr>
      </w:pPr>
      <w:r w:rsidRPr="008568B8">
        <w:rPr>
          <w:b/>
          <w:bCs/>
        </w:rPr>
        <w:t>Establish a Risk Register:</w:t>
      </w:r>
    </w:p>
    <w:p w14:paraId="4F54B102" w14:textId="10475F4E" w:rsidR="003904E2" w:rsidRDefault="008568B8" w:rsidP="003904E2">
      <w:pPr>
        <w:pStyle w:val="ListParagraph"/>
        <w:numPr>
          <w:ilvl w:val="0"/>
          <w:numId w:val="7"/>
        </w:numPr>
      </w:pPr>
      <w:r w:rsidRPr="008568B8">
        <w:t>Maintain a Risk Register to document identified risks, their potential impacts, and mitigation strategies. The register should be reviewed quarterly to ensure that new risks are incorporated into the plan.</w:t>
      </w:r>
      <w:r w:rsidR="003904E2">
        <w:t xml:space="preserve"> </w:t>
      </w:r>
      <w:r w:rsidR="003904E2" w:rsidRPr="003904E2">
        <w:t>This ongoing review process ensures that emerging threats are addressed promptly, and the risk management plan remains current, enabling NG to proactively adjust its security measures in response to new challenges and vulnerabilities</w:t>
      </w:r>
      <w:sdt>
        <w:sdtPr>
          <w:id w:val="472418502"/>
          <w:citation/>
        </w:sdtPr>
        <w:sdtContent>
          <w:r w:rsidR="00DF79FA">
            <w:fldChar w:fldCharType="begin"/>
          </w:r>
          <w:r w:rsidR="00DF79FA">
            <w:rPr>
              <w:lang w:val="en-US"/>
            </w:rPr>
            <w:instrText xml:space="preserve"> CITATION bru16 \l 1033 </w:instrText>
          </w:r>
          <w:r w:rsidR="00DF79FA">
            <w:fldChar w:fldCharType="separate"/>
          </w:r>
          <w:r w:rsidR="00DF79FA">
            <w:rPr>
              <w:noProof/>
              <w:lang w:val="en-US"/>
            </w:rPr>
            <w:t xml:space="preserve"> </w:t>
          </w:r>
          <w:r w:rsidR="00DF79FA" w:rsidRPr="00DF79FA">
            <w:rPr>
              <w:noProof/>
              <w:lang w:val="en-US"/>
            </w:rPr>
            <w:t>[10]</w:t>
          </w:r>
          <w:r w:rsidR="00DF79FA">
            <w:fldChar w:fldCharType="end"/>
          </w:r>
        </w:sdtContent>
      </w:sdt>
      <w:r w:rsidR="003904E2" w:rsidRPr="003904E2">
        <w:t>.</w:t>
      </w:r>
    </w:p>
    <w:p w14:paraId="40A3D8E4" w14:textId="1C6C1C0E" w:rsidR="008568B8" w:rsidRPr="008568B8" w:rsidRDefault="008568B8" w:rsidP="008568B8">
      <w:pPr>
        <w:rPr>
          <w:b/>
          <w:bCs/>
        </w:rPr>
      </w:pPr>
      <w:r w:rsidRPr="008568B8">
        <w:rPr>
          <w:b/>
          <w:bCs/>
        </w:rPr>
        <w:t>Risk Assessment and Mitigation Example:</w:t>
      </w:r>
    </w:p>
    <w:p w14:paraId="2C0A07ED" w14:textId="67CD11B5" w:rsidR="008568B8" w:rsidRDefault="008568B8" w:rsidP="008568B8">
      <w:r>
        <w:rPr>
          <w:noProof/>
        </w:rPr>
        <w:drawing>
          <wp:inline distT="0" distB="0" distL="0" distR="0" wp14:anchorId="412D4277" wp14:editId="4DF46B97">
            <wp:extent cx="5731510" cy="1095375"/>
            <wp:effectExtent l="0" t="0" r="2540" b="9525"/>
            <wp:docPr id="27531237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312374" name="Picture 1" descr="A screenshot of a computer&#10;&#10;Description automatically generated"/>
                    <pic:cNvPicPr/>
                  </pic:nvPicPr>
                  <pic:blipFill>
                    <a:blip r:embed="rId12"/>
                    <a:stretch>
                      <a:fillRect/>
                    </a:stretch>
                  </pic:blipFill>
                  <pic:spPr>
                    <a:xfrm>
                      <a:off x="0" y="0"/>
                      <a:ext cx="5731510" cy="1095375"/>
                    </a:xfrm>
                    <a:prstGeom prst="rect">
                      <a:avLst/>
                    </a:prstGeom>
                  </pic:spPr>
                </pic:pic>
              </a:graphicData>
            </a:graphic>
          </wp:inline>
        </w:drawing>
      </w:r>
    </w:p>
    <w:p w14:paraId="48E58231" w14:textId="1EB73E4E" w:rsidR="00FC74FF" w:rsidRDefault="00FC74FF" w:rsidP="003904E2">
      <w:pPr>
        <w:pStyle w:val="Caption"/>
      </w:pPr>
      <w:bookmarkStart w:id="9" w:name="_Toc183519230"/>
      <w:r>
        <w:t xml:space="preserve">Figure </w:t>
      </w:r>
      <w:fldSimple w:instr=" SEQ Figure \* ARABIC ">
        <w:r>
          <w:rPr>
            <w:noProof/>
          </w:rPr>
          <w:t>4</w:t>
        </w:r>
      </w:fldSimple>
      <w:r>
        <w:t xml:space="preserve"> Rist Assessment</w:t>
      </w:r>
      <w:bookmarkEnd w:id="9"/>
    </w:p>
    <w:p w14:paraId="232E02BF" w14:textId="42D620A5" w:rsidR="00FC74FF" w:rsidRDefault="005E337B" w:rsidP="005E337B">
      <w:pPr>
        <w:pStyle w:val="Heading2"/>
      </w:pPr>
      <w:bookmarkStart w:id="10" w:name="_Toc183519286"/>
      <w:r w:rsidRPr="005E337B">
        <w:t>5. Security Management Models and Practices</w:t>
      </w:r>
      <w:bookmarkEnd w:id="10"/>
    </w:p>
    <w:p w14:paraId="7B9BCEBD" w14:textId="77DB7A02" w:rsidR="005E337B" w:rsidRDefault="005E337B" w:rsidP="00047471">
      <w:r w:rsidRPr="005E337B">
        <w:t>Security management frameworks provide a structured approach to managing cybersecurity practices across an organization. By adopting recognized security models, NG can enhance its security posture and establish a comprehensive system for managing security policies and operations</w:t>
      </w:r>
      <w:sdt>
        <w:sdtPr>
          <w:id w:val="2110160400"/>
          <w:citation/>
        </w:sdtPr>
        <w:sdtEndPr/>
        <w:sdtContent>
          <w:r w:rsidR="005E3914">
            <w:fldChar w:fldCharType="begin"/>
          </w:r>
          <w:r w:rsidR="005E3914">
            <w:rPr>
              <w:lang w:val="en-US"/>
            </w:rPr>
            <w:instrText xml:space="preserve"> CITATION Kev19 \l 1033 </w:instrText>
          </w:r>
          <w:r w:rsidR="005E3914">
            <w:fldChar w:fldCharType="separate"/>
          </w:r>
          <w:r w:rsidR="005E3914">
            <w:rPr>
              <w:noProof/>
              <w:lang w:val="en-US"/>
            </w:rPr>
            <w:t xml:space="preserve"> </w:t>
          </w:r>
          <w:r w:rsidR="005E3914" w:rsidRPr="005E3914">
            <w:rPr>
              <w:noProof/>
              <w:lang w:val="en-US"/>
            </w:rPr>
            <w:t>[4]</w:t>
          </w:r>
          <w:r w:rsidR="005E3914">
            <w:fldChar w:fldCharType="end"/>
          </w:r>
        </w:sdtContent>
      </w:sdt>
      <w:r w:rsidRPr="005E337B">
        <w:t>.</w:t>
      </w:r>
    </w:p>
    <w:p w14:paraId="5B50CD76" w14:textId="77777777" w:rsidR="005E337B" w:rsidRPr="001F1E83" w:rsidRDefault="005E337B" w:rsidP="005E337B">
      <w:pPr>
        <w:rPr>
          <w:b/>
          <w:bCs/>
          <w:i/>
          <w:iCs/>
        </w:rPr>
      </w:pPr>
      <w:r w:rsidRPr="001F1E83">
        <w:rPr>
          <w:b/>
          <w:bCs/>
          <w:i/>
          <w:iCs/>
        </w:rPr>
        <w:t>How to Approach:</w:t>
      </w:r>
    </w:p>
    <w:p w14:paraId="220CFA1B" w14:textId="26506E3C" w:rsidR="005E337B" w:rsidRPr="006D77BF" w:rsidRDefault="006D77BF" w:rsidP="00047471">
      <w:pPr>
        <w:rPr>
          <w:b/>
          <w:bCs/>
        </w:rPr>
      </w:pPr>
      <w:r w:rsidRPr="006D77BF">
        <w:rPr>
          <w:b/>
          <w:bCs/>
        </w:rPr>
        <w:t>Adopt the ISO/IEC 27001 Framework:</w:t>
      </w:r>
    </w:p>
    <w:p w14:paraId="3507DE2B" w14:textId="687F4123" w:rsidR="006D77BF" w:rsidRDefault="006D77BF" w:rsidP="006D77BF">
      <w:pPr>
        <w:pStyle w:val="ListParagraph"/>
        <w:numPr>
          <w:ilvl w:val="0"/>
          <w:numId w:val="7"/>
        </w:numPr>
      </w:pPr>
      <w:r w:rsidRPr="006D77BF">
        <w:t>NG should implement an Information Security Management System (ISMS) as per ISO/IEC 27001 to structure their security practices and demonstrate adherence to internationally recognized standards</w:t>
      </w:r>
      <w:sdt>
        <w:sdtPr>
          <w:id w:val="-1028101801"/>
          <w:citation/>
        </w:sdtPr>
        <w:sdtContent>
          <w:r w:rsidR="00DF79FA">
            <w:fldChar w:fldCharType="begin"/>
          </w:r>
          <w:r w:rsidR="00DF79FA">
            <w:rPr>
              <w:lang w:val="en-US"/>
            </w:rPr>
            <w:instrText xml:space="preserve"> CITATION Kev12 \l 1033 </w:instrText>
          </w:r>
          <w:r w:rsidR="00DF79FA">
            <w:fldChar w:fldCharType="separate"/>
          </w:r>
          <w:r w:rsidR="00DF79FA">
            <w:rPr>
              <w:noProof/>
              <w:lang w:val="en-US"/>
            </w:rPr>
            <w:t xml:space="preserve"> </w:t>
          </w:r>
          <w:r w:rsidR="00DF79FA" w:rsidRPr="00DF79FA">
            <w:rPr>
              <w:noProof/>
              <w:lang w:val="en-US"/>
            </w:rPr>
            <w:t>[11]</w:t>
          </w:r>
          <w:r w:rsidR="00DF79FA">
            <w:fldChar w:fldCharType="end"/>
          </w:r>
        </w:sdtContent>
      </w:sdt>
      <w:r w:rsidRPr="006D77BF">
        <w:t>.</w:t>
      </w:r>
    </w:p>
    <w:p w14:paraId="4CB80C7A" w14:textId="00805568" w:rsidR="006D77BF" w:rsidRDefault="006D77BF" w:rsidP="006D77BF">
      <w:pPr>
        <w:pStyle w:val="ListParagraph"/>
        <w:numPr>
          <w:ilvl w:val="0"/>
          <w:numId w:val="7"/>
        </w:numPr>
      </w:pPr>
      <w:r w:rsidRPr="006D77BF">
        <w:t>The ISMS will allow NG to identify critical assets, assess risks, implement security controls, and ensure continuous improvement in security practices.</w:t>
      </w:r>
    </w:p>
    <w:p w14:paraId="495A4605" w14:textId="221745B5" w:rsidR="006D77BF" w:rsidRPr="007C0FA6" w:rsidRDefault="006D77BF" w:rsidP="006D77BF">
      <w:pPr>
        <w:rPr>
          <w:b/>
          <w:bCs/>
        </w:rPr>
      </w:pPr>
      <w:r w:rsidRPr="007C0FA6">
        <w:rPr>
          <w:b/>
          <w:bCs/>
        </w:rPr>
        <w:t>Use the NIST Cybersecurity Framework (CSF):</w:t>
      </w:r>
    </w:p>
    <w:p w14:paraId="642A4B00" w14:textId="11F8396B" w:rsidR="006D77BF" w:rsidRDefault="007C0FA6" w:rsidP="007C0FA6">
      <w:pPr>
        <w:pStyle w:val="ListParagraph"/>
        <w:numPr>
          <w:ilvl w:val="0"/>
          <w:numId w:val="7"/>
        </w:numPr>
      </w:pPr>
      <w:r w:rsidRPr="007C0FA6">
        <w:t>Implement the NIST CSF’s Identify, Protect, Detect, Respond, and Recover phases to ensure a holistic approach to cybersecurity that spans prevention, detection, and recovery.</w:t>
      </w:r>
    </w:p>
    <w:p w14:paraId="24A967B1" w14:textId="2655CE9C" w:rsidR="007C0FA6" w:rsidRDefault="007C0FA6" w:rsidP="007C0FA6">
      <w:pPr>
        <w:pStyle w:val="ListParagraph"/>
        <w:numPr>
          <w:ilvl w:val="0"/>
          <w:numId w:val="7"/>
        </w:numPr>
      </w:pPr>
      <w:r w:rsidRPr="007C0FA6">
        <w:t>Use the NIST Cybersecurity Framework Core as a guideline to develop NG's security capabilities and improve incident response times</w:t>
      </w:r>
      <w:sdt>
        <w:sdtPr>
          <w:id w:val="890999637"/>
          <w:citation/>
        </w:sdtPr>
        <w:sdtEndPr/>
        <w:sdtContent>
          <w:r w:rsidR="00476BE5">
            <w:fldChar w:fldCharType="begin"/>
          </w:r>
          <w:r w:rsidR="00476BE5">
            <w:rPr>
              <w:lang w:val="en-US"/>
            </w:rPr>
            <w:instrText xml:space="preserve"> CITATION Gen23 \l 1033 </w:instrText>
          </w:r>
          <w:r w:rsidR="00476BE5">
            <w:fldChar w:fldCharType="separate"/>
          </w:r>
          <w:r w:rsidR="00476BE5">
            <w:rPr>
              <w:noProof/>
              <w:lang w:val="en-US"/>
            </w:rPr>
            <w:t xml:space="preserve"> </w:t>
          </w:r>
          <w:r w:rsidR="00476BE5" w:rsidRPr="00476BE5">
            <w:rPr>
              <w:noProof/>
              <w:lang w:val="en-US"/>
            </w:rPr>
            <w:t>[1]</w:t>
          </w:r>
          <w:r w:rsidR="00476BE5">
            <w:fldChar w:fldCharType="end"/>
          </w:r>
        </w:sdtContent>
      </w:sdt>
      <w:r w:rsidRPr="007C0FA6">
        <w:t>.</w:t>
      </w:r>
    </w:p>
    <w:p w14:paraId="0ED43471" w14:textId="77777777" w:rsidR="003904E2" w:rsidRDefault="003904E2" w:rsidP="003904E2"/>
    <w:p w14:paraId="01CFA759" w14:textId="1465AF1B" w:rsidR="007C0FA6" w:rsidRDefault="00897520" w:rsidP="00897520">
      <w:pPr>
        <w:pStyle w:val="Heading2"/>
      </w:pPr>
      <w:bookmarkStart w:id="11" w:name="_Toc183519287"/>
      <w:r w:rsidRPr="00897520">
        <w:lastRenderedPageBreak/>
        <w:t>6. Contingency Planning</w:t>
      </w:r>
      <w:bookmarkEnd w:id="11"/>
    </w:p>
    <w:p w14:paraId="152E7992" w14:textId="306FF438" w:rsidR="00897520" w:rsidRDefault="00897520" w:rsidP="007C0FA6">
      <w:r w:rsidRPr="00897520">
        <w:t>Contingency planning prepares organizations to recover from unforeseen disruptions, such as cyberattacks or natural disasters. NG must develop detailed Business Continuity and Disaster Recovery plans to ensure operations can continue under any circumstances</w:t>
      </w:r>
      <w:sdt>
        <w:sdtPr>
          <w:id w:val="-1206021775"/>
          <w:citation/>
        </w:sdtPr>
        <w:sdtContent>
          <w:r w:rsidR="00DF79FA">
            <w:fldChar w:fldCharType="begin"/>
          </w:r>
          <w:r w:rsidR="00DF79FA">
            <w:rPr>
              <w:lang w:val="en-US"/>
            </w:rPr>
            <w:instrText xml:space="preserve"> CITATION Kev12 \l 1033 </w:instrText>
          </w:r>
          <w:r w:rsidR="00DF79FA">
            <w:fldChar w:fldCharType="separate"/>
          </w:r>
          <w:r w:rsidR="00DF79FA">
            <w:rPr>
              <w:noProof/>
              <w:lang w:val="en-US"/>
            </w:rPr>
            <w:t xml:space="preserve"> </w:t>
          </w:r>
          <w:r w:rsidR="00DF79FA" w:rsidRPr="00DF79FA">
            <w:rPr>
              <w:noProof/>
              <w:lang w:val="en-US"/>
            </w:rPr>
            <w:t>[11]</w:t>
          </w:r>
          <w:r w:rsidR="00DF79FA">
            <w:fldChar w:fldCharType="end"/>
          </w:r>
        </w:sdtContent>
      </w:sdt>
      <w:r w:rsidRPr="00897520">
        <w:t>.</w:t>
      </w:r>
    </w:p>
    <w:p w14:paraId="3253CC68" w14:textId="77777777" w:rsidR="000F6BB5" w:rsidRPr="001F1E83" w:rsidRDefault="000F6BB5" w:rsidP="000F6BB5">
      <w:pPr>
        <w:rPr>
          <w:b/>
          <w:bCs/>
          <w:i/>
          <w:iCs/>
        </w:rPr>
      </w:pPr>
      <w:r w:rsidRPr="001F1E83">
        <w:rPr>
          <w:b/>
          <w:bCs/>
          <w:i/>
          <w:iCs/>
        </w:rPr>
        <w:t>How to Approach:</w:t>
      </w:r>
    </w:p>
    <w:p w14:paraId="1D8A78F0" w14:textId="7042B877" w:rsidR="00897520" w:rsidRPr="00725455" w:rsidRDefault="00725455" w:rsidP="007C0FA6">
      <w:pPr>
        <w:rPr>
          <w:b/>
          <w:bCs/>
        </w:rPr>
      </w:pPr>
      <w:r w:rsidRPr="00725455">
        <w:rPr>
          <w:b/>
          <w:bCs/>
        </w:rPr>
        <w:t>Create a Business Continuity Plan (BCP):</w:t>
      </w:r>
    </w:p>
    <w:p w14:paraId="403CF72D" w14:textId="395F2C26" w:rsidR="009E4092" w:rsidRDefault="009E4092" w:rsidP="00725455">
      <w:pPr>
        <w:pStyle w:val="ListParagraph"/>
        <w:numPr>
          <w:ilvl w:val="0"/>
          <w:numId w:val="7"/>
        </w:numPr>
      </w:pPr>
      <w:r w:rsidRPr="009E4092">
        <w:t>Identify essential business functions and ensure redundancy for critical systems, such as data backups and off-site cloud storage. The BCP should also outline procedures for maintaining communication with employees and customers during disruptions, ensuring minimal downtime. Additionally, regular testing and updating of the plan are necessary to adapt to changing circumstances and new risks</w:t>
      </w:r>
      <w:sdt>
        <w:sdtPr>
          <w:id w:val="463092538"/>
          <w:citation/>
        </w:sdtPr>
        <w:sdtEndPr/>
        <w:sdtContent>
          <w:r w:rsidR="00353582">
            <w:fldChar w:fldCharType="begin"/>
          </w:r>
          <w:r w:rsidR="00353582">
            <w:rPr>
              <w:lang w:val="en-US"/>
            </w:rPr>
            <w:instrText xml:space="preserve"> CITATION Rub01 \l 1033 </w:instrText>
          </w:r>
          <w:r w:rsidR="00353582">
            <w:fldChar w:fldCharType="separate"/>
          </w:r>
          <w:r w:rsidR="00353582">
            <w:rPr>
              <w:noProof/>
              <w:lang w:val="en-US"/>
            </w:rPr>
            <w:t xml:space="preserve"> </w:t>
          </w:r>
          <w:r w:rsidR="00353582" w:rsidRPr="00353582">
            <w:rPr>
              <w:noProof/>
              <w:lang w:val="en-US"/>
            </w:rPr>
            <w:t>[5]</w:t>
          </w:r>
          <w:r w:rsidR="00353582">
            <w:fldChar w:fldCharType="end"/>
          </w:r>
        </w:sdtContent>
      </w:sdt>
      <w:r w:rsidRPr="009E4092">
        <w:t>.</w:t>
      </w:r>
    </w:p>
    <w:p w14:paraId="50691EA3" w14:textId="416E877E" w:rsidR="009E4092" w:rsidRDefault="009E4092" w:rsidP="003904E2">
      <w:pPr>
        <w:pStyle w:val="ListParagraph"/>
        <w:numPr>
          <w:ilvl w:val="0"/>
          <w:numId w:val="7"/>
        </w:numPr>
      </w:pPr>
      <w:r>
        <w:t>Prioritize the Recovery Time Objective (RTO) and Recovery Point Objective (RPO) for each system based on their importance to business operations. RTO defines the maximum acceptable downtime for a system, while RPO determines the acceptable data loss. For critical systems, RTO and RPO should be as short as possible to minimize disruption. Regularly reviewing these metrics helps ensure that recovery strategies align with business needs, optimizing both speed and data integrity during incidents</w:t>
      </w:r>
      <w:sdt>
        <w:sdtPr>
          <w:id w:val="-1569181437"/>
          <w:citation/>
        </w:sdtPr>
        <w:sdtEndPr/>
        <w:sdtContent>
          <w:r w:rsidR="003A429D">
            <w:fldChar w:fldCharType="begin"/>
          </w:r>
          <w:r w:rsidR="003A429D">
            <w:rPr>
              <w:lang w:val="en-US"/>
            </w:rPr>
            <w:instrText xml:space="preserve"> CITATION Kev19 \l 1033 </w:instrText>
          </w:r>
          <w:r w:rsidR="003A429D">
            <w:fldChar w:fldCharType="separate"/>
          </w:r>
          <w:r w:rsidR="003A429D">
            <w:rPr>
              <w:noProof/>
              <w:lang w:val="en-US"/>
            </w:rPr>
            <w:t xml:space="preserve"> </w:t>
          </w:r>
          <w:r w:rsidR="003A429D" w:rsidRPr="003A429D">
            <w:rPr>
              <w:noProof/>
              <w:lang w:val="en-US"/>
            </w:rPr>
            <w:t>[4]</w:t>
          </w:r>
          <w:r w:rsidR="003A429D">
            <w:fldChar w:fldCharType="end"/>
          </w:r>
        </w:sdtContent>
      </w:sdt>
      <w:r>
        <w:t>.</w:t>
      </w:r>
    </w:p>
    <w:p w14:paraId="01FEA756" w14:textId="391C0A04" w:rsidR="002A7C2C" w:rsidRPr="00BB184A" w:rsidRDefault="00BB184A" w:rsidP="009E4092">
      <w:pPr>
        <w:rPr>
          <w:b/>
          <w:bCs/>
        </w:rPr>
      </w:pPr>
      <w:r w:rsidRPr="00BB184A">
        <w:rPr>
          <w:b/>
          <w:bCs/>
        </w:rPr>
        <w:t>Develop an Incident Response Plan (IRP):</w:t>
      </w:r>
    </w:p>
    <w:p w14:paraId="4A167620" w14:textId="7ACBAB5F" w:rsidR="009E4092" w:rsidRDefault="009E4092" w:rsidP="009E4092">
      <w:pPr>
        <w:pStyle w:val="ListParagraph"/>
        <w:numPr>
          <w:ilvl w:val="0"/>
          <w:numId w:val="7"/>
        </w:numPr>
      </w:pPr>
      <w:r>
        <w:t>Establish a Security Incident Response Team (SIRT) trained to respond to different types of security breaches. The SIRT should include experts from various domains such as network security, IT, legal, and communications. Regular training and simulated attack scenarios will help ensure the team is prepared for rapid, coordinated responses, minimizing potential damage during an actual security incident</w:t>
      </w:r>
      <w:sdt>
        <w:sdtPr>
          <w:id w:val="-1661139949"/>
          <w:citation/>
        </w:sdtPr>
        <w:sdtContent>
          <w:r w:rsidR="002464FE">
            <w:fldChar w:fldCharType="begin"/>
          </w:r>
          <w:r w:rsidR="002464FE">
            <w:rPr>
              <w:lang w:val="en-US"/>
            </w:rPr>
            <w:instrText xml:space="preserve"> CITATION Gen24 \l 1033 </w:instrText>
          </w:r>
          <w:r w:rsidR="002464FE">
            <w:fldChar w:fldCharType="separate"/>
          </w:r>
          <w:r w:rsidR="002464FE">
            <w:rPr>
              <w:noProof/>
              <w:lang w:val="en-US"/>
            </w:rPr>
            <w:t xml:space="preserve"> </w:t>
          </w:r>
          <w:r w:rsidR="002464FE" w:rsidRPr="002464FE">
            <w:rPr>
              <w:noProof/>
              <w:lang w:val="en-US"/>
            </w:rPr>
            <w:t>[13]</w:t>
          </w:r>
          <w:r w:rsidR="002464FE">
            <w:fldChar w:fldCharType="end"/>
          </w:r>
        </w:sdtContent>
      </w:sdt>
      <w:r>
        <w:t>.</w:t>
      </w:r>
    </w:p>
    <w:p w14:paraId="16EC1154" w14:textId="2DE91221" w:rsidR="00BB184A" w:rsidRDefault="009E4092" w:rsidP="00BB184A">
      <w:pPr>
        <w:pStyle w:val="ListParagraph"/>
        <w:numPr>
          <w:ilvl w:val="0"/>
          <w:numId w:val="7"/>
        </w:numPr>
      </w:pPr>
      <w:r>
        <w:t>Regularly run incident simulations to test the response plan’s effectiveness. Conducting tabletop exercises and live simulations will help identify gaps in the incident response plan and assess team readiness. These exercises should cover a range of scenarios, including data breaches, system outages, and ransomware attacks, ensuring that the response plan is robust and adaptable to evolving threats</w:t>
      </w:r>
      <w:sdt>
        <w:sdtPr>
          <w:id w:val="691959473"/>
          <w:citation/>
        </w:sdtPr>
        <w:sdtEndPr/>
        <w:sdtContent>
          <w:r w:rsidR="00476BE5">
            <w:fldChar w:fldCharType="begin"/>
          </w:r>
          <w:r w:rsidR="00476BE5">
            <w:rPr>
              <w:lang w:val="en-US"/>
            </w:rPr>
            <w:instrText xml:space="preserve"> CITATION Gen23 \l 1033 </w:instrText>
          </w:r>
          <w:r w:rsidR="00476BE5">
            <w:fldChar w:fldCharType="separate"/>
          </w:r>
          <w:r w:rsidR="00476BE5">
            <w:rPr>
              <w:noProof/>
              <w:lang w:val="en-US"/>
            </w:rPr>
            <w:t xml:space="preserve"> </w:t>
          </w:r>
          <w:r w:rsidR="00476BE5" w:rsidRPr="00476BE5">
            <w:rPr>
              <w:noProof/>
              <w:lang w:val="en-US"/>
            </w:rPr>
            <w:t>[1]</w:t>
          </w:r>
          <w:r w:rsidR="00476BE5">
            <w:fldChar w:fldCharType="end"/>
          </w:r>
        </w:sdtContent>
      </w:sdt>
      <w:sdt>
        <w:sdtPr>
          <w:id w:val="1087123728"/>
          <w:citation/>
        </w:sdtPr>
        <w:sdtEndPr/>
        <w:sdtContent>
          <w:r w:rsidR="005E3914">
            <w:fldChar w:fldCharType="begin"/>
          </w:r>
          <w:r w:rsidR="005E3914">
            <w:rPr>
              <w:lang w:val="en-US"/>
            </w:rPr>
            <w:instrText xml:space="preserve"> CITATION Kev19 \l 1033 </w:instrText>
          </w:r>
          <w:r w:rsidR="005E3914">
            <w:fldChar w:fldCharType="separate"/>
          </w:r>
          <w:r w:rsidR="005E3914">
            <w:rPr>
              <w:noProof/>
              <w:lang w:val="en-US"/>
            </w:rPr>
            <w:t xml:space="preserve"> </w:t>
          </w:r>
          <w:r w:rsidR="005E3914" w:rsidRPr="005E3914">
            <w:rPr>
              <w:noProof/>
              <w:lang w:val="en-US"/>
            </w:rPr>
            <w:t>[4]</w:t>
          </w:r>
          <w:r w:rsidR="005E3914">
            <w:fldChar w:fldCharType="end"/>
          </w:r>
        </w:sdtContent>
      </w:sdt>
      <w:sdt>
        <w:sdtPr>
          <w:id w:val="-185602802"/>
          <w:citation/>
        </w:sdtPr>
        <w:sdtEndPr/>
        <w:sdtContent>
          <w:r w:rsidR="003A429D">
            <w:fldChar w:fldCharType="begin"/>
          </w:r>
          <w:r w:rsidR="003A429D">
            <w:rPr>
              <w:lang w:val="en-US"/>
            </w:rPr>
            <w:instrText xml:space="preserve"> CITATION Cli89 \l 1033 </w:instrText>
          </w:r>
          <w:r w:rsidR="003A429D">
            <w:fldChar w:fldCharType="separate"/>
          </w:r>
          <w:r w:rsidR="003A429D">
            <w:rPr>
              <w:noProof/>
              <w:lang w:val="en-US"/>
            </w:rPr>
            <w:t xml:space="preserve"> </w:t>
          </w:r>
          <w:r w:rsidR="003A429D" w:rsidRPr="003A429D">
            <w:rPr>
              <w:noProof/>
              <w:lang w:val="en-US"/>
            </w:rPr>
            <w:t>[5]</w:t>
          </w:r>
          <w:r w:rsidR="003A429D">
            <w:fldChar w:fldCharType="end"/>
          </w:r>
        </w:sdtContent>
      </w:sdt>
      <w:r>
        <w:t>.</w:t>
      </w:r>
    </w:p>
    <w:p w14:paraId="42AD6B87" w14:textId="77777777" w:rsidR="00F26DF1" w:rsidRDefault="00F26DF1" w:rsidP="00F26DF1"/>
    <w:p w14:paraId="2ECCEA12" w14:textId="77777777" w:rsidR="00F26DF1" w:rsidRDefault="00F26DF1" w:rsidP="00F26DF1"/>
    <w:p w14:paraId="2A1E5E4B" w14:textId="77777777" w:rsidR="00F26DF1" w:rsidRDefault="00F26DF1" w:rsidP="00F26DF1"/>
    <w:p w14:paraId="4DF0C59D" w14:textId="77777777" w:rsidR="00F26DF1" w:rsidRDefault="00F26DF1" w:rsidP="00F26DF1"/>
    <w:p w14:paraId="7DE82762" w14:textId="77777777" w:rsidR="00F26DF1" w:rsidRDefault="00F26DF1" w:rsidP="00F26DF1"/>
    <w:p w14:paraId="2D9A035E" w14:textId="5210EF2C" w:rsidR="00BB184A" w:rsidRDefault="00BB184A" w:rsidP="00BB184A">
      <w:pPr>
        <w:pStyle w:val="Heading2"/>
      </w:pPr>
      <w:bookmarkStart w:id="12" w:name="_Toc183519288"/>
      <w:r w:rsidRPr="00BB184A">
        <w:lastRenderedPageBreak/>
        <w:t>7. Protection Mechanisms</w:t>
      </w:r>
      <w:bookmarkEnd w:id="12"/>
    </w:p>
    <w:p w14:paraId="13FDAD1F" w14:textId="6811158B" w:rsidR="00BB184A" w:rsidRDefault="00BB184A" w:rsidP="00BB184A">
      <w:r w:rsidRPr="00BB184A">
        <w:t>Protection mechanisms safeguard data and network resources from unauthorized access and threats. NG should deploy a combination of physical, network, and application security mechanisms to secure its systems and assets</w:t>
      </w:r>
      <w:sdt>
        <w:sdtPr>
          <w:id w:val="-1285879800"/>
          <w:citation/>
        </w:sdtPr>
        <w:sdtEndPr/>
        <w:sdtContent>
          <w:r w:rsidR="00353582">
            <w:fldChar w:fldCharType="begin"/>
          </w:r>
          <w:r w:rsidR="00353582">
            <w:rPr>
              <w:lang w:val="en-US"/>
            </w:rPr>
            <w:instrText xml:space="preserve"> CITATION Rub01 \l 1033 </w:instrText>
          </w:r>
          <w:r w:rsidR="00353582">
            <w:fldChar w:fldCharType="separate"/>
          </w:r>
          <w:r w:rsidR="00353582">
            <w:rPr>
              <w:noProof/>
              <w:lang w:val="en-US"/>
            </w:rPr>
            <w:t xml:space="preserve"> </w:t>
          </w:r>
          <w:r w:rsidR="00353582" w:rsidRPr="00353582">
            <w:rPr>
              <w:noProof/>
              <w:lang w:val="en-US"/>
            </w:rPr>
            <w:t>[5]</w:t>
          </w:r>
          <w:r w:rsidR="00353582">
            <w:fldChar w:fldCharType="end"/>
          </w:r>
        </w:sdtContent>
      </w:sdt>
      <w:r w:rsidRPr="00BB184A">
        <w:t>.</w:t>
      </w:r>
    </w:p>
    <w:p w14:paraId="30A5AD2C" w14:textId="77777777" w:rsidR="006D112B" w:rsidRPr="001F1E83" w:rsidRDefault="006D112B" w:rsidP="006D112B">
      <w:pPr>
        <w:rPr>
          <w:b/>
          <w:bCs/>
          <w:i/>
          <w:iCs/>
        </w:rPr>
      </w:pPr>
      <w:r w:rsidRPr="001F1E83">
        <w:rPr>
          <w:b/>
          <w:bCs/>
          <w:i/>
          <w:iCs/>
        </w:rPr>
        <w:t>How to Approach:</w:t>
      </w:r>
    </w:p>
    <w:p w14:paraId="11669A3F" w14:textId="25D62C32" w:rsidR="00BB184A" w:rsidRPr="003046A0" w:rsidRDefault="003046A0" w:rsidP="00BB184A">
      <w:pPr>
        <w:rPr>
          <w:b/>
          <w:bCs/>
        </w:rPr>
      </w:pPr>
      <w:r w:rsidRPr="003046A0">
        <w:rPr>
          <w:b/>
          <w:bCs/>
        </w:rPr>
        <w:t>Network Security:</w:t>
      </w:r>
    </w:p>
    <w:p w14:paraId="1D64E4B4" w14:textId="5600537F" w:rsidR="003046A0" w:rsidRDefault="00F62F57" w:rsidP="003046A0">
      <w:pPr>
        <w:pStyle w:val="ListParagraph"/>
        <w:numPr>
          <w:ilvl w:val="0"/>
          <w:numId w:val="7"/>
        </w:numPr>
      </w:pPr>
      <w:r w:rsidRPr="00F62F57">
        <w:t>Use firewalls, VPNs, and Zero Trust Networks to ensure secure access to internal resources. Firewalls act as the first line of defence, monitoring and filtering incoming and outgoing traffic based on predefined security rules. VPNs create encrypted tunnels for remote employees, ensuring secure communication over potentially unsecured networks. Zero Trust Networks, on the other hand, assume that threats exist both outside and inside the network, requiring continuous verification of users and devices before granting access to any resources, thus minimizing the risk of unauthorized access or lateral movement within the network. This multi-layered approach ensures robust security for NG’s network infrastructure</w:t>
      </w:r>
      <w:sdt>
        <w:sdtPr>
          <w:id w:val="-622156053"/>
          <w:citation/>
        </w:sdtPr>
        <w:sdtContent>
          <w:r w:rsidR="00F56C1F">
            <w:fldChar w:fldCharType="begin"/>
          </w:r>
          <w:r w:rsidR="00F56C1F">
            <w:rPr>
              <w:lang w:val="en-US"/>
            </w:rPr>
            <w:instrText xml:space="preserve"> CITATION Ric12 \l 1033 </w:instrText>
          </w:r>
          <w:r w:rsidR="00F56C1F">
            <w:fldChar w:fldCharType="separate"/>
          </w:r>
          <w:r w:rsidR="00F56C1F">
            <w:rPr>
              <w:noProof/>
              <w:lang w:val="en-US"/>
            </w:rPr>
            <w:t xml:space="preserve"> </w:t>
          </w:r>
          <w:r w:rsidR="00F56C1F" w:rsidRPr="00F56C1F">
            <w:rPr>
              <w:noProof/>
              <w:lang w:val="en-US"/>
            </w:rPr>
            <w:t>[15]</w:t>
          </w:r>
          <w:r w:rsidR="00F56C1F">
            <w:fldChar w:fldCharType="end"/>
          </w:r>
        </w:sdtContent>
      </w:sdt>
      <w:r w:rsidRPr="00F62F57">
        <w:t>.</w:t>
      </w:r>
    </w:p>
    <w:p w14:paraId="7C33A7A0" w14:textId="79E0E7B3" w:rsidR="003046A0" w:rsidRDefault="009E4092" w:rsidP="003046A0">
      <w:pPr>
        <w:pStyle w:val="ListParagraph"/>
        <w:numPr>
          <w:ilvl w:val="0"/>
          <w:numId w:val="7"/>
        </w:numPr>
      </w:pPr>
      <w:r w:rsidRPr="009E4092">
        <w:t xml:space="preserve">Encryption ensures that sensitive data transmitted over the network remains unreadable to unauthorized parties, even if intercepted. This protects customer data, intellectual property, and communications from man-in-the-middle attacks, ensuring confidentiality and </w:t>
      </w:r>
      <w:r w:rsidR="00476BE5" w:rsidRPr="009E4092">
        <w:t>integrity</w:t>
      </w:r>
      <w:sdt>
        <w:sdtPr>
          <w:id w:val="2133893273"/>
          <w:citation/>
        </w:sdtPr>
        <w:sdtEndPr/>
        <w:sdtContent>
          <w:r w:rsidR="001050CC">
            <w:fldChar w:fldCharType="begin"/>
          </w:r>
          <w:r w:rsidR="001050CC">
            <w:rPr>
              <w:lang w:val="en-US"/>
            </w:rPr>
            <w:instrText xml:space="preserve"> CITATION Raj \l 1033 </w:instrText>
          </w:r>
          <w:r w:rsidR="001050CC">
            <w:fldChar w:fldCharType="separate"/>
          </w:r>
          <w:r w:rsidR="001050CC">
            <w:rPr>
              <w:noProof/>
              <w:lang w:val="en-US"/>
            </w:rPr>
            <w:t xml:space="preserve"> </w:t>
          </w:r>
          <w:r w:rsidR="001050CC" w:rsidRPr="001050CC">
            <w:rPr>
              <w:noProof/>
              <w:lang w:val="en-US"/>
            </w:rPr>
            <w:t>[7]</w:t>
          </w:r>
          <w:r w:rsidR="001050CC">
            <w:fldChar w:fldCharType="end"/>
          </w:r>
        </w:sdtContent>
      </w:sdt>
      <w:r w:rsidR="00476BE5" w:rsidRPr="009E4092">
        <w:t>.</w:t>
      </w:r>
    </w:p>
    <w:p w14:paraId="4926EB70" w14:textId="0C56252E" w:rsidR="003046A0" w:rsidRPr="00674C50" w:rsidRDefault="00674C50" w:rsidP="003046A0">
      <w:pPr>
        <w:rPr>
          <w:b/>
          <w:bCs/>
        </w:rPr>
      </w:pPr>
      <w:r w:rsidRPr="00674C50">
        <w:rPr>
          <w:b/>
          <w:bCs/>
        </w:rPr>
        <w:t>Endpoint Security:</w:t>
      </w:r>
    </w:p>
    <w:p w14:paraId="4D6F00F8" w14:textId="50C23273" w:rsidR="004E2DC3" w:rsidRDefault="00674C50" w:rsidP="004E2DC3">
      <w:pPr>
        <w:pStyle w:val="ListParagraph"/>
        <w:numPr>
          <w:ilvl w:val="0"/>
          <w:numId w:val="7"/>
        </w:numPr>
      </w:pPr>
      <w:r w:rsidRPr="00674C50">
        <w:t>Use anti-virus software and mobile device management (MDM) tools to ensure devices, including employee personal devices (BYOD), comply with security standards before they access company networks.</w:t>
      </w:r>
    </w:p>
    <w:p w14:paraId="7B66F6AA" w14:textId="148CE96D" w:rsidR="00674C50" w:rsidRDefault="00560017" w:rsidP="0034767D">
      <w:pPr>
        <w:pStyle w:val="Heading2"/>
      </w:pPr>
      <w:bookmarkStart w:id="13" w:name="_Toc183519289"/>
      <w:r w:rsidRPr="00560017">
        <w:t>8. Service Level Agreements (SLA)</w:t>
      </w:r>
      <w:bookmarkEnd w:id="13"/>
    </w:p>
    <w:p w14:paraId="453552C2" w14:textId="1A617235" w:rsidR="00560017" w:rsidRDefault="00560017" w:rsidP="00674C50">
      <w:r w:rsidRPr="00560017">
        <w:t>SLAs formalize expectations for security and service provision between NG and its service providers. By setting measurable criteria for security and performance, NG can ensure that its vendors meet the necessary security standards.</w:t>
      </w:r>
    </w:p>
    <w:p w14:paraId="1E65528D" w14:textId="77777777" w:rsidR="001D7691" w:rsidRPr="001F1E83" w:rsidRDefault="001D7691" w:rsidP="001D7691">
      <w:pPr>
        <w:rPr>
          <w:b/>
          <w:bCs/>
          <w:i/>
          <w:iCs/>
        </w:rPr>
      </w:pPr>
      <w:r w:rsidRPr="001F1E83">
        <w:rPr>
          <w:b/>
          <w:bCs/>
          <w:i/>
          <w:iCs/>
        </w:rPr>
        <w:t>How to Approach:</w:t>
      </w:r>
    </w:p>
    <w:p w14:paraId="396799B1" w14:textId="76251721" w:rsidR="00560017" w:rsidRPr="008F5386" w:rsidRDefault="008F5386" w:rsidP="00674C50">
      <w:pPr>
        <w:rPr>
          <w:b/>
          <w:bCs/>
        </w:rPr>
      </w:pPr>
      <w:r w:rsidRPr="008F5386">
        <w:rPr>
          <w:b/>
          <w:bCs/>
        </w:rPr>
        <w:t>Defining SLA Terms:</w:t>
      </w:r>
    </w:p>
    <w:p w14:paraId="201CE2A8" w14:textId="21CF7086" w:rsidR="00F62F57" w:rsidRDefault="00F62F57" w:rsidP="00F62F57">
      <w:pPr>
        <w:pStyle w:val="ListParagraph"/>
        <w:numPr>
          <w:ilvl w:val="0"/>
          <w:numId w:val="7"/>
        </w:numPr>
      </w:pPr>
      <w:r w:rsidRPr="00F62F57">
        <w:t>Ensure that SLAs specify uptime guarantees, incident response times, and the security measures providers must adhere to. These terms should also outline clear penalties for non-compliance, such as service credits or financial penalties if agreed-upon security standards or uptime commitments are not met. Additionally, SLAs should detail the disaster recovery and business continuity plans the provider must have in place, including expected recovery time objectives (RTO) and recovery point objectives (RPO). The inclusion of data breach notification protocols is essential to ensure that both parties act swiftly in the event of a security incident or data compromise</w:t>
      </w:r>
      <w:sdt>
        <w:sdtPr>
          <w:id w:val="846220286"/>
          <w:citation/>
        </w:sdtPr>
        <w:sdtEndPr/>
        <w:sdtContent>
          <w:r w:rsidR="00476BE5">
            <w:fldChar w:fldCharType="begin"/>
          </w:r>
          <w:r w:rsidR="00476BE5">
            <w:rPr>
              <w:lang w:val="en-US"/>
            </w:rPr>
            <w:instrText xml:space="preserve"> CITATION Gen23 \l 1033 </w:instrText>
          </w:r>
          <w:r w:rsidR="00476BE5">
            <w:fldChar w:fldCharType="separate"/>
          </w:r>
          <w:r w:rsidR="00476BE5">
            <w:rPr>
              <w:noProof/>
              <w:lang w:val="en-US"/>
            </w:rPr>
            <w:t xml:space="preserve"> </w:t>
          </w:r>
          <w:r w:rsidR="00476BE5" w:rsidRPr="00476BE5">
            <w:rPr>
              <w:noProof/>
              <w:lang w:val="en-US"/>
            </w:rPr>
            <w:t>[1]</w:t>
          </w:r>
          <w:r w:rsidR="00476BE5">
            <w:fldChar w:fldCharType="end"/>
          </w:r>
        </w:sdtContent>
      </w:sdt>
      <w:sdt>
        <w:sdtPr>
          <w:id w:val="1641841757"/>
          <w:citation/>
        </w:sdtPr>
        <w:sdtEndPr/>
        <w:sdtContent>
          <w:r w:rsidR="00476BE5">
            <w:fldChar w:fldCharType="begin"/>
          </w:r>
          <w:r w:rsidR="00476BE5">
            <w:rPr>
              <w:lang w:val="en-US"/>
            </w:rPr>
            <w:instrText xml:space="preserve"> CITATION Bru21 \l 1033 </w:instrText>
          </w:r>
          <w:r w:rsidR="00476BE5">
            <w:fldChar w:fldCharType="separate"/>
          </w:r>
          <w:r w:rsidR="00476BE5">
            <w:rPr>
              <w:noProof/>
              <w:lang w:val="en-US"/>
            </w:rPr>
            <w:t xml:space="preserve"> </w:t>
          </w:r>
          <w:r w:rsidR="00476BE5" w:rsidRPr="00476BE5">
            <w:rPr>
              <w:noProof/>
              <w:lang w:val="en-US"/>
            </w:rPr>
            <w:t>[2]</w:t>
          </w:r>
          <w:r w:rsidR="00476BE5">
            <w:fldChar w:fldCharType="end"/>
          </w:r>
        </w:sdtContent>
      </w:sdt>
      <w:r w:rsidRPr="00F62F57">
        <w:t>.</w:t>
      </w:r>
    </w:p>
    <w:p w14:paraId="07707E45" w14:textId="6047A30B" w:rsidR="008F5386" w:rsidRPr="000046AB" w:rsidRDefault="000046AB" w:rsidP="008F5386">
      <w:pPr>
        <w:rPr>
          <w:b/>
          <w:bCs/>
        </w:rPr>
      </w:pPr>
      <w:r w:rsidRPr="000046AB">
        <w:rPr>
          <w:b/>
          <w:bCs/>
        </w:rPr>
        <w:lastRenderedPageBreak/>
        <w:t>Monitoring and Enforcement:</w:t>
      </w:r>
    </w:p>
    <w:p w14:paraId="41871DEC" w14:textId="77777777" w:rsidR="00F62F57" w:rsidRDefault="00F62F57" w:rsidP="000046AB">
      <w:pPr>
        <w:pStyle w:val="Heading2"/>
        <w:rPr>
          <w:rFonts w:asciiTheme="minorHAnsi" w:eastAsiaTheme="minorHAnsi" w:hAnsiTheme="minorHAnsi" w:cstheme="minorBidi"/>
          <w:color w:val="auto"/>
          <w:sz w:val="22"/>
          <w:szCs w:val="22"/>
        </w:rPr>
      </w:pPr>
      <w:bookmarkStart w:id="14" w:name="_Toc183519290"/>
      <w:r w:rsidRPr="00F62F57">
        <w:rPr>
          <w:rFonts w:asciiTheme="minorHAnsi" w:eastAsiaTheme="minorHAnsi" w:hAnsiTheme="minorHAnsi" w:cstheme="minorBidi"/>
          <w:color w:val="auto"/>
          <w:sz w:val="22"/>
          <w:szCs w:val="22"/>
        </w:rPr>
        <w:t>Use monitoring tools to track vendor performance and ensure compliance with agreed-upon service levels. These tools should provide real-time insights into the availability, response times, and security measures of vendor services. Implement automated alerts for any deviations from SLA terms, such as downtime or delayed incident resolution. Additionally, establish a regular audit schedule to review vendor performance against the agreed-upon KPIs and security compliance requirements. It’s important to document all incidents of non-compliance, and use these records to hold vendors accountable, ensuring that corrective actions are taken promptly. This proactive monitoring helps maintain high service standards and reduces the risk of security breaches.</w:t>
      </w:r>
    </w:p>
    <w:p w14:paraId="743EA7D1" w14:textId="0F300D9E" w:rsidR="000046AB" w:rsidRDefault="000046AB" w:rsidP="000046AB">
      <w:pPr>
        <w:pStyle w:val="Heading2"/>
      </w:pPr>
      <w:r>
        <w:t>Conclusion</w:t>
      </w:r>
      <w:bookmarkEnd w:id="14"/>
      <w:r>
        <w:t xml:space="preserve"> </w:t>
      </w:r>
    </w:p>
    <w:p w14:paraId="2661F14B" w14:textId="6E7D177F" w:rsidR="00BB184A" w:rsidRPr="000046AB" w:rsidRDefault="000046AB" w:rsidP="00BB184A">
      <w:pPr>
        <w:rPr>
          <w:b/>
          <w:bCs/>
        </w:rPr>
      </w:pPr>
      <w:r w:rsidRPr="000046AB">
        <w:rPr>
          <w:b/>
          <w:bCs/>
        </w:rPr>
        <w:t>Regular Updates Are Essential</w:t>
      </w:r>
    </w:p>
    <w:p w14:paraId="2C0A7F85" w14:textId="77777777" w:rsidR="00F62F57" w:rsidRPr="00F62F57" w:rsidRDefault="00F62F57" w:rsidP="00F62F57">
      <w:r w:rsidRPr="00F62F57">
        <w:t>Given the evolving nature of cybersecurity threats, it is crucial to constantly update standards and regulations to stay ahead of new risks. For NG, continuously updating security policies and practices is vital for adapting to new technological trends, such as the Internet of Things (IoT), artificial intelligence (AI), and quantum computing. These technologies introduce unique vulnerabilities and require tailored security protocols. Regular updates ensure that security remains relevant and adaptive, addressing emerging threats such as sophisticated cyber-attacks, zero-day vulnerabilities, and the growing risks associated with interconnected devices. Furthermore, regularly updating security measures allows NG to maintain compliance with new regulations and industry best practices, ensuring the integrity of its data protection strategies and minimizing the risk of breaches. This continuous evolution of security standards not only protects NG’s infrastructure but also reinforces trust with customers, partners, and stakeholders.</w:t>
      </w:r>
    </w:p>
    <w:p w14:paraId="0620D501" w14:textId="77777777" w:rsidR="00463788" w:rsidRDefault="00463788" w:rsidP="000046AB">
      <w:pPr>
        <w:rPr>
          <w:rFonts w:cstheme="minorHAnsi"/>
          <w:color w:val="0070C0"/>
          <w:sz w:val="32"/>
          <w:szCs w:val="32"/>
        </w:rPr>
      </w:pPr>
    </w:p>
    <w:p w14:paraId="055EF65D" w14:textId="77777777" w:rsidR="00F26DF1" w:rsidRDefault="00F26DF1" w:rsidP="000046AB">
      <w:pPr>
        <w:rPr>
          <w:rFonts w:cstheme="minorHAnsi"/>
          <w:color w:val="0070C0"/>
          <w:sz w:val="32"/>
          <w:szCs w:val="32"/>
        </w:rPr>
      </w:pPr>
    </w:p>
    <w:p w14:paraId="274EB480" w14:textId="77777777" w:rsidR="00F26DF1" w:rsidRDefault="00F26DF1" w:rsidP="000046AB">
      <w:pPr>
        <w:rPr>
          <w:rFonts w:cstheme="minorHAnsi"/>
          <w:color w:val="0070C0"/>
          <w:sz w:val="32"/>
          <w:szCs w:val="32"/>
        </w:rPr>
      </w:pPr>
    </w:p>
    <w:p w14:paraId="000DA536" w14:textId="77777777" w:rsidR="00F26DF1" w:rsidRDefault="00F26DF1" w:rsidP="000046AB">
      <w:pPr>
        <w:rPr>
          <w:rFonts w:cstheme="minorHAnsi"/>
          <w:color w:val="0070C0"/>
          <w:sz w:val="32"/>
          <w:szCs w:val="32"/>
        </w:rPr>
      </w:pPr>
    </w:p>
    <w:p w14:paraId="1BC15471" w14:textId="77777777" w:rsidR="00F26DF1" w:rsidRDefault="00F26DF1" w:rsidP="000046AB">
      <w:pPr>
        <w:rPr>
          <w:rFonts w:cstheme="minorHAnsi"/>
          <w:color w:val="0070C0"/>
          <w:sz w:val="32"/>
          <w:szCs w:val="32"/>
        </w:rPr>
      </w:pPr>
    </w:p>
    <w:p w14:paraId="55407A9C" w14:textId="77777777" w:rsidR="00F26DF1" w:rsidRDefault="00F26DF1" w:rsidP="000046AB">
      <w:pPr>
        <w:rPr>
          <w:rFonts w:cstheme="minorHAnsi"/>
          <w:color w:val="0070C0"/>
          <w:sz w:val="32"/>
          <w:szCs w:val="32"/>
        </w:rPr>
      </w:pPr>
    </w:p>
    <w:p w14:paraId="3C239C1E" w14:textId="77777777" w:rsidR="00F26DF1" w:rsidRDefault="00F26DF1" w:rsidP="000046AB">
      <w:pPr>
        <w:rPr>
          <w:rFonts w:cstheme="minorHAnsi"/>
          <w:color w:val="0070C0"/>
          <w:sz w:val="32"/>
          <w:szCs w:val="32"/>
        </w:rPr>
      </w:pPr>
    </w:p>
    <w:p w14:paraId="6B600BBA" w14:textId="77777777" w:rsidR="00F26DF1" w:rsidRDefault="00F26DF1" w:rsidP="000046AB">
      <w:pPr>
        <w:rPr>
          <w:rFonts w:cstheme="minorHAnsi"/>
          <w:color w:val="0070C0"/>
          <w:sz w:val="32"/>
          <w:szCs w:val="32"/>
        </w:rPr>
      </w:pPr>
    </w:p>
    <w:bookmarkStart w:id="15" w:name="_Toc183519291" w:displacedByCustomXml="next"/>
    <w:sdt>
      <w:sdtPr>
        <w:rPr>
          <w:rFonts w:asciiTheme="minorHAnsi" w:eastAsiaTheme="minorHAnsi" w:hAnsiTheme="minorHAnsi" w:cstheme="minorBidi"/>
          <w:color w:val="auto"/>
          <w:sz w:val="22"/>
          <w:szCs w:val="22"/>
        </w:rPr>
        <w:id w:val="-977455170"/>
        <w:docPartObj>
          <w:docPartGallery w:val="Bibliographies"/>
          <w:docPartUnique/>
        </w:docPartObj>
      </w:sdtPr>
      <w:sdtEndPr/>
      <w:sdtContent>
        <w:p w14:paraId="6125B588" w14:textId="42AB25E9" w:rsidR="00463788" w:rsidRDefault="00463788">
          <w:pPr>
            <w:pStyle w:val="Heading1"/>
          </w:pPr>
          <w:r>
            <w:t>Bibliography</w:t>
          </w:r>
          <w:bookmarkEnd w:id="15"/>
        </w:p>
        <w:sdt>
          <w:sdtPr>
            <w:id w:val="111145805"/>
            <w:bibliography/>
          </w:sdtPr>
          <w:sdtEndPr/>
          <w:sdtContent>
            <w:p w14:paraId="7EB20250" w14:textId="43CDA120" w:rsidR="00463788" w:rsidRDefault="00463788">
              <w:r>
                <w:fldChar w:fldCharType="begin"/>
              </w:r>
              <w:r>
                <w:instrText xml:space="preserve"> BIBLIOGRAPHY </w:instrText>
              </w:r>
              <w:r>
                <w:fldChar w:fldCharType="separate"/>
              </w:r>
              <w:r>
                <w:rPr>
                  <w:b/>
                  <w:bCs/>
                  <w:noProof/>
                  <w:lang w:val="en-US"/>
                </w:rPr>
                <w:t>There are no sources in the current document.</w:t>
              </w:r>
              <w:r>
                <w:rPr>
                  <w:b/>
                  <w:bCs/>
                  <w:noProof/>
                </w:rPr>
                <w:fldChar w:fldCharType="end"/>
              </w:r>
            </w:p>
          </w:sdtContent>
        </w:sdt>
      </w:sdtContent>
    </w:sdt>
    <w:p w14:paraId="5CE3FD64" w14:textId="77777777" w:rsidR="00463788" w:rsidRDefault="00463788" w:rsidP="00463788">
      <w:pPr>
        <w:rPr>
          <w:rFonts w:cstheme="minorHAnsi"/>
          <w:color w:val="0070C0"/>
          <w:sz w:val="32"/>
          <w:szCs w:val="32"/>
        </w:rPr>
      </w:pPr>
    </w:p>
    <w:p w14:paraId="1B1796C7" w14:textId="77777777" w:rsidR="00463788" w:rsidRDefault="00463788" w:rsidP="00463788">
      <w:pPr>
        <w:jc w:val="right"/>
        <w:rPr>
          <w:rFonts w:cstheme="minorHAnsi"/>
          <w:color w:val="0070C0"/>
          <w:sz w:val="32"/>
          <w:szCs w:val="32"/>
        </w:rPr>
      </w:pPr>
    </w:p>
    <w:p w14:paraId="632D27C5" w14:textId="77777777" w:rsidR="00463788" w:rsidRDefault="00463788" w:rsidP="00463788">
      <w:pPr>
        <w:jc w:val="right"/>
        <w:rPr>
          <w:rFonts w:cstheme="minorHAnsi"/>
          <w:color w:val="0070C0"/>
          <w:sz w:val="32"/>
          <w:szCs w:val="32"/>
        </w:rPr>
      </w:pPr>
    </w:p>
    <w:p w14:paraId="1465E097" w14:textId="77777777" w:rsidR="00463788" w:rsidRDefault="00463788" w:rsidP="00463788">
      <w:pPr>
        <w:jc w:val="right"/>
      </w:pPr>
    </w:p>
    <w:sectPr w:rsidR="00463788">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A9D1F60" w14:textId="77777777" w:rsidR="001D181E" w:rsidRDefault="001D181E" w:rsidP="00463788">
      <w:pPr>
        <w:spacing w:after="0" w:line="240" w:lineRule="auto"/>
      </w:pPr>
      <w:r>
        <w:separator/>
      </w:r>
    </w:p>
  </w:endnote>
  <w:endnote w:type="continuationSeparator" w:id="0">
    <w:p w14:paraId="238BF44B" w14:textId="77777777" w:rsidR="001D181E" w:rsidRDefault="001D181E" w:rsidP="004637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05AB50C" w14:textId="77777777" w:rsidR="00463788" w:rsidRDefault="00463788" w:rsidP="00463788">
    <w:pPr>
      <w:pStyle w:val="Heading1"/>
      <w:jc w:val="center"/>
      <w:rPr>
        <w:rFonts w:asciiTheme="minorHAnsi" w:hAnsiTheme="minorHAnsi" w:cstheme="minorHAnsi"/>
      </w:rPr>
    </w:pPr>
    <w:r w:rsidRPr="00463788">
      <w:rPr>
        <w:rFonts w:asciiTheme="minorHAnsi" w:hAnsiTheme="minorHAnsi" w:cstheme="minorHAnsi"/>
      </w:rPr>
      <w:t>Data Security, Governance and Compliance</w:t>
    </w:r>
  </w:p>
  <w:p w14:paraId="5F161665" w14:textId="77777777" w:rsidR="00463788" w:rsidRDefault="004637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AFEFBFA" w14:textId="77777777" w:rsidR="001D181E" w:rsidRDefault="001D181E" w:rsidP="00463788">
      <w:pPr>
        <w:spacing w:after="0" w:line="240" w:lineRule="auto"/>
      </w:pPr>
      <w:r>
        <w:separator/>
      </w:r>
    </w:p>
  </w:footnote>
  <w:footnote w:type="continuationSeparator" w:id="0">
    <w:p w14:paraId="6A482E24" w14:textId="77777777" w:rsidR="001D181E" w:rsidRDefault="001D181E" w:rsidP="004637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2E07DD3" w14:textId="77777777" w:rsidR="00463788" w:rsidRDefault="00463788" w:rsidP="00463788">
    <w:pPr>
      <w:pStyle w:val="Heading1"/>
      <w:jc w:val="center"/>
      <w:rPr>
        <w:rFonts w:asciiTheme="minorHAnsi" w:hAnsiTheme="minorHAnsi" w:cstheme="minorHAnsi"/>
      </w:rPr>
    </w:pPr>
    <w:r w:rsidRPr="00463788">
      <w:rPr>
        <w:rFonts w:asciiTheme="minorHAnsi" w:hAnsiTheme="minorHAnsi" w:cstheme="minorHAnsi"/>
      </w:rPr>
      <w:t>Data Security, Governance and Compliance</w:t>
    </w:r>
  </w:p>
  <w:p w14:paraId="672C0F77" w14:textId="77777777" w:rsidR="00463788" w:rsidRDefault="00463788">
    <w:pPr>
      <w:pStyle w:val="Header"/>
    </w:pPr>
  </w:p>
  <w:p w14:paraId="395705C5" w14:textId="77777777" w:rsidR="00463788" w:rsidRDefault="0046378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6A359F"/>
    <w:multiLevelType w:val="hybridMultilevel"/>
    <w:tmpl w:val="54FCAF2C"/>
    <w:lvl w:ilvl="0" w:tplc="1866464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946590"/>
    <w:multiLevelType w:val="hybridMultilevel"/>
    <w:tmpl w:val="B68E0B78"/>
    <w:lvl w:ilvl="0" w:tplc="927292FE">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FA1874"/>
    <w:multiLevelType w:val="hybridMultilevel"/>
    <w:tmpl w:val="5D144776"/>
    <w:lvl w:ilvl="0" w:tplc="6D749A48">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BA22D9"/>
    <w:multiLevelType w:val="hybridMultilevel"/>
    <w:tmpl w:val="F57890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4440443"/>
    <w:multiLevelType w:val="hybridMultilevel"/>
    <w:tmpl w:val="8ACAEBEC"/>
    <w:lvl w:ilvl="0" w:tplc="DAA47BF2">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7192172"/>
    <w:multiLevelType w:val="hybridMultilevel"/>
    <w:tmpl w:val="90EC3E64"/>
    <w:lvl w:ilvl="0" w:tplc="E8E64D94">
      <w:start w:val="1"/>
      <w:numFmt w:val="bullet"/>
      <w:lvlText w:val=""/>
      <w:lvlJc w:val="left"/>
      <w:pPr>
        <w:ind w:left="1080" w:hanging="360"/>
      </w:pPr>
      <w:rPr>
        <w:rFonts w:ascii="Symbol" w:eastAsiaTheme="minorHAnsi" w:hAnsi="Symbol"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60822C00"/>
    <w:multiLevelType w:val="hybridMultilevel"/>
    <w:tmpl w:val="3C98FF94"/>
    <w:lvl w:ilvl="0" w:tplc="917E0B9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4F96C6F"/>
    <w:multiLevelType w:val="hybridMultilevel"/>
    <w:tmpl w:val="11D205CA"/>
    <w:lvl w:ilvl="0" w:tplc="9A8E9EA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6B259B5"/>
    <w:multiLevelType w:val="hybridMultilevel"/>
    <w:tmpl w:val="A004523A"/>
    <w:lvl w:ilvl="0" w:tplc="F4C825E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7820483B"/>
    <w:multiLevelType w:val="hybridMultilevel"/>
    <w:tmpl w:val="961E760C"/>
    <w:lvl w:ilvl="0" w:tplc="2C202774">
      <w:start w:val="1"/>
      <w:numFmt w:val="decimal"/>
      <w:lvlText w:val="%1.)"/>
      <w:lvlJc w:val="left"/>
      <w:pPr>
        <w:ind w:left="1080" w:hanging="360"/>
      </w:pPr>
      <w:rPr>
        <w:rFonts w:asciiTheme="minorHAnsi" w:eastAsiaTheme="minorHAnsi" w:hAnsiTheme="minorHAnsi" w:cstheme="minorBidi"/>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307203592">
    <w:abstractNumId w:val="3"/>
  </w:num>
  <w:num w:numId="2" w16cid:durableId="907500409">
    <w:abstractNumId w:val="9"/>
  </w:num>
  <w:num w:numId="3" w16cid:durableId="852301217">
    <w:abstractNumId w:val="8"/>
  </w:num>
  <w:num w:numId="4" w16cid:durableId="1239092433">
    <w:abstractNumId w:val="7"/>
  </w:num>
  <w:num w:numId="5" w16cid:durableId="1229339780">
    <w:abstractNumId w:val="6"/>
  </w:num>
  <w:num w:numId="6" w16cid:durableId="1066027032">
    <w:abstractNumId w:val="0"/>
  </w:num>
  <w:num w:numId="7" w16cid:durableId="1214925060">
    <w:abstractNumId w:val="4"/>
  </w:num>
  <w:num w:numId="8" w16cid:durableId="1531642709">
    <w:abstractNumId w:val="5"/>
  </w:num>
  <w:num w:numId="9" w16cid:durableId="945695995">
    <w:abstractNumId w:val="1"/>
  </w:num>
  <w:num w:numId="10" w16cid:durableId="130254008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3788"/>
    <w:rsid w:val="000046AB"/>
    <w:rsid w:val="00025F7D"/>
    <w:rsid w:val="00047471"/>
    <w:rsid w:val="000F6BB5"/>
    <w:rsid w:val="001050CC"/>
    <w:rsid w:val="0011384C"/>
    <w:rsid w:val="00143B3B"/>
    <w:rsid w:val="001542F3"/>
    <w:rsid w:val="001D09C6"/>
    <w:rsid w:val="001D181E"/>
    <w:rsid w:val="001D7691"/>
    <w:rsid w:val="001F1E83"/>
    <w:rsid w:val="00242990"/>
    <w:rsid w:val="002464FE"/>
    <w:rsid w:val="002914A8"/>
    <w:rsid w:val="00295A13"/>
    <w:rsid w:val="002A7C2C"/>
    <w:rsid w:val="002F5A44"/>
    <w:rsid w:val="003046A0"/>
    <w:rsid w:val="0033222E"/>
    <w:rsid w:val="0034767D"/>
    <w:rsid w:val="00353582"/>
    <w:rsid w:val="003904E2"/>
    <w:rsid w:val="00392274"/>
    <w:rsid w:val="003A429D"/>
    <w:rsid w:val="003F73F1"/>
    <w:rsid w:val="00416485"/>
    <w:rsid w:val="00463788"/>
    <w:rsid w:val="00474100"/>
    <w:rsid w:val="00476BE5"/>
    <w:rsid w:val="00483664"/>
    <w:rsid w:val="004C20D8"/>
    <w:rsid w:val="004E2DC3"/>
    <w:rsid w:val="00560017"/>
    <w:rsid w:val="005D0D81"/>
    <w:rsid w:val="005E337B"/>
    <w:rsid w:val="005E3914"/>
    <w:rsid w:val="005E62FF"/>
    <w:rsid w:val="005F3310"/>
    <w:rsid w:val="006262E3"/>
    <w:rsid w:val="006361F0"/>
    <w:rsid w:val="00674C50"/>
    <w:rsid w:val="006C368E"/>
    <w:rsid w:val="006D112B"/>
    <w:rsid w:val="006D77BF"/>
    <w:rsid w:val="00710183"/>
    <w:rsid w:val="00722E31"/>
    <w:rsid w:val="00725455"/>
    <w:rsid w:val="00742A61"/>
    <w:rsid w:val="007C0FA6"/>
    <w:rsid w:val="007C5D3F"/>
    <w:rsid w:val="00816AFA"/>
    <w:rsid w:val="0082697F"/>
    <w:rsid w:val="00834A0D"/>
    <w:rsid w:val="008568B8"/>
    <w:rsid w:val="00897520"/>
    <w:rsid w:val="008F5386"/>
    <w:rsid w:val="008F79BA"/>
    <w:rsid w:val="00934A8C"/>
    <w:rsid w:val="00986F02"/>
    <w:rsid w:val="00991293"/>
    <w:rsid w:val="009B439A"/>
    <w:rsid w:val="009E4092"/>
    <w:rsid w:val="00A32DC8"/>
    <w:rsid w:val="00B5021D"/>
    <w:rsid w:val="00B63472"/>
    <w:rsid w:val="00B70A5C"/>
    <w:rsid w:val="00BB184A"/>
    <w:rsid w:val="00BD261F"/>
    <w:rsid w:val="00C1659A"/>
    <w:rsid w:val="00C1741C"/>
    <w:rsid w:val="00C434F7"/>
    <w:rsid w:val="00C47109"/>
    <w:rsid w:val="00D1389B"/>
    <w:rsid w:val="00D33A92"/>
    <w:rsid w:val="00D87221"/>
    <w:rsid w:val="00DC58ED"/>
    <w:rsid w:val="00DF79FA"/>
    <w:rsid w:val="00E12884"/>
    <w:rsid w:val="00E77349"/>
    <w:rsid w:val="00E851DA"/>
    <w:rsid w:val="00EB62FC"/>
    <w:rsid w:val="00F26DF1"/>
    <w:rsid w:val="00F320AD"/>
    <w:rsid w:val="00F56C1F"/>
    <w:rsid w:val="00F62F57"/>
    <w:rsid w:val="00FC74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B6DB6E"/>
  <w15:chartTrackingRefBased/>
  <w15:docId w15:val="{94B39F75-7E50-48CE-AA8F-CC8E6FF054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3788"/>
    <w:pPr>
      <w:spacing w:line="256" w:lineRule="auto"/>
    </w:pPr>
  </w:style>
  <w:style w:type="paragraph" w:styleId="Heading1">
    <w:name w:val="heading 1"/>
    <w:basedOn w:val="Normal"/>
    <w:next w:val="Normal"/>
    <w:link w:val="Heading1Char"/>
    <w:uiPriority w:val="9"/>
    <w:qFormat/>
    <w:rsid w:val="00463788"/>
    <w:pPr>
      <w:keepNext/>
      <w:keepLines/>
      <w:spacing w:before="360" w:after="80" w:line="259" w:lineRule="auto"/>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463788"/>
    <w:pPr>
      <w:keepNext/>
      <w:keepLines/>
      <w:spacing w:before="160" w:after="80" w:line="259"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63788"/>
    <w:pPr>
      <w:keepNext/>
      <w:keepLines/>
      <w:spacing w:before="160" w:after="80" w:line="259" w:lineRule="auto"/>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63788"/>
    <w:pPr>
      <w:keepNext/>
      <w:keepLines/>
      <w:spacing w:before="80" w:after="40" w:line="259" w:lineRule="auto"/>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63788"/>
    <w:pPr>
      <w:keepNext/>
      <w:keepLines/>
      <w:spacing w:before="80" w:after="40" w:line="259" w:lineRule="auto"/>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63788"/>
    <w:pPr>
      <w:keepNext/>
      <w:keepLines/>
      <w:spacing w:before="40" w:after="0" w:line="259" w:lineRule="auto"/>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63788"/>
    <w:pPr>
      <w:keepNext/>
      <w:keepLines/>
      <w:spacing w:before="40" w:after="0" w:line="259" w:lineRule="auto"/>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63788"/>
    <w:pPr>
      <w:keepNext/>
      <w:keepLines/>
      <w:spacing w:after="0" w:line="259" w:lineRule="auto"/>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63788"/>
    <w:pPr>
      <w:keepNext/>
      <w:keepLines/>
      <w:spacing w:after="0" w:line="259" w:lineRule="auto"/>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378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46378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6378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6378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6378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6378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6378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6378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63788"/>
    <w:rPr>
      <w:rFonts w:eastAsiaTheme="majorEastAsia" w:cstheme="majorBidi"/>
      <w:color w:val="272727" w:themeColor="text1" w:themeTint="D8"/>
    </w:rPr>
  </w:style>
  <w:style w:type="paragraph" w:styleId="Title">
    <w:name w:val="Title"/>
    <w:basedOn w:val="Normal"/>
    <w:next w:val="Normal"/>
    <w:link w:val="TitleChar"/>
    <w:uiPriority w:val="10"/>
    <w:qFormat/>
    <w:rsid w:val="0046378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37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63788"/>
    <w:pPr>
      <w:numPr>
        <w:ilvl w:val="1"/>
      </w:numPr>
      <w:spacing w:line="259"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6378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63788"/>
    <w:pPr>
      <w:spacing w:before="160" w:line="259" w:lineRule="auto"/>
      <w:jc w:val="center"/>
    </w:pPr>
    <w:rPr>
      <w:i/>
      <w:iCs/>
      <w:color w:val="404040" w:themeColor="text1" w:themeTint="BF"/>
    </w:rPr>
  </w:style>
  <w:style w:type="character" w:customStyle="1" w:styleId="QuoteChar">
    <w:name w:val="Quote Char"/>
    <w:basedOn w:val="DefaultParagraphFont"/>
    <w:link w:val="Quote"/>
    <w:uiPriority w:val="29"/>
    <w:rsid w:val="00463788"/>
    <w:rPr>
      <w:i/>
      <w:iCs/>
      <w:color w:val="404040" w:themeColor="text1" w:themeTint="BF"/>
    </w:rPr>
  </w:style>
  <w:style w:type="paragraph" w:styleId="ListParagraph">
    <w:name w:val="List Paragraph"/>
    <w:basedOn w:val="Normal"/>
    <w:uiPriority w:val="34"/>
    <w:qFormat/>
    <w:rsid w:val="00463788"/>
    <w:pPr>
      <w:spacing w:line="259" w:lineRule="auto"/>
      <w:ind w:left="720"/>
      <w:contextualSpacing/>
    </w:pPr>
  </w:style>
  <w:style w:type="character" w:styleId="IntenseEmphasis">
    <w:name w:val="Intense Emphasis"/>
    <w:basedOn w:val="DefaultParagraphFont"/>
    <w:uiPriority w:val="21"/>
    <w:qFormat/>
    <w:rsid w:val="00463788"/>
    <w:rPr>
      <w:i/>
      <w:iCs/>
      <w:color w:val="2F5496" w:themeColor="accent1" w:themeShade="BF"/>
    </w:rPr>
  </w:style>
  <w:style w:type="paragraph" w:styleId="IntenseQuote">
    <w:name w:val="Intense Quote"/>
    <w:basedOn w:val="Normal"/>
    <w:next w:val="Normal"/>
    <w:link w:val="IntenseQuoteChar"/>
    <w:uiPriority w:val="30"/>
    <w:qFormat/>
    <w:rsid w:val="00463788"/>
    <w:pPr>
      <w:pBdr>
        <w:top w:val="single" w:sz="4" w:space="10" w:color="2F5496" w:themeColor="accent1" w:themeShade="BF"/>
        <w:bottom w:val="single" w:sz="4" w:space="10" w:color="2F5496" w:themeColor="accent1" w:themeShade="BF"/>
      </w:pBdr>
      <w:spacing w:before="360" w:after="360" w:line="259" w:lineRule="auto"/>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63788"/>
    <w:rPr>
      <w:i/>
      <w:iCs/>
      <w:color w:val="2F5496" w:themeColor="accent1" w:themeShade="BF"/>
    </w:rPr>
  </w:style>
  <w:style w:type="character" w:styleId="IntenseReference">
    <w:name w:val="Intense Reference"/>
    <w:basedOn w:val="DefaultParagraphFont"/>
    <w:uiPriority w:val="32"/>
    <w:qFormat/>
    <w:rsid w:val="00463788"/>
    <w:rPr>
      <w:b/>
      <w:bCs/>
      <w:smallCaps/>
      <w:color w:val="2F5496" w:themeColor="accent1" w:themeShade="BF"/>
      <w:spacing w:val="5"/>
    </w:rPr>
  </w:style>
  <w:style w:type="paragraph" w:styleId="Header">
    <w:name w:val="header"/>
    <w:basedOn w:val="Normal"/>
    <w:link w:val="HeaderChar"/>
    <w:uiPriority w:val="99"/>
    <w:unhideWhenUsed/>
    <w:rsid w:val="004637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3788"/>
  </w:style>
  <w:style w:type="paragraph" w:styleId="Footer">
    <w:name w:val="footer"/>
    <w:basedOn w:val="Normal"/>
    <w:link w:val="FooterChar"/>
    <w:uiPriority w:val="99"/>
    <w:unhideWhenUsed/>
    <w:rsid w:val="004637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3788"/>
  </w:style>
  <w:style w:type="paragraph" w:styleId="TOCHeading">
    <w:name w:val="TOC Heading"/>
    <w:basedOn w:val="Heading1"/>
    <w:next w:val="Normal"/>
    <w:uiPriority w:val="39"/>
    <w:unhideWhenUsed/>
    <w:qFormat/>
    <w:rsid w:val="00463788"/>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463788"/>
    <w:pPr>
      <w:spacing w:after="100"/>
    </w:pPr>
  </w:style>
  <w:style w:type="character" w:styleId="Hyperlink">
    <w:name w:val="Hyperlink"/>
    <w:basedOn w:val="DefaultParagraphFont"/>
    <w:uiPriority w:val="99"/>
    <w:unhideWhenUsed/>
    <w:rsid w:val="00463788"/>
    <w:rPr>
      <w:color w:val="0563C1" w:themeColor="hyperlink"/>
      <w:u w:val="single"/>
    </w:rPr>
  </w:style>
  <w:style w:type="paragraph" w:styleId="Caption">
    <w:name w:val="caption"/>
    <w:basedOn w:val="Normal"/>
    <w:next w:val="Normal"/>
    <w:uiPriority w:val="35"/>
    <w:unhideWhenUsed/>
    <w:qFormat/>
    <w:rsid w:val="0033222E"/>
    <w:pPr>
      <w:spacing w:after="200" w:line="240" w:lineRule="auto"/>
    </w:pPr>
    <w:rPr>
      <w:i/>
      <w:iCs/>
      <w:color w:val="44546A" w:themeColor="text2"/>
      <w:sz w:val="18"/>
      <w:szCs w:val="18"/>
    </w:rPr>
  </w:style>
  <w:style w:type="paragraph" w:styleId="TOC2">
    <w:name w:val="toc 2"/>
    <w:basedOn w:val="Normal"/>
    <w:next w:val="Normal"/>
    <w:autoRedefine/>
    <w:uiPriority w:val="39"/>
    <w:unhideWhenUsed/>
    <w:rsid w:val="00E851DA"/>
    <w:pPr>
      <w:spacing w:after="100"/>
      <w:ind w:left="220"/>
    </w:pPr>
  </w:style>
  <w:style w:type="paragraph" w:styleId="TableofFigures">
    <w:name w:val="table of figures"/>
    <w:basedOn w:val="Normal"/>
    <w:next w:val="Normal"/>
    <w:uiPriority w:val="99"/>
    <w:unhideWhenUsed/>
    <w:rsid w:val="00E851D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83023">
      <w:bodyDiv w:val="1"/>
      <w:marLeft w:val="0"/>
      <w:marRight w:val="0"/>
      <w:marTop w:val="0"/>
      <w:marBottom w:val="0"/>
      <w:divBdr>
        <w:top w:val="none" w:sz="0" w:space="0" w:color="auto"/>
        <w:left w:val="none" w:sz="0" w:space="0" w:color="auto"/>
        <w:bottom w:val="none" w:sz="0" w:space="0" w:color="auto"/>
        <w:right w:val="none" w:sz="0" w:space="0" w:color="auto"/>
      </w:divBdr>
    </w:div>
    <w:div w:id="5987406">
      <w:bodyDiv w:val="1"/>
      <w:marLeft w:val="0"/>
      <w:marRight w:val="0"/>
      <w:marTop w:val="0"/>
      <w:marBottom w:val="0"/>
      <w:divBdr>
        <w:top w:val="none" w:sz="0" w:space="0" w:color="auto"/>
        <w:left w:val="none" w:sz="0" w:space="0" w:color="auto"/>
        <w:bottom w:val="none" w:sz="0" w:space="0" w:color="auto"/>
        <w:right w:val="none" w:sz="0" w:space="0" w:color="auto"/>
      </w:divBdr>
    </w:div>
    <w:div w:id="159004413">
      <w:bodyDiv w:val="1"/>
      <w:marLeft w:val="0"/>
      <w:marRight w:val="0"/>
      <w:marTop w:val="0"/>
      <w:marBottom w:val="0"/>
      <w:divBdr>
        <w:top w:val="none" w:sz="0" w:space="0" w:color="auto"/>
        <w:left w:val="none" w:sz="0" w:space="0" w:color="auto"/>
        <w:bottom w:val="none" w:sz="0" w:space="0" w:color="auto"/>
        <w:right w:val="none" w:sz="0" w:space="0" w:color="auto"/>
      </w:divBdr>
    </w:div>
    <w:div w:id="173539919">
      <w:bodyDiv w:val="1"/>
      <w:marLeft w:val="0"/>
      <w:marRight w:val="0"/>
      <w:marTop w:val="0"/>
      <w:marBottom w:val="0"/>
      <w:divBdr>
        <w:top w:val="none" w:sz="0" w:space="0" w:color="auto"/>
        <w:left w:val="none" w:sz="0" w:space="0" w:color="auto"/>
        <w:bottom w:val="none" w:sz="0" w:space="0" w:color="auto"/>
        <w:right w:val="none" w:sz="0" w:space="0" w:color="auto"/>
      </w:divBdr>
    </w:div>
    <w:div w:id="344093069">
      <w:bodyDiv w:val="1"/>
      <w:marLeft w:val="0"/>
      <w:marRight w:val="0"/>
      <w:marTop w:val="0"/>
      <w:marBottom w:val="0"/>
      <w:divBdr>
        <w:top w:val="none" w:sz="0" w:space="0" w:color="auto"/>
        <w:left w:val="none" w:sz="0" w:space="0" w:color="auto"/>
        <w:bottom w:val="none" w:sz="0" w:space="0" w:color="auto"/>
        <w:right w:val="none" w:sz="0" w:space="0" w:color="auto"/>
      </w:divBdr>
    </w:div>
    <w:div w:id="428623801">
      <w:bodyDiv w:val="1"/>
      <w:marLeft w:val="0"/>
      <w:marRight w:val="0"/>
      <w:marTop w:val="0"/>
      <w:marBottom w:val="0"/>
      <w:divBdr>
        <w:top w:val="none" w:sz="0" w:space="0" w:color="auto"/>
        <w:left w:val="none" w:sz="0" w:space="0" w:color="auto"/>
        <w:bottom w:val="none" w:sz="0" w:space="0" w:color="auto"/>
        <w:right w:val="none" w:sz="0" w:space="0" w:color="auto"/>
      </w:divBdr>
    </w:div>
    <w:div w:id="459689019">
      <w:bodyDiv w:val="1"/>
      <w:marLeft w:val="0"/>
      <w:marRight w:val="0"/>
      <w:marTop w:val="0"/>
      <w:marBottom w:val="0"/>
      <w:divBdr>
        <w:top w:val="none" w:sz="0" w:space="0" w:color="auto"/>
        <w:left w:val="none" w:sz="0" w:space="0" w:color="auto"/>
        <w:bottom w:val="none" w:sz="0" w:space="0" w:color="auto"/>
        <w:right w:val="none" w:sz="0" w:space="0" w:color="auto"/>
      </w:divBdr>
    </w:div>
    <w:div w:id="652216647">
      <w:bodyDiv w:val="1"/>
      <w:marLeft w:val="0"/>
      <w:marRight w:val="0"/>
      <w:marTop w:val="0"/>
      <w:marBottom w:val="0"/>
      <w:divBdr>
        <w:top w:val="none" w:sz="0" w:space="0" w:color="auto"/>
        <w:left w:val="none" w:sz="0" w:space="0" w:color="auto"/>
        <w:bottom w:val="none" w:sz="0" w:space="0" w:color="auto"/>
        <w:right w:val="none" w:sz="0" w:space="0" w:color="auto"/>
      </w:divBdr>
    </w:div>
    <w:div w:id="672881085">
      <w:bodyDiv w:val="1"/>
      <w:marLeft w:val="0"/>
      <w:marRight w:val="0"/>
      <w:marTop w:val="0"/>
      <w:marBottom w:val="0"/>
      <w:divBdr>
        <w:top w:val="none" w:sz="0" w:space="0" w:color="auto"/>
        <w:left w:val="none" w:sz="0" w:space="0" w:color="auto"/>
        <w:bottom w:val="none" w:sz="0" w:space="0" w:color="auto"/>
        <w:right w:val="none" w:sz="0" w:space="0" w:color="auto"/>
      </w:divBdr>
    </w:div>
    <w:div w:id="697701097">
      <w:bodyDiv w:val="1"/>
      <w:marLeft w:val="0"/>
      <w:marRight w:val="0"/>
      <w:marTop w:val="0"/>
      <w:marBottom w:val="0"/>
      <w:divBdr>
        <w:top w:val="none" w:sz="0" w:space="0" w:color="auto"/>
        <w:left w:val="none" w:sz="0" w:space="0" w:color="auto"/>
        <w:bottom w:val="none" w:sz="0" w:space="0" w:color="auto"/>
        <w:right w:val="none" w:sz="0" w:space="0" w:color="auto"/>
      </w:divBdr>
    </w:div>
    <w:div w:id="701587245">
      <w:bodyDiv w:val="1"/>
      <w:marLeft w:val="0"/>
      <w:marRight w:val="0"/>
      <w:marTop w:val="0"/>
      <w:marBottom w:val="0"/>
      <w:divBdr>
        <w:top w:val="none" w:sz="0" w:space="0" w:color="auto"/>
        <w:left w:val="none" w:sz="0" w:space="0" w:color="auto"/>
        <w:bottom w:val="none" w:sz="0" w:space="0" w:color="auto"/>
        <w:right w:val="none" w:sz="0" w:space="0" w:color="auto"/>
      </w:divBdr>
    </w:div>
    <w:div w:id="740323590">
      <w:bodyDiv w:val="1"/>
      <w:marLeft w:val="0"/>
      <w:marRight w:val="0"/>
      <w:marTop w:val="0"/>
      <w:marBottom w:val="0"/>
      <w:divBdr>
        <w:top w:val="none" w:sz="0" w:space="0" w:color="auto"/>
        <w:left w:val="none" w:sz="0" w:space="0" w:color="auto"/>
        <w:bottom w:val="none" w:sz="0" w:space="0" w:color="auto"/>
        <w:right w:val="none" w:sz="0" w:space="0" w:color="auto"/>
      </w:divBdr>
    </w:div>
    <w:div w:id="824591350">
      <w:bodyDiv w:val="1"/>
      <w:marLeft w:val="0"/>
      <w:marRight w:val="0"/>
      <w:marTop w:val="0"/>
      <w:marBottom w:val="0"/>
      <w:divBdr>
        <w:top w:val="none" w:sz="0" w:space="0" w:color="auto"/>
        <w:left w:val="none" w:sz="0" w:space="0" w:color="auto"/>
        <w:bottom w:val="none" w:sz="0" w:space="0" w:color="auto"/>
        <w:right w:val="none" w:sz="0" w:space="0" w:color="auto"/>
      </w:divBdr>
    </w:div>
    <w:div w:id="828137995">
      <w:bodyDiv w:val="1"/>
      <w:marLeft w:val="0"/>
      <w:marRight w:val="0"/>
      <w:marTop w:val="0"/>
      <w:marBottom w:val="0"/>
      <w:divBdr>
        <w:top w:val="none" w:sz="0" w:space="0" w:color="auto"/>
        <w:left w:val="none" w:sz="0" w:space="0" w:color="auto"/>
        <w:bottom w:val="none" w:sz="0" w:space="0" w:color="auto"/>
        <w:right w:val="none" w:sz="0" w:space="0" w:color="auto"/>
      </w:divBdr>
    </w:div>
    <w:div w:id="868956956">
      <w:bodyDiv w:val="1"/>
      <w:marLeft w:val="0"/>
      <w:marRight w:val="0"/>
      <w:marTop w:val="0"/>
      <w:marBottom w:val="0"/>
      <w:divBdr>
        <w:top w:val="none" w:sz="0" w:space="0" w:color="auto"/>
        <w:left w:val="none" w:sz="0" w:space="0" w:color="auto"/>
        <w:bottom w:val="none" w:sz="0" w:space="0" w:color="auto"/>
        <w:right w:val="none" w:sz="0" w:space="0" w:color="auto"/>
      </w:divBdr>
    </w:div>
    <w:div w:id="943683516">
      <w:bodyDiv w:val="1"/>
      <w:marLeft w:val="0"/>
      <w:marRight w:val="0"/>
      <w:marTop w:val="0"/>
      <w:marBottom w:val="0"/>
      <w:divBdr>
        <w:top w:val="none" w:sz="0" w:space="0" w:color="auto"/>
        <w:left w:val="none" w:sz="0" w:space="0" w:color="auto"/>
        <w:bottom w:val="none" w:sz="0" w:space="0" w:color="auto"/>
        <w:right w:val="none" w:sz="0" w:space="0" w:color="auto"/>
      </w:divBdr>
    </w:div>
    <w:div w:id="1059599679">
      <w:bodyDiv w:val="1"/>
      <w:marLeft w:val="0"/>
      <w:marRight w:val="0"/>
      <w:marTop w:val="0"/>
      <w:marBottom w:val="0"/>
      <w:divBdr>
        <w:top w:val="none" w:sz="0" w:space="0" w:color="auto"/>
        <w:left w:val="none" w:sz="0" w:space="0" w:color="auto"/>
        <w:bottom w:val="none" w:sz="0" w:space="0" w:color="auto"/>
        <w:right w:val="none" w:sz="0" w:space="0" w:color="auto"/>
      </w:divBdr>
    </w:div>
    <w:div w:id="1078988365">
      <w:bodyDiv w:val="1"/>
      <w:marLeft w:val="0"/>
      <w:marRight w:val="0"/>
      <w:marTop w:val="0"/>
      <w:marBottom w:val="0"/>
      <w:divBdr>
        <w:top w:val="none" w:sz="0" w:space="0" w:color="auto"/>
        <w:left w:val="none" w:sz="0" w:space="0" w:color="auto"/>
        <w:bottom w:val="none" w:sz="0" w:space="0" w:color="auto"/>
        <w:right w:val="none" w:sz="0" w:space="0" w:color="auto"/>
      </w:divBdr>
    </w:div>
    <w:div w:id="1115714218">
      <w:bodyDiv w:val="1"/>
      <w:marLeft w:val="0"/>
      <w:marRight w:val="0"/>
      <w:marTop w:val="0"/>
      <w:marBottom w:val="0"/>
      <w:divBdr>
        <w:top w:val="none" w:sz="0" w:space="0" w:color="auto"/>
        <w:left w:val="none" w:sz="0" w:space="0" w:color="auto"/>
        <w:bottom w:val="none" w:sz="0" w:space="0" w:color="auto"/>
        <w:right w:val="none" w:sz="0" w:space="0" w:color="auto"/>
      </w:divBdr>
    </w:div>
    <w:div w:id="1126971882">
      <w:bodyDiv w:val="1"/>
      <w:marLeft w:val="0"/>
      <w:marRight w:val="0"/>
      <w:marTop w:val="0"/>
      <w:marBottom w:val="0"/>
      <w:divBdr>
        <w:top w:val="none" w:sz="0" w:space="0" w:color="auto"/>
        <w:left w:val="none" w:sz="0" w:space="0" w:color="auto"/>
        <w:bottom w:val="none" w:sz="0" w:space="0" w:color="auto"/>
        <w:right w:val="none" w:sz="0" w:space="0" w:color="auto"/>
      </w:divBdr>
    </w:div>
    <w:div w:id="1147942897">
      <w:bodyDiv w:val="1"/>
      <w:marLeft w:val="0"/>
      <w:marRight w:val="0"/>
      <w:marTop w:val="0"/>
      <w:marBottom w:val="0"/>
      <w:divBdr>
        <w:top w:val="none" w:sz="0" w:space="0" w:color="auto"/>
        <w:left w:val="none" w:sz="0" w:space="0" w:color="auto"/>
        <w:bottom w:val="none" w:sz="0" w:space="0" w:color="auto"/>
        <w:right w:val="none" w:sz="0" w:space="0" w:color="auto"/>
      </w:divBdr>
    </w:div>
    <w:div w:id="1186410444">
      <w:bodyDiv w:val="1"/>
      <w:marLeft w:val="0"/>
      <w:marRight w:val="0"/>
      <w:marTop w:val="0"/>
      <w:marBottom w:val="0"/>
      <w:divBdr>
        <w:top w:val="none" w:sz="0" w:space="0" w:color="auto"/>
        <w:left w:val="none" w:sz="0" w:space="0" w:color="auto"/>
        <w:bottom w:val="none" w:sz="0" w:space="0" w:color="auto"/>
        <w:right w:val="none" w:sz="0" w:space="0" w:color="auto"/>
      </w:divBdr>
    </w:div>
    <w:div w:id="1258178640">
      <w:bodyDiv w:val="1"/>
      <w:marLeft w:val="0"/>
      <w:marRight w:val="0"/>
      <w:marTop w:val="0"/>
      <w:marBottom w:val="0"/>
      <w:divBdr>
        <w:top w:val="none" w:sz="0" w:space="0" w:color="auto"/>
        <w:left w:val="none" w:sz="0" w:space="0" w:color="auto"/>
        <w:bottom w:val="none" w:sz="0" w:space="0" w:color="auto"/>
        <w:right w:val="none" w:sz="0" w:space="0" w:color="auto"/>
      </w:divBdr>
    </w:div>
    <w:div w:id="1365910385">
      <w:bodyDiv w:val="1"/>
      <w:marLeft w:val="0"/>
      <w:marRight w:val="0"/>
      <w:marTop w:val="0"/>
      <w:marBottom w:val="0"/>
      <w:divBdr>
        <w:top w:val="none" w:sz="0" w:space="0" w:color="auto"/>
        <w:left w:val="none" w:sz="0" w:space="0" w:color="auto"/>
        <w:bottom w:val="none" w:sz="0" w:space="0" w:color="auto"/>
        <w:right w:val="none" w:sz="0" w:space="0" w:color="auto"/>
      </w:divBdr>
    </w:div>
    <w:div w:id="1400250564">
      <w:bodyDiv w:val="1"/>
      <w:marLeft w:val="0"/>
      <w:marRight w:val="0"/>
      <w:marTop w:val="0"/>
      <w:marBottom w:val="0"/>
      <w:divBdr>
        <w:top w:val="none" w:sz="0" w:space="0" w:color="auto"/>
        <w:left w:val="none" w:sz="0" w:space="0" w:color="auto"/>
        <w:bottom w:val="none" w:sz="0" w:space="0" w:color="auto"/>
        <w:right w:val="none" w:sz="0" w:space="0" w:color="auto"/>
      </w:divBdr>
    </w:div>
    <w:div w:id="1404789991">
      <w:bodyDiv w:val="1"/>
      <w:marLeft w:val="0"/>
      <w:marRight w:val="0"/>
      <w:marTop w:val="0"/>
      <w:marBottom w:val="0"/>
      <w:divBdr>
        <w:top w:val="none" w:sz="0" w:space="0" w:color="auto"/>
        <w:left w:val="none" w:sz="0" w:space="0" w:color="auto"/>
        <w:bottom w:val="none" w:sz="0" w:space="0" w:color="auto"/>
        <w:right w:val="none" w:sz="0" w:space="0" w:color="auto"/>
      </w:divBdr>
    </w:div>
    <w:div w:id="1411657694">
      <w:bodyDiv w:val="1"/>
      <w:marLeft w:val="0"/>
      <w:marRight w:val="0"/>
      <w:marTop w:val="0"/>
      <w:marBottom w:val="0"/>
      <w:divBdr>
        <w:top w:val="none" w:sz="0" w:space="0" w:color="auto"/>
        <w:left w:val="none" w:sz="0" w:space="0" w:color="auto"/>
        <w:bottom w:val="none" w:sz="0" w:space="0" w:color="auto"/>
        <w:right w:val="none" w:sz="0" w:space="0" w:color="auto"/>
      </w:divBdr>
    </w:div>
    <w:div w:id="1430589600">
      <w:bodyDiv w:val="1"/>
      <w:marLeft w:val="0"/>
      <w:marRight w:val="0"/>
      <w:marTop w:val="0"/>
      <w:marBottom w:val="0"/>
      <w:divBdr>
        <w:top w:val="none" w:sz="0" w:space="0" w:color="auto"/>
        <w:left w:val="none" w:sz="0" w:space="0" w:color="auto"/>
        <w:bottom w:val="none" w:sz="0" w:space="0" w:color="auto"/>
        <w:right w:val="none" w:sz="0" w:space="0" w:color="auto"/>
      </w:divBdr>
    </w:div>
    <w:div w:id="1433015091">
      <w:bodyDiv w:val="1"/>
      <w:marLeft w:val="0"/>
      <w:marRight w:val="0"/>
      <w:marTop w:val="0"/>
      <w:marBottom w:val="0"/>
      <w:divBdr>
        <w:top w:val="none" w:sz="0" w:space="0" w:color="auto"/>
        <w:left w:val="none" w:sz="0" w:space="0" w:color="auto"/>
        <w:bottom w:val="none" w:sz="0" w:space="0" w:color="auto"/>
        <w:right w:val="none" w:sz="0" w:space="0" w:color="auto"/>
      </w:divBdr>
    </w:div>
    <w:div w:id="1488782796">
      <w:bodyDiv w:val="1"/>
      <w:marLeft w:val="0"/>
      <w:marRight w:val="0"/>
      <w:marTop w:val="0"/>
      <w:marBottom w:val="0"/>
      <w:divBdr>
        <w:top w:val="none" w:sz="0" w:space="0" w:color="auto"/>
        <w:left w:val="none" w:sz="0" w:space="0" w:color="auto"/>
        <w:bottom w:val="none" w:sz="0" w:space="0" w:color="auto"/>
        <w:right w:val="none" w:sz="0" w:space="0" w:color="auto"/>
      </w:divBdr>
    </w:div>
    <w:div w:id="1556115608">
      <w:bodyDiv w:val="1"/>
      <w:marLeft w:val="0"/>
      <w:marRight w:val="0"/>
      <w:marTop w:val="0"/>
      <w:marBottom w:val="0"/>
      <w:divBdr>
        <w:top w:val="none" w:sz="0" w:space="0" w:color="auto"/>
        <w:left w:val="none" w:sz="0" w:space="0" w:color="auto"/>
        <w:bottom w:val="none" w:sz="0" w:space="0" w:color="auto"/>
        <w:right w:val="none" w:sz="0" w:space="0" w:color="auto"/>
      </w:divBdr>
    </w:div>
    <w:div w:id="1558663156">
      <w:bodyDiv w:val="1"/>
      <w:marLeft w:val="0"/>
      <w:marRight w:val="0"/>
      <w:marTop w:val="0"/>
      <w:marBottom w:val="0"/>
      <w:divBdr>
        <w:top w:val="none" w:sz="0" w:space="0" w:color="auto"/>
        <w:left w:val="none" w:sz="0" w:space="0" w:color="auto"/>
        <w:bottom w:val="none" w:sz="0" w:space="0" w:color="auto"/>
        <w:right w:val="none" w:sz="0" w:space="0" w:color="auto"/>
      </w:divBdr>
    </w:div>
    <w:div w:id="1576430904">
      <w:bodyDiv w:val="1"/>
      <w:marLeft w:val="0"/>
      <w:marRight w:val="0"/>
      <w:marTop w:val="0"/>
      <w:marBottom w:val="0"/>
      <w:divBdr>
        <w:top w:val="none" w:sz="0" w:space="0" w:color="auto"/>
        <w:left w:val="none" w:sz="0" w:space="0" w:color="auto"/>
        <w:bottom w:val="none" w:sz="0" w:space="0" w:color="auto"/>
        <w:right w:val="none" w:sz="0" w:space="0" w:color="auto"/>
      </w:divBdr>
    </w:div>
    <w:div w:id="1605848325">
      <w:bodyDiv w:val="1"/>
      <w:marLeft w:val="0"/>
      <w:marRight w:val="0"/>
      <w:marTop w:val="0"/>
      <w:marBottom w:val="0"/>
      <w:divBdr>
        <w:top w:val="none" w:sz="0" w:space="0" w:color="auto"/>
        <w:left w:val="none" w:sz="0" w:space="0" w:color="auto"/>
        <w:bottom w:val="none" w:sz="0" w:space="0" w:color="auto"/>
        <w:right w:val="none" w:sz="0" w:space="0" w:color="auto"/>
      </w:divBdr>
    </w:div>
    <w:div w:id="1608266725">
      <w:bodyDiv w:val="1"/>
      <w:marLeft w:val="0"/>
      <w:marRight w:val="0"/>
      <w:marTop w:val="0"/>
      <w:marBottom w:val="0"/>
      <w:divBdr>
        <w:top w:val="none" w:sz="0" w:space="0" w:color="auto"/>
        <w:left w:val="none" w:sz="0" w:space="0" w:color="auto"/>
        <w:bottom w:val="none" w:sz="0" w:space="0" w:color="auto"/>
        <w:right w:val="none" w:sz="0" w:space="0" w:color="auto"/>
      </w:divBdr>
    </w:div>
    <w:div w:id="1614173373">
      <w:bodyDiv w:val="1"/>
      <w:marLeft w:val="0"/>
      <w:marRight w:val="0"/>
      <w:marTop w:val="0"/>
      <w:marBottom w:val="0"/>
      <w:divBdr>
        <w:top w:val="none" w:sz="0" w:space="0" w:color="auto"/>
        <w:left w:val="none" w:sz="0" w:space="0" w:color="auto"/>
        <w:bottom w:val="none" w:sz="0" w:space="0" w:color="auto"/>
        <w:right w:val="none" w:sz="0" w:space="0" w:color="auto"/>
      </w:divBdr>
    </w:div>
    <w:div w:id="1690138824">
      <w:bodyDiv w:val="1"/>
      <w:marLeft w:val="0"/>
      <w:marRight w:val="0"/>
      <w:marTop w:val="0"/>
      <w:marBottom w:val="0"/>
      <w:divBdr>
        <w:top w:val="none" w:sz="0" w:space="0" w:color="auto"/>
        <w:left w:val="none" w:sz="0" w:space="0" w:color="auto"/>
        <w:bottom w:val="none" w:sz="0" w:space="0" w:color="auto"/>
        <w:right w:val="none" w:sz="0" w:space="0" w:color="auto"/>
      </w:divBdr>
    </w:div>
    <w:div w:id="1775439204">
      <w:bodyDiv w:val="1"/>
      <w:marLeft w:val="0"/>
      <w:marRight w:val="0"/>
      <w:marTop w:val="0"/>
      <w:marBottom w:val="0"/>
      <w:divBdr>
        <w:top w:val="none" w:sz="0" w:space="0" w:color="auto"/>
        <w:left w:val="none" w:sz="0" w:space="0" w:color="auto"/>
        <w:bottom w:val="none" w:sz="0" w:space="0" w:color="auto"/>
        <w:right w:val="none" w:sz="0" w:space="0" w:color="auto"/>
      </w:divBdr>
    </w:div>
    <w:div w:id="1782411264">
      <w:bodyDiv w:val="1"/>
      <w:marLeft w:val="0"/>
      <w:marRight w:val="0"/>
      <w:marTop w:val="0"/>
      <w:marBottom w:val="0"/>
      <w:divBdr>
        <w:top w:val="none" w:sz="0" w:space="0" w:color="auto"/>
        <w:left w:val="none" w:sz="0" w:space="0" w:color="auto"/>
        <w:bottom w:val="none" w:sz="0" w:space="0" w:color="auto"/>
        <w:right w:val="none" w:sz="0" w:space="0" w:color="auto"/>
      </w:divBdr>
    </w:div>
    <w:div w:id="1782721670">
      <w:bodyDiv w:val="1"/>
      <w:marLeft w:val="0"/>
      <w:marRight w:val="0"/>
      <w:marTop w:val="0"/>
      <w:marBottom w:val="0"/>
      <w:divBdr>
        <w:top w:val="none" w:sz="0" w:space="0" w:color="auto"/>
        <w:left w:val="none" w:sz="0" w:space="0" w:color="auto"/>
        <w:bottom w:val="none" w:sz="0" w:space="0" w:color="auto"/>
        <w:right w:val="none" w:sz="0" w:space="0" w:color="auto"/>
      </w:divBdr>
    </w:div>
    <w:div w:id="1820687328">
      <w:bodyDiv w:val="1"/>
      <w:marLeft w:val="0"/>
      <w:marRight w:val="0"/>
      <w:marTop w:val="0"/>
      <w:marBottom w:val="0"/>
      <w:divBdr>
        <w:top w:val="none" w:sz="0" w:space="0" w:color="auto"/>
        <w:left w:val="none" w:sz="0" w:space="0" w:color="auto"/>
        <w:bottom w:val="none" w:sz="0" w:space="0" w:color="auto"/>
        <w:right w:val="none" w:sz="0" w:space="0" w:color="auto"/>
      </w:divBdr>
    </w:div>
    <w:div w:id="1876193283">
      <w:bodyDiv w:val="1"/>
      <w:marLeft w:val="0"/>
      <w:marRight w:val="0"/>
      <w:marTop w:val="0"/>
      <w:marBottom w:val="0"/>
      <w:divBdr>
        <w:top w:val="none" w:sz="0" w:space="0" w:color="auto"/>
        <w:left w:val="none" w:sz="0" w:space="0" w:color="auto"/>
        <w:bottom w:val="none" w:sz="0" w:space="0" w:color="auto"/>
        <w:right w:val="none" w:sz="0" w:space="0" w:color="auto"/>
      </w:divBdr>
    </w:div>
    <w:div w:id="1896156611">
      <w:bodyDiv w:val="1"/>
      <w:marLeft w:val="0"/>
      <w:marRight w:val="0"/>
      <w:marTop w:val="0"/>
      <w:marBottom w:val="0"/>
      <w:divBdr>
        <w:top w:val="none" w:sz="0" w:space="0" w:color="auto"/>
        <w:left w:val="none" w:sz="0" w:space="0" w:color="auto"/>
        <w:bottom w:val="none" w:sz="0" w:space="0" w:color="auto"/>
        <w:right w:val="none" w:sz="0" w:space="0" w:color="auto"/>
      </w:divBdr>
    </w:div>
    <w:div w:id="1896892982">
      <w:bodyDiv w:val="1"/>
      <w:marLeft w:val="0"/>
      <w:marRight w:val="0"/>
      <w:marTop w:val="0"/>
      <w:marBottom w:val="0"/>
      <w:divBdr>
        <w:top w:val="none" w:sz="0" w:space="0" w:color="auto"/>
        <w:left w:val="none" w:sz="0" w:space="0" w:color="auto"/>
        <w:bottom w:val="none" w:sz="0" w:space="0" w:color="auto"/>
        <w:right w:val="none" w:sz="0" w:space="0" w:color="auto"/>
      </w:divBdr>
    </w:div>
    <w:div w:id="1935169070">
      <w:bodyDiv w:val="1"/>
      <w:marLeft w:val="0"/>
      <w:marRight w:val="0"/>
      <w:marTop w:val="0"/>
      <w:marBottom w:val="0"/>
      <w:divBdr>
        <w:top w:val="none" w:sz="0" w:space="0" w:color="auto"/>
        <w:left w:val="none" w:sz="0" w:space="0" w:color="auto"/>
        <w:bottom w:val="none" w:sz="0" w:space="0" w:color="auto"/>
        <w:right w:val="none" w:sz="0" w:space="0" w:color="auto"/>
      </w:divBdr>
    </w:div>
    <w:div w:id="1937709878">
      <w:bodyDiv w:val="1"/>
      <w:marLeft w:val="0"/>
      <w:marRight w:val="0"/>
      <w:marTop w:val="0"/>
      <w:marBottom w:val="0"/>
      <w:divBdr>
        <w:top w:val="none" w:sz="0" w:space="0" w:color="auto"/>
        <w:left w:val="none" w:sz="0" w:space="0" w:color="auto"/>
        <w:bottom w:val="none" w:sz="0" w:space="0" w:color="auto"/>
        <w:right w:val="none" w:sz="0" w:space="0" w:color="auto"/>
      </w:divBdr>
    </w:div>
    <w:div w:id="1947148809">
      <w:bodyDiv w:val="1"/>
      <w:marLeft w:val="0"/>
      <w:marRight w:val="0"/>
      <w:marTop w:val="0"/>
      <w:marBottom w:val="0"/>
      <w:divBdr>
        <w:top w:val="none" w:sz="0" w:space="0" w:color="auto"/>
        <w:left w:val="none" w:sz="0" w:space="0" w:color="auto"/>
        <w:bottom w:val="none" w:sz="0" w:space="0" w:color="auto"/>
        <w:right w:val="none" w:sz="0" w:space="0" w:color="auto"/>
      </w:divBdr>
    </w:div>
    <w:div w:id="2036423757">
      <w:bodyDiv w:val="1"/>
      <w:marLeft w:val="0"/>
      <w:marRight w:val="0"/>
      <w:marTop w:val="0"/>
      <w:marBottom w:val="0"/>
      <w:divBdr>
        <w:top w:val="none" w:sz="0" w:space="0" w:color="auto"/>
        <w:left w:val="none" w:sz="0" w:space="0" w:color="auto"/>
        <w:bottom w:val="none" w:sz="0" w:space="0" w:color="auto"/>
        <w:right w:val="none" w:sz="0" w:space="0" w:color="auto"/>
      </w:divBdr>
    </w:div>
    <w:div w:id="2057386160">
      <w:bodyDiv w:val="1"/>
      <w:marLeft w:val="0"/>
      <w:marRight w:val="0"/>
      <w:marTop w:val="0"/>
      <w:marBottom w:val="0"/>
      <w:divBdr>
        <w:top w:val="none" w:sz="0" w:space="0" w:color="auto"/>
        <w:left w:val="none" w:sz="0" w:space="0" w:color="auto"/>
        <w:bottom w:val="none" w:sz="0" w:space="0" w:color="auto"/>
        <w:right w:val="none" w:sz="0" w:space="0" w:color="auto"/>
      </w:divBdr>
    </w:div>
    <w:div w:id="2112118875">
      <w:bodyDiv w:val="1"/>
      <w:marLeft w:val="0"/>
      <w:marRight w:val="0"/>
      <w:marTop w:val="0"/>
      <w:marBottom w:val="0"/>
      <w:divBdr>
        <w:top w:val="none" w:sz="0" w:space="0" w:color="auto"/>
        <w:left w:val="none" w:sz="0" w:space="0" w:color="auto"/>
        <w:bottom w:val="none" w:sz="0" w:space="0" w:color="auto"/>
        <w:right w:val="none" w:sz="0" w:space="0" w:color="auto"/>
      </w:divBdr>
    </w:div>
    <w:div w:id="2133791318">
      <w:bodyDiv w:val="1"/>
      <w:marLeft w:val="0"/>
      <w:marRight w:val="0"/>
      <w:marTop w:val="0"/>
      <w:marBottom w:val="0"/>
      <w:divBdr>
        <w:top w:val="none" w:sz="0" w:space="0" w:color="auto"/>
        <w:left w:val="none" w:sz="0" w:space="0" w:color="auto"/>
        <w:bottom w:val="none" w:sz="0" w:space="0" w:color="auto"/>
        <w:right w:val="none" w:sz="0" w:space="0" w:color="auto"/>
      </w:divBdr>
    </w:div>
    <w:div w:id="21449584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Gen23</b:Tag>
    <b:SourceType>BookSection</b:SourceType>
    <b:Guid>{B497690D-9DBD-4C70-95F7-4D692C8B5606}</b:Guid>
    <b:Title>Cybersecurity Myths and Misconceptions</b:Title>
    <b:Year>2 Mar. 2023</b:Year>
    <b:Author>
      <b:Author>
        <b:NameList>
          <b:Person>
            <b:Last>Spafford</b:Last>
            <b:First>Gene</b:First>
          </b:Person>
        </b:NameList>
      </b:Author>
    </b:Author>
    <b:BookTitle>Avoiding the Hazards and Pitfalls that Derail Us </b:BookTitle>
    <b:Publisher>Addison-Wesley Professional</b:Publisher>
    <b:RefOrder>1</b:RefOrder>
  </b:Source>
  <b:Source>
    <b:Tag>Bru21</b:Tag>
    <b:SourceType>BookSection</b:SourceType>
    <b:Guid>{DB4CD7DA-2E66-4CC0-B872-086586550BD0}</b:Guid>
    <b:Author>
      <b:Author>
        <b:NameList>
          <b:Person>
            <b:Last>Schneier</b:Last>
            <b:First>Bruce</b:First>
          </b:Person>
        </b:NameList>
      </b:Author>
    </b:Author>
    <b:Title>Security Engineering</b:Title>
    <b:BookTitle>A Guide to Building Dependable Distributed Systems, 3rd Edition</b:BookTitle>
    <b:Year>26 Jan. 2021</b:Year>
    <b:Publisher>Wiley</b:Publisher>
    <b:RefOrder>2</b:RefOrder>
  </b:Source>
  <b:Source>
    <b:Tag>Nat13</b:Tag>
    <b:SourceType>Misc</b:SourceType>
    <b:Guid>{855A7CBC-BDEA-48D0-AD96-55E4BECC0665}</b:Guid>
    <b:Author>
      <b:Author>
        <b:NameList>
          <b:Person>
            <b:Last>Nather</b:Last>
            <b:First>Wendy</b:First>
          </b:Person>
        </b:NameList>
      </b:Author>
    </b:Author>
    <b:Title>SPL:</b:Title>
    <b:Year>2013</b:Year>
    <b:Publisher>451 Research</b:Publisher>
    <b:JournalName>Outside View</b:JournalName>
    <b:Issue>451 Research</b:Issue>
    <b:RefOrder>8</b:RefOrder>
  </b:Source>
  <b:Source>
    <b:Tag>Kev19</b:Tag>
    <b:SourceType>Book</b:SourceType>
    <b:Guid>{89B9109A-2F83-4CE2-BCC3-ABFA08A92756}</b:Guid>
    <b:Title>The Art of Invisibility: The World's Most Famous Hacker Teaches You How to Be Safe in the Age of Big Brother and Big Data</b:Title>
    <b:Year>26 Sept. 2019</b:Year>
    <b:Publisher>Paperback</b:Publisher>
    <b:Author>
      <b:Author>
        <b:NameList>
          <b:Person>
            <b:Last>Mitnick</b:Last>
            <b:First>Kevin</b:First>
          </b:Person>
        </b:NameList>
      </b:Author>
    </b:Author>
    <b:RefOrder>9</b:RefOrder>
  </b:Source>
  <b:Source>
    <b:Tag>Cli89</b:Tag>
    <b:SourceType>BookSection</b:SourceType>
    <b:Guid>{C9035FC6-0D6C-4F70-95E6-EC7E6C95F51F}</b:Guid>
    <b:Title>Cuckoo's Egg</b:Title>
    <b:Year>1 Sept. 1989</b:Year>
    <b:Publisher>Doubleday</b:Publisher>
    <b:Author>
      <b:Author>
        <b:NameList>
          <b:Person>
            <b:Last>Stoll</b:Last>
            <b:First>Clifford</b:First>
          </b:Person>
        </b:NameList>
      </b:Author>
    </b:Author>
    <b:BookTitle>Tracking a Spy Through the Maze of Computer Espionage</b:BookTitle>
    <b:RefOrder>14</b:RefOrder>
  </b:Source>
  <b:Source>
    <b:Tag>Rub01</b:Tag>
    <b:SourceType>BookSection</b:SourceType>
    <b:Guid>{FB99CB54-4600-434D-860B-5D0C01F6725D}</b:Guid>
    <b:Author>
      <b:Author>
        <b:NameList>
          <b:Person>
            <b:Last>Rubin</b:Last>
            <b:First>Aviel</b:First>
            <b:Middle>D.</b:Middle>
          </b:Person>
        </b:NameList>
      </b:Author>
    </b:Author>
    <b:Title>White-Hat Security Arsenal</b:Title>
    <b:BookTitle>Tackling the Threats</b:BookTitle>
    <b:Year>2001</b:Year>
    <b:Publisher>Addison Wesley Publishing Co</b:Publisher>
    <b:RefOrder>12</b:RefOrder>
  </b:Source>
  <b:Source>
    <b:Tag>Raj</b:Tag>
    <b:SourceType>BookSection</b:SourceType>
    <b:Guid>{D2B10E6F-0AF5-4936-9D55-DD885FD6D005}</b:Guid>
    <b:Author>
      <b:Author>
        <b:NameList>
          <b:Person>
            <b:Last>Samani</b:Last>
            <b:First>Raj</b:First>
          </b:Person>
        </b:NameList>
      </b:Author>
    </b:Author>
    <b:Title>CSA Guide to Cloud Computing</b:Title>
    <b:BookTitle>Implementing Clou, Samani, Reavis, Honan</b:BookTitle>
    <b:Publisher>syngress</b:Publisher>
    <b:RefOrder>16</b:RefOrder>
  </b:Source>
  <b:Source>
    <b:Tag>Sri04</b:Tag>
    <b:SourceType>JournalArticle</b:SourceType>
    <b:Guid>{9D5AE636-6289-4A61-9CE0-414141C71FD2}</b:Guid>
    <b:Title>Journal of Network and Computer Applications</b:Title>
    <b:Year> 2004</b:Year>
    <b:Author>
      <b:Author>
        <b:NameList>
          <b:Person>
            <b:Last>Mukkamala</b:Last>
            <b:First>Srinivas</b:First>
          </b:Person>
        </b:NameList>
      </b:Author>
    </b:Author>
    <b:JournalName>Intrusion detection using an ensemble of intelligent paradigms</b:JournalName>
    <b:Issue>295</b:Issue>
    <b:RefOrder>3</b:RefOrder>
  </b:Source>
  <b:Source>
    <b:Tag>All13</b:Tag>
    <b:SourceType>BookSection</b:SourceType>
    <b:Guid>{42DA81C7-78D5-4DF1-8829-9275779F7EC1}</b:Guid>
    <b:Title>Cybersecurity and Cyberwar</b:Title>
    <b:Year>4 Dec. 2013</b:Year>
    <b:Author>
      <b:Author>
        <b:NameList>
          <b:Person>
            <b:Last>Friedman</b:Last>
            <b:First>Allan</b:First>
          </b:Person>
        </b:NameList>
      </b:Author>
    </b:Author>
    <b:BookTitle>What Everyone Needs to Know</b:BookTitle>
    <b:Publisher>Oxford University Press</b:Publisher>
    <b:RefOrder>4</b:RefOrder>
  </b:Source>
  <b:Source>
    <b:Tag>Sri12</b:Tag>
    <b:SourceType>BookSection</b:SourceType>
    <b:Guid>{3FE2B0CE-236F-4441-A62F-84990E66090D}</b:Guid>
    <b:Author>
      <b:Author>
        <b:NameList>
          <b:Person>
            <b:Last>Keshav</b:Last>
            <b:First>Srinivasan</b:First>
          </b:Person>
        </b:NameList>
      </b:Author>
    </b:Author>
    <b:Title>Mathematical Foundations of Computer Networking</b:Title>
    <b:BookTitle>Addison-Wesley Professional Computing Series) </b:BookTitle>
    <b:Year>3 May 2012</b:Year>
    <b:Publisher>Addison-Wesley Professional</b:Publisher>
    <b:RefOrder>5</b:RefOrder>
  </b:Source>
  <b:Source>
    <b:Tag>Xia18</b:Tag>
    <b:SourceType>BookSection</b:SourceType>
    <b:Guid>{90494E76-A516-473A-89CD-338F2F4BB7F0}</b:Guid>
    <b:Author>
      <b:Author>
        <b:NameList>
          <b:Person>
            <b:Last>Lin</b:Last>
            <b:First>Xiaodong</b:First>
          </b:Person>
        </b:NameList>
      </b:Author>
    </b:Author>
    <b:Title>Privacy-Enhancing Fog Computing and Its Applications</b:Title>
    <b:BookTitle>SpringerBriefs in Electrical and Computer Engineering</b:BookTitle>
    <b:Year>12 Nov. 2018</b:Year>
    <b:Publisher>Springer</b:Publisher>
    <b:RefOrder>6</b:RefOrder>
  </b:Source>
  <b:Source>
    <b:Tag>Mir23</b:Tag>
    <b:SourceType>BookSection</b:SourceType>
    <b:Guid>{BB46C67E-BC78-4C98-A47E-D6800D698E40}</b:Guid>
    <b:Author>
      <b:Author>
        <b:NameList>
          <b:Person>
            <b:Last>Huzar</b:Last>
            <b:First>Miroslava</b:First>
            <b:Middle>S.</b:Middle>
          </b:Person>
        </b:NameList>
      </b:Author>
    </b:Author>
    <b:Title>Hacking and Security</b:Title>
    <b:BookTitle>The Comprehensive Guide to Penetration Testing and Cybersecurity (Rheinwerk Computing) </b:BookTitle>
    <b:Year>27 July 2023</b:Year>
    <b:Publisher>rheinwerk</b:Publisher>
    <b:RefOrder>7</b:RefOrder>
  </b:Source>
  <b:Source>
    <b:Tag>bru16</b:Tag>
    <b:SourceType>BookSection</b:SourceType>
    <b:Guid>{570F8462-139B-40A4-8573-ADF70434BEAE}</b:Guid>
    <b:Author>
      <b:Author>
        <b:NameList>
          <b:Person>
            <b:Last>schneier</b:Last>
            <b:First>bruce</b:First>
          </b:Person>
        </b:NameList>
      </b:Author>
    </b:Author>
    <b:Title>Data and Goliath</b:Title>
    <b:BookTitle>The Hidden Battles to Collect Your Data and Control Your World</b:BookTitle>
    <b:Year>8 Mar. 2016</b:Year>
    <b:Publisher>W. W. Norton &amp; Company</b:Publisher>
    <b:RefOrder>10</b:RefOrder>
  </b:Source>
  <b:Source>
    <b:Tag>Kev12</b:Tag>
    <b:SourceType>BookSection</b:SourceType>
    <b:Guid>{6B94A4EC-7B1B-4199-90EB-6CCE6FF19D79}</b:Guid>
    <b:Author>
      <b:Author>
        <b:NameList>
          <b:Person>
            <b:Last>Mitnick</b:Last>
            <b:First>Kevin</b:First>
          </b:Person>
        </b:NameList>
      </b:Author>
    </b:Author>
    <b:Title>Ghost In The Wires</b:Title>
    <b:BookTitle>My Adventures as the World's Most Wanted Hacker </b:BookTitle>
    <b:Year>3 May 2012</b:Year>
    <b:Publisher>Back Bay</b:Publisher>
    <b:RefOrder>11</b:RefOrder>
  </b:Source>
  <b:Source>
    <b:Tag>Gen24</b:Tag>
    <b:SourceType>BookSection</b:SourceType>
    <b:Guid>{5CD86F49-C657-437B-A6A2-196DA938591A}</b:Guid>
    <b:Author>
      <b:Author>
        <b:NameList>
          <b:Person>
            <b:Last>Kim</b:Last>
            <b:First>Gene</b:First>
          </b:Person>
        </b:NameList>
      </b:Author>
    </b:Author>
    <b:Title>The Phoenix Project </b:Title>
    <b:Year>3 Sept. 2024</b:Year>
    <b:Publisher>T Revolution Press</b:Publisher>
    <b:RefOrder>13</b:RefOrder>
  </b:Source>
  <b:Source>
    <b:Tag>Ric12</b:Tag>
    <b:SourceType>BookSection</b:SourceType>
    <b:Guid>{24538C14-BDB1-4805-98CF-E35A6A5190A8}</b:Guid>
    <b:Author>
      <b:Author>
        <b:NameList>
          <b:Person>
            <b:Last>Clarke</b:Last>
            <b:First>Richard</b:First>
            <b:Middle>A.</b:Middle>
          </b:Person>
        </b:NameList>
      </b:Author>
    </b:Author>
    <b:Title>Cyber War</b:Title>
    <b:BookTitle>The Next Threat to National Security and What to Do About It </b:BookTitle>
    <b:Year>5 May 2012</b:Year>
    <b:Publisher>Ecco</b:Publisher>
    <b:RefOrder>15</b:RefOrder>
  </b:Source>
</b:Sources>
</file>

<file path=customXml/itemProps1.xml><?xml version="1.0" encoding="utf-8"?>
<ds:datastoreItem xmlns:ds="http://schemas.openxmlformats.org/officeDocument/2006/customXml" ds:itemID="{CF3413AC-5171-4996-BA02-770ED39E7D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2877</TotalTime>
  <Pages>14</Pages>
  <Words>3742</Words>
  <Characters>21331</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newman</dc:creator>
  <cp:keywords/>
  <dc:description/>
  <cp:lastModifiedBy>paul newman</cp:lastModifiedBy>
  <cp:revision>73</cp:revision>
  <dcterms:created xsi:type="dcterms:W3CDTF">2024-11-26T11:46:00Z</dcterms:created>
  <dcterms:modified xsi:type="dcterms:W3CDTF">2024-11-28T15:19:00Z</dcterms:modified>
</cp:coreProperties>
</file>