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8B93F" w14:textId="7192E1AE" w:rsidR="00D04DEC" w:rsidRDefault="00D04DEC">
      <w:pPr>
        <w:spacing w:line="278" w:lineRule="auto"/>
        <w:jc w:val="left"/>
      </w:pPr>
      <w:r w:rsidRPr="00FE7A05">
        <w:rPr>
          <w:rFonts w:cs="Times New Roman"/>
          <w:noProof/>
        </w:rPr>
        <w:drawing>
          <wp:anchor distT="0" distB="0" distL="114300" distR="114300" simplePos="0" relativeHeight="251659264" behindDoc="0" locked="0" layoutInCell="1" allowOverlap="1" wp14:anchorId="709E2260" wp14:editId="34BB48D4">
            <wp:simplePos x="0" y="0"/>
            <wp:positionH relativeFrom="column">
              <wp:posOffset>1536700</wp:posOffset>
            </wp:positionH>
            <wp:positionV relativeFrom="paragraph">
              <wp:posOffset>266700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W w:w="827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4"/>
        <w:gridCol w:w="2745"/>
        <w:gridCol w:w="1890"/>
        <w:gridCol w:w="1891"/>
      </w:tblGrid>
      <w:tr w:rsidR="00D04DEC" w:rsidRPr="00FE7A05" w14:paraId="1713473A" w14:textId="77777777" w:rsidTr="007534C5">
        <w:trPr>
          <w:trHeight w:val="491"/>
        </w:trPr>
        <w:tc>
          <w:tcPr>
            <w:tcW w:w="1744" w:type="dxa"/>
          </w:tcPr>
          <w:p w14:paraId="744BEC3C" w14:textId="77777777" w:rsidR="00D04DEC" w:rsidRPr="00FE7A05" w:rsidRDefault="00D04DEC" w:rsidP="00D04DEC">
            <w:pPr>
              <w:spacing w:before="120" w:after="120" w:line="240" w:lineRule="auto"/>
              <w:rPr>
                <w:rFonts w:cs="Times New Roman"/>
                <w:b/>
              </w:rPr>
            </w:pPr>
            <w:r w:rsidRPr="00FE7A05">
              <w:rPr>
                <w:rFonts w:cs="Times New Roman"/>
                <w:b/>
              </w:rPr>
              <w:t>Student name:</w:t>
            </w:r>
          </w:p>
        </w:tc>
        <w:tc>
          <w:tcPr>
            <w:tcW w:w="2745" w:type="dxa"/>
          </w:tcPr>
          <w:p w14:paraId="1FB2B056" w14:textId="3DB01197" w:rsidR="00D04DEC" w:rsidRPr="00B049F2" w:rsidRDefault="00D04DEC" w:rsidP="00D04DEC">
            <w:pPr>
              <w:spacing w:before="120" w:after="120" w:line="240" w:lineRule="auto"/>
              <w:rPr>
                <w:rFonts w:ascii="Arial" w:hAnsi="Arial" w:cs="Arial"/>
                <w:b/>
              </w:rPr>
            </w:pPr>
            <w:r w:rsidRPr="00B049F2">
              <w:rPr>
                <w:rFonts w:ascii="Arial" w:hAnsi="Arial" w:cs="Arial"/>
                <w:b/>
              </w:rPr>
              <w:fldChar w:fldCharType="begin">
                <w:ffData>
                  <w:name w:val="Text2"/>
                  <w:enabled/>
                  <w:calcOnExit w:val="0"/>
                  <w:textInput/>
                </w:ffData>
              </w:fldChar>
            </w:r>
            <w:r w:rsidRPr="00B049F2">
              <w:rPr>
                <w:rFonts w:ascii="Arial" w:hAnsi="Arial" w:cs="Arial"/>
                <w:b/>
              </w:rPr>
              <w:instrText xml:space="preserve"> FORMTEXT </w:instrText>
            </w:r>
            <w:r w:rsidRPr="00B049F2">
              <w:rPr>
                <w:rFonts w:ascii="Arial" w:hAnsi="Arial" w:cs="Arial"/>
                <w:b/>
              </w:rPr>
            </w:r>
            <w:r w:rsidRPr="00B049F2">
              <w:rPr>
                <w:rFonts w:ascii="Arial" w:hAnsi="Arial" w:cs="Arial"/>
                <w:b/>
              </w:rPr>
              <w:fldChar w:fldCharType="separate"/>
            </w:r>
            <w:r w:rsidRPr="00B049F2">
              <w:rPr>
                <w:rFonts w:ascii="Arial" w:hAnsi="Arial" w:cs="Arial"/>
                <w:b/>
                <w:noProof/>
              </w:rPr>
              <w:t> </w:t>
            </w:r>
            <w:r w:rsidRPr="00B049F2">
              <w:rPr>
                <w:rFonts w:ascii="Arial" w:hAnsi="Arial" w:cs="Arial"/>
                <w:b/>
                <w:noProof/>
              </w:rPr>
              <w:t> </w:t>
            </w:r>
            <w:r w:rsidRPr="00B049F2">
              <w:rPr>
                <w:rFonts w:ascii="Arial" w:hAnsi="Arial" w:cs="Arial"/>
                <w:b/>
                <w:noProof/>
              </w:rPr>
              <w:t> </w:t>
            </w:r>
            <w:r w:rsidRPr="00B049F2">
              <w:rPr>
                <w:rFonts w:ascii="Arial" w:hAnsi="Arial" w:cs="Arial"/>
                <w:b/>
                <w:noProof/>
              </w:rPr>
              <w:t> </w:t>
            </w:r>
            <w:r w:rsidRPr="00B049F2">
              <w:rPr>
                <w:rFonts w:ascii="Arial" w:hAnsi="Arial" w:cs="Arial"/>
                <w:b/>
                <w:noProof/>
              </w:rPr>
              <w:t> </w:t>
            </w:r>
            <w:r w:rsidRPr="00B049F2">
              <w:rPr>
                <w:rFonts w:ascii="Arial" w:hAnsi="Arial" w:cs="Arial"/>
                <w:b/>
              </w:rPr>
              <w:fldChar w:fldCharType="end"/>
            </w:r>
            <w:r w:rsidR="00CB13DE">
              <w:rPr>
                <w:rFonts w:ascii="Arial" w:hAnsi="Arial" w:cs="Arial"/>
                <w:b/>
              </w:rPr>
              <w:t>C</w:t>
            </w:r>
            <w:r w:rsidR="000B33C1">
              <w:rPr>
                <w:rFonts w:ascii="Arial" w:hAnsi="Arial" w:cs="Arial"/>
                <w:b/>
              </w:rPr>
              <w:t xml:space="preserve">armen </w:t>
            </w:r>
            <w:r w:rsidR="00681936">
              <w:rPr>
                <w:rFonts w:ascii="Arial" w:hAnsi="Arial" w:cs="Arial"/>
                <w:b/>
              </w:rPr>
              <w:t>Goulei</w:t>
            </w:r>
          </w:p>
        </w:tc>
        <w:tc>
          <w:tcPr>
            <w:tcW w:w="1890" w:type="dxa"/>
            <w:shd w:val="clear" w:color="auto" w:fill="D9D9D9" w:themeFill="background1" w:themeFillShade="D9"/>
          </w:tcPr>
          <w:p w14:paraId="25239482" w14:textId="77777777" w:rsidR="00D04DEC" w:rsidRPr="00FE7A05" w:rsidRDefault="00D04DEC" w:rsidP="00D04DEC">
            <w:pPr>
              <w:spacing w:before="120" w:after="120" w:line="240" w:lineRule="auto"/>
              <w:rPr>
                <w:rFonts w:cs="Times New Roman"/>
                <w:b/>
              </w:rPr>
            </w:pPr>
            <w:r w:rsidRPr="00FE7A05">
              <w:rPr>
                <w:rFonts w:cs="Times New Roman"/>
                <w:b/>
              </w:rPr>
              <w:t>Student ID number:</w:t>
            </w:r>
          </w:p>
        </w:tc>
        <w:tc>
          <w:tcPr>
            <w:tcW w:w="1890" w:type="dxa"/>
          </w:tcPr>
          <w:p w14:paraId="6104FAB8" w14:textId="6C3EDC5C" w:rsidR="00D04DEC" w:rsidRPr="00FE7A05" w:rsidRDefault="00681936" w:rsidP="00D04DEC">
            <w:pPr>
              <w:spacing w:before="120" w:after="120" w:line="240" w:lineRule="auto"/>
              <w:rPr>
                <w:rFonts w:cs="Times New Roman"/>
                <w:b/>
              </w:rPr>
            </w:pPr>
            <w:r>
              <w:rPr>
                <w:rFonts w:cs="Times New Roman"/>
                <w:b/>
              </w:rPr>
              <w:t>2310474</w:t>
            </w:r>
          </w:p>
        </w:tc>
      </w:tr>
      <w:tr w:rsidR="00D04DEC" w:rsidRPr="00465821" w14:paraId="28BEE423" w14:textId="77777777" w:rsidTr="007534C5">
        <w:trPr>
          <w:trHeight w:val="481"/>
        </w:trPr>
        <w:tc>
          <w:tcPr>
            <w:tcW w:w="1744" w:type="dxa"/>
          </w:tcPr>
          <w:p w14:paraId="59A04280" w14:textId="77777777" w:rsidR="00D04DEC" w:rsidRPr="00FE7A05" w:rsidRDefault="00D04DEC" w:rsidP="00D04DEC">
            <w:pPr>
              <w:spacing w:before="120" w:after="120" w:line="240" w:lineRule="auto"/>
              <w:rPr>
                <w:rFonts w:cs="Times New Roman"/>
                <w:b/>
              </w:rPr>
            </w:pPr>
            <w:r w:rsidRPr="00FE7A05">
              <w:rPr>
                <w:rFonts w:cs="Times New Roman"/>
                <w:b/>
              </w:rPr>
              <w:t>Programme:</w:t>
            </w:r>
          </w:p>
        </w:tc>
        <w:tc>
          <w:tcPr>
            <w:tcW w:w="6526" w:type="dxa"/>
            <w:gridSpan w:val="3"/>
          </w:tcPr>
          <w:p w14:paraId="74241ECF" w14:textId="77777777" w:rsidR="00D04DEC" w:rsidRPr="00FE7A05" w:rsidRDefault="00D04DEC" w:rsidP="00D04DEC">
            <w:pPr>
              <w:spacing w:before="120" w:after="120" w:line="240" w:lineRule="auto"/>
              <w:rPr>
                <w:rFonts w:cs="Times New Roman"/>
                <w:b/>
              </w:rPr>
            </w:pPr>
            <w:r w:rsidRPr="00FE7A05">
              <w:rPr>
                <w:rFonts w:cs="Times New Roman"/>
                <w:b/>
              </w:rPr>
              <w:t xml:space="preserve">BA (Hons) Leadership and Management Skills in the Workplace </w:t>
            </w:r>
          </w:p>
        </w:tc>
      </w:tr>
      <w:tr w:rsidR="00D04DEC" w:rsidRPr="00FE7A05" w14:paraId="4057BCBA" w14:textId="77777777" w:rsidTr="007534C5">
        <w:trPr>
          <w:trHeight w:val="491"/>
        </w:trPr>
        <w:tc>
          <w:tcPr>
            <w:tcW w:w="1744" w:type="dxa"/>
          </w:tcPr>
          <w:p w14:paraId="3E42CCC9" w14:textId="77777777" w:rsidR="00D04DEC" w:rsidRPr="00FE7A05" w:rsidRDefault="00D04DEC" w:rsidP="00D04DEC">
            <w:pPr>
              <w:spacing w:before="120" w:after="120" w:line="240" w:lineRule="auto"/>
              <w:rPr>
                <w:rFonts w:cs="Times New Roman"/>
                <w:b/>
              </w:rPr>
            </w:pPr>
            <w:r w:rsidRPr="00FE7A05">
              <w:rPr>
                <w:rFonts w:cs="Times New Roman"/>
                <w:b/>
              </w:rPr>
              <w:t>Module:</w:t>
            </w:r>
          </w:p>
        </w:tc>
        <w:tc>
          <w:tcPr>
            <w:tcW w:w="6526" w:type="dxa"/>
            <w:gridSpan w:val="3"/>
          </w:tcPr>
          <w:p w14:paraId="23B70C18" w14:textId="77777777" w:rsidR="00D04DEC" w:rsidRPr="00FE7A05" w:rsidRDefault="00D04DEC" w:rsidP="00D04DEC">
            <w:pPr>
              <w:spacing w:before="120" w:after="120" w:line="240" w:lineRule="auto"/>
              <w:rPr>
                <w:rFonts w:cs="Times New Roman"/>
                <w:b/>
              </w:rPr>
            </w:pPr>
            <w:r w:rsidRPr="00FE7A05">
              <w:rPr>
                <w:rFonts w:cs="Times New Roman"/>
                <w:b/>
              </w:rPr>
              <w:t>Research Methods for Business</w:t>
            </w:r>
          </w:p>
        </w:tc>
      </w:tr>
      <w:tr w:rsidR="00D04DEC" w:rsidRPr="00FE7A05" w14:paraId="51303BCE" w14:textId="77777777" w:rsidTr="007534C5">
        <w:trPr>
          <w:trHeight w:val="784"/>
        </w:trPr>
        <w:tc>
          <w:tcPr>
            <w:tcW w:w="1744" w:type="dxa"/>
          </w:tcPr>
          <w:p w14:paraId="00EFF468" w14:textId="77777777" w:rsidR="00D04DEC" w:rsidRPr="00FE7A05" w:rsidRDefault="00D04DEC" w:rsidP="00D04DEC">
            <w:pPr>
              <w:spacing w:before="120" w:after="120" w:line="240" w:lineRule="auto"/>
              <w:rPr>
                <w:rFonts w:cs="Times New Roman"/>
                <w:b/>
              </w:rPr>
            </w:pPr>
            <w:r w:rsidRPr="00FE7A05">
              <w:rPr>
                <w:rFonts w:cs="Times New Roman"/>
                <w:b/>
              </w:rPr>
              <w:t>Module code:</w:t>
            </w:r>
          </w:p>
        </w:tc>
        <w:tc>
          <w:tcPr>
            <w:tcW w:w="2745" w:type="dxa"/>
          </w:tcPr>
          <w:p w14:paraId="107FDC2D" w14:textId="77777777" w:rsidR="00D04DEC" w:rsidRPr="00FE7A05" w:rsidRDefault="00D04DEC" w:rsidP="00D04DEC">
            <w:pPr>
              <w:spacing w:before="120" w:after="120" w:line="240" w:lineRule="auto"/>
              <w:rPr>
                <w:rFonts w:cs="Times New Roman"/>
                <w:b/>
              </w:rPr>
            </w:pPr>
            <w:r w:rsidRPr="00FE7A05">
              <w:rPr>
                <w:rFonts w:cs="Times New Roman"/>
                <w:b/>
              </w:rPr>
              <w:t>LCLM6004</w:t>
            </w:r>
          </w:p>
        </w:tc>
        <w:tc>
          <w:tcPr>
            <w:tcW w:w="1890" w:type="dxa"/>
            <w:shd w:val="clear" w:color="auto" w:fill="D9D9D9" w:themeFill="background1" w:themeFillShade="D9"/>
          </w:tcPr>
          <w:p w14:paraId="142E6C24" w14:textId="77777777" w:rsidR="00D04DEC" w:rsidRPr="00FE7A05" w:rsidRDefault="00D04DEC" w:rsidP="00D04DEC">
            <w:r w:rsidRPr="00FE7A05">
              <w:t>Contribution to Overall Module Assessment (%):</w:t>
            </w:r>
          </w:p>
        </w:tc>
        <w:tc>
          <w:tcPr>
            <w:tcW w:w="1890" w:type="dxa"/>
          </w:tcPr>
          <w:p w14:paraId="53F74C20" w14:textId="77777777" w:rsidR="00D04DEC" w:rsidRPr="00FE7A05" w:rsidRDefault="00D04DEC" w:rsidP="00D04DEC">
            <w:pPr>
              <w:spacing w:before="120" w:after="120" w:line="240" w:lineRule="auto"/>
              <w:rPr>
                <w:rFonts w:cs="Times New Roman"/>
                <w:b/>
              </w:rPr>
            </w:pPr>
            <w:r w:rsidRPr="00FE7A05">
              <w:rPr>
                <w:rFonts w:cs="Times New Roman"/>
                <w:b/>
              </w:rPr>
              <w:t>50%</w:t>
            </w:r>
          </w:p>
        </w:tc>
      </w:tr>
      <w:tr w:rsidR="00D04DEC" w:rsidRPr="00FE7A05" w14:paraId="10EF6566" w14:textId="77777777" w:rsidTr="007534C5">
        <w:trPr>
          <w:trHeight w:val="859"/>
        </w:trPr>
        <w:tc>
          <w:tcPr>
            <w:tcW w:w="1744" w:type="dxa"/>
          </w:tcPr>
          <w:p w14:paraId="42733DA1" w14:textId="77777777" w:rsidR="00D04DEC" w:rsidRPr="00FE7A05" w:rsidRDefault="00D04DEC" w:rsidP="00D04DEC">
            <w:pPr>
              <w:spacing w:before="120" w:after="120" w:line="240" w:lineRule="auto"/>
              <w:rPr>
                <w:rFonts w:cs="Times New Roman"/>
                <w:b/>
              </w:rPr>
            </w:pPr>
            <w:r w:rsidRPr="00FE7A05">
              <w:rPr>
                <w:rFonts w:cs="Times New Roman"/>
                <w:b/>
              </w:rPr>
              <w:t>Lecturer:</w:t>
            </w:r>
          </w:p>
        </w:tc>
        <w:tc>
          <w:tcPr>
            <w:tcW w:w="2745" w:type="dxa"/>
          </w:tcPr>
          <w:p w14:paraId="5A1023A0" w14:textId="77777777" w:rsidR="00D04DEC" w:rsidRPr="00FE7A05" w:rsidRDefault="00D04DEC" w:rsidP="00D04DEC">
            <w:pPr>
              <w:spacing w:before="120" w:after="120" w:line="240" w:lineRule="auto"/>
              <w:rPr>
                <w:rFonts w:cs="Times New Roman"/>
                <w:b/>
              </w:rPr>
            </w:pPr>
            <w:r w:rsidRPr="00FE7A05">
              <w:rPr>
                <w:rFonts w:cs="Times New Roman"/>
                <w:b/>
              </w:rPr>
              <w:t>Dr Xavier Matieni</w:t>
            </w:r>
          </w:p>
          <w:p w14:paraId="38339EAC" w14:textId="77777777" w:rsidR="00D04DEC" w:rsidRPr="00FE7A05" w:rsidRDefault="00D04DEC" w:rsidP="00D04DEC">
            <w:pPr>
              <w:spacing w:before="120" w:after="120" w:line="240" w:lineRule="auto"/>
              <w:rPr>
                <w:rFonts w:cs="Times New Roman"/>
                <w:b/>
              </w:rPr>
            </w:pPr>
            <w:r w:rsidRPr="00FE7A05">
              <w:rPr>
                <w:rFonts w:cs="Times New Roman"/>
                <w:b/>
                <w:bCs/>
              </w:rPr>
              <w:t>Dr Olu Adegbite</w:t>
            </w:r>
          </w:p>
        </w:tc>
        <w:tc>
          <w:tcPr>
            <w:tcW w:w="1890" w:type="dxa"/>
            <w:shd w:val="clear" w:color="auto" w:fill="D9D9D9" w:themeFill="background1" w:themeFillShade="D9"/>
          </w:tcPr>
          <w:p w14:paraId="2F5AF564" w14:textId="77777777" w:rsidR="00D04DEC" w:rsidRPr="00FE7A05" w:rsidRDefault="00D04DEC" w:rsidP="00D04DEC">
            <w:pPr>
              <w:spacing w:before="120" w:after="120" w:line="240" w:lineRule="auto"/>
              <w:rPr>
                <w:rFonts w:cs="Times New Roman"/>
                <w:b/>
              </w:rPr>
            </w:pPr>
            <w:r w:rsidRPr="00FE7A05">
              <w:rPr>
                <w:rFonts w:cs="Times New Roman"/>
                <w:b/>
              </w:rPr>
              <w:t>Internal Verifier:</w:t>
            </w:r>
          </w:p>
        </w:tc>
        <w:tc>
          <w:tcPr>
            <w:tcW w:w="1890" w:type="dxa"/>
          </w:tcPr>
          <w:p w14:paraId="4F84CD0D" w14:textId="77777777" w:rsidR="00D04DEC" w:rsidRPr="00FE7A05" w:rsidRDefault="00D04DEC" w:rsidP="00D04DEC">
            <w:pPr>
              <w:spacing w:before="120" w:after="120" w:line="240" w:lineRule="auto"/>
              <w:rPr>
                <w:rFonts w:cs="Times New Roman"/>
                <w:b/>
              </w:rPr>
            </w:pPr>
            <w:r w:rsidRPr="00FE7A05">
              <w:rPr>
                <w:rFonts w:cs="Times New Roman"/>
                <w:b/>
              </w:rPr>
              <w:t>Md Kalam</w:t>
            </w:r>
          </w:p>
          <w:p w14:paraId="34BB4FC1" w14:textId="77777777" w:rsidR="00D04DEC" w:rsidRPr="00FE7A05" w:rsidRDefault="00D04DEC" w:rsidP="00D04DEC">
            <w:pPr>
              <w:spacing w:before="120" w:after="120" w:line="240" w:lineRule="auto"/>
              <w:rPr>
                <w:rFonts w:cs="Times New Roman"/>
                <w:b/>
              </w:rPr>
            </w:pPr>
            <w:r w:rsidRPr="00FE7A05">
              <w:rPr>
                <w:rFonts w:cs="Times New Roman"/>
                <w:b/>
              </w:rPr>
              <w:t>Samuel Ofori</w:t>
            </w:r>
          </w:p>
        </w:tc>
      </w:tr>
      <w:tr w:rsidR="00D04DEC" w:rsidRPr="00FE7A05" w14:paraId="7118C454" w14:textId="77777777" w:rsidTr="007534C5">
        <w:trPr>
          <w:trHeight w:val="1492"/>
        </w:trPr>
        <w:tc>
          <w:tcPr>
            <w:tcW w:w="1744" w:type="dxa"/>
          </w:tcPr>
          <w:p w14:paraId="4B11BC11" w14:textId="77777777" w:rsidR="00D04DEC" w:rsidRPr="00FE7A05" w:rsidRDefault="00D04DEC" w:rsidP="00D04DEC">
            <w:pPr>
              <w:spacing w:before="120" w:after="120" w:line="240" w:lineRule="auto"/>
              <w:rPr>
                <w:rFonts w:cs="Times New Roman"/>
                <w:b/>
              </w:rPr>
            </w:pPr>
            <w:r w:rsidRPr="00FE7A05">
              <w:rPr>
                <w:rFonts w:cs="Times New Roman"/>
                <w:b/>
              </w:rPr>
              <w:t>Assignment Title:</w:t>
            </w:r>
          </w:p>
        </w:tc>
        <w:tc>
          <w:tcPr>
            <w:tcW w:w="2745" w:type="dxa"/>
          </w:tcPr>
          <w:p w14:paraId="0268B2FE" w14:textId="77777777" w:rsidR="00D04DEC" w:rsidRPr="00FE7A05" w:rsidRDefault="00D04DEC" w:rsidP="00D04DEC">
            <w:pPr>
              <w:numPr>
                <w:ilvl w:val="0"/>
                <w:numId w:val="1"/>
              </w:numPr>
              <w:spacing w:after="0" w:line="240" w:lineRule="auto"/>
              <w:rPr>
                <w:rFonts w:cs="Times New Roman"/>
              </w:rPr>
            </w:pPr>
            <w:r w:rsidRPr="00FE7A05">
              <w:rPr>
                <w:rFonts w:cs="Times New Roman"/>
                <w:b/>
              </w:rPr>
              <w:t xml:space="preserve">Component 2 – </w:t>
            </w:r>
            <w:r w:rsidRPr="00FE7A05">
              <w:rPr>
                <w:rFonts w:cs="Times New Roman"/>
              </w:rPr>
              <w:t>Practical Academic Discussion (Individual)</w:t>
            </w:r>
          </w:p>
          <w:p w14:paraId="05A77373" w14:textId="77777777" w:rsidR="00D04DEC" w:rsidRPr="00FE7A05" w:rsidRDefault="00D04DEC" w:rsidP="00D04DEC">
            <w:pPr>
              <w:spacing w:line="240" w:lineRule="auto"/>
              <w:ind w:left="720"/>
              <w:rPr>
                <w:rFonts w:cs="Times New Roman"/>
              </w:rPr>
            </w:pPr>
          </w:p>
          <w:p w14:paraId="0404A699" w14:textId="77777777" w:rsidR="00D04DEC" w:rsidRPr="00FE7A05" w:rsidRDefault="00D04DEC" w:rsidP="00D04DEC">
            <w:pPr>
              <w:spacing w:line="240" w:lineRule="auto"/>
              <w:ind w:left="720"/>
              <w:rPr>
                <w:rFonts w:cs="Times New Roman"/>
                <w:b/>
              </w:rPr>
            </w:pPr>
          </w:p>
        </w:tc>
        <w:tc>
          <w:tcPr>
            <w:tcW w:w="1890" w:type="dxa"/>
          </w:tcPr>
          <w:p w14:paraId="4177FF4F" w14:textId="77777777" w:rsidR="00D04DEC" w:rsidRPr="00FE7A05" w:rsidRDefault="00D04DEC" w:rsidP="00D04DEC">
            <w:pPr>
              <w:spacing w:before="120" w:after="120" w:line="240" w:lineRule="auto"/>
              <w:rPr>
                <w:rFonts w:cs="Times New Roman"/>
                <w:b/>
              </w:rPr>
            </w:pPr>
            <w:r w:rsidRPr="00FE7A05">
              <w:rPr>
                <w:rFonts w:cs="Times New Roman"/>
                <w:b/>
              </w:rPr>
              <w:t>Word count (or equivalent):</w:t>
            </w:r>
          </w:p>
        </w:tc>
        <w:tc>
          <w:tcPr>
            <w:tcW w:w="1890" w:type="dxa"/>
          </w:tcPr>
          <w:p w14:paraId="338A4C13" w14:textId="77777777" w:rsidR="00D04DEC" w:rsidRPr="00FE7A05" w:rsidRDefault="00D04DEC" w:rsidP="00D04DEC">
            <w:pPr>
              <w:spacing w:before="120" w:after="120" w:line="240" w:lineRule="auto"/>
              <w:rPr>
                <w:rFonts w:cs="Times New Roman"/>
                <w:b/>
              </w:rPr>
            </w:pPr>
            <w:r w:rsidRPr="00FE7A05">
              <w:rPr>
                <w:rFonts w:cs="Times New Roman"/>
                <w:b/>
              </w:rPr>
              <w:t>Duration:</w:t>
            </w:r>
          </w:p>
          <w:p w14:paraId="5B9547B2" w14:textId="77777777" w:rsidR="00D04DEC" w:rsidRPr="00FE7A05" w:rsidRDefault="00D04DEC" w:rsidP="00D04DEC">
            <w:pPr>
              <w:spacing w:before="120" w:after="120" w:line="240" w:lineRule="auto"/>
              <w:rPr>
                <w:rFonts w:cs="Times New Roman"/>
                <w:b/>
              </w:rPr>
            </w:pPr>
            <w:r w:rsidRPr="00FE7A05">
              <w:rPr>
                <w:rFonts w:cs="Times New Roman"/>
                <w:b/>
              </w:rPr>
              <w:t>20 minutes discussion</w:t>
            </w:r>
          </w:p>
          <w:p w14:paraId="08EC6CDB" w14:textId="77777777" w:rsidR="00D04DEC" w:rsidRPr="00FE7A05" w:rsidRDefault="00D04DEC" w:rsidP="00D04DEC">
            <w:pPr>
              <w:spacing w:before="120" w:after="120" w:line="240" w:lineRule="auto"/>
              <w:rPr>
                <w:rFonts w:cs="Times New Roman"/>
                <w:b/>
              </w:rPr>
            </w:pPr>
          </w:p>
        </w:tc>
      </w:tr>
      <w:tr w:rsidR="00D04DEC" w:rsidRPr="00FE7A05" w14:paraId="1FCE7277" w14:textId="77777777" w:rsidTr="007534C5">
        <w:trPr>
          <w:trHeight w:val="1492"/>
        </w:trPr>
        <w:tc>
          <w:tcPr>
            <w:tcW w:w="1744" w:type="dxa"/>
          </w:tcPr>
          <w:p w14:paraId="5E30C240" w14:textId="77777777" w:rsidR="00D04DEC" w:rsidRPr="00FE7A05" w:rsidRDefault="00D04DEC" w:rsidP="00D04DEC">
            <w:pPr>
              <w:spacing w:before="120" w:after="120" w:line="240" w:lineRule="auto"/>
              <w:rPr>
                <w:rFonts w:cs="Times New Roman"/>
                <w:b/>
              </w:rPr>
            </w:pPr>
            <w:r w:rsidRPr="00FE7A05">
              <w:rPr>
                <w:rFonts w:cs="Times New Roman"/>
                <w:b/>
              </w:rPr>
              <w:t>Submission deadline:</w:t>
            </w:r>
          </w:p>
        </w:tc>
        <w:tc>
          <w:tcPr>
            <w:tcW w:w="2745" w:type="dxa"/>
          </w:tcPr>
          <w:p w14:paraId="0F98F548" w14:textId="77777777" w:rsidR="00D04DEC" w:rsidRPr="00FE7A05" w:rsidRDefault="00D04DEC" w:rsidP="00D04DEC">
            <w:pPr>
              <w:pStyle w:val="TableParagraph"/>
              <w:spacing w:before="119" w:after="120"/>
              <w:jc w:val="both"/>
              <w:rPr>
                <w:rFonts w:ascii="Times New Roman" w:eastAsia="Arial" w:hAnsi="Times New Roman" w:cs="Times New Roman"/>
                <w:color w:val="000000" w:themeColor="text1"/>
                <w:sz w:val="24"/>
                <w:szCs w:val="24"/>
              </w:rPr>
            </w:pPr>
            <w:r w:rsidRPr="00FE7A05">
              <w:rPr>
                <w:rFonts w:ascii="Times New Roman" w:eastAsia="Arial" w:hAnsi="Times New Roman" w:cs="Times New Roman"/>
                <w:b/>
                <w:bCs/>
                <w:color w:val="000000" w:themeColor="text1"/>
                <w:sz w:val="24"/>
                <w:szCs w:val="24"/>
              </w:rPr>
              <w:t xml:space="preserve">Interviews start: </w:t>
            </w:r>
          </w:p>
          <w:p w14:paraId="7A069170" w14:textId="77777777" w:rsidR="00D04DEC" w:rsidRPr="00FE7A05" w:rsidRDefault="00D04DEC" w:rsidP="00D04DEC">
            <w:pPr>
              <w:pStyle w:val="TableParagraph"/>
              <w:spacing w:before="119" w:after="120"/>
              <w:jc w:val="both"/>
              <w:rPr>
                <w:rFonts w:ascii="Times New Roman" w:eastAsia="Arial" w:hAnsi="Times New Roman" w:cs="Times New Roman"/>
                <w:color w:val="000000" w:themeColor="text1"/>
                <w:sz w:val="24"/>
                <w:szCs w:val="24"/>
              </w:rPr>
            </w:pPr>
            <w:r w:rsidRPr="00FE7A05">
              <w:rPr>
                <w:rFonts w:ascii="Times New Roman" w:eastAsia="Arial" w:hAnsi="Times New Roman" w:cs="Times New Roman"/>
                <w:b/>
                <w:bCs/>
                <w:color w:val="000000" w:themeColor="text1"/>
                <w:sz w:val="24"/>
                <w:szCs w:val="24"/>
              </w:rPr>
              <w:t>WC-23/03/2026</w:t>
            </w:r>
          </w:p>
          <w:p w14:paraId="69065E0F" w14:textId="77777777" w:rsidR="00D04DEC" w:rsidRPr="00FE7A05" w:rsidRDefault="00D04DEC" w:rsidP="00D04DEC">
            <w:pPr>
              <w:spacing w:before="120" w:after="120" w:line="240" w:lineRule="auto"/>
              <w:rPr>
                <w:rFonts w:eastAsia="Arial" w:cs="Times New Roman"/>
                <w:b/>
                <w:bCs/>
                <w:color w:val="000000" w:themeColor="text1"/>
              </w:rPr>
            </w:pPr>
          </w:p>
        </w:tc>
        <w:tc>
          <w:tcPr>
            <w:tcW w:w="1890" w:type="dxa"/>
          </w:tcPr>
          <w:p w14:paraId="345366B4" w14:textId="77777777" w:rsidR="00D04DEC" w:rsidRPr="00FE7A05" w:rsidRDefault="00D04DEC" w:rsidP="00D04DEC">
            <w:pPr>
              <w:spacing w:before="120" w:after="120" w:line="240" w:lineRule="auto"/>
              <w:rPr>
                <w:rFonts w:cs="Times New Roman"/>
                <w:b/>
              </w:rPr>
            </w:pPr>
            <w:r w:rsidRPr="00FE7A05">
              <w:rPr>
                <w:rFonts w:cs="Times New Roman"/>
                <w:b/>
              </w:rPr>
              <w:t>Return date of provisional marks &amp; written feedback:</w:t>
            </w:r>
          </w:p>
        </w:tc>
        <w:tc>
          <w:tcPr>
            <w:tcW w:w="1890" w:type="dxa"/>
          </w:tcPr>
          <w:p w14:paraId="7E97C787" w14:textId="77777777" w:rsidR="00D04DEC" w:rsidRPr="00FE7A05" w:rsidRDefault="00D04DEC" w:rsidP="00D04DEC">
            <w:pPr>
              <w:pStyle w:val="TableParagraph"/>
              <w:spacing w:before="119" w:after="120"/>
              <w:jc w:val="both"/>
              <w:rPr>
                <w:rFonts w:ascii="Times New Roman" w:eastAsia="Arial" w:hAnsi="Times New Roman" w:cs="Times New Roman"/>
                <w:color w:val="000000" w:themeColor="text1"/>
                <w:sz w:val="24"/>
                <w:szCs w:val="24"/>
              </w:rPr>
            </w:pPr>
            <w:r w:rsidRPr="00FE7A05">
              <w:rPr>
                <w:rFonts w:ascii="Times New Roman" w:eastAsia="Arial" w:hAnsi="Times New Roman" w:cs="Times New Roman"/>
                <w:b/>
                <w:bCs/>
                <w:color w:val="000000" w:themeColor="text1"/>
                <w:sz w:val="24"/>
                <w:szCs w:val="24"/>
              </w:rPr>
              <w:t>13/04/2026</w:t>
            </w:r>
          </w:p>
        </w:tc>
      </w:tr>
    </w:tbl>
    <w:p w14:paraId="01F2D3FC" w14:textId="77777777" w:rsidR="00DA5B8B" w:rsidRDefault="00DA5B8B"/>
    <w:p w14:paraId="30C283DA" w14:textId="77777777" w:rsidR="00D04DEC" w:rsidRDefault="00D04DEC"/>
    <w:p w14:paraId="0AE0D15D" w14:textId="77777777" w:rsidR="00D04DEC" w:rsidRDefault="00D04DEC"/>
    <w:p w14:paraId="0DE71203" w14:textId="10E4AB82" w:rsidR="00D04DEC" w:rsidRDefault="00D04DEC" w:rsidP="00D04DEC">
      <w:pPr>
        <w:spacing w:line="278"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996067727"/>
        <w:docPartObj>
          <w:docPartGallery w:val="Table of Contents"/>
          <w:docPartUnique/>
        </w:docPartObj>
      </w:sdtPr>
      <w:sdtEndPr>
        <w:rPr>
          <w:rFonts w:ascii="Arial" w:hAnsi="Arial" w:cs="Arial"/>
          <w:b/>
          <w:bCs/>
          <w:noProof/>
        </w:rPr>
      </w:sdtEndPr>
      <w:sdtContent>
        <w:p w14:paraId="38D89304" w14:textId="0CCC88F7" w:rsidR="00D04DEC" w:rsidRPr="00E3478E" w:rsidRDefault="00D04DEC" w:rsidP="00E3478E">
          <w:pPr>
            <w:pStyle w:val="TOCHeading"/>
            <w:jc w:val="center"/>
            <w:rPr>
              <w:rFonts w:ascii="Times New Roman" w:hAnsi="Times New Roman" w:cs="Times New Roman"/>
              <w:b/>
              <w:bCs/>
              <w:color w:val="000000" w:themeColor="text1"/>
              <w:sz w:val="24"/>
              <w:szCs w:val="24"/>
            </w:rPr>
          </w:pPr>
          <w:r w:rsidRPr="00E3478E">
            <w:rPr>
              <w:rFonts w:ascii="Times New Roman" w:hAnsi="Times New Roman" w:cs="Times New Roman"/>
              <w:b/>
              <w:bCs/>
              <w:color w:val="000000" w:themeColor="text1"/>
              <w:sz w:val="24"/>
              <w:szCs w:val="24"/>
            </w:rPr>
            <w:t>Table of Contents</w:t>
          </w:r>
        </w:p>
        <w:p w14:paraId="5F7D16F3" w14:textId="734EB087" w:rsidR="0041124E" w:rsidRPr="002E46A7" w:rsidRDefault="00D04DEC" w:rsidP="002E46A7">
          <w:pPr>
            <w:pStyle w:val="TOC1"/>
            <w:tabs>
              <w:tab w:val="right" w:leader="dot" w:pos="9016"/>
            </w:tabs>
            <w:rPr>
              <w:rFonts w:ascii="Arial" w:eastAsiaTheme="minorEastAsia" w:hAnsi="Arial" w:cs="Arial"/>
              <w:noProof/>
              <w:lang w:eastAsia="en-GB"/>
            </w:rPr>
          </w:pPr>
          <w:r w:rsidRPr="002E46A7">
            <w:rPr>
              <w:rFonts w:ascii="Arial" w:hAnsi="Arial" w:cs="Arial"/>
            </w:rPr>
            <w:fldChar w:fldCharType="begin"/>
          </w:r>
          <w:r w:rsidRPr="002E46A7">
            <w:rPr>
              <w:rFonts w:ascii="Arial" w:hAnsi="Arial" w:cs="Arial"/>
            </w:rPr>
            <w:instrText xml:space="preserve"> TOC \o "1-3" \h \z \u </w:instrText>
          </w:r>
          <w:r w:rsidRPr="002E46A7">
            <w:rPr>
              <w:rFonts w:ascii="Arial" w:hAnsi="Arial" w:cs="Arial"/>
            </w:rPr>
            <w:fldChar w:fldCharType="separate"/>
          </w:r>
          <w:hyperlink w:anchor="_Toc221402132" w:history="1">
            <w:r w:rsidR="0041124E" w:rsidRPr="002E46A7">
              <w:rPr>
                <w:rStyle w:val="Hyperlink"/>
                <w:rFonts w:ascii="Arial" w:hAnsi="Arial" w:cs="Arial"/>
                <w:noProof/>
              </w:rPr>
              <w:t>Component 2</w:t>
            </w:r>
            <w:r w:rsidR="0041124E" w:rsidRPr="002E46A7">
              <w:rPr>
                <w:rFonts w:ascii="Arial" w:hAnsi="Arial" w:cs="Arial"/>
                <w:noProof/>
                <w:webHidden/>
              </w:rPr>
              <w:tab/>
            </w:r>
            <w:r w:rsidR="0041124E" w:rsidRPr="002E46A7">
              <w:rPr>
                <w:rFonts w:ascii="Arial" w:hAnsi="Arial" w:cs="Arial"/>
                <w:noProof/>
                <w:webHidden/>
              </w:rPr>
              <w:fldChar w:fldCharType="begin"/>
            </w:r>
            <w:r w:rsidR="0041124E" w:rsidRPr="002E46A7">
              <w:rPr>
                <w:rFonts w:ascii="Arial" w:hAnsi="Arial" w:cs="Arial"/>
                <w:noProof/>
                <w:webHidden/>
              </w:rPr>
              <w:instrText xml:space="preserve"> PAGEREF _Toc221402132 \h </w:instrText>
            </w:r>
            <w:r w:rsidR="0041124E" w:rsidRPr="002E46A7">
              <w:rPr>
                <w:rFonts w:ascii="Arial" w:hAnsi="Arial" w:cs="Arial"/>
                <w:noProof/>
                <w:webHidden/>
              </w:rPr>
            </w:r>
            <w:r w:rsidR="0041124E" w:rsidRPr="002E46A7">
              <w:rPr>
                <w:rFonts w:ascii="Arial" w:hAnsi="Arial" w:cs="Arial"/>
                <w:noProof/>
                <w:webHidden/>
              </w:rPr>
              <w:fldChar w:fldCharType="separate"/>
            </w:r>
            <w:r w:rsidR="0041124E" w:rsidRPr="002E46A7">
              <w:rPr>
                <w:rFonts w:ascii="Arial" w:hAnsi="Arial" w:cs="Arial"/>
                <w:noProof/>
                <w:webHidden/>
              </w:rPr>
              <w:t>3</w:t>
            </w:r>
            <w:r w:rsidR="0041124E" w:rsidRPr="002E46A7">
              <w:rPr>
                <w:rFonts w:ascii="Arial" w:hAnsi="Arial" w:cs="Arial"/>
                <w:noProof/>
                <w:webHidden/>
              </w:rPr>
              <w:fldChar w:fldCharType="end"/>
            </w:r>
          </w:hyperlink>
        </w:p>
        <w:p w14:paraId="5CE65F69" w14:textId="55E4FEBC" w:rsidR="0041124E" w:rsidRPr="002E46A7" w:rsidRDefault="0041124E" w:rsidP="002E46A7">
          <w:pPr>
            <w:pStyle w:val="TOC2"/>
            <w:tabs>
              <w:tab w:val="right" w:leader="dot" w:pos="9016"/>
            </w:tabs>
            <w:rPr>
              <w:rFonts w:ascii="Arial" w:eastAsiaTheme="minorEastAsia" w:hAnsi="Arial" w:cs="Arial"/>
              <w:noProof/>
              <w:lang w:eastAsia="en-GB"/>
            </w:rPr>
          </w:pPr>
          <w:hyperlink w:anchor="_Toc221402133" w:history="1">
            <w:r w:rsidRPr="002E46A7">
              <w:rPr>
                <w:rStyle w:val="Hyperlink"/>
                <w:rFonts w:ascii="Arial" w:hAnsi="Arial" w:cs="Arial"/>
                <w:noProof/>
              </w:rPr>
              <w:t>1. Business Problem Statement</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_Toc221402133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3</w:t>
            </w:r>
            <w:r w:rsidRPr="002E46A7">
              <w:rPr>
                <w:rFonts w:ascii="Arial" w:hAnsi="Arial" w:cs="Arial"/>
                <w:noProof/>
                <w:webHidden/>
              </w:rPr>
              <w:fldChar w:fldCharType="end"/>
            </w:r>
          </w:hyperlink>
        </w:p>
        <w:p w14:paraId="0CE73802" w14:textId="117F5447" w:rsidR="0041124E" w:rsidRPr="002E46A7" w:rsidRDefault="0041124E" w:rsidP="002E46A7">
          <w:pPr>
            <w:pStyle w:val="TOC2"/>
            <w:tabs>
              <w:tab w:val="right" w:leader="dot" w:pos="9016"/>
            </w:tabs>
            <w:rPr>
              <w:rFonts w:ascii="Arial" w:eastAsiaTheme="minorEastAsia" w:hAnsi="Arial" w:cs="Arial"/>
              <w:noProof/>
              <w:lang w:eastAsia="en-GB"/>
            </w:rPr>
          </w:pPr>
          <w:hyperlink w:anchor="_Toc221402134" w:history="1">
            <w:r w:rsidRPr="002E46A7">
              <w:rPr>
                <w:rStyle w:val="Hyperlink"/>
                <w:rFonts w:ascii="Arial" w:hAnsi="Arial" w:cs="Arial"/>
                <w:noProof/>
              </w:rPr>
              <w:t>2. Research Aim, Objectives, and Research Questions</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_Toc221402134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4</w:t>
            </w:r>
            <w:r w:rsidRPr="002E46A7">
              <w:rPr>
                <w:rFonts w:ascii="Arial" w:hAnsi="Arial" w:cs="Arial"/>
                <w:noProof/>
                <w:webHidden/>
              </w:rPr>
              <w:fldChar w:fldCharType="end"/>
            </w:r>
          </w:hyperlink>
        </w:p>
        <w:p w14:paraId="1D5C57AE" w14:textId="5694F3EA" w:rsidR="0041124E" w:rsidRPr="002E46A7" w:rsidRDefault="0041124E" w:rsidP="002E46A7">
          <w:pPr>
            <w:pStyle w:val="TOC2"/>
            <w:tabs>
              <w:tab w:val="right" w:leader="dot" w:pos="9016"/>
            </w:tabs>
            <w:rPr>
              <w:rFonts w:ascii="Arial" w:eastAsiaTheme="minorEastAsia" w:hAnsi="Arial" w:cs="Arial"/>
              <w:noProof/>
              <w:lang w:eastAsia="en-GB"/>
            </w:rPr>
          </w:pPr>
          <w:hyperlink w:anchor="_Toc221402135" w:history="1">
            <w:r w:rsidRPr="002E46A7">
              <w:rPr>
                <w:rStyle w:val="Hyperlink"/>
                <w:rFonts w:ascii="Arial" w:hAnsi="Arial" w:cs="Arial"/>
                <w:noProof/>
              </w:rPr>
              <w:t>2. Critical Literature Review</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_Toc221402135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6</w:t>
            </w:r>
            <w:r w:rsidRPr="002E46A7">
              <w:rPr>
                <w:rFonts w:ascii="Arial" w:hAnsi="Arial" w:cs="Arial"/>
                <w:noProof/>
                <w:webHidden/>
              </w:rPr>
              <w:fldChar w:fldCharType="end"/>
            </w:r>
          </w:hyperlink>
        </w:p>
        <w:p w14:paraId="7A9C7577" w14:textId="5901341D" w:rsidR="0041124E" w:rsidRPr="002E46A7" w:rsidRDefault="0041124E" w:rsidP="002E46A7">
          <w:pPr>
            <w:pStyle w:val="TOC2"/>
            <w:tabs>
              <w:tab w:val="right" w:leader="dot" w:pos="9016"/>
            </w:tabs>
            <w:rPr>
              <w:rFonts w:ascii="Arial" w:eastAsiaTheme="minorEastAsia" w:hAnsi="Arial" w:cs="Arial"/>
              <w:noProof/>
              <w:lang w:eastAsia="en-GB"/>
            </w:rPr>
          </w:pPr>
          <w:hyperlink w:anchor="_Toc221402136" w:history="1">
            <w:r w:rsidRPr="002E46A7">
              <w:rPr>
                <w:rStyle w:val="Hyperlink"/>
                <w:rFonts w:ascii="Arial" w:hAnsi="Arial" w:cs="Arial"/>
                <w:noProof/>
              </w:rPr>
              <w:t>3. Methodology</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_Toc221402136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7</w:t>
            </w:r>
            <w:r w:rsidRPr="002E46A7">
              <w:rPr>
                <w:rFonts w:ascii="Arial" w:hAnsi="Arial" w:cs="Arial"/>
                <w:noProof/>
                <w:webHidden/>
              </w:rPr>
              <w:fldChar w:fldCharType="end"/>
            </w:r>
          </w:hyperlink>
        </w:p>
        <w:p w14:paraId="5F534C77" w14:textId="104A04F9" w:rsidR="0041124E" w:rsidRPr="002E46A7" w:rsidRDefault="0041124E" w:rsidP="002E46A7">
          <w:pPr>
            <w:pStyle w:val="TOC2"/>
            <w:tabs>
              <w:tab w:val="right" w:leader="dot" w:pos="9016"/>
            </w:tabs>
            <w:rPr>
              <w:rFonts w:ascii="Arial" w:eastAsiaTheme="minorEastAsia" w:hAnsi="Arial" w:cs="Arial"/>
              <w:noProof/>
              <w:lang w:eastAsia="en-GB"/>
            </w:rPr>
          </w:pPr>
          <w:hyperlink w:anchor="_Toc221402137" w:history="1">
            <w:r w:rsidRPr="002E46A7">
              <w:rPr>
                <w:rStyle w:val="Hyperlink"/>
                <w:rFonts w:ascii="Arial" w:hAnsi="Arial" w:cs="Arial"/>
                <w:noProof/>
              </w:rPr>
              <w:t>4. Business and Practical Implications</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_Toc221402137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9</w:t>
            </w:r>
            <w:r w:rsidRPr="002E46A7">
              <w:rPr>
                <w:rFonts w:ascii="Arial" w:hAnsi="Arial" w:cs="Arial"/>
                <w:noProof/>
                <w:webHidden/>
              </w:rPr>
              <w:fldChar w:fldCharType="end"/>
            </w:r>
          </w:hyperlink>
        </w:p>
        <w:p w14:paraId="19A96359" w14:textId="523290C4" w:rsidR="0041124E" w:rsidRPr="002E46A7" w:rsidRDefault="0041124E" w:rsidP="002E46A7">
          <w:pPr>
            <w:pStyle w:val="TOC2"/>
            <w:tabs>
              <w:tab w:val="right" w:leader="dot" w:pos="9016"/>
            </w:tabs>
            <w:rPr>
              <w:rFonts w:ascii="Arial" w:eastAsiaTheme="minorEastAsia" w:hAnsi="Arial" w:cs="Arial"/>
              <w:noProof/>
              <w:lang w:eastAsia="en-GB"/>
            </w:rPr>
          </w:pPr>
          <w:hyperlink w:anchor="_Toc221402138" w:history="1">
            <w:r w:rsidRPr="002E46A7">
              <w:rPr>
                <w:rStyle w:val="Hyperlink"/>
                <w:rFonts w:ascii="Arial" w:hAnsi="Arial" w:cs="Arial"/>
                <w:noProof/>
              </w:rPr>
              <w:t>5. Critical Reflection Across the Whole Discussion</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_Toc221402138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10</w:t>
            </w:r>
            <w:r w:rsidRPr="002E46A7">
              <w:rPr>
                <w:rFonts w:ascii="Arial" w:hAnsi="Arial" w:cs="Arial"/>
                <w:noProof/>
                <w:webHidden/>
              </w:rPr>
              <w:fldChar w:fldCharType="end"/>
            </w:r>
          </w:hyperlink>
        </w:p>
        <w:p w14:paraId="12551950" w14:textId="0BD5B410" w:rsidR="0041124E" w:rsidRPr="002E46A7" w:rsidRDefault="0041124E" w:rsidP="002E46A7">
          <w:pPr>
            <w:pStyle w:val="TOC1"/>
            <w:tabs>
              <w:tab w:val="right" w:leader="dot" w:pos="9016"/>
            </w:tabs>
            <w:rPr>
              <w:rFonts w:ascii="Arial" w:eastAsiaTheme="minorEastAsia" w:hAnsi="Arial" w:cs="Arial"/>
              <w:noProof/>
              <w:lang w:eastAsia="en-GB"/>
            </w:rPr>
          </w:pPr>
          <w:hyperlink w:anchor="_Toc221402139" w:history="1">
            <w:r w:rsidRPr="002E46A7">
              <w:rPr>
                <w:rStyle w:val="Hyperlink"/>
                <w:rFonts w:ascii="Arial" w:hAnsi="Arial" w:cs="Arial"/>
                <w:noProof/>
              </w:rPr>
              <w:t>References</w:t>
            </w:r>
            <w:r w:rsidRPr="002E46A7">
              <w:rPr>
                <w:rFonts w:ascii="Arial" w:hAnsi="Arial" w:cs="Arial"/>
                <w:noProof/>
                <w:webHidden/>
              </w:rPr>
              <w:tab/>
            </w:r>
            <w:r w:rsidRPr="002E46A7">
              <w:rPr>
                <w:rFonts w:ascii="Arial" w:hAnsi="Arial" w:cs="Arial"/>
                <w:noProof/>
                <w:webHidden/>
              </w:rPr>
              <w:fldChar w:fldCharType="begin"/>
            </w:r>
            <w:r w:rsidRPr="002E46A7">
              <w:rPr>
                <w:rFonts w:ascii="Arial" w:hAnsi="Arial" w:cs="Arial"/>
                <w:noProof/>
                <w:webHidden/>
              </w:rPr>
              <w:instrText xml:space="preserve"> PAGEREF _Toc221402139 \h </w:instrText>
            </w:r>
            <w:r w:rsidRPr="002E46A7">
              <w:rPr>
                <w:rFonts w:ascii="Arial" w:hAnsi="Arial" w:cs="Arial"/>
                <w:noProof/>
                <w:webHidden/>
              </w:rPr>
            </w:r>
            <w:r w:rsidRPr="002E46A7">
              <w:rPr>
                <w:rFonts w:ascii="Arial" w:hAnsi="Arial" w:cs="Arial"/>
                <w:noProof/>
                <w:webHidden/>
              </w:rPr>
              <w:fldChar w:fldCharType="separate"/>
            </w:r>
            <w:r w:rsidRPr="002E46A7">
              <w:rPr>
                <w:rFonts w:ascii="Arial" w:hAnsi="Arial" w:cs="Arial"/>
                <w:noProof/>
                <w:webHidden/>
              </w:rPr>
              <w:t>12</w:t>
            </w:r>
            <w:r w:rsidRPr="002E46A7">
              <w:rPr>
                <w:rFonts w:ascii="Arial" w:hAnsi="Arial" w:cs="Arial"/>
                <w:noProof/>
                <w:webHidden/>
              </w:rPr>
              <w:fldChar w:fldCharType="end"/>
            </w:r>
          </w:hyperlink>
        </w:p>
        <w:p w14:paraId="678CD040" w14:textId="65B8CC94" w:rsidR="00D04DEC" w:rsidRPr="002E46A7" w:rsidRDefault="00D04DEC" w:rsidP="002E46A7">
          <w:pPr>
            <w:rPr>
              <w:rFonts w:ascii="Arial" w:hAnsi="Arial" w:cs="Arial"/>
            </w:rPr>
          </w:pPr>
          <w:r w:rsidRPr="002E46A7">
            <w:rPr>
              <w:rFonts w:ascii="Arial" w:hAnsi="Arial" w:cs="Arial"/>
              <w:b/>
              <w:bCs/>
              <w:noProof/>
            </w:rPr>
            <w:fldChar w:fldCharType="end"/>
          </w:r>
        </w:p>
      </w:sdtContent>
    </w:sdt>
    <w:p w14:paraId="488A7C72" w14:textId="03D50898" w:rsidR="00D04DEC" w:rsidRPr="002E46A7" w:rsidRDefault="00D04DEC" w:rsidP="002E46A7">
      <w:pPr>
        <w:jc w:val="left"/>
        <w:rPr>
          <w:rFonts w:ascii="Arial" w:hAnsi="Arial" w:cs="Arial"/>
        </w:rPr>
      </w:pPr>
      <w:r w:rsidRPr="002E46A7">
        <w:rPr>
          <w:rFonts w:ascii="Arial" w:hAnsi="Arial" w:cs="Arial"/>
        </w:rPr>
        <w:br w:type="page"/>
      </w:r>
    </w:p>
    <w:p w14:paraId="5FC0C592" w14:textId="1C1FE028" w:rsidR="00D04DEC" w:rsidRPr="002E46A7" w:rsidRDefault="00D04DEC" w:rsidP="002E46A7">
      <w:pPr>
        <w:pStyle w:val="Heading1"/>
        <w:rPr>
          <w:rFonts w:ascii="Arial" w:hAnsi="Arial" w:cs="Arial"/>
          <w:szCs w:val="24"/>
        </w:rPr>
      </w:pPr>
      <w:bookmarkStart w:id="0" w:name="_Toc221402132"/>
      <w:r w:rsidRPr="002E46A7">
        <w:rPr>
          <w:rFonts w:ascii="Arial" w:hAnsi="Arial" w:cs="Arial"/>
          <w:szCs w:val="24"/>
        </w:rPr>
        <w:lastRenderedPageBreak/>
        <w:t>Component 2</w:t>
      </w:r>
      <w:bookmarkEnd w:id="0"/>
    </w:p>
    <w:p w14:paraId="0D860DDA" w14:textId="14CF821C" w:rsidR="008B6ED6" w:rsidRPr="002E46A7" w:rsidRDefault="00D04DEC" w:rsidP="002E46A7">
      <w:pPr>
        <w:pStyle w:val="Heading2"/>
        <w:ind w:left="1080"/>
        <w:rPr>
          <w:rFonts w:ascii="Arial" w:hAnsi="Arial" w:cs="Arial"/>
          <w:szCs w:val="24"/>
        </w:rPr>
      </w:pPr>
      <w:bookmarkStart w:id="1" w:name="_Toc221402133"/>
      <w:r w:rsidRPr="002E46A7">
        <w:rPr>
          <w:rFonts w:ascii="Arial" w:hAnsi="Arial" w:cs="Arial"/>
          <w:szCs w:val="24"/>
        </w:rPr>
        <w:t xml:space="preserve">1. </w:t>
      </w:r>
      <w:r w:rsidR="008B6ED6" w:rsidRPr="002E46A7">
        <w:rPr>
          <w:rFonts w:ascii="Arial" w:hAnsi="Arial" w:cs="Arial"/>
          <w:szCs w:val="24"/>
        </w:rPr>
        <w:t>Business Problem Statement</w:t>
      </w:r>
      <w:bookmarkEnd w:id="1"/>
    </w:p>
    <w:p w14:paraId="6ACE1DF6" w14:textId="77777777" w:rsidR="008B6ED6" w:rsidRPr="002E46A7" w:rsidRDefault="008B6ED6" w:rsidP="002E46A7">
      <w:pPr>
        <w:rPr>
          <w:rFonts w:ascii="Arial" w:hAnsi="Arial" w:cs="Arial"/>
          <w:b/>
          <w:bCs/>
        </w:rPr>
      </w:pPr>
      <w:r w:rsidRPr="002E46A7">
        <w:rPr>
          <w:rFonts w:ascii="Arial" w:hAnsi="Arial" w:cs="Arial"/>
          <w:b/>
          <w:bCs/>
        </w:rPr>
        <w:t>Overview of the Business Problem</w:t>
      </w:r>
    </w:p>
    <w:p w14:paraId="5579EB12" w14:textId="22997957" w:rsidR="001F620D" w:rsidRPr="002E46A7" w:rsidRDefault="001F620D" w:rsidP="002E46A7">
      <w:pPr>
        <w:rPr>
          <w:rFonts w:ascii="Arial" w:hAnsi="Arial" w:cs="Arial"/>
        </w:rPr>
      </w:pPr>
      <w:r w:rsidRPr="002E46A7">
        <w:rPr>
          <w:rFonts w:ascii="Arial" w:hAnsi="Arial" w:cs="Arial"/>
        </w:rPr>
        <w:t>This study investigates how Ford Motor Company will struggle to maintain cost competitiveness and strategic position in the realignment of its production of internal combustion engine vehicles to electric vehicles. Although electrification can secure growth in the long term, Ford is confronted with a continued challenge of battery suppliers in terms of availability and affordability of the supplies, which directly influences the level of production, cost-setting pricing, and competitiveness of such models as the Mustang Mach-E and the F-150 Lightning</w:t>
      </w:r>
      <w:r w:rsidR="00E97041" w:rsidRPr="002E46A7">
        <w:rPr>
          <w:rFonts w:ascii="Arial" w:hAnsi="Arial" w:cs="Arial"/>
        </w:rPr>
        <w:t xml:space="preserve"> (Boopathi and Kautish, 2024)</w:t>
      </w:r>
      <w:r w:rsidRPr="002E46A7">
        <w:rPr>
          <w:rFonts w:ascii="Arial" w:hAnsi="Arial" w:cs="Arial"/>
        </w:rPr>
        <w:t>. Strong competition by other manufacturers like Tesla or General Motors means that the pressure on the company is increased because they enjoy more stable or integrated battery supply sources</w:t>
      </w:r>
      <w:r w:rsidR="00F4437D" w:rsidRPr="002E46A7">
        <w:rPr>
          <w:rFonts w:ascii="Arial" w:hAnsi="Arial" w:cs="Arial"/>
        </w:rPr>
        <w:t xml:space="preserve"> (Bremser et al., 2022)</w:t>
      </w:r>
      <w:r w:rsidR="004574FE" w:rsidRPr="002E46A7">
        <w:rPr>
          <w:rFonts w:ascii="Arial" w:hAnsi="Arial" w:cs="Arial"/>
        </w:rPr>
        <w:t>.</w:t>
      </w:r>
    </w:p>
    <w:p w14:paraId="0D8DDDE4" w14:textId="77777777" w:rsidR="008B6ED6" w:rsidRPr="002E46A7" w:rsidRDefault="008B6ED6" w:rsidP="002E46A7">
      <w:pPr>
        <w:rPr>
          <w:rFonts w:ascii="Arial" w:hAnsi="Arial" w:cs="Arial"/>
          <w:b/>
          <w:bCs/>
        </w:rPr>
      </w:pPr>
      <w:r w:rsidRPr="002E46A7">
        <w:rPr>
          <w:rFonts w:ascii="Arial" w:hAnsi="Arial" w:cs="Arial"/>
          <w:b/>
          <w:bCs/>
        </w:rPr>
        <w:t>Justification for Strategic Framing</w:t>
      </w:r>
    </w:p>
    <w:p w14:paraId="359DE92F" w14:textId="45F3C019" w:rsidR="001F620D" w:rsidRPr="002E46A7" w:rsidRDefault="001F620D" w:rsidP="002E46A7">
      <w:pPr>
        <w:rPr>
          <w:rFonts w:ascii="Arial" w:hAnsi="Arial" w:cs="Arial"/>
        </w:rPr>
      </w:pPr>
      <w:r w:rsidRPr="002E46A7">
        <w:rPr>
          <w:rFonts w:ascii="Arial" w:hAnsi="Arial" w:cs="Arial"/>
        </w:rPr>
        <w:t>This research purposefully uses a strategic framing in the context of the issue that may be narrowed down to an operational problem of battery procurement. A functional framing framework would put short-term efficiency gains, perhaps in terms of supplier renegotiation or inventory management, first, but would not reflect how battery supply instability would translate into pricing pressures, brand perception and consumer adoption risk. Such downstream impacts carry a higher strategic weight to the top management than single operation efficiencies because they influence market placement in the long term and the sustainability of revenues</w:t>
      </w:r>
      <w:r w:rsidR="00F4437D" w:rsidRPr="002E46A7">
        <w:rPr>
          <w:rFonts w:ascii="Arial" w:hAnsi="Arial" w:cs="Arial"/>
        </w:rPr>
        <w:t xml:space="preserve"> (Aniebonam, 2024)</w:t>
      </w:r>
      <w:r w:rsidRPr="002E46A7">
        <w:rPr>
          <w:rFonts w:ascii="Arial" w:hAnsi="Arial" w:cs="Arial"/>
        </w:rPr>
        <w:t>.</w:t>
      </w:r>
    </w:p>
    <w:p w14:paraId="648D3661" w14:textId="6DC441CD" w:rsidR="001F620D" w:rsidRPr="002E46A7" w:rsidRDefault="001F620D" w:rsidP="002E46A7">
      <w:pPr>
        <w:rPr>
          <w:rFonts w:ascii="Arial" w:hAnsi="Arial" w:cs="Arial"/>
        </w:rPr>
      </w:pPr>
      <w:r w:rsidRPr="002E46A7">
        <w:rPr>
          <w:rFonts w:ascii="Arial" w:hAnsi="Arial" w:cs="Arial"/>
        </w:rPr>
        <w:t>The strategic approach to the problem allows the research to acknowledge that battery limitations relate to perceptions of value and reliability among consumers and the competitive forces in the EV market. To give an example, an increased cost of batteries does not simply impact production costs, but it also affects the affordability of vehicles, how competitive they feel, and the intensity of the belief in the commitment that Ford made to electrification. The enlarged framing is in line with managerial decision-making reality, whereby the strategic decisions made should take into consideration the interdependent internal and external pressures and not independent operational problems.</w:t>
      </w:r>
    </w:p>
    <w:p w14:paraId="24BFF2FD" w14:textId="77777777" w:rsidR="008B6ED6" w:rsidRPr="002E46A7" w:rsidRDefault="008B6ED6" w:rsidP="002E46A7">
      <w:pPr>
        <w:rPr>
          <w:rFonts w:ascii="Arial" w:hAnsi="Arial" w:cs="Arial"/>
          <w:b/>
          <w:bCs/>
        </w:rPr>
      </w:pPr>
      <w:r w:rsidRPr="002E46A7">
        <w:rPr>
          <w:rFonts w:ascii="Arial" w:hAnsi="Arial" w:cs="Arial"/>
          <w:b/>
          <w:bCs/>
        </w:rPr>
        <w:lastRenderedPageBreak/>
        <w:t>Research Significance and Managerial Relevance</w:t>
      </w:r>
    </w:p>
    <w:p w14:paraId="72D9A44E" w14:textId="7EA5E14B" w:rsidR="008B6ED6" w:rsidRPr="002E46A7" w:rsidRDefault="001F620D" w:rsidP="002E46A7">
      <w:pPr>
        <w:rPr>
          <w:rFonts w:ascii="Arial" w:hAnsi="Arial" w:cs="Arial"/>
        </w:rPr>
      </w:pPr>
      <w:r w:rsidRPr="002E46A7">
        <w:rPr>
          <w:rFonts w:ascii="Arial" w:hAnsi="Arial" w:cs="Arial"/>
        </w:rPr>
        <w:t>It is a supply-chain constraint, consumer behaviour and competitive rivalry, an interaction problem, hence messy in nature. Such complexity needs a business research application and not intuition-based decision-making. A research-based approach will help the management of Ford to assess the evidence on the combination of these factors to determine how these factors will affect the adoption of EVs and its competitiveness to minimise the possibility of making decisions based on assumptions and information gaps</w:t>
      </w:r>
      <w:r w:rsidR="00F4437D" w:rsidRPr="002E46A7">
        <w:rPr>
          <w:rFonts w:ascii="Arial" w:hAnsi="Arial" w:cs="Arial"/>
        </w:rPr>
        <w:t xml:space="preserve"> (Awirotananon et al., 2023)</w:t>
      </w:r>
      <w:r w:rsidRPr="002E46A7">
        <w:rPr>
          <w:rFonts w:ascii="Arial" w:hAnsi="Arial" w:cs="Arial"/>
        </w:rPr>
        <w:t>.</w:t>
      </w:r>
    </w:p>
    <w:p w14:paraId="228140B8" w14:textId="77777777" w:rsidR="008B6ED6" w:rsidRPr="002E46A7" w:rsidRDefault="008B6ED6" w:rsidP="002E46A7">
      <w:pPr>
        <w:rPr>
          <w:rFonts w:ascii="Arial" w:hAnsi="Arial" w:cs="Arial"/>
          <w:b/>
          <w:bCs/>
        </w:rPr>
      </w:pPr>
      <w:r w:rsidRPr="002E46A7">
        <w:rPr>
          <w:rFonts w:ascii="Arial" w:hAnsi="Arial" w:cs="Arial"/>
          <w:b/>
          <w:bCs/>
        </w:rPr>
        <w:t>Critical Reflection and Alternative Perspective</w:t>
      </w:r>
    </w:p>
    <w:p w14:paraId="6FE97018" w14:textId="336C2B28" w:rsidR="008B6ED6" w:rsidRPr="002E46A7" w:rsidRDefault="001F620D" w:rsidP="002E46A7">
      <w:pPr>
        <w:rPr>
          <w:rFonts w:ascii="Arial" w:hAnsi="Arial" w:cs="Arial"/>
        </w:rPr>
      </w:pPr>
      <w:r w:rsidRPr="002E46A7">
        <w:rPr>
          <w:rFonts w:ascii="Arial" w:hAnsi="Arial" w:cs="Arial"/>
        </w:rPr>
        <w:t>One of the weaknesses of this framing is that it minimises the depth of operational analysis, which could otherwise be obtained in a narrowly set supply-chain study. Yet, since the success of EV will be ultimately determined by the feasibility of its production on the one hand and its acceptance by the market, an operational framing would not suffice</w:t>
      </w:r>
      <w:r w:rsidR="00F4437D" w:rsidRPr="002E46A7">
        <w:rPr>
          <w:rFonts w:ascii="Arial" w:hAnsi="Arial" w:cs="Arial"/>
        </w:rPr>
        <w:t xml:space="preserve"> (Warrick and Mulally, 2024)</w:t>
      </w:r>
      <w:r w:rsidRPr="002E46A7">
        <w:rPr>
          <w:rFonts w:ascii="Arial" w:hAnsi="Arial" w:cs="Arial"/>
        </w:rPr>
        <w:t>. The strategic framing, which has been used in this study, is thus justifiable because it can maintain a relevant situation to the senior management, yet enable operational issues to be evaluated in their broader business context.</w:t>
      </w:r>
    </w:p>
    <w:p w14:paraId="0F7D0237" w14:textId="1CF22243" w:rsidR="008B6ED6" w:rsidRPr="002E46A7" w:rsidRDefault="00D04DEC" w:rsidP="002E46A7">
      <w:pPr>
        <w:pStyle w:val="Heading2"/>
        <w:rPr>
          <w:rFonts w:ascii="Arial" w:hAnsi="Arial" w:cs="Arial"/>
          <w:szCs w:val="24"/>
        </w:rPr>
      </w:pPr>
      <w:bookmarkStart w:id="2" w:name="_Toc221402134"/>
      <w:r w:rsidRPr="002E46A7">
        <w:rPr>
          <w:rFonts w:ascii="Arial" w:hAnsi="Arial" w:cs="Arial"/>
          <w:szCs w:val="24"/>
        </w:rPr>
        <w:t xml:space="preserve">2. </w:t>
      </w:r>
      <w:r w:rsidR="008B6ED6" w:rsidRPr="002E46A7">
        <w:rPr>
          <w:rFonts w:ascii="Arial" w:hAnsi="Arial" w:cs="Arial"/>
          <w:szCs w:val="24"/>
        </w:rPr>
        <w:t>Research Aim, Objectives, and Research Questions</w:t>
      </w:r>
      <w:bookmarkEnd w:id="2"/>
    </w:p>
    <w:p w14:paraId="49CABD4A" w14:textId="77777777" w:rsidR="008B6ED6" w:rsidRPr="002E46A7" w:rsidRDefault="008B6ED6" w:rsidP="002E46A7">
      <w:pPr>
        <w:rPr>
          <w:rFonts w:ascii="Arial" w:hAnsi="Arial" w:cs="Arial"/>
          <w:b/>
          <w:bCs/>
        </w:rPr>
      </w:pPr>
      <w:r w:rsidRPr="002E46A7">
        <w:rPr>
          <w:rFonts w:ascii="Arial" w:hAnsi="Arial" w:cs="Arial"/>
          <w:b/>
          <w:bCs/>
        </w:rPr>
        <w:t>Overview of the Research Aim</w:t>
      </w:r>
    </w:p>
    <w:p w14:paraId="06266AE9" w14:textId="0B036425" w:rsidR="004574FE" w:rsidRPr="002E46A7" w:rsidRDefault="004574FE" w:rsidP="002E46A7">
      <w:pPr>
        <w:rPr>
          <w:rFonts w:ascii="Arial" w:hAnsi="Arial" w:cs="Arial"/>
        </w:rPr>
      </w:pPr>
      <w:bookmarkStart w:id="3" w:name="_Toc220289393"/>
      <w:r w:rsidRPr="002E46A7">
        <w:rPr>
          <w:rFonts w:ascii="Arial" w:hAnsi="Arial" w:cs="Arial"/>
        </w:rPr>
        <w:t>The research objective will be to determine the extent to which the electric vehicle transition strategy of Ford Motor Company will solve the main obstacles to competitiveness during implementation. These obstacles can be characterised as the limitation of battery supplies, consumer attitude towards Ford EV products, and regulatory and policy forces on the production- and price-based decisions.</w:t>
      </w:r>
    </w:p>
    <w:p w14:paraId="165C5EE9" w14:textId="1655F525" w:rsidR="004574FE" w:rsidRPr="002E46A7" w:rsidRDefault="004574FE" w:rsidP="002E46A7">
      <w:pPr>
        <w:rPr>
          <w:rFonts w:ascii="Arial" w:hAnsi="Arial" w:cs="Arial"/>
        </w:rPr>
      </w:pPr>
      <w:r w:rsidRPr="002E46A7">
        <w:rPr>
          <w:rFonts w:ascii="Arial" w:hAnsi="Arial" w:cs="Arial"/>
        </w:rPr>
        <w:t>This purpose is adequate since it directly responds to the “messy business problem stated in Component 1 and targets the problems that senior management should resolve within a short to medium period. Instead of considering the electrification in an abstract nature, the purpose here is intentionally practice-based so that the research would provide evidence that would be useful in making strategic and investment decisions at the organisational level.</w:t>
      </w:r>
    </w:p>
    <w:p w14:paraId="10C12EEC" w14:textId="25284E9B" w:rsidR="00655049" w:rsidRPr="002E46A7" w:rsidRDefault="00655049" w:rsidP="002E46A7">
      <w:pPr>
        <w:rPr>
          <w:rFonts w:ascii="Arial" w:hAnsi="Arial" w:cs="Arial"/>
          <w:b/>
          <w:bCs/>
        </w:rPr>
      </w:pPr>
      <w:r w:rsidRPr="002E46A7">
        <w:rPr>
          <w:rFonts w:ascii="Arial" w:hAnsi="Arial" w:cs="Arial"/>
          <w:b/>
          <w:bCs/>
        </w:rPr>
        <w:t>Aim</w:t>
      </w:r>
      <w:bookmarkEnd w:id="3"/>
    </w:p>
    <w:p w14:paraId="5E31C988" w14:textId="77777777" w:rsidR="00655049" w:rsidRPr="002E46A7" w:rsidRDefault="00655049" w:rsidP="002E46A7">
      <w:pPr>
        <w:rPr>
          <w:rFonts w:ascii="Arial" w:hAnsi="Arial" w:cs="Arial"/>
        </w:rPr>
      </w:pPr>
      <w:r w:rsidRPr="002E46A7">
        <w:rPr>
          <w:rFonts w:ascii="Arial" w:hAnsi="Arial" w:cs="Arial"/>
        </w:rPr>
        <w:lastRenderedPageBreak/>
        <w:t>The primary aim of the research proposal is to examine the strategies of Ford Motor Company concerning its move to electric vehicles (EVs) and other significant barriers.</w:t>
      </w:r>
    </w:p>
    <w:p w14:paraId="363A6B51" w14:textId="621DB802" w:rsidR="002E3F40" w:rsidRPr="002E46A7" w:rsidRDefault="002E3F40" w:rsidP="002E46A7">
      <w:pPr>
        <w:rPr>
          <w:rFonts w:ascii="Arial" w:hAnsi="Arial" w:cs="Arial"/>
        </w:rPr>
      </w:pPr>
      <w:r w:rsidRPr="002E46A7">
        <w:rPr>
          <w:rFonts w:ascii="Arial" w:hAnsi="Arial" w:cs="Arial"/>
        </w:rPr>
        <w:t>Measurability is ensured through the use of consumer survey data to assess attitudes and adoption intentions, alongside comparative qualitative analysis of competitive and policy responses.</w:t>
      </w:r>
    </w:p>
    <w:p w14:paraId="370D5048" w14:textId="77777777" w:rsidR="00655049" w:rsidRPr="002E46A7" w:rsidRDefault="00655049" w:rsidP="002E46A7">
      <w:pPr>
        <w:rPr>
          <w:rFonts w:ascii="Arial" w:hAnsi="Arial" w:cs="Arial"/>
          <w:b/>
          <w:bCs/>
        </w:rPr>
      </w:pPr>
      <w:bookmarkStart w:id="4" w:name="_Toc220289394"/>
      <w:r w:rsidRPr="002E46A7">
        <w:rPr>
          <w:rFonts w:ascii="Arial" w:hAnsi="Arial" w:cs="Arial"/>
          <w:b/>
          <w:bCs/>
        </w:rPr>
        <w:t>Objectives</w:t>
      </w:r>
      <w:bookmarkEnd w:id="4"/>
    </w:p>
    <w:p w14:paraId="14CDA6E3" w14:textId="77777777" w:rsidR="00655049" w:rsidRPr="002E46A7" w:rsidRDefault="00655049" w:rsidP="002E46A7">
      <w:pPr>
        <w:pStyle w:val="ListParagraph"/>
        <w:numPr>
          <w:ilvl w:val="0"/>
          <w:numId w:val="8"/>
        </w:numPr>
        <w:rPr>
          <w:rFonts w:ascii="Arial" w:hAnsi="Arial" w:cs="Arial"/>
        </w:rPr>
      </w:pPr>
      <w:r w:rsidRPr="002E46A7">
        <w:rPr>
          <w:rFonts w:ascii="Arial" w:hAnsi="Arial" w:cs="Arial"/>
        </w:rPr>
        <w:t>To fulfil the mentioned purpose, the study will also target the following objectives:</w:t>
      </w:r>
    </w:p>
    <w:p w14:paraId="308805F1" w14:textId="77777777" w:rsidR="00655049" w:rsidRPr="002E46A7" w:rsidRDefault="00655049" w:rsidP="002E46A7">
      <w:pPr>
        <w:pStyle w:val="ListParagraph"/>
        <w:numPr>
          <w:ilvl w:val="0"/>
          <w:numId w:val="8"/>
        </w:numPr>
        <w:rPr>
          <w:rFonts w:ascii="Arial" w:hAnsi="Arial" w:cs="Arial"/>
        </w:rPr>
      </w:pPr>
      <w:r w:rsidRPr="002E46A7">
        <w:rPr>
          <w:rFonts w:ascii="Arial" w:hAnsi="Arial" w:cs="Arial"/>
        </w:rPr>
        <w:t>To examine the consumer attitudes and perceptions about electric vehicles offered by Ford and compare them to those of its competitors.</w:t>
      </w:r>
    </w:p>
    <w:p w14:paraId="6D58C038" w14:textId="77777777" w:rsidR="00655049" w:rsidRPr="002E46A7" w:rsidRDefault="00655049" w:rsidP="002E46A7">
      <w:pPr>
        <w:pStyle w:val="ListParagraph"/>
        <w:numPr>
          <w:ilvl w:val="0"/>
          <w:numId w:val="8"/>
        </w:numPr>
        <w:rPr>
          <w:rFonts w:ascii="Arial" w:hAnsi="Arial" w:cs="Arial"/>
        </w:rPr>
      </w:pPr>
      <w:r w:rsidRPr="002E46A7">
        <w:rPr>
          <w:rFonts w:ascii="Arial" w:hAnsi="Arial" w:cs="Arial"/>
        </w:rPr>
        <w:t>To research the way other auto companies are responding to the transition to EVs, paying attention to best practices and lessons learned.</w:t>
      </w:r>
    </w:p>
    <w:p w14:paraId="00D3241A" w14:textId="77777777" w:rsidR="00655049" w:rsidRPr="002E46A7" w:rsidRDefault="00655049" w:rsidP="002E46A7">
      <w:pPr>
        <w:pStyle w:val="ListParagraph"/>
        <w:numPr>
          <w:ilvl w:val="0"/>
          <w:numId w:val="8"/>
        </w:numPr>
        <w:rPr>
          <w:rFonts w:ascii="Arial" w:hAnsi="Arial" w:cs="Arial"/>
        </w:rPr>
      </w:pPr>
      <w:r w:rsidRPr="002E46A7">
        <w:rPr>
          <w:rFonts w:ascii="Arial" w:hAnsi="Arial" w:cs="Arial"/>
        </w:rPr>
        <w:t>To assess how the government policies and incentives impact the electric vehicle strategy of Ford, as well as the opportunities and challenges.</w:t>
      </w:r>
    </w:p>
    <w:p w14:paraId="3F1CA162" w14:textId="77777777" w:rsidR="00655049" w:rsidRPr="002E46A7" w:rsidRDefault="00655049" w:rsidP="002E46A7">
      <w:pPr>
        <w:rPr>
          <w:rFonts w:ascii="Arial" w:hAnsi="Arial" w:cs="Arial"/>
          <w:b/>
          <w:bCs/>
        </w:rPr>
      </w:pPr>
      <w:bookmarkStart w:id="5" w:name="_Toc220289395"/>
      <w:r w:rsidRPr="002E46A7">
        <w:rPr>
          <w:rFonts w:ascii="Arial" w:hAnsi="Arial" w:cs="Arial"/>
          <w:b/>
          <w:bCs/>
        </w:rPr>
        <w:t>Research Questions</w:t>
      </w:r>
      <w:bookmarkEnd w:id="5"/>
    </w:p>
    <w:p w14:paraId="4867FF53" w14:textId="77777777" w:rsidR="00655049" w:rsidRPr="002E46A7" w:rsidRDefault="00655049" w:rsidP="002E46A7">
      <w:pPr>
        <w:rPr>
          <w:rFonts w:ascii="Arial" w:hAnsi="Arial" w:cs="Arial"/>
        </w:rPr>
      </w:pPr>
      <w:r w:rsidRPr="002E46A7">
        <w:rPr>
          <w:rFonts w:ascii="Arial" w:hAnsi="Arial" w:cs="Arial"/>
        </w:rPr>
        <w:t>The research questions to be investigated to reach the objectives of the research will be the following:</w:t>
      </w:r>
    </w:p>
    <w:p w14:paraId="58BAE679" w14:textId="77777777" w:rsidR="00655049" w:rsidRPr="002E46A7" w:rsidRDefault="00655049" w:rsidP="002E46A7">
      <w:pPr>
        <w:pStyle w:val="ListParagraph"/>
        <w:numPr>
          <w:ilvl w:val="0"/>
          <w:numId w:val="9"/>
        </w:numPr>
        <w:rPr>
          <w:rFonts w:ascii="Arial" w:hAnsi="Arial" w:cs="Arial"/>
        </w:rPr>
      </w:pPr>
      <w:r w:rsidRPr="002E46A7">
        <w:rPr>
          <w:rFonts w:ascii="Arial" w:hAnsi="Arial" w:cs="Arial"/>
        </w:rPr>
        <w:t>What are the key challenges which Ford currently faces in its operation towards electric cars, and what are the impacts of these challenges to their business performance?</w:t>
      </w:r>
    </w:p>
    <w:p w14:paraId="15288933" w14:textId="77777777" w:rsidR="00655049" w:rsidRPr="002E46A7" w:rsidRDefault="00655049" w:rsidP="002E46A7">
      <w:pPr>
        <w:pStyle w:val="ListParagraph"/>
        <w:numPr>
          <w:ilvl w:val="0"/>
          <w:numId w:val="9"/>
        </w:numPr>
        <w:rPr>
          <w:rFonts w:ascii="Arial" w:hAnsi="Arial" w:cs="Arial"/>
        </w:rPr>
      </w:pPr>
      <w:r w:rsidRPr="002E46A7">
        <w:rPr>
          <w:rFonts w:ascii="Arial" w:hAnsi="Arial" w:cs="Arial"/>
        </w:rPr>
        <w:t>How do consumers perceive the electric vehicle initiatives of Ford in comparison to those of competitors like Tesla and GM?</w:t>
      </w:r>
    </w:p>
    <w:p w14:paraId="79CA42EE" w14:textId="290194F1" w:rsidR="00655049" w:rsidRPr="002E46A7" w:rsidRDefault="00655049" w:rsidP="002E46A7">
      <w:pPr>
        <w:pStyle w:val="ListParagraph"/>
        <w:numPr>
          <w:ilvl w:val="0"/>
          <w:numId w:val="9"/>
        </w:numPr>
        <w:rPr>
          <w:rFonts w:ascii="Arial" w:hAnsi="Arial" w:cs="Arial"/>
        </w:rPr>
      </w:pPr>
      <w:r w:rsidRPr="002E46A7">
        <w:rPr>
          <w:rFonts w:ascii="Arial" w:hAnsi="Arial" w:cs="Arial"/>
        </w:rPr>
        <w:t>What impact do the government policies and incentives have on the strategy of production and sales of the electric vehicles at Ford?</w:t>
      </w:r>
    </w:p>
    <w:p w14:paraId="77CE88D9" w14:textId="77777777" w:rsidR="00655049" w:rsidRPr="002E46A7" w:rsidRDefault="00655049" w:rsidP="002E46A7">
      <w:pPr>
        <w:rPr>
          <w:rFonts w:ascii="Arial" w:hAnsi="Arial" w:cs="Arial"/>
          <w:b/>
          <w:bCs/>
        </w:rPr>
      </w:pPr>
      <w:r w:rsidRPr="002E46A7">
        <w:rPr>
          <w:rFonts w:ascii="Arial" w:hAnsi="Arial" w:cs="Arial"/>
          <w:b/>
          <w:bCs/>
        </w:rPr>
        <w:t>How is the scope controlled to avoid over-ambition?</w:t>
      </w:r>
    </w:p>
    <w:p w14:paraId="65A91EBA" w14:textId="00794BF8" w:rsidR="00655049" w:rsidRPr="002E46A7" w:rsidRDefault="004574FE" w:rsidP="002E46A7">
      <w:pPr>
        <w:rPr>
          <w:rFonts w:ascii="Arial" w:hAnsi="Arial" w:cs="Arial"/>
        </w:rPr>
      </w:pPr>
      <w:r w:rsidRPr="002E46A7">
        <w:rPr>
          <w:rFonts w:ascii="Arial" w:hAnsi="Arial" w:cs="Arial"/>
        </w:rPr>
        <w:t xml:space="preserve">Despite the holistic approach used in the research, the scope is managed by considering near-term consumer groups which are pertinent to the strategy of Ford, major competitors which are identified and not the entire industry and the prevailing regulatory environment. Another design would be to have a narrower focus on battery </w:t>
      </w:r>
      <w:r w:rsidRPr="002E46A7">
        <w:rPr>
          <w:rFonts w:ascii="Arial" w:hAnsi="Arial" w:cs="Arial"/>
        </w:rPr>
        <w:lastRenderedPageBreak/>
        <w:t>supply economics only, but this would restrict the strategy. Such management of scope is a balance between feasibility and the value of decisions.</w:t>
      </w:r>
    </w:p>
    <w:p w14:paraId="38CF6D10" w14:textId="051CEA87" w:rsidR="002E3F40" w:rsidRPr="002E46A7" w:rsidRDefault="0041124E" w:rsidP="002E46A7">
      <w:pPr>
        <w:pStyle w:val="Heading2"/>
        <w:rPr>
          <w:rFonts w:ascii="Arial" w:hAnsi="Arial" w:cs="Arial"/>
          <w:szCs w:val="24"/>
        </w:rPr>
      </w:pPr>
      <w:bookmarkStart w:id="6" w:name="_Toc221402135"/>
      <w:r w:rsidRPr="002E46A7">
        <w:rPr>
          <w:rFonts w:ascii="Arial" w:hAnsi="Arial" w:cs="Arial"/>
          <w:szCs w:val="24"/>
        </w:rPr>
        <w:t>2</w:t>
      </w:r>
      <w:r w:rsidR="002E3F40" w:rsidRPr="002E46A7">
        <w:rPr>
          <w:rFonts w:ascii="Arial" w:hAnsi="Arial" w:cs="Arial"/>
          <w:szCs w:val="24"/>
        </w:rPr>
        <w:t>. Critical Literature Review</w:t>
      </w:r>
      <w:bookmarkEnd w:id="6"/>
    </w:p>
    <w:p w14:paraId="0897C4B9" w14:textId="77777777" w:rsidR="002E3F40" w:rsidRPr="002E46A7" w:rsidRDefault="002E3F40" w:rsidP="002E46A7">
      <w:pPr>
        <w:rPr>
          <w:rFonts w:ascii="Arial" w:hAnsi="Arial" w:cs="Arial"/>
          <w:b/>
          <w:bCs/>
        </w:rPr>
      </w:pPr>
      <w:r w:rsidRPr="002E46A7">
        <w:rPr>
          <w:rFonts w:ascii="Arial" w:hAnsi="Arial" w:cs="Arial"/>
          <w:b/>
          <w:bCs/>
        </w:rPr>
        <w:t>Overview of Theoretical Framing</w:t>
      </w:r>
    </w:p>
    <w:p w14:paraId="4162B2BE" w14:textId="7FEA654E" w:rsidR="002E3F40" w:rsidRPr="002E46A7" w:rsidRDefault="004574FE" w:rsidP="002E46A7">
      <w:pPr>
        <w:rPr>
          <w:rFonts w:ascii="Arial" w:hAnsi="Arial" w:cs="Arial"/>
        </w:rPr>
      </w:pPr>
      <w:r w:rsidRPr="002E46A7">
        <w:rPr>
          <w:rFonts w:ascii="Arial" w:hAnsi="Arial" w:cs="Arial"/>
        </w:rPr>
        <w:t>Using the Technology Acceptance Model (TAM), Porter's Five Forces and Diffusion of Innovations as the theoretical frameworks, the literature review approaches the issue of electric vehicle adoption as a technological, competitive, and regulatory phenomenon. These frameworks are applied as complementary analytical lenses to interpret the intricate forces that inform the transition of Ford Motor Company to EV, and not as explanatory models on their own. Such a multi-theoretical approach is characteristic of the practicality of the business issue, which cannot be sufficiently addressed with the help of a single conceptual framework (Teece, 2025).</w:t>
      </w:r>
    </w:p>
    <w:p w14:paraId="026FEC15" w14:textId="77777777" w:rsidR="002E3F40" w:rsidRPr="002E46A7" w:rsidRDefault="002E3F40" w:rsidP="002E46A7">
      <w:pPr>
        <w:rPr>
          <w:rFonts w:ascii="Arial" w:hAnsi="Arial" w:cs="Arial"/>
          <w:b/>
          <w:bCs/>
        </w:rPr>
      </w:pPr>
      <w:r w:rsidRPr="002E46A7">
        <w:rPr>
          <w:rFonts w:ascii="Arial" w:hAnsi="Arial" w:cs="Arial"/>
          <w:b/>
          <w:bCs/>
        </w:rPr>
        <w:t>Evaluation of Dominant Themes in the Literature</w:t>
      </w:r>
    </w:p>
    <w:p w14:paraId="67FF2A93" w14:textId="4AB56BEF" w:rsidR="004574FE" w:rsidRPr="002E46A7" w:rsidRDefault="004574FE" w:rsidP="002E46A7">
      <w:pPr>
        <w:rPr>
          <w:rFonts w:ascii="Arial" w:hAnsi="Arial" w:cs="Arial"/>
        </w:rPr>
      </w:pPr>
      <w:r w:rsidRPr="002E46A7">
        <w:rPr>
          <w:rFonts w:ascii="Arial" w:hAnsi="Arial" w:cs="Arial"/>
        </w:rPr>
        <w:t>Preceding literature lays high emphasis on consumer adoption variables, especially the perceived usefulness, ease of use, and environmental attitudes. TAM is commonly used to understand EV acceptance or resistance. Previous research indicates the relevance of consumer perceptions in the initial adoption behaviour, particularly in the environmentally based and technology-open segments (Awirotananon et al., 2023). Nevertheless, such literature tends to view the suppression of supply-side and price as a minor concern as opposed to the primary determinant of adoption results.</w:t>
      </w:r>
    </w:p>
    <w:p w14:paraId="08C036CE" w14:textId="2B11E750" w:rsidR="004574FE" w:rsidRPr="002E46A7" w:rsidRDefault="004574FE" w:rsidP="002E46A7">
      <w:pPr>
        <w:rPr>
          <w:rFonts w:ascii="Arial" w:hAnsi="Arial" w:cs="Arial"/>
        </w:rPr>
      </w:pPr>
      <w:r w:rsidRPr="002E46A7">
        <w:rPr>
          <w:rFonts w:ascii="Arial" w:hAnsi="Arial" w:cs="Arial"/>
        </w:rPr>
        <w:t>The literature in strategic management</w:t>
      </w:r>
      <w:r w:rsidR="000E4424" w:rsidRPr="002E46A7">
        <w:rPr>
          <w:rFonts w:ascii="Arial" w:hAnsi="Arial" w:cs="Arial"/>
        </w:rPr>
        <w:t>,</w:t>
      </w:r>
      <w:r w:rsidRPr="002E46A7">
        <w:rPr>
          <w:rFonts w:ascii="Arial" w:hAnsi="Arial" w:cs="Arial"/>
        </w:rPr>
        <w:t xml:space="preserve"> such as the application of </w:t>
      </w:r>
      <w:r w:rsidR="000E4424" w:rsidRPr="002E46A7">
        <w:rPr>
          <w:rFonts w:ascii="Arial" w:hAnsi="Arial" w:cs="Arial"/>
        </w:rPr>
        <w:t>Porter's</w:t>
      </w:r>
      <w:r w:rsidRPr="002E46A7">
        <w:rPr>
          <w:rFonts w:ascii="Arial" w:hAnsi="Arial" w:cs="Arial"/>
        </w:rPr>
        <w:t xml:space="preserve"> Five Forces</w:t>
      </w:r>
      <w:r w:rsidR="000E4424" w:rsidRPr="002E46A7">
        <w:rPr>
          <w:rFonts w:ascii="Arial" w:hAnsi="Arial" w:cs="Arial"/>
        </w:rPr>
        <w:t>,</w:t>
      </w:r>
      <w:r w:rsidRPr="002E46A7">
        <w:rPr>
          <w:rFonts w:ascii="Arial" w:hAnsi="Arial" w:cs="Arial"/>
        </w:rPr>
        <w:t xml:space="preserve"> offers a good insight </w:t>
      </w:r>
      <w:r w:rsidR="000E4424" w:rsidRPr="002E46A7">
        <w:rPr>
          <w:rFonts w:ascii="Arial" w:hAnsi="Arial" w:cs="Arial"/>
        </w:rPr>
        <w:t>into</w:t>
      </w:r>
      <w:r w:rsidRPr="002E46A7">
        <w:rPr>
          <w:rFonts w:ascii="Arial" w:hAnsi="Arial" w:cs="Arial"/>
        </w:rPr>
        <w:t xml:space="preserve"> how competition works</w:t>
      </w:r>
      <w:r w:rsidR="000E4424" w:rsidRPr="002E46A7">
        <w:rPr>
          <w:rFonts w:ascii="Arial" w:hAnsi="Arial" w:cs="Arial"/>
        </w:rPr>
        <w:t>,</w:t>
      </w:r>
      <w:r w:rsidRPr="002E46A7">
        <w:rPr>
          <w:rFonts w:ascii="Arial" w:hAnsi="Arial" w:cs="Arial"/>
        </w:rPr>
        <w:t xml:space="preserve"> with the focus being on the supplier power, rivalry, and structure of the industry. This literature is common in EV markets</w:t>
      </w:r>
      <w:r w:rsidR="000E4424" w:rsidRPr="002E46A7">
        <w:rPr>
          <w:rFonts w:ascii="Arial" w:hAnsi="Arial" w:cs="Arial"/>
        </w:rPr>
        <w:t>,</w:t>
      </w:r>
      <w:r w:rsidRPr="002E46A7">
        <w:rPr>
          <w:rFonts w:ascii="Arial" w:hAnsi="Arial" w:cs="Arial"/>
        </w:rPr>
        <w:t xml:space="preserve"> and it compares the new Tesla competitors with established manufacturers in terms of competitive positioning (Boopathi and Kautish, 2024). Although analytically sound, it does not fully discuss the internal supply-chain constraints, especially the battery, in terms of its implications on the consumers, the price fluctuation in particular.</w:t>
      </w:r>
    </w:p>
    <w:p w14:paraId="6035841F" w14:textId="3737CD8C" w:rsidR="004574FE" w:rsidRPr="002E46A7" w:rsidRDefault="004574FE" w:rsidP="002E46A7">
      <w:pPr>
        <w:rPr>
          <w:rFonts w:ascii="Arial" w:hAnsi="Arial" w:cs="Arial"/>
        </w:rPr>
      </w:pPr>
      <w:r w:rsidRPr="002E46A7">
        <w:rPr>
          <w:rFonts w:ascii="Arial" w:hAnsi="Arial" w:cs="Arial"/>
        </w:rPr>
        <w:t xml:space="preserve">The study based on </w:t>
      </w:r>
      <w:r w:rsidR="000E4424" w:rsidRPr="002E46A7">
        <w:rPr>
          <w:rFonts w:ascii="Arial" w:hAnsi="Arial" w:cs="Arial"/>
        </w:rPr>
        <w:t>the diffusion</w:t>
      </w:r>
      <w:r w:rsidRPr="002E46A7">
        <w:rPr>
          <w:rFonts w:ascii="Arial" w:hAnsi="Arial" w:cs="Arial"/>
        </w:rPr>
        <w:t xml:space="preserve"> of innovation highlights the importance of government incentives and regulation regimes </w:t>
      </w:r>
      <w:r w:rsidR="000E4424" w:rsidRPr="002E46A7">
        <w:rPr>
          <w:rFonts w:ascii="Arial" w:hAnsi="Arial" w:cs="Arial"/>
        </w:rPr>
        <w:t>in</w:t>
      </w:r>
      <w:r w:rsidRPr="002E46A7">
        <w:rPr>
          <w:rFonts w:ascii="Arial" w:hAnsi="Arial" w:cs="Arial"/>
        </w:rPr>
        <w:t xml:space="preserve"> boosting the early EV adoption. To a large extent, however, this literature is based on the assumption that firms can react </w:t>
      </w:r>
      <w:r w:rsidRPr="002E46A7">
        <w:rPr>
          <w:rFonts w:ascii="Arial" w:hAnsi="Arial" w:cs="Arial"/>
        </w:rPr>
        <w:lastRenderedPageBreak/>
        <w:t>to policy stimuli in a homogenous way, and little to nothing is paid to firm-specific limitations, including the instability of battery supplies (Bremser et al., 2022).</w:t>
      </w:r>
    </w:p>
    <w:p w14:paraId="2554AFC4" w14:textId="77777777" w:rsidR="002E3F40" w:rsidRPr="002E46A7" w:rsidRDefault="002E3F40" w:rsidP="002E46A7">
      <w:pPr>
        <w:rPr>
          <w:rFonts w:ascii="Arial" w:hAnsi="Arial" w:cs="Arial"/>
          <w:b/>
          <w:bCs/>
        </w:rPr>
      </w:pPr>
      <w:r w:rsidRPr="002E46A7">
        <w:rPr>
          <w:rFonts w:ascii="Arial" w:hAnsi="Arial" w:cs="Arial"/>
          <w:b/>
          <w:bCs/>
        </w:rPr>
        <w:t>Explicit Research Gap and Positioning</w:t>
      </w:r>
    </w:p>
    <w:p w14:paraId="753FEA8C" w14:textId="0A5E0F59" w:rsidR="004574FE" w:rsidRPr="002E46A7" w:rsidRDefault="004574FE" w:rsidP="002E46A7">
      <w:pPr>
        <w:rPr>
          <w:rFonts w:ascii="Arial" w:hAnsi="Arial" w:cs="Arial"/>
        </w:rPr>
      </w:pPr>
      <w:r w:rsidRPr="002E46A7">
        <w:rPr>
          <w:rFonts w:ascii="Arial" w:hAnsi="Arial" w:cs="Arial"/>
        </w:rPr>
        <w:t xml:space="preserve">Despite the available literature on valuable information on consumer adoption, competitive strategy, as well as policy influence, there is </w:t>
      </w:r>
      <w:r w:rsidR="000E4424" w:rsidRPr="002E46A7">
        <w:rPr>
          <w:rFonts w:ascii="Arial" w:hAnsi="Arial" w:cs="Arial"/>
        </w:rPr>
        <w:t xml:space="preserve">a </w:t>
      </w:r>
      <w:r w:rsidRPr="002E46A7">
        <w:rPr>
          <w:rFonts w:ascii="Arial" w:hAnsi="Arial" w:cs="Arial"/>
        </w:rPr>
        <w:t>paucity of applied research on the integration of supply-chain constraints, consumer perception and pricing strategy in one organisational environment. The gap in this study is bridged by identifying battery supply instability as a direct result of adoption risk and strategic decision-making at the firm level in the case of Ford, producing organisation-specific and decision-relevant information (Warrick and Mulally, 2024).</w:t>
      </w:r>
    </w:p>
    <w:p w14:paraId="34D3160B" w14:textId="7E0DDF64" w:rsidR="002E3F40" w:rsidRPr="002E46A7" w:rsidRDefault="002E3F40" w:rsidP="002E46A7">
      <w:pPr>
        <w:rPr>
          <w:rFonts w:ascii="Arial" w:hAnsi="Arial" w:cs="Arial"/>
          <w:b/>
          <w:bCs/>
        </w:rPr>
      </w:pPr>
      <w:r w:rsidRPr="002E46A7">
        <w:rPr>
          <w:rFonts w:ascii="Arial" w:hAnsi="Arial" w:cs="Arial"/>
          <w:b/>
          <w:bCs/>
        </w:rPr>
        <w:t>Critical Reflection on Theoretical Integration</w:t>
      </w:r>
    </w:p>
    <w:p w14:paraId="310A2AA8" w14:textId="1BB3194B" w:rsidR="004574FE" w:rsidRPr="002E46A7" w:rsidRDefault="004574FE" w:rsidP="002E46A7">
      <w:pPr>
        <w:rPr>
          <w:rFonts w:ascii="Arial" w:hAnsi="Arial" w:cs="Arial"/>
        </w:rPr>
      </w:pPr>
      <w:r w:rsidRPr="002E46A7">
        <w:rPr>
          <w:rFonts w:ascii="Arial" w:hAnsi="Arial" w:cs="Arial"/>
        </w:rPr>
        <w:t>One weakness of the approach is that it has a higher conceptual complexity since there is a need to merge several frameworks. Nevertheless, because of the strategic character of the business issue, this combination is reasonable because it enhances the level of analysis and is a mirror of the real-world managerial decision-making and not simplified theoretical frameworks (Teece, 2025).</w:t>
      </w:r>
    </w:p>
    <w:p w14:paraId="3AC2FC57" w14:textId="246B2F65" w:rsidR="002E3F40" w:rsidRPr="002E46A7" w:rsidRDefault="0041124E" w:rsidP="002E46A7">
      <w:pPr>
        <w:pStyle w:val="Heading2"/>
        <w:rPr>
          <w:rFonts w:ascii="Arial" w:hAnsi="Arial" w:cs="Arial"/>
          <w:szCs w:val="24"/>
        </w:rPr>
      </w:pPr>
      <w:bookmarkStart w:id="7" w:name="_Toc221402136"/>
      <w:r w:rsidRPr="002E46A7">
        <w:rPr>
          <w:rFonts w:ascii="Arial" w:hAnsi="Arial" w:cs="Arial"/>
          <w:szCs w:val="24"/>
        </w:rPr>
        <w:t>3</w:t>
      </w:r>
      <w:r w:rsidR="002E3F40" w:rsidRPr="002E46A7">
        <w:rPr>
          <w:rFonts w:ascii="Arial" w:hAnsi="Arial" w:cs="Arial"/>
          <w:szCs w:val="24"/>
        </w:rPr>
        <w:t>. Methodology</w:t>
      </w:r>
      <w:bookmarkEnd w:id="7"/>
    </w:p>
    <w:p w14:paraId="655773CA" w14:textId="77777777" w:rsidR="002E3F40" w:rsidRPr="002E46A7" w:rsidRDefault="002E3F40" w:rsidP="002E46A7">
      <w:pPr>
        <w:rPr>
          <w:rFonts w:ascii="Arial" w:hAnsi="Arial" w:cs="Arial"/>
          <w:b/>
          <w:bCs/>
        </w:rPr>
      </w:pPr>
      <w:r w:rsidRPr="002E46A7">
        <w:rPr>
          <w:rFonts w:ascii="Arial" w:hAnsi="Arial" w:cs="Arial"/>
          <w:b/>
          <w:bCs/>
        </w:rPr>
        <w:t>Overview of Research Design</w:t>
      </w:r>
    </w:p>
    <w:p w14:paraId="3447561D" w14:textId="07E6B4C0" w:rsidR="00F4437D" w:rsidRPr="002E46A7" w:rsidRDefault="00F4437D" w:rsidP="002E46A7">
      <w:pPr>
        <w:rPr>
          <w:rFonts w:ascii="Arial" w:hAnsi="Arial" w:cs="Arial"/>
        </w:rPr>
      </w:pPr>
      <w:r w:rsidRPr="002E46A7">
        <w:rPr>
          <w:rFonts w:ascii="Arial" w:hAnsi="Arial" w:cs="Arial"/>
        </w:rPr>
        <w:t>The proposed research study has a mixed-method research design to explore the transition of the Ford Motor Company to the use of electric vehicles. It is a mixture of quantitative surveys</w:t>
      </w:r>
      <w:r w:rsidR="000E4424" w:rsidRPr="002E46A7">
        <w:rPr>
          <w:rFonts w:ascii="Arial" w:hAnsi="Arial" w:cs="Arial"/>
        </w:rPr>
        <w:t>,</w:t>
      </w:r>
      <w:r w:rsidRPr="002E46A7">
        <w:rPr>
          <w:rFonts w:ascii="Arial" w:hAnsi="Arial" w:cs="Arial"/>
        </w:rPr>
        <w:t xml:space="preserve"> qualitative semi-structured interviews</w:t>
      </w:r>
      <w:r w:rsidR="000E4424" w:rsidRPr="002E46A7">
        <w:rPr>
          <w:rFonts w:ascii="Arial" w:hAnsi="Arial" w:cs="Arial"/>
        </w:rPr>
        <w:t>,</w:t>
      </w:r>
      <w:r w:rsidRPr="002E46A7">
        <w:rPr>
          <w:rFonts w:ascii="Arial" w:hAnsi="Arial" w:cs="Arial"/>
        </w:rPr>
        <w:t xml:space="preserve"> and focus groups. This method is suitable since the business issue is multi-dimensional</w:t>
      </w:r>
      <w:r w:rsidR="000E4424" w:rsidRPr="002E46A7">
        <w:rPr>
          <w:rFonts w:ascii="Arial" w:hAnsi="Arial" w:cs="Arial"/>
        </w:rPr>
        <w:t>, which</w:t>
      </w:r>
      <w:r w:rsidRPr="002E46A7">
        <w:rPr>
          <w:rFonts w:ascii="Arial" w:hAnsi="Arial" w:cs="Arial"/>
        </w:rPr>
        <w:t xml:space="preserve"> has to deal with battery supply issues, adoption behaviour by consumers, competitors and regulation. These dynamics would be simplified in a single-method design and less relevant with respect to strategies (Awirotananon et al., 2023). </w:t>
      </w:r>
    </w:p>
    <w:p w14:paraId="50C4350A" w14:textId="55A4F492" w:rsidR="002E3F40" w:rsidRPr="002E46A7" w:rsidRDefault="002E3F40" w:rsidP="002E46A7">
      <w:pPr>
        <w:rPr>
          <w:rFonts w:ascii="Arial" w:hAnsi="Arial" w:cs="Arial"/>
          <w:b/>
          <w:bCs/>
        </w:rPr>
      </w:pPr>
      <w:r w:rsidRPr="002E46A7">
        <w:rPr>
          <w:rFonts w:ascii="Arial" w:hAnsi="Arial" w:cs="Arial"/>
          <w:b/>
          <w:bCs/>
        </w:rPr>
        <w:t>Sampling Strategy and Data Collection</w:t>
      </w:r>
    </w:p>
    <w:p w14:paraId="35F3836B" w14:textId="4C5F3D6D" w:rsidR="00F4437D" w:rsidRPr="002E46A7" w:rsidRDefault="00F4437D" w:rsidP="002E46A7">
      <w:pPr>
        <w:rPr>
          <w:rFonts w:ascii="Arial" w:hAnsi="Arial" w:cs="Arial"/>
        </w:rPr>
      </w:pPr>
      <w:r w:rsidRPr="002E46A7">
        <w:rPr>
          <w:rFonts w:ascii="Arial" w:hAnsi="Arial" w:cs="Arial"/>
        </w:rPr>
        <w:t xml:space="preserve">The quantitative element aims to address the potential and current EV buyers and tries to cover the market segments in the </w:t>
      </w:r>
      <w:r w:rsidR="000E4424" w:rsidRPr="002E46A7">
        <w:rPr>
          <w:rFonts w:ascii="Arial" w:hAnsi="Arial" w:cs="Arial"/>
        </w:rPr>
        <w:t>near</w:t>
      </w:r>
      <w:r w:rsidRPr="002E46A7">
        <w:rPr>
          <w:rFonts w:ascii="Arial" w:hAnsi="Arial" w:cs="Arial"/>
        </w:rPr>
        <w:t xml:space="preserve"> term which are relevant to the strategy of Ford, such as early adopters and first-time EV buyers. To make sure that the sample </w:t>
      </w:r>
      <w:r w:rsidRPr="002E46A7">
        <w:rPr>
          <w:rFonts w:ascii="Arial" w:hAnsi="Arial" w:cs="Arial"/>
        </w:rPr>
        <w:lastRenderedPageBreak/>
        <w:t>is diverse in terms of responses, the participants will be recruited through online platforms and automotive forums.</w:t>
      </w:r>
    </w:p>
    <w:p w14:paraId="3446943F" w14:textId="5A057763" w:rsidR="00F4437D" w:rsidRPr="002E46A7" w:rsidRDefault="00F4437D" w:rsidP="002E46A7">
      <w:pPr>
        <w:rPr>
          <w:rFonts w:ascii="Arial" w:hAnsi="Arial" w:cs="Arial"/>
        </w:rPr>
      </w:pPr>
      <w:r w:rsidRPr="002E46A7">
        <w:rPr>
          <w:rFonts w:ascii="Arial" w:hAnsi="Arial" w:cs="Arial"/>
        </w:rPr>
        <w:t>The qualitative part will include semi-structured dynamics with industry professionals and Ford-associated stakeholders, and focus groups with EV consumers. The purposive sampling approach will make the participants have pertinent experience to comment on strategic response, adoption issues, and organisational restraints, but will not be demanding in terms of time and access constraints.</w:t>
      </w:r>
    </w:p>
    <w:p w14:paraId="7DCD021D" w14:textId="77777777" w:rsidR="002E3F40" w:rsidRPr="002E46A7" w:rsidRDefault="002E3F40" w:rsidP="002E46A7">
      <w:pPr>
        <w:rPr>
          <w:rFonts w:ascii="Arial" w:hAnsi="Arial" w:cs="Arial"/>
          <w:b/>
          <w:bCs/>
        </w:rPr>
      </w:pPr>
      <w:r w:rsidRPr="002E46A7">
        <w:rPr>
          <w:rFonts w:ascii="Arial" w:hAnsi="Arial" w:cs="Arial"/>
          <w:b/>
          <w:bCs/>
        </w:rPr>
        <w:t>Data Analysis Approach</w:t>
      </w:r>
    </w:p>
    <w:p w14:paraId="536F6C10" w14:textId="2B679543" w:rsidR="00F4437D" w:rsidRPr="002E46A7" w:rsidRDefault="00F4437D" w:rsidP="002E46A7">
      <w:pPr>
        <w:rPr>
          <w:rFonts w:ascii="Arial" w:hAnsi="Arial" w:cs="Arial"/>
        </w:rPr>
      </w:pPr>
      <w:r w:rsidRPr="002E46A7">
        <w:rPr>
          <w:rFonts w:ascii="Arial" w:hAnsi="Arial" w:cs="Arial"/>
        </w:rPr>
        <w:t>The quantitative data will be analysed by means of descriptive and comparative methods to determine the trends in consumer perceptions, sensitivity to price, and intention to adopt EVs of Ford in comparison to those of competitors, which will help managers in their decision-making.</w:t>
      </w:r>
    </w:p>
    <w:p w14:paraId="3962AD20" w14:textId="7B600176" w:rsidR="00F4437D" w:rsidRPr="002E46A7" w:rsidRDefault="00F4437D" w:rsidP="002E46A7">
      <w:pPr>
        <w:rPr>
          <w:rFonts w:ascii="Arial" w:hAnsi="Arial" w:cs="Arial"/>
        </w:rPr>
      </w:pPr>
      <w:r w:rsidRPr="002E46A7">
        <w:rPr>
          <w:rFonts w:ascii="Arial" w:hAnsi="Arial" w:cs="Arial"/>
        </w:rPr>
        <w:t xml:space="preserve">Thematic analysis will be used to analyse qualitative data to come up with recurring themes associated with strategic positioning, pressures of </w:t>
      </w:r>
      <w:r w:rsidR="000E4424" w:rsidRPr="002E46A7">
        <w:rPr>
          <w:rFonts w:ascii="Arial" w:hAnsi="Arial" w:cs="Arial"/>
        </w:rPr>
        <w:t xml:space="preserve">the </w:t>
      </w:r>
      <w:r w:rsidRPr="002E46A7">
        <w:rPr>
          <w:rFonts w:ascii="Arial" w:hAnsi="Arial" w:cs="Arial"/>
        </w:rPr>
        <w:t xml:space="preserve">supply chain and </w:t>
      </w:r>
      <w:r w:rsidR="000E4424" w:rsidRPr="002E46A7">
        <w:rPr>
          <w:rFonts w:ascii="Arial" w:hAnsi="Arial" w:cs="Arial"/>
        </w:rPr>
        <w:t xml:space="preserve">the </w:t>
      </w:r>
      <w:r w:rsidRPr="002E46A7">
        <w:rPr>
          <w:rFonts w:ascii="Arial" w:hAnsi="Arial" w:cs="Arial"/>
        </w:rPr>
        <w:t xml:space="preserve">influence of regulations. This will allow </w:t>
      </w:r>
      <w:r w:rsidR="000E4424" w:rsidRPr="002E46A7">
        <w:rPr>
          <w:rFonts w:ascii="Arial" w:hAnsi="Arial" w:cs="Arial"/>
        </w:rPr>
        <w:t xml:space="preserve">a </w:t>
      </w:r>
      <w:r w:rsidRPr="002E46A7">
        <w:rPr>
          <w:rFonts w:ascii="Arial" w:hAnsi="Arial" w:cs="Arial"/>
        </w:rPr>
        <w:t>more insightful understanding of motivations and organisational reactions</w:t>
      </w:r>
      <w:r w:rsidR="000E4424" w:rsidRPr="002E46A7">
        <w:rPr>
          <w:rFonts w:ascii="Arial" w:hAnsi="Arial" w:cs="Arial"/>
        </w:rPr>
        <w:t>,</w:t>
      </w:r>
      <w:r w:rsidRPr="002E46A7">
        <w:rPr>
          <w:rFonts w:ascii="Arial" w:hAnsi="Arial" w:cs="Arial"/>
        </w:rPr>
        <w:t xml:space="preserve"> which cannot be represented by surveys.</w:t>
      </w:r>
    </w:p>
    <w:p w14:paraId="01C0FB45" w14:textId="62D8FCAF" w:rsidR="002E3F40" w:rsidRPr="002E46A7" w:rsidRDefault="002E3F40" w:rsidP="002E46A7">
      <w:pPr>
        <w:rPr>
          <w:rFonts w:ascii="Arial" w:hAnsi="Arial" w:cs="Arial"/>
          <w:b/>
          <w:bCs/>
        </w:rPr>
      </w:pPr>
      <w:r w:rsidRPr="002E46A7">
        <w:rPr>
          <w:rFonts w:ascii="Arial" w:hAnsi="Arial" w:cs="Arial"/>
          <w:b/>
          <w:bCs/>
        </w:rPr>
        <w:t>Reliability, Validity, and Data Quality Risks</w:t>
      </w:r>
    </w:p>
    <w:p w14:paraId="39C3944A" w14:textId="45914935" w:rsidR="00F4437D" w:rsidRPr="002E46A7" w:rsidRDefault="00F4437D" w:rsidP="002E46A7">
      <w:pPr>
        <w:rPr>
          <w:rFonts w:ascii="Arial" w:hAnsi="Arial" w:cs="Arial"/>
        </w:rPr>
      </w:pPr>
      <w:r w:rsidRPr="002E46A7">
        <w:rPr>
          <w:rFonts w:ascii="Arial" w:hAnsi="Arial" w:cs="Arial"/>
        </w:rPr>
        <w:t xml:space="preserve">Triangulation helps in raising the methodological rigour as the results of the surveys, interviews, and focus groups are compared to enhance validity (Teece, 2025). The support of reliability is provided by </w:t>
      </w:r>
      <w:r w:rsidR="000E4424" w:rsidRPr="002E46A7">
        <w:rPr>
          <w:rFonts w:ascii="Arial" w:hAnsi="Arial" w:cs="Arial"/>
        </w:rPr>
        <w:t xml:space="preserve">a </w:t>
      </w:r>
      <w:r w:rsidRPr="002E46A7">
        <w:rPr>
          <w:rFonts w:ascii="Arial" w:hAnsi="Arial" w:cs="Arial"/>
        </w:rPr>
        <w:t>standardised survey instrument and pilot testing.</w:t>
      </w:r>
    </w:p>
    <w:p w14:paraId="232C5CE6" w14:textId="21C2EB1F" w:rsidR="00F4437D" w:rsidRPr="002E46A7" w:rsidRDefault="00F4437D" w:rsidP="002E46A7">
      <w:pPr>
        <w:rPr>
          <w:rFonts w:ascii="Arial" w:hAnsi="Arial" w:cs="Arial"/>
        </w:rPr>
      </w:pPr>
      <w:r w:rsidRPr="002E46A7">
        <w:rPr>
          <w:rFonts w:ascii="Arial" w:hAnsi="Arial" w:cs="Arial"/>
        </w:rPr>
        <w:t xml:space="preserve">The risks of data quality are self-selection bias (especially with respondents who have a positive attitude towards EVs) and response bias associated with </w:t>
      </w:r>
      <w:r w:rsidR="000E4424" w:rsidRPr="002E46A7">
        <w:rPr>
          <w:rFonts w:ascii="Arial" w:hAnsi="Arial" w:cs="Arial"/>
        </w:rPr>
        <w:t xml:space="preserve">the </w:t>
      </w:r>
      <w:r w:rsidRPr="002E46A7">
        <w:rPr>
          <w:rFonts w:ascii="Arial" w:hAnsi="Arial" w:cs="Arial"/>
        </w:rPr>
        <w:t>desirability of sustainability. The mitigation of these risks is done by comparing the results with consumer segments as well as triangulating them with qualitative data, which is essential in critically interpreting the results.</w:t>
      </w:r>
    </w:p>
    <w:p w14:paraId="25841F9A" w14:textId="77777777" w:rsidR="002E3F40" w:rsidRPr="002E46A7" w:rsidRDefault="002E3F40" w:rsidP="002E46A7">
      <w:pPr>
        <w:rPr>
          <w:rFonts w:ascii="Arial" w:hAnsi="Arial" w:cs="Arial"/>
          <w:b/>
          <w:bCs/>
        </w:rPr>
      </w:pPr>
      <w:r w:rsidRPr="002E46A7">
        <w:rPr>
          <w:rFonts w:ascii="Arial" w:hAnsi="Arial" w:cs="Arial"/>
          <w:b/>
          <w:bCs/>
        </w:rPr>
        <w:t>Ethical Integrity, Practical Constraints, and Reflection</w:t>
      </w:r>
    </w:p>
    <w:p w14:paraId="5A009AA8" w14:textId="44404984" w:rsidR="002E3F40" w:rsidRPr="002E46A7" w:rsidRDefault="00F4437D" w:rsidP="002E46A7">
      <w:pPr>
        <w:rPr>
          <w:rFonts w:ascii="Arial" w:hAnsi="Arial" w:cs="Arial"/>
        </w:rPr>
      </w:pPr>
      <w:r w:rsidRPr="002E46A7">
        <w:rPr>
          <w:rFonts w:ascii="Arial" w:hAnsi="Arial" w:cs="Arial"/>
        </w:rPr>
        <w:t xml:space="preserve">Informed consent, anonymisation, and adherence to the stipulations of GDPR make ethical integrity possible, which is vital, considering that the automotive industry is a commercial domain (Bremser et al., 2022). The realistic limitation is having limited access to internal Ford employees and time-bound research conditions. Although this </w:t>
      </w:r>
      <w:r w:rsidRPr="002E46A7">
        <w:rPr>
          <w:rFonts w:ascii="Arial" w:hAnsi="Arial" w:cs="Arial"/>
        </w:rPr>
        <w:lastRenderedPageBreak/>
        <w:t>would decrease access barriers, it would facilitate organisational specificity because of dependence on external analysts only. The mixed-method design is thus a moderate and realistic way of filling the research gap.</w:t>
      </w:r>
    </w:p>
    <w:p w14:paraId="57085EC2" w14:textId="77EDAEF2" w:rsidR="002E3F40" w:rsidRPr="002E46A7" w:rsidRDefault="0041124E" w:rsidP="002E46A7">
      <w:pPr>
        <w:pStyle w:val="Heading2"/>
        <w:rPr>
          <w:rFonts w:ascii="Arial" w:hAnsi="Arial" w:cs="Arial"/>
          <w:szCs w:val="24"/>
        </w:rPr>
      </w:pPr>
      <w:bookmarkStart w:id="8" w:name="_Toc221402137"/>
      <w:r w:rsidRPr="002E46A7">
        <w:rPr>
          <w:rFonts w:ascii="Arial" w:hAnsi="Arial" w:cs="Arial"/>
          <w:szCs w:val="24"/>
        </w:rPr>
        <w:t>4</w:t>
      </w:r>
      <w:r w:rsidR="002E3F40" w:rsidRPr="002E46A7">
        <w:rPr>
          <w:rFonts w:ascii="Arial" w:hAnsi="Arial" w:cs="Arial"/>
          <w:szCs w:val="24"/>
        </w:rPr>
        <w:t>. Business and Practical Implications</w:t>
      </w:r>
      <w:bookmarkEnd w:id="8"/>
    </w:p>
    <w:p w14:paraId="77281B61" w14:textId="77777777" w:rsidR="002E3F40" w:rsidRPr="002E46A7" w:rsidRDefault="002E3F40" w:rsidP="002E46A7">
      <w:pPr>
        <w:rPr>
          <w:rFonts w:ascii="Arial" w:hAnsi="Arial" w:cs="Arial"/>
          <w:b/>
          <w:bCs/>
        </w:rPr>
      </w:pPr>
      <w:r w:rsidRPr="002E46A7">
        <w:rPr>
          <w:rFonts w:ascii="Arial" w:hAnsi="Arial" w:cs="Arial"/>
          <w:b/>
          <w:bCs/>
        </w:rPr>
        <w:t>Strategic Value for Senior Management</w:t>
      </w:r>
    </w:p>
    <w:p w14:paraId="332AFA11" w14:textId="68AF2897" w:rsidR="00F4437D" w:rsidRPr="002E46A7" w:rsidRDefault="00F4437D" w:rsidP="002E46A7">
      <w:pPr>
        <w:rPr>
          <w:rFonts w:ascii="Arial" w:hAnsi="Arial" w:cs="Arial"/>
        </w:rPr>
      </w:pPr>
      <w:r w:rsidRPr="002E46A7">
        <w:rPr>
          <w:rFonts w:ascii="Arial" w:hAnsi="Arial" w:cs="Arial"/>
        </w:rPr>
        <w:t>The paper aids in evidence-based managerial decision-making in the transformation of Ford Motor Company to the production of electric vehicles. According to strategic research, companies in turbulent markets have no choice but to combine operational constraints and consumer and competitive knowledge instead of the isolated efficiency measurements (Aniebonam, 2024; Teece, 2025).</w:t>
      </w:r>
    </w:p>
    <w:p w14:paraId="397D356E" w14:textId="12C82F67" w:rsidR="00F4437D" w:rsidRPr="002E46A7" w:rsidRDefault="00F4437D" w:rsidP="002E46A7">
      <w:pPr>
        <w:rPr>
          <w:rFonts w:ascii="Arial" w:hAnsi="Arial" w:cs="Arial"/>
        </w:rPr>
      </w:pPr>
      <w:r w:rsidRPr="002E46A7">
        <w:rPr>
          <w:rFonts w:ascii="Arial" w:hAnsi="Arial" w:cs="Arial"/>
        </w:rPr>
        <w:t>Through the analysis of the relationship between the limitations of battery supply, consumer attitudes, and market competition, the study defines the areas of choice that directly influence the performance of Ford EV. It is especially crucial in situations when the prioritisation of investments is to be performed under the conditions of cost and supply pressure, which is a known challenge in the automotive industry (Boopathi and Kautish, 2024).</w:t>
      </w:r>
    </w:p>
    <w:p w14:paraId="6C1CA796" w14:textId="77777777" w:rsidR="002E3F40" w:rsidRPr="002E46A7" w:rsidRDefault="002E3F40" w:rsidP="002E46A7">
      <w:pPr>
        <w:rPr>
          <w:rFonts w:ascii="Arial" w:hAnsi="Arial" w:cs="Arial"/>
          <w:b/>
          <w:bCs/>
        </w:rPr>
      </w:pPr>
      <w:r w:rsidRPr="002E46A7">
        <w:rPr>
          <w:rFonts w:ascii="Arial" w:hAnsi="Arial" w:cs="Arial"/>
          <w:b/>
          <w:bCs/>
        </w:rPr>
        <w:t>Implications for Key Managerial Decisions</w:t>
      </w:r>
    </w:p>
    <w:p w14:paraId="50DD0A51" w14:textId="798FD1DB" w:rsidR="00F4437D" w:rsidRPr="002E46A7" w:rsidRDefault="00F4437D" w:rsidP="002E46A7">
      <w:pPr>
        <w:rPr>
          <w:rFonts w:ascii="Arial" w:hAnsi="Arial" w:cs="Arial"/>
        </w:rPr>
      </w:pPr>
      <w:r w:rsidRPr="002E46A7">
        <w:rPr>
          <w:rFonts w:ascii="Arial" w:hAnsi="Arial" w:cs="Arial"/>
        </w:rPr>
        <w:t xml:space="preserve">To begin with, the results guide pricing and financing decisions. In the case where price sensitivity is more important than other issues like range anxiety among the target groups, management can focus on cost-cutting measures, flexible payment </w:t>
      </w:r>
      <w:r w:rsidR="000E4424" w:rsidRPr="002E46A7">
        <w:rPr>
          <w:rFonts w:ascii="Arial" w:hAnsi="Arial" w:cs="Arial"/>
        </w:rPr>
        <w:t>plans</w:t>
      </w:r>
      <w:r w:rsidRPr="002E46A7">
        <w:rPr>
          <w:rFonts w:ascii="Arial" w:hAnsi="Arial" w:cs="Arial"/>
        </w:rPr>
        <w:t xml:space="preserve">, or trade-in activities </w:t>
      </w:r>
      <w:r w:rsidR="000E4424" w:rsidRPr="002E46A7">
        <w:rPr>
          <w:rFonts w:ascii="Arial" w:hAnsi="Arial" w:cs="Arial"/>
        </w:rPr>
        <w:t xml:space="preserve">rather </w:t>
      </w:r>
      <w:r w:rsidRPr="002E46A7">
        <w:rPr>
          <w:rFonts w:ascii="Arial" w:hAnsi="Arial" w:cs="Arial"/>
        </w:rPr>
        <w:t xml:space="preserve">than </w:t>
      </w:r>
      <w:r w:rsidR="000E4424" w:rsidRPr="002E46A7">
        <w:rPr>
          <w:rFonts w:ascii="Arial" w:hAnsi="Arial" w:cs="Arial"/>
        </w:rPr>
        <w:t>short-term</w:t>
      </w:r>
      <w:r w:rsidRPr="002E46A7">
        <w:rPr>
          <w:rFonts w:ascii="Arial" w:hAnsi="Arial" w:cs="Arial"/>
        </w:rPr>
        <w:t xml:space="preserve"> technical improvements. There is an indication that the affordability and the perceived value continue to influence the EV adoption by mainstream consumers (</w:t>
      </w:r>
      <w:r w:rsidR="000E4424" w:rsidRPr="002E46A7">
        <w:rPr>
          <w:rFonts w:ascii="Arial" w:hAnsi="Arial" w:cs="Arial"/>
        </w:rPr>
        <w:t>Bhattacherya</w:t>
      </w:r>
      <w:r w:rsidRPr="002E46A7">
        <w:rPr>
          <w:rFonts w:ascii="Arial" w:hAnsi="Arial" w:cs="Arial"/>
        </w:rPr>
        <w:t>, 2023).</w:t>
      </w:r>
    </w:p>
    <w:p w14:paraId="50791967" w14:textId="50B46E74" w:rsidR="00F4437D" w:rsidRPr="002E46A7" w:rsidRDefault="00F4437D" w:rsidP="002E46A7">
      <w:pPr>
        <w:rPr>
          <w:rFonts w:ascii="Arial" w:hAnsi="Arial" w:cs="Arial"/>
        </w:rPr>
      </w:pPr>
      <w:r w:rsidRPr="002E46A7">
        <w:rPr>
          <w:rFonts w:ascii="Arial" w:hAnsi="Arial" w:cs="Arial"/>
        </w:rPr>
        <w:t>Second, the implications of the findings on partnership and supply-chain strategy are as follows. The association of battery supply instability with the adoption risk makes the case of increasing cooperation with battery suppliers and charging-infrastructure partners more convincing</w:t>
      </w:r>
      <w:r w:rsidR="000E4424" w:rsidRPr="002E46A7">
        <w:rPr>
          <w:rFonts w:ascii="Arial" w:hAnsi="Arial" w:cs="Arial"/>
        </w:rPr>
        <w:t xml:space="preserve"> (Warrick and Mulally, 2024)</w:t>
      </w:r>
      <w:r w:rsidRPr="002E46A7">
        <w:rPr>
          <w:rFonts w:ascii="Arial" w:hAnsi="Arial" w:cs="Arial"/>
        </w:rPr>
        <w:t xml:space="preserve">. The primary challenge of long-term partnerships in stabilising operations and safeguarding brand credibility </w:t>
      </w:r>
      <w:r w:rsidR="000E4424" w:rsidRPr="002E46A7">
        <w:rPr>
          <w:rFonts w:ascii="Arial" w:hAnsi="Arial" w:cs="Arial"/>
        </w:rPr>
        <w:t>during</w:t>
      </w:r>
      <w:r w:rsidRPr="002E46A7">
        <w:rPr>
          <w:rFonts w:ascii="Arial" w:hAnsi="Arial" w:cs="Arial"/>
        </w:rPr>
        <w:t xml:space="preserve"> strategic change is discussed in research on the transformation of Ford (Bremser et al., 2022).</w:t>
      </w:r>
    </w:p>
    <w:p w14:paraId="6CB18568" w14:textId="4F157B0E" w:rsidR="000E4424" w:rsidRPr="002E46A7" w:rsidRDefault="00F4437D" w:rsidP="002E46A7">
      <w:pPr>
        <w:rPr>
          <w:rFonts w:ascii="Arial" w:hAnsi="Arial" w:cs="Arial"/>
        </w:rPr>
      </w:pPr>
      <w:r w:rsidRPr="002E46A7">
        <w:rPr>
          <w:rFonts w:ascii="Arial" w:hAnsi="Arial" w:cs="Arial"/>
        </w:rPr>
        <w:lastRenderedPageBreak/>
        <w:t xml:space="preserve">Third, the study provides information on marketing prioritisation. Consumer perception insights enable Ford to target messages to attributes that have the biggest impact on adoption behaviour, including total cost of ownership, reliability, and practical usability, and not be limited to environmental communication. Communication should be aligned </w:t>
      </w:r>
      <w:r w:rsidR="00E3478E" w:rsidRPr="002E46A7">
        <w:rPr>
          <w:rFonts w:ascii="Arial" w:hAnsi="Arial" w:cs="Arial"/>
        </w:rPr>
        <w:t>with</w:t>
      </w:r>
      <w:r w:rsidRPr="002E46A7">
        <w:rPr>
          <w:rFonts w:ascii="Arial" w:hAnsi="Arial" w:cs="Arial"/>
        </w:rPr>
        <w:t xml:space="preserve"> consumer decision drivers to enhance the efficiency of marketing and adoption</w:t>
      </w:r>
      <w:r w:rsidR="000E4424" w:rsidRPr="002E46A7">
        <w:rPr>
          <w:rFonts w:ascii="Arial" w:hAnsi="Arial" w:cs="Arial"/>
        </w:rPr>
        <w:t>.</w:t>
      </w:r>
    </w:p>
    <w:p w14:paraId="5076158B" w14:textId="1A4F3BB0" w:rsidR="002E3F40" w:rsidRPr="002E46A7" w:rsidRDefault="002E3F40" w:rsidP="002E46A7">
      <w:pPr>
        <w:rPr>
          <w:rFonts w:ascii="Arial" w:hAnsi="Arial" w:cs="Arial"/>
        </w:rPr>
      </w:pPr>
      <w:r w:rsidRPr="002E46A7">
        <w:rPr>
          <w:rFonts w:ascii="Arial" w:hAnsi="Arial" w:cs="Arial"/>
          <w:b/>
          <w:bCs/>
        </w:rPr>
        <w:t>Implementation Challenges and Mitigation</w:t>
      </w:r>
    </w:p>
    <w:p w14:paraId="427E96EB" w14:textId="0C6CE23C" w:rsidR="00F4437D" w:rsidRPr="002E46A7" w:rsidRDefault="00F4437D" w:rsidP="002E46A7">
      <w:pPr>
        <w:rPr>
          <w:rFonts w:ascii="Arial" w:hAnsi="Arial" w:cs="Arial"/>
        </w:rPr>
      </w:pPr>
      <w:r w:rsidRPr="002E46A7">
        <w:rPr>
          <w:rFonts w:ascii="Arial" w:hAnsi="Arial" w:cs="Arial"/>
        </w:rPr>
        <w:t xml:space="preserve">This can be limited by budgetary </w:t>
      </w:r>
      <w:r w:rsidR="000E4424" w:rsidRPr="002E46A7">
        <w:rPr>
          <w:rFonts w:ascii="Arial" w:hAnsi="Arial" w:cs="Arial"/>
        </w:rPr>
        <w:t>constraints</w:t>
      </w:r>
      <w:r w:rsidRPr="002E46A7">
        <w:rPr>
          <w:rFonts w:ascii="Arial" w:hAnsi="Arial" w:cs="Arial"/>
        </w:rPr>
        <w:t xml:space="preserve">, organisational change resistance and reliance on outside business partners. Leadership and transformation studies have demonstrated that Ford has to be able to mitigate such barriers (Warrick and Mulally, 2024). The implementation would be supported by a staged implementation strategy, which puts emphasis on the high impact and low cost of the implementation and </w:t>
      </w:r>
      <w:r w:rsidR="000E4424" w:rsidRPr="002E46A7">
        <w:rPr>
          <w:rFonts w:ascii="Arial" w:hAnsi="Arial" w:cs="Arial"/>
        </w:rPr>
        <w:t>aligns</w:t>
      </w:r>
      <w:r w:rsidRPr="002E46A7">
        <w:rPr>
          <w:rFonts w:ascii="Arial" w:hAnsi="Arial" w:cs="Arial"/>
        </w:rPr>
        <w:t xml:space="preserve"> the </w:t>
      </w:r>
      <w:r w:rsidR="000E4424" w:rsidRPr="002E46A7">
        <w:rPr>
          <w:rFonts w:ascii="Arial" w:hAnsi="Arial" w:cs="Arial"/>
        </w:rPr>
        <w:t>long-term</w:t>
      </w:r>
      <w:r w:rsidRPr="002E46A7">
        <w:rPr>
          <w:rFonts w:ascii="Arial" w:hAnsi="Arial" w:cs="Arial"/>
        </w:rPr>
        <w:t xml:space="preserve"> investment with the capability building and alliances. Easy internal communication, cross-functional alignment and </w:t>
      </w:r>
      <w:r w:rsidR="000E4424" w:rsidRPr="002E46A7">
        <w:rPr>
          <w:rFonts w:ascii="Arial" w:hAnsi="Arial" w:cs="Arial"/>
        </w:rPr>
        <w:t>monitoring</w:t>
      </w:r>
      <w:r w:rsidRPr="002E46A7">
        <w:rPr>
          <w:rFonts w:ascii="Arial" w:hAnsi="Arial" w:cs="Arial"/>
        </w:rPr>
        <w:t xml:space="preserve"> performance are additional mitigating factors of execution risk in </w:t>
      </w:r>
      <w:r w:rsidR="000E4424" w:rsidRPr="002E46A7">
        <w:rPr>
          <w:rFonts w:ascii="Arial" w:hAnsi="Arial" w:cs="Arial"/>
        </w:rPr>
        <w:t xml:space="preserve">a </w:t>
      </w:r>
      <w:r w:rsidRPr="002E46A7">
        <w:rPr>
          <w:rFonts w:ascii="Arial" w:hAnsi="Arial" w:cs="Arial"/>
        </w:rPr>
        <w:t>volatile environment.</w:t>
      </w:r>
    </w:p>
    <w:p w14:paraId="19E431DA" w14:textId="0D7086D2" w:rsidR="00F4437D" w:rsidRPr="002E46A7" w:rsidRDefault="00F4437D" w:rsidP="002E46A7">
      <w:pPr>
        <w:rPr>
          <w:rFonts w:ascii="Arial" w:hAnsi="Arial" w:cs="Arial"/>
        </w:rPr>
      </w:pPr>
      <w:r w:rsidRPr="002E46A7">
        <w:rPr>
          <w:rFonts w:ascii="Arial" w:hAnsi="Arial" w:cs="Arial"/>
        </w:rPr>
        <w:t>Even though it is impossible to exclude the existence of the execution risk, this research minimises strategic uncertainty by determining the presence of decision levers that have the greatest chances to affect the EV adoption and competitiveness.</w:t>
      </w:r>
    </w:p>
    <w:p w14:paraId="096E2DF9" w14:textId="27B927F7" w:rsidR="008B6ED6" w:rsidRPr="002E46A7" w:rsidRDefault="0041124E" w:rsidP="002E46A7">
      <w:pPr>
        <w:pStyle w:val="Heading2"/>
        <w:rPr>
          <w:rFonts w:ascii="Arial" w:hAnsi="Arial" w:cs="Arial"/>
          <w:szCs w:val="24"/>
        </w:rPr>
      </w:pPr>
      <w:bookmarkStart w:id="9" w:name="_Toc221402138"/>
      <w:r w:rsidRPr="002E46A7">
        <w:rPr>
          <w:rFonts w:ascii="Arial" w:hAnsi="Arial" w:cs="Arial"/>
          <w:szCs w:val="24"/>
        </w:rPr>
        <w:t>5</w:t>
      </w:r>
      <w:r w:rsidR="00D04DEC" w:rsidRPr="002E46A7">
        <w:rPr>
          <w:rFonts w:ascii="Arial" w:hAnsi="Arial" w:cs="Arial"/>
          <w:szCs w:val="24"/>
        </w:rPr>
        <w:t xml:space="preserve">. </w:t>
      </w:r>
      <w:r w:rsidR="008B6ED6" w:rsidRPr="002E46A7">
        <w:rPr>
          <w:rFonts w:ascii="Arial" w:hAnsi="Arial" w:cs="Arial"/>
          <w:szCs w:val="24"/>
        </w:rPr>
        <w:t>Critical Reflection Across the Whole Discussion</w:t>
      </w:r>
      <w:bookmarkEnd w:id="9"/>
    </w:p>
    <w:p w14:paraId="4D2DF37F" w14:textId="3C229EA0" w:rsidR="001F620D" w:rsidRPr="002E46A7" w:rsidRDefault="001F620D" w:rsidP="002E46A7">
      <w:pPr>
        <w:rPr>
          <w:rFonts w:ascii="Arial" w:hAnsi="Arial" w:cs="Arial"/>
        </w:rPr>
      </w:pPr>
      <w:r w:rsidRPr="002E46A7">
        <w:rPr>
          <w:rFonts w:ascii="Arial" w:hAnsi="Arial" w:cs="Arial"/>
        </w:rPr>
        <w:t>This scholastic discourse has solidified my knowledge about applied business research as a process that is judgmental and iterative, and not a linear and definitive activity. Among the areas of learning, one is the ability to identify the trade-offs of framing and scope. Although the study is substantially positioned at a strategic level of framing in order to portray the interaction between the constraint of battery supply, consumer cognitions, and the competition, the selection understandably constrains the analysis depth that could be attained within any given field. These trade-offs are also very vital factors to accept and justify research maturity at this level.</w:t>
      </w:r>
    </w:p>
    <w:p w14:paraId="76E32826" w14:textId="371A5649" w:rsidR="001F620D" w:rsidRPr="002E46A7" w:rsidRDefault="001F620D" w:rsidP="002E46A7">
      <w:pPr>
        <w:rPr>
          <w:rFonts w:ascii="Arial" w:hAnsi="Arial" w:cs="Arial"/>
        </w:rPr>
      </w:pPr>
      <w:r w:rsidRPr="002E46A7">
        <w:rPr>
          <w:rFonts w:ascii="Arial" w:hAnsi="Arial" w:cs="Arial"/>
        </w:rPr>
        <w:t xml:space="preserve">Another learning outcome is associated with a methodological type of decision-making when there are practical limitations. Triangulation in the mixed-method design enhances analytical depth and credibility; however, the design presents problems in terms of access, time, and data quality. The recognition of risks like self-selection bias and limited organisational access has led to the creation of the value of designing </w:t>
      </w:r>
      <w:r w:rsidRPr="002E46A7">
        <w:rPr>
          <w:rFonts w:ascii="Arial" w:hAnsi="Arial" w:cs="Arial"/>
        </w:rPr>
        <w:lastRenderedPageBreak/>
        <w:t>methodologically sound and realistically feasible research. This has enabled me to appreciate the need to balance academic rigour and feasibility in business research, which is a reality.</w:t>
      </w:r>
    </w:p>
    <w:p w14:paraId="2DEBE1F7" w14:textId="076C5B98" w:rsidR="00F4437D" w:rsidRPr="002E46A7" w:rsidRDefault="001F620D" w:rsidP="002E46A7">
      <w:pPr>
        <w:rPr>
          <w:rFonts w:ascii="Arial" w:hAnsi="Arial" w:cs="Arial"/>
        </w:rPr>
      </w:pPr>
      <w:r w:rsidRPr="002E46A7">
        <w:rPr>
          <w:rFonts w:ascii="Arial" w:hAnsi="Arial" w:cs="Arial"/>
        </w:rPr>
        <w:t>In the survey, in case the study was prolonged, future research could be enhanced by more organisational access to data, especially internal operational and financial data. This would enable more significant causal examination of the effects of battery supply limitations on the pricing choices and the cost competitiveness in the long-term. Alternatively, a longitudinal design also would be possible with more resources to investigate the dynamics of consumer perceptions and adoption behaviour over time as the EV strategy of Ford matures and regulatory conditions vary.</w:t>
      </w:r>
    </w:p>
    <w:p w14:paraId="63027DDB" w14:textId="77777777" w:rsidR="00F4437D" w:rsidRPr="002E46A7" w:rsidRDefault="00F4437D" w:rsidP="002E46A7">
      <w:pPr>
        <w:jc w:val="left"/>
        <w:rPr>
          <w:rFonts w:ascii="Arial" w:hAnsi="Arial" w:cs="Arial"/>
        </w:rPr>
      </w:pPr>
      <w:r w:rsidRPr="002E46A7">
        <w:rPr>
          <w:rFonts w:ascii="Arial" w:hAnsi="Arial" w:cs="Arial"/>
        </w:rPr>
        <w:br w:type="page"/>
      </w:r>
    </w:p>
    <w:p w14:paraId="1C5E287F" w14:textId="2E00DC29" w:rsidR="000E4424" w:rsidRPr="002E46A7" w:rsidRDefault="00F4437D" w:rsidP="002E46A7">
      <w:pPr>
        <w:pStyle w:val="Heading1"/>
        <w:rPr>
          <w:rFonts w:ascii="Arial" w:hAnsi="Arial" w:cs="Arial"/>
          <w:szCs w:val="24"/>
        </w:rPr>
      </w:pPr>
      <w:bookmarkStart w:id="10" w:name="_Toc221402139"/>
      <w:r w:rsidRPr="002E46A7">
        <w:rPr>
          <w:rFonts w:ascii="Arial" w:hAnsi="Arial" w:cs="Arial"/>
          <w:szCs w:val="24"/>
        </w:rPr>
        <w:lastRenderedPageBreak/>
        <w:t>References</w:t>
      </w:r>
      <w:bookmarkEnd w:id="10"/>
      <w:r w:rsidRPr="002E46A7">
        <w:rPr>
          <w:rFonts w:ascii="Arial" w:hAnsi="Arial" w:cs="Arial"/>
          <w:szCs w:val="24"/>
        </w:rPr>
        <w:t xml:space="preserve"> </w:t>
      </w:r>
    </w:p>
    <w:p w14:paraId="6344615B" w14:textId="77777777" w:rsidR="000E4424" w:rsidRPr="002E46A7" w:rsidRDefault="000E4424" w:rsidP="002E46A7">
      <w:pPr>
        <w:ind w:left="720" w:hanging="720"/>
        <w:rPr>
          <w:rFonts w:ascii="Arial" w:hAnsi="Arial" w:cs="Arial"/>
        </w:rPr>
      </w:pPr>
      <w:r w:rsidRPr="002E46A7">
        <w:rPr>
          <w:rFonts w:ascii="Arial" w:hAnsi="Arial" w:cs="Arial"/>
        </w:rPr>
        <w:t xml:space="preserve">Aniebonam, E.E. (2024). </w:t>
      </w:r>
      <w:r w:rsidRPr="002E46A7">
        <w:rPr>
          <w:rFonts w:ascii="Arial" w:hAnsi="Arial" w:cs="Arial"/>
          <w:i/>
          <w:iCs/>
        </w:rPr>
        <w:t>Strategic management in turbulent markets: A case study of the USA</w:t>
      </w:r>
      <w:r w:rsidRPr="002E46A7">
        <w:rPr>
          <w:rFonts w:ascii="Arial" w:hAnsi="Arial" w:cs="Arial"/>
        </w:rPr>
        <w:t>. International Journal of Modern Science and Research Technology, 1(8), pp. 35–43.</w:t>
      </w:r>
    </w:p>
    <w:p w14:paraId="5157DC5D" w14:textId="77777777" w:rsidR="000E4424" w:rsidRPr="002E46A7" w:rsidRDefault="000E4424" w:rsidP="002E46A7">
      <w:pPr>
        <w:ind w:left="720" w:hanging="720"/>
        <w:rPr>
          <w:rFonts w:ascii="Arial" w:hAnsi="Arial" w:cs="Arial"/>
        </w:rPr>
      </w:pPr>
      <w:r w:rsidRPr="002E46A7">
        <w:rPr>
          <w:rFonts w:ascii="Arial" w:hAnsi="Arial" w:cs="Arial"/>
        </w:rPr>
        <w:t xml:space="preserve">Awirotananon, C., Vonglertvit, P. and Chongwatpol, J. (2023) ‘Business intelligence and analytics: The case of human resource management decisions’, </w:t>
      </w:r>
      <w:r w:rsidRPr="002E46A7">
        <w:rPr>
          <w:rFonts w:ascii="Arial" w:hAnsi="Arial" w:cs="Arial"/>
          <w:i/>
          <w:iCs/>
        </w:rPr>
        <w:t>Journal of Information Technology Teaching Cases</w:t>
      </w:r>
      <w:r w:rsidRPr="002E46A7">
        <w:rPr>
          <w:rFonts w:ascii="Arial" w:hAnsi="Arial" w:cs="Arial"/>
        </w:rPr>
        <w:t>, 13(2), pp. 230–245.</w:t>
      </w:r>
    </w:p>
    <w:p w14:paraId="32ADC2BD" w14:textId="77777777" w:rsidR="000E4424" w:rsidRPr="002E46A7" w:rsidRDefault="000E4424" w:rsidP="002E46A7">
      <w:pPr>
        <w:ind w:left="720" w:hanging="720"/>
        <w:rPr>
          <w:rFonts w:ascii="Arial" w:hAnsi="Arial" w:cs="Arial"/>
        </w:rPr>
      </w:pPr>
      <w:r w:rsidRPr="002E46A7">
        <w:rPr>
          <w:rFonts w:ascii="Arial" w:hAnsi="Arial" w:cs="Arial"/>
        </w:rPr>
        <w:t xml:space="preserve">Boopathi, S. and Kautish, S. (2024) ‘Cost competitiveness, customer focus, and sustainability in the VUCA automotive market: A case study’, in </w:t>
      </w:r>
      <w:r w:rsidRPr="002E46A7">
        <w:rPr>
          <w:rFonts w:ascii="Arial" w:hAnsi="Arial" w:cs="Arial"/>
          <w:i/>
          <w:iCs/>
        </w:rPr>
        <w:t>VUCA and Other Analytics in Business Resilience, Part B</w:t>
      </w:r>
      <w:r w:rsidRPr="002E46A7">
        <w:rPr>
          <w:rFonts w:ascii="Arial" w:hAnsi="Arial" w:cs="Arial"/>
        </w:rPr>
        <w:t>. Bingley: Emerald Publishing Limited, pp. 199–220.</w:t>
      </w:r>
    </w:p>
    <w:p w14:paraId="4F14962A" w14:textId="77777777" w:rsidR="000E4424" w:rsidRPr="002E46A7" w:rsidRDefault="000E4424" w:rsidP="002E46A7">
      <w:pPr>
        <w:ind w:left="720" w:hanging="720"/>
        <w:rPr>
          <w:rFonts w:ascii="Arial" w:hAnsi="Arial" w:cs="Arial"/>
        </w:rPr>
      </w:pPr>
      <w:r w:rsidRPr="002E46A7">
        <w:rPr>
          <w:rFonts w:ascii="Arial" w:hAnsi="Arial" w:cs="Arial"/>
        </w:rPr>
        <w:t xml:space="preserve">Bremser, W.G., Jermakowicz, E.K. and Reinstein, A. (2022) ‘Sustainability reporting insights: The case of Ford Motor Company’, </w:t>
      </w:r>
      <w:r w:rsidRPr="002E46A7">
        <w:rPr>
          <w:rFonts w:ascii="Arial" w:hAnsi="Arial" w:cs="Arial"/>
          <w:i/>
          <w:iCs/>
        </w:rPr>
        <w:t>Issues in Accounting Education</w:t>
      </w:r>
      <w:r w:rsidRPr="002E46A7">
        <w:rPr>
          <w:rFonts w:ascii="Arial" w:hAnsi="Arial" w:cs="Arial"/>
        </w:rPr>
        <w:t>, 37(1), pp. 125–139.</w:t>
      </w:r>
    </w:p>
    <w:p w14:paraId="63D1AA5D" w14:textId="77777777" w:rsidR="000E4424" w:rsidRPr="002E46A7" w:rsidRDefault="000E4424" w:rsidP="002E46A7">
      <w:pPr>
        <w:ind w:left="720" w:hanging="720"/>
        <w:rPr>
          <w:rFonts w:ascii="Arial" w:hAnsi="Arial" w:cs="Arial"/>
        </w:rPr>
      </w:pPr>
      <w:r w:rsidRPr="002E46A7">
        <w:rPr>
          <w:rFonts w:ascii="Arial" w:hAnsi="Arial" w:cs="Arial"/>
        </w:rPr>
        <w:t xml:space="preserve">Teece, D.J. (2025) ‘The multinational enterprise, capabilities, and digitalisation: governance and growth with world disorder’, </w:t>
      </w:r>
      <w:r w:rsidRPr="002E46A7">
        <w:rPr>
          <w:rFonts w:ascii="Arial" w:hAnsi="Arial" w:cs="Arial"/>
          <w:i/>
          <w:iCs/>
        </w:rPr>
        <w:t>Journal of International Business Studies</w:t>
      </w:r>
      <w:r w:rsidRPr="002E46A7">
        <w:rPr>
          <w:rFonts w:ascii="Arial" w:hAnsi="Arial" w:cs="Arial"/>
        </w:rPr>
        <w:t>, 56(1), pp. 7–22.</w:t>
      </w:r>
    </w:p>
    <w:p w14:paraId="7D819B35" w14:textId="77777777" w:rsidR="000E4424" w:rsidRPr="002E46A7" w:rsidRDefault="000E4424" w:rsidP="002E46A7">
      <w:pPr>
        <w:ind w:left="720" w:hanging="720"/>
        <w:rPr>
          <w:rFonts w:ascii="Arial" w:hAnsi="Arial" w:cs="Arial"/>
        </w:rPr>
      </w:pPr>
      <w:r w:rsidRPr="002E46A7">
        <w:rPr>
          <w:rFonts w:ascii="Arial" w:hAnsi="Arial" w:cs="Arial"/>
        </w:rPr>
        <w:t xml:space="preserve">Warrick, D.D. and Mulally, A. (2024) ‘The leadership principles Alan Mulally followed in transforming Ford Motor Company into a successful company with a strong people-oriented culture’, in </w:t>
      </w:r>
      <w:r w:rsidRPr="002E46A7">
        <w:rPr>
          <w:rFonts w:ascii="Arial" w:hAnsi="Arial" w:cs="Arial"/>
          <w:i/>
          <w:iCs/>
        </w:rPr>
        <w:t>Cases on Critical Leadership Skills</w:t>
      </w:r>
      <w:r w:rsidRPr="002E46A7">
        <w:rPr>
          <w:rFonts w:ascii="Arial" w:hAnsi="Arial" w:cs="Arial"/>
        </w:rPr>
        <w:t>. Cheltenham: Edward Elgar Publishing, pp. 120–133.</w:t>
      </w:r>
    </w:p>
    <w:sectPr w:rsidR="000E4424" w:rsidRPr="002E46A7">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818AA" w14:textId="77777777" w:rsidR="00FF0486" w:rsidRDefault="00FF0486" w:rsidP="0041124E">
      <w:pPr>
        <w:spacing w:after="0" w:line="240" w:lineRule="auto"/>
      </w:pPr>
      <w:r>
        <w:separator/>
      </w:r>
    </w:p>
  </w:endnote>
  <w:endnote w:type="continuationSeparator" w:id="0">
    <w:p w14:paraId="45F9BB26" w14:textId="77777777" w:rsidR="00FF0486" w:rsidRDefault="00FF0486" w:rsidP="0041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828837"/>
      <w:docPartObj>
        <w:docPartGallery w:val="Page Numbers (Bottom of Page)"/>
        <w:docPartUnique/>
      </w:docPartObj>
    </w:sdtPr>
    <w:sdtEndPr>
      <w:rPr>
        <w:noProof/>
      </w:rPr>
    </w:sdtEndPr>
    <w:sdtContent>
      <w:p w14:paraId="15E76439" w14:textId="57EC5D76" w:rsidR="0041124E" w:rsidRDefault="004112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CBBD7" w14:textId="77777777" w:rsidR="0041124E" w:rsidRDefault="00411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10760" w14:textId="77777777" w:rsidR="00FF0486" w:rsidRDefault="00FF0486" w:rsidP="0041124E">
      <w:pPr>
        <w:spacing w:after="0" w:line="240" w:lineRule="auto"/>
      </w:pPr>
      <w:r>
        <w:separator/>
      </w:r>
    </w:p>
  </w:footnote>
  <w:footnote w:type="continuationSeparator" w:id="0">
    <w:p w14:paraId="730DB5C0" w14:textId="77777777" w:rsidR="00FF0486" w:rsidRDefault="00FF0486" w:rsidP="00411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6ADC"/>
    <w:multiLevelType w:val="multilevel"/>
    <w:tmpl w:val="6C349292"/>
    <w:lvl w:ilvl="0">
      <w:start w:val="1"/>
      <w:numFmt w:val="bullet"/>
      <w:lvlText w:val=""/>
      <w:lvlJc w:val="left"/>
      <w:pPr>
        <w:tabs>
          <w:tab w:val="num" w:pos="540"/>
        </w:tabs>
        <w:ind w:left="540" w:hanging="360"/>
      </w:pPr>
      <w:rPr>
        <w:rFonts w:ascii="Symbol" w:hAnsi="Symbol" w:hint="default"/>
        <w:sz w:val="20"/>
      </w:r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 w15:restartNumberingAfterBreak="0">
    <w:nsid w:val="10165128"/>
    <w:multiLevelType w:val="multilevel"/>
    <w:tmpl w:val="7114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E622D"/>
    <w:multiLevelType w:val="multilevel"/>
    <w:tmpl w:val="A208A1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12A96"/>
    <w:multiLevelType w:val="multilevel"/>
    <w:tmpl w:val="01A2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A243B"/>
    <w:multiLevelType w:val="multilevel"/>
    <w:tmpl w:val="4CBE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412770"/>
    <w:multiLevelType w:val="hybridMultilevel"/>
    <w:tmpl w:val="F36287E2"/>
    <w:lvl w:ilvl="0" w:tplc="FD3CA5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47675B5"/>
    <w:multiLevelType w:val="hybridMultilevel"/>
    <w:tmpl w:val="DBB414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E5C4BDB"/>
    <w:multiLevelType w:val="hybridMultilevel"/>
    <w:tmpl w:val="AA20003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DE629CE"/>
    <w:multiLevelType w:val="multilevel"/>
    <w:tmpl w:val="E312D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5288765">
    <w:abstractNumId w:val="2"/>
  </w:num>
  <w:num w:numId="2" w16cid:durableId="1350528774">
    <w:abstractNumId w:val="5"/>
  </w:num>
  <w:num w:numId="3" w16cid:durableId="719019246">
    <w:abstractNumId w:val="8"/>
  </w:num>
  <w:num w:numId="4" w16cid:durableId="414864361">
    <w:abstractNumId w:val="3"/>
  </w:num>
  <w:num w:numId="5" w16cid:durableId="935483975">
    <w:abstractNumId w:val="0"/>
  </w:num>
  <w:num w:numId="6" w16cid:durableId="1317493074">
    <w:abstractNumId w:val="1"/>
  </w:num>
  <w:num w:numId="7" w16cid:durableId="1953584961">
    <w:abstractNumId w:val="4"/>
  </w:num>
  <w:num w:numId="8" w16cid:durableId="725569524">
    <w:abstractNumId w:val="7"/>
  </w:num>
  <w:num w:numId="9" w16cid:durableId="18611185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ED6"/>
    <w:rsid w:val="0002306E"/>
    <w:rsid w:val="00060E34"/>
    <w:rsid w:val="000B33C1"/>
    <w:rsid w:val="000E4424"/>
    <w:rsid w:val="00133F70"/>
    <w:rsid w:val="001E7692"/>
    <w:rsid w:val="001F620D"/>
    <w:rsid w:val="00225817"/>
    <w:rsid w:val="002D0689"/>
    <w:rsid w:val="002D5A01"/>
    <w:rsid w:val="002E3F40"/>
    <w:rsid w:val="002E46A7"/>
    <w:rsid w:val="0041124E"/>
    <w:rsid w:val="004574FE"/>
    <w:rsid w:val="00465821"/>
    <w:rsid w:val="00473071"/>
    <w:rsid w:val="005F0883"/>
    <w:rsid w:val="00645FC9"/>
    <w:rsid w:val="00655049"/>
    <w:rsid w:val="00681936"/>
    <w:rsid w:val="006A3FE7"/>
    <w:rsid w:val="007E5002"/>
    <w:rsid w:val="00816186"/>
    <w:rsid w:val="00865E47"/>
    <w:rsid w:val="008A66EC"/>
    <w:rsid w:val="008B6ED6"/>
    <w:rsid w:val="00924378"/>
    <w:rsid w:val="0099265A"/>
    <w:rsid w:val="00993BF0"/>
    <w:rsid w:val="00B049F2"/>
    <w:rsid w:val="00B8265B"/>
    <w:rsid w:val="00C15ED0"/>
    <w:rsid w:val="00C80266"/>
    <w:rsid w:val="00CB13DE"/>
    <w:rsid w:val="00CC30F0"/>
    <w:rsid w:val="00D04DEC"/>
    <w:rsid w:val="00D0659A"/>
    <w:rsid w:val="00D4253E"/>
    <w:rsid w:val="00D63C55"/>
    <w:rsid w:val="00D6495A"/>
    <w:rsid w:val="00DA5B8B"/>
    <w:rsid w:val="00E01CFC"/>
    <w:rsid w:val="00E15A2F"/>
    <w:rsid w:val="00E3478E"/>
    <w:rsid w:val="00E47AF1"/>
    <w:rsid w:val="00E97041"/>
    <w:rsid w:val="00F4437D"/>
    <w:rsid w:val="00FF0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3D3AD"/>
  <w15:chartTrackingRefBased/>
  <w15:docId w15:val="{B69DFB9A-D3E8-413D-8295-8C719BBF6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A2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15A2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nhideWhenUsed/>
    <w:qFormat/>
    <w:rsid w:val="00D04DEC"/>
    <w:pPr>
      <w:keepNext/>
      <w:keepLines/>
      <w:spacing w:before="160" w:after="80"/>
      <w:ind w:left="72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8B6ED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6ED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6ED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B6E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6E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6E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6E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1">
    <w:name w:val="Heading 21"/>
    <w:basedOn w:val="Normal"/>
    <w:link w:val="heading2Char0"/>
    <w:qFormat/>
    <w:rsid w:val="00D0659A"/>
    <w:pPr>
      <w:spacing w:after="200" w:line="240" w:lineRule="auto"/>
    </w:pPr>
    <w:rPr>
      <w:rFonts w:ascii="Arial" w:hAnsi="Arial" w:cs="Arial"/>
      <w:b/>
      <w:bCs/>
    </w:rPr>
  </w:style>
  <w:style w:type="character" w:customStyle="1" w:styleId="heading2Char0">
    <w:name w:val="heading 2 Char"/>
    <w:basedOn w:val="DefaultParagraphFont"/>
    <w:link w:val="Heading21"/>
    <w:rsid w:val="00D0659A"/>
    <w:rPr>
      <w:rFonts w:ascii="Arial" w:hAnsi="Arial" w:cs="Arial"/>
      <w:b/>
      <w:bCs/>
    </w:rPr>
  </w:style>
  <w:style w:type="character" w:customStyle="1" w:styleId="Heading1Char">
    <w:name w:val="Heading 1 Char"/>
    <w:basedOn w:val="DefaultParagraphFont"/>
    <w:link w:val="Heading1"/>
    <w:uiPriority w:val="9"/>
    <w:rsid w:val="00E15A2F"/>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rsid w:val="00D04DEC"/>
    <w:rPr>
      <w:rFonts w:ascii="Times New Roman" w:eastAsiaTheme="majorEastAsia" w:hAnsi="Times New Roman" w:cstheme="majorBidi"/>
      <w:b/>
      <w:i/>
      <w:color w:val="000000" w:themeColor="text1"/>
      <w:szCs w:val="32"/>
    </w:rPr>
  </w:style>
  <w:style w:type="paragraph" w:customStyle="1" w:styleId="Style2">
    <w:name w:val="Style2"/>
    <w:basedOn w:val="Normal"/>
    <w:qFormat/>
    <w:rsid w:val="00E15A2F"/>
    <w:pPr>
      <w:jc w:val="left"/>
    </w:pPr>
    <w:rPr>
      <w:rFonts w:asciiTheme="minorHAnsi" w:hAnsiTheme="minorHAnsi"/>
    </w:rPr>
  </w:style>
  <w:style w:type="character" w:customStyle="1" w:styleId="Heading3Char">
    <w:name w:val="Heading 3 Char"/>
    <w:basedOn w:val="DefaultParagraphFont"/>
    <w:link w:val="Heading3"/>
    <w:uiPriority w:val="9"/>
    <w:semiHidden/>
    <w:rsid w:val="008B6E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B6E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6E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6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ED6"/>
    <w:rPr>
      <w:rFonts w:eastAsiaTheme="majorEastAsia" w:cstheme="majorBidi"/>
      <w:color w:val="272727" w:themeColor="text1" w:themeTint="D8"/>
    </w:rPr>
  </w:style>
  <w:style w:type="paragraph" w:styleId="Title">
    <w:name w:val="Title"/>
    <w:basedOn w:val="Normal"/>
    <w:next w:val="Normal"/>
    <w:link w:val="TitleChar"/>
    <w:uiPriority w:val="10"/>
    <w:qFormat/>
    <w:rsid w:val="008B6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E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ED6"/>
    <w:pPr>
      <w:spacing w:before="160"/>
      <w:jc w:val="center"/>
    </w:pPr>
    <w:rPr>
      <w:i/>
      <w:iCs/>
      <w:color w:val="404040" w:themeColor="text1" w:themeTint="BF"/>
    </w:rPr>
  </w:style>
  <w:style w:type="character" w:customStyle="1" w:styleId="QuoteChar">
    <w:name w:val="Quote Char"/>
    <w:basedOn w:val="DefaultParagraphFont"/>
    <w:link w:val="Quote"/>
    <w:uiPriority w:val="29"/>
    <w:rsid w:val="008B6ED6"/>
    <w:rPr>
      <w:rFonts w:ascii="Times New Roman" w:hAnsi="Times New Roman"/>
      <w:i/>
      <w:iCs/>
      <w:color w:val="404040" w:themeColor="text1" w:themeTint="BF"/>
    </w:rPr>
  </w:style>
  <w:style w:type="paragraph" w:styleId="ListParagraph">
    <w:name w:val="List Paragraph"/>
    <w:basedOn w:val="Normal"/>
    <w:uiPriority w:val="34"/>
    <w:qFormat/>
    <w:rsid w:val="008B6ED6"/>
    <w:pPr>
      <w:ind w:left="720"/>
      <w:contextualSpacing/>
    </w:pPr>
  </w:style>
  <w:style w:type="character" w:styleId="IntenseEmphasis">
    <w:name w:val="Intense Emphasis"/>
    <w:basedOn w:val="DefaultParagraphFont"/>
    <w:uiPriority w:val="21"/>
    <w:qFormat/>
    <w:rsid w:val="008B6ED6"/>
    <w:rPr>
      <w:i/>
      <w:iCs/>
      <w:color w:val="2F5496" w:themeColor="accent1" w:themeShade="BF"/>
    </w:rPr>
  </w:style>
  <w:style w:type="paragraph" w:styleId="IntenseQuote">
    <w:name w:val="Intense Quote"/>
    <w:basedOn w:val="Normal"/>
    <w:next w:val="Normal"/>
    <w:link w:val="IntenseQuoteChar"/>
    <w:uiPriority w:val="30"/>
    <w:qFormat/>
    <w:rsid w:val="008B6E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6ED6"/>
    <w:rPr>
      <w:rFonts w:ascii="Times New Roman" w:hAnsi="Times New Roman"/>
      <w:i/>
      <w:iCs/>
      <w:color w:val="2F5496" w:themeColor="accent1" w:themeShade="BF"/>
    </w:rPr>
  </w:style>
  <w:style w:type="character" w:styleId="IntenseReference">
    <w:name w:val="Intense Reference"/>
    <w:basedOn w:val="DefaultParagraphFont"/>
    <w:uiPriority w:val="32"/>
    <w:qFormat/>
    <w:rsid w:val="008B6ED6"/>
    <w:rPr>
      <w:b/>
      <w:bCs/>
      <w:smallCaps/>
      <w:color w:val="2F5496" w:themeColor="accent1" w:themeShade="BF"/>
      <w:spacing w:val="5"/>
    </w:rPr>
  </w:style>
  <w:style w:type="paragraph" w:customStyle="1" w:styleId="TableParagraph">
    <w:name w:val="Table Paragraph"/>
    <w:basedOn w:val="Normal"/>
    <w:uiPriority w:val="1"/>
    <w:qFormat/>
    <w:rsid w:val="00D04DEC"/>
    <w:pPr>
      <w:spacing w:after="0" w:line="240" w:lineRule="auto"/>
      <w:jc w:val="left"/>
    </w:pPr>
    <w:rPr>
      <w:rFonts w:asciiTheme="minorHAnsi" w:eastAsiaTheme="minorEastAsia" w:hAnsiTheme="minorHAnsi"/>
      <w:kern w:val="0"/>
      <w:sz w:val="22"/>
      <w:szCs w:val="22"/>
      <w:lang w:eastAsia="en-GB"/>
      <w14:ligatures w14:val="none"/>
    </w:rPr>
  </w:style>
  <w:style w:type="paragraph" w:styleId="TOCHeading">
    <w:name w:val="TOC Heading"/>
    <w:basedOn w:val="Heading1"/>
    <w:next w:val="Normal"/>
    <w:uiPriority w:val="39"/>
    <w:unhideWhenUsed/>
    <w:qFormat/>
    <w:rsid w:val="00D04DEC"/>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D04DEC"/>
    <w:pPr>
      <w:spacing w:after="100"/>
      <w:ind w:left="240"/>
    </w:pPr>
  </w:style>
  <w:style w:type="paragraph" w:styleId="TOC1">
    <w:name w:val="toc 1"/>
    <w:basedOn w:val="Normal"/>
    <w:next w:val="Normal"/>
    <w:autoRedefine/>
    <w:uiPriority w:val="39"/>
    <w:unhideWhenUsed/>
    <w:rsid w:val="00D04DEC"/>
    <w:pPr>
      <w:spacing w:after="100"/>
    </w:pPr>
  </w:style>
  <w:style w:type="character" w:styleId="Hyperlink">
    <w:name w:val="Hyperlink"/>
    <w:basedOn w:val="DefaultParagraphFont"/>
    <w:uiPriority w:val="99"/>
    <w:unhideWhenUsed/>
    <w:rsid w:val="00D04DEC"/>
    <w:rPr>
      <w:color w:val="0563C1" w:themeColor="hyperlink"/>
      <w:u w:val="single"/>
    </w:rPr>
  </w:style>
  <w:style w:type="character" w:styleId="CommentReference">
    <w:name w:val="annotation reference"/>
    <w:basedOn w:val="DefaultParagraphFont"/>
    <w:uiPriority w:val="99"/>
    <w:semiHidden/>
    <w:unhideWhenUsed/>
    <w:rsid w:val="002D0689"/>
    <w:rPr>
      <w:sz w:val="16"/>
      <w:szCs w:val="16"/>
    </w:rPr>
  </w:style>
  <w:style w:type="paragraph" w:styleId="CommentText">
    <w:name w:val="annotation text"/>
    <w:basedOn w:val="Normal"/>
    <w:link w:val="CommentTextChar"/>
    <w:uiPriority w:val="99"/>
    <w:semiHidden/>
    <w:unhideWhenUsed/>
    <w:rsid w:val="002D0689"/>
    <w:pPr>
      <w:spacing w:line="240" w:lineRule="auto"/>
    </w:pPr>
    <w:rPr>
      <w:sz w:val="20"/>
      <w:szCs w:val="20"/>
    </w:rPr>
  </w:style>
  <w:style w:type="character" w:customStyle="1" w:styleId="CommentTextChar">
    <w:name w:val="Comment Text Char"/>
    <w:basedOn w:val="DefaultParagraphFont"/>
    <w:link w:val="CommentText"/>
    <w:uiPriority w:val="99"/>
    <w:semiHidden/>
    <w:rsid w:val="002D068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D0689"/>
    <w:rPr>
      <w:b/>
      <w:bCs/>
    </w:rPr>
  </w:style>
  <w:style w:type="character" w:customStyle="1" w:styleId="CommentSubjectChar">
    <w:name w:val="Comment Subject Char"/>
    <w:basedOn w:val="CommentTextChar"/>
    <w:link w:val="CommentSubject"/>
    <w:uiPriority w:val="99"/>
    <w:semiHidden/>
    <w:rsid w:val="002D0689"/>
    <w:rPr>
      <w:rFonts w:ascii="Times New Roman" w:hAnsi="Times New Roman"/>
      <w:b/>
      <w:bCs/>
      <w:sz w:val="20"/>
      <w:szCs w:val="20"/>
    </w:rPr>
  </w:style>
  <w:style w:type="paragraph" w:styleId="NormalWeb">
    <w:name w:val="Normal (Web)"/>
    <w:basedOn w:val="Normal"/>
    <w:uiPriority w:val="99"/>
    <w:semiHidden/>
    <w:unhideWhenUsed/>
    <w:rsid w:val="002D0689"/>
    <w:rPr>
      <w:rFonts w:cs="Times New Roman"/>
    </w:rPr>
  </w:style>
  <w:style w:type="paragraph" w:styleId="Header">
    <w:name w:val="header"/>
    <w:basedOn w:val="Normal"/>
    <w:link w:val="HeaderChar"/>
    <w:uiPriority w:val="99"/>
    <w:unhideWhenUsed/>
    <w:rsid w:val="00411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24E"/>
    <w:rPr>
      <w:rFonts w:ascii="Times New Roman" w:hAnsi="Times New Roman"/>
    </w:rPr>
  </w:style>
  <w:style w:type="paragraph" w:styleId="Footer">
    <w:name w:val="footer"/>
    <w:basedOn w:val="Normal"/>
    <w:link w:val="FooterChar"/>
    <w:uiPriority w:val="99"/>
    <w:unhideWhenUsed/>
    <w:rsid w:val="00411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24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8976B-6D67-4F50-B635-44FFD040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3152</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MT_Prod-07</dc:creator>
  <cp:keywords/>
  <dc:description/>
  <cp:lastModifiedBy>CARMEN Bouabehi</cp:lastModifiedBy>
  <cp:revision>12</cp:revision>
  <dcterms:created xsi:type="dcterms:W3CDTF">2026-07-17T20:53:00Z</dcterms:created>
  <dcterms:modified xsi:type="dcterms:W3CDTF">2026-07-23T07:37:00Z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9df8d089-f01f-41e2-ace0-3338d2b426ef</vt:lpwstr>
  </property>
</Properties>
</file>