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8E1D83" w14:textId="77777777" w:rsidR="00D24F19" w:rsidRDefault="00D24F19" w:rsidP="00D24F19">
      <w:pPr>
        <w:pStyle w:val="NormalWeb"/>
        <w:spacing w:before="0" w:beforeAutospacing="0" w:after="0" w:afterAutospacing="0"/>
        <w:ind w:left="-180" w:right="-334"/>
      </w:pPr>
      <w:r>
        <w:rPr>
          <w:noProof/>
          <w:lang w:eastAsia="en-GB"/>
        </w:rPr>
        <w:drawing>
          <wp:inline distT="0" distB="0" distL="0" distR="0" wp14:anchorId="4CF7A2FF" wp14:editId="5334FE7B">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630EE4E2" w14:textId="77777777" w:rsidR="00D24F19" w:rsidRDefault="00D24F19" w:rsidP="00D24F19">
      <w:pPr>
        <w:pStyle w:val="NormalWeb"/>
        <w:spacing w:before="0" w:beforeAutospacing="0" w:after="0" w:afterAutospacing="0"/>
        <w:ind w:left="-180" w:right="-334"/>
      </w:pPr>
    </w:p>
    <w:p w14:paraId="4D6F9814" w14:textId="77777777" w:rsidR="00D24F19" w:rsidRDefault="00D24F19" w:rsidP="00D24F19">
      <w:pPr>
        <w:pStyle w:val="NormalWeb"/>
        <w:spacing w:before="0" w:beforeAutospacing="0" w:after="0" w:afterAutospacing="0"/>
        <w:ind w:left="-180" w:right="-334"/>
      </w:pPr>
    </w:p>
    <w:p w14:paraId="4D2A1945" w14:textId="77777777" w:rsidR="00D24F19" w:rsidRDefault="00D24F19" w:rsidP="00D24F1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3185C62" w14:textId="77777777" w:rsidR="00D24F19" w:rsidRPr="00230F35" w:rsidRDefault="00D24F19" w:rsidP="00D24F1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89D0028" w14:textId="77777777" w:rsidR="00D24F19" w:rsidRPr="00230F35" w:rsidRDefault="00D24F19" w:rsidP="00D24F19">
      <w:pPr>
        <w:rPr>
          <w:rFonts w:ascii="Arial" w:hAnsi="Arial" w:cs="Arial"/>
          <w:sz w:val="28"/>
          <w:szCs w:val="28"/>
          <w:lang w:val="cy-GB"/>
        </w:rPr>
      </w:pPr>
    </w:p>
    <w:p w14:paraId="7A1BCF3A" w14:textId="77777777" w:rsidR="00D24F19" w:rsidRDefault="00D24F19" w:rsidP="00D24F19">
      <w:pPr>
        <w:pStyle w:val="Heading3"/>
        <w:jc w:val="center"/>
        <w:rPr>
          <w:lang w:val="cy-GB"/>
        </w:rPr>
      </w:pPr>
      <w:r>
        <w:rPr>
          <w:lang w:val="cy-GB"/>
        </w:rPr>
        <w:t>THIS SHEET MUST BE THE FIRST PAGE OF THE ASSIGNMENT YOU ARE SUBMITTING  (DO NOT SEND AS A SEPARATE FILE)</w:t>
      </w:r>
    </w:p>
    <w:p w14:paraId="17E9D5F7" w14:textId="77777777" w:rsidR="00D24F19" w:rsidRDefault="00D24F19" w:rsidP="00D24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24F19" w:rsidRPr="00230F35" w14:paraId="31B174B8" w14:textId="77777777" w:rsidTr="00061784">
        <w:trPr>
          <w:trHeight w:val="614"/>
        </w:trPr>
        <w:tc>
          <w:tcPr>
            <w:tcW w:w="8856" w:type="dxa"/>
            <w:gridSpan w:val="5"/>
          </w:tcPr>
          <w:p w14:paraId="00C21BCF" w14:textId="77777777" w:rsidR="00D24F19" w:rsidRPr="00230F35"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24F19" w:rsidRPr="00230F35" w14:paraId="363FC3BC" w14:textId="77777777" w:rsidTr="00061784">
        <w:trPr>
          <w:trHeight w:val="718"/>
        </w:trPr>
        <w:tc>
          <w:tcPr>
            <w:tcW w:w="8856" w:type="dxa"/>
            <w:gridSpan w:val="5"/>
          </w:tcPr>
          <w:p w14:paraId="7FD78A3D" w14:textId="69FDD977" w:rsidR="00D24F19"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00380932">
              <w:rPr>
                <w:rFonts w:ascii="Arial" w:hAnsi="Arial" w:cs="Arial"/>
                <w:sz w:val="22"/>
                <w:szCs w:val="22"/>
              </w:rPr>
              <w:t>Grace Ibrahim</w:t>
            </w:r>
          </w:p>
          <w:p w14:paraId="0ADF31E0" w14:textId="77777777" w:rsidR="00D24F19" w:rsidRPr="00230F35" w:rsidRDefault="00D24F19" w:rsidP="00061784">
            <w:pPr>
              <w:pStyle w:val="NormalWeb"/>
              <w:spacing w:before="0" w:beforeAutospacing="0" w:after="0" w:afterAutospacing="0"/>
              <w:ind w:right="34"/>
              <w:rPr>
                <w:rFonts w:ascii="Arial" w:hAnsi="Arial" w:cs="Arial"/>
                <w:sz w:val="22"/>
                <w:szCs w:val="22"/>
              </w:rPr>
            </w:pPr>
          </w:p>
          <w:p w14:paraId="2F8902DE" w14:textId="289AC3F0" w:rsidR="00D24F19" w:rsidRPr="00230F35"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5D2846" w:rsidRPr="005D2846">
                <w:rPr>
                  <w:rStyle w:val="Hyperlink"/>
                  <w:rFonts w:ascii="Arial" w:hAnsi="Arial" w:cs="Arial"/>
                  <w:sz w:val="22"/>
                  <w:szCs w:val="22"/>
                  <w:lang w:val="en-US"/>
                </w:rPr>
                <w:t>2418940@student.uwtsd.ac.uk</w:t>
              </w:r>
            </w:hyperlink>
          </w:p>
        </w:tc>
      </w:tr>
      <w:tr w:rsidR="00D24F19" w:rsidRPr="00230F35" w14:paraId="25AE42D0" w14:textId="77777777" w:rsidTr="00061784">
        <w:trPr>
          <w:trHeight w:val="849"/>
        </w:trPr>
        <w:tc>
          <w:tcPr>
            <w:tcW w:w="4788" w:type="dxa"/>
          </w:tcPr>
          <w:p w14:paraId="4744C8E8" w14:textId="4DC97198" w:rsidR="00D24F19"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E36570">
              <w:rPr>
                <w:rFonts w:ascii="Arial" w:hAnsi="Arial" w:cs="Arial"/>
                <w:sz w:val="22"/>
                <w:szCs w:val="22"/>
              </w:rPr>
              <w:t>HPCA 7014</w:t>
            </w:r>
          </w:p>
          <w:p w14:paraId="34DC3C4E" w14:textId="77777777" w:rsidR="00D24F19" w:rsidRPr="00230F35" w:rsidRDefault="00D24F19" w:rsidP="00061784">
            <w:pPr>
              <w:pStyle w:val="NormalWeb"/>
              <w:spacing w:before="0" w:beforeAutospacing="0" w:after="0" w:afterAutospacing="0"/>
              <w:ind w:right="34"/>
              <w:rPr>
                <w:rFonts w:ascii="Arial" w:hAnsi="Arial" w:cs="Arial"/>
                <w:sz w:val="22"/>
                <w:szCs w:val="22"/>
              </w:rPr>
            </w:pPr>
          </w:p>
          <w:p w14:paraId="000255E1" w14:textId="39907BAF" w:rsidR="00D24F19"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E36570">
              <w:rPr>
                <w:rFonts w:ascii="Arial" w:hAnsi="Arial" w:cs="Arial"/>
                <w:sz w:val="22"/>
                <w:szCs w:val="22"/>
              </w:rPr>
              <w:t xml:space="preserve">Sacred Geography </w:t>
            </w:r>
          </w:p>
          <w:p w14:paraId="74A54E89" w14:textId="77777777" w:rsidR="00D24F19" w:rsidRPr="00230F35" w:rsidRDefault="00D24F19" w:rsidP="00061784">
            <w:pPr>
              <w:pStyle w:val="NormalWeb"/>
              <w:spacing w:before="0" w:beforeAutospacing="0" w:after="0" w:afterAutospacing="0"/>
              <w:ind w:right="34"/>
              <w:rPr>
                <w:rFonts w:ascii="Arial" w:hAnsi="Arial" w:cs="Arial"/>
                <w:sz w:val="22"/>
                <w:szCs w:val="22"/>
              </w:rPr>
            </w:pPr>
          </w:p>
        </w:tc>
        <w:tc>
          <w:tcPr>
            <w:tcW w:w="2266" w:type="dxa"/>
            <w:gridSpan w:val="3"/>
          </w:tcPr>
          <w:p w14:paraId="6557E596" w14:textId="77777777" w:rsidR="00D24F19"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04C2C7A6" w14:textId="3ED3BFD6" w:rsidR="00E36570" w:rsidRPr="00230F35" w:rsidRDefault="00E36570" w:rsidP="00061784">
            <w:pPr>
              <w:pStyle w:val="NormalWeb"/>
              <w:spacing w:before="0" w:beforeAutospacing="0" w:after="0" w:afterAutospacing="0"/>
              <w:ind w:right="34"/>
              <w:rPr>
                <w:rFonts w:ascii="Arial" w:hAnsi="Arial" w:cs="Arial"/>
                <w:sz w:val="22"/>
                <w:szCs w:val="22"/>
              </w:rPr>
            </w:pPr>
            <w:r>
              <w:rPr>
                <w:rFonts w:ascii="Arial" w:hAnsi="Arial" w:cs="Arial"/>
                <w:sz w:val="22"/>
                <w:szCs w:val="22"/>
              </w:rPr>
              <w:t>2418940</w:t>
            </w:r>
          </w:p>
        </w:tc>
        <w:tc>
          <w:tcPr>
            <w:tcW w:w="1802" w:type="dxa"/>
          </w:tcPr>
          <w:p w14:paraId="3F71DF88" w14:textId="77777777" w:rsidR="00D24F19" w:rsidRPr="00230F35"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E992F0A" w14:textId="77777777" w:rsidR="00D24F19" w:rsidRPr="00230F35" w:rsidRDefault="00D24F19" w:rsidP="00061784">
            <w:pPr>
              <w:pStyle w:val="NormalWeb"/>
              <w:spacing w:before="0" w:beforeAutospacing="0" w:after="0" w:afterAutospacing="0"/>
              <w:ind w:right="34"/>
              <w:rPr>
                <w:rFonts w:ascii="Arial" w:hAnsi="Arial" w:cs="Arial"/>
                <w:sz w:val="22"/>
                <w:szCs w:val="22"/>
              </w:rPr>
            </w:pPr>
          </w:p>
        </w:tc>
      </w:tr>
      <w:tr w:rsidR="00D24F19" w:rsidRPr="00230F35" w14:paraId="4FABCB52" w14:textId="77777777" w:rsidTr="00061784">
        <w:trPr>
          <w:trHeight w:val="1139"/>
        </w:trPr>
        <w:tc>
          <w:tcPr>
            <w:tcW w:w="8856" w:type="dxa"/>
            <w:gridSpan w:val="5"/>
          </w:tcPr>
          <w:p w14:paraId="2945F789" w14:textId="25D14CB5" w:rsidR="00D24F19" w:rsidRPr="00230F35"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E36570">
              <w:rPr>
                <w:rFonts w:ascii="Arial" w:hAnsi="Arial" w:cs="Arial"/>
                <w:sz w:val="22"/>
                <w:szCs w:val="22"/>
              </w:rPr>
              <w:t xml:space="preserve">Assignment one Essay Compare and Contrast </w:t>
            </w:r>
          </w:p>
          <w:p w14:paraId="7C3611AA" w14:textId="77777777" w:rsidR="00D24F19" w:rsidRDefault="00D24F19" w:rsidP="00061784">
            <w:pPr>
              <w:pStyle w:val="NormalWeb"/>
              <w:spacing w:before="0" w:beforeAutospacing="0" w:after="0" w:afterAutospacing="0"/>
              <w:ind w:right="34"/>
              <w:rPr>
                <w:rFonts w:ascii="Arial" w:hAnsi="Arial" w:cs="Arial"/>
                <w:sz w:val="22"/>
                <w:szCs w:val="22"/>
              </w:rPr>
            </w:pPr>
          </w:p>
          <w:p w14:paraId="4150B13A" w14:textId="4CFA2B00" w:rsidR="00D24F19" w:rsidRPr="00230F35" w:rsidRDefault="00D24F19" w:rsidP="0006178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E36570">
              <w:rPr>
                <w:rFonts w:ascii="Arial" w:hAnsi="Arial" w:cs="Arial"/>
                <w:sz w:val="22"/>
                <w:szCs w:val="22"/>
              </w:rPr>
              <w:t>11/13/2015</w:t>
            </w:r>
          </w:p>
        </w:tc>
      </w:tr>
      <w:tr w:rsidR="00D24F19" w:rsidRPr="00230F35" w14:paraId="07C99A30" w14:textId="77777777" w:rsidTr="00061784">
        <w:trPr>
          <w:trHeight w:val="978"/>
        </w:trPr>
        <w:tc>
          <w:tcPr>
            <w:tcW w:w="8856" w:type="dxa"/>
            <w:gridSpan w:val="5"/>
            <w:tcBorders>
              <w:bottom w:val="single" w:sz="4" w:space="0" w:color="000000"/>
            </w:tcBorders>
          </w:tcPr>
          <w:p w14:paraId="0CA3ED0C" w14:textId="77777777" w:rsidR="00D24F19" w:rsidRPr="00230F35" w:rsidRDefault="00D24F19" w:rsidP="0006178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D24F19" w:rsidRPr="00230F35" w14:paraId="4BCA382C" w14:textId="77777777" w:rsidTr="00061784">
        <w:trPr>
          <w:trHeight w:val="978"/>
        </w:trPr>
        <w:tc>
          <w:tcPr>
            <w:tcW w:w="8856" w:type="dxa"/>
            <w:gridSpan w:val="5"/>
            <w:shd w:val="clear" w:color="auto" w:fill="D9D9D9"/>
          </w:tcPr>
          <w:p w14:paraId="5C2CD916" w14:textId="77777777" w:rsidR="00D24F19" w:rsidRPr="00B728EA" w:rsidRDefault="00D24F19" w:rsidP="0006178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Plagiarism declaration</w:t>
            </w:r>
          </w:p>
          <w:p w14:paraId="3F90FCEE" w14:textId="77777777" w:rsidR="00D24F19" w:rsidRPr="00B728EA" w:rsidRDefault="00D24F19" w:rsidP="0006178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38440B6E" w14:textId="77777777" w:rsidR="00D24F19" w:rsidRPr="00B728EA" w:rsidRDefault="00D24F19" w:rsidP="00061784">
            <w:pPr>
              <w:pStyle w:val="NormalWeb"/>
              <w:spacing w:before="0" w:beforeAutospacing="0" w:after="0" w:afterAutospacing="0"/>
              <w:ind w:right="34"/>
              <w:rPr>
                <w:rFonts w:ascii="Arial" w:hAnsi="Arial" w:cs="Arial"/>
                <w:sz w:val="22"/>
                <w:szCs w:val="22"/>
              </w:rPr>
            </w:pPr>
          </w:p>
          <w:p w14:paraId="2577540D" w14:textId="77777777" w:rsidR="00D24F19" w:rsidRPr="00B728EA" w:rsidRDefault="00D24F19" w:rsidP="0006178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Artificial Intelligence (AI) declaration</w:t>
            </w:r>
          </w:p>
          <w:p w14:paraId="6DE04F6F" w14:textId="77777777" w:rsidR="00D24F19" w:rsidRPr="00B728EA" w:rsidRDefault="00D24F19" w:rsidP="00061784">
            <w:pPr>
              <w:pStyle w:val="NormalWeb"/>
              <w:spacing w:before="0" w:beforeAutospacing="0" w:after="0" w:afterAutospacing="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 xml:space="preserve">including rephrasing of your own work within specific </w:t>
            </w:r>
            <w:proofErr w:type="gramStart"/>
            <w:r w:rsidRPr="00B728EA">
              <w:rPr>
                <w:rFonts w:ascii="Arial" w:hAnsi="Arial" w:cs="Arial"/>
                <w:color w:val="000000" w:themeColor="text1"/>
                <w:sz w:val="22"/>
                <w:szCs w:val="22"/>
              </w:rPr>
              <w:t>standards.*</w:t>
            </w:r>
            <w:proofErr w:type="gramEnd"/>
          </w:p>
          <w:p w14:paraId="515457EC" w14:textId="77777777" w:rsidR="00D24F19" w:rsidRPr="00B728EA" w:rsidRDefault="00D24F19" w:rsidP="00061784">
            <w:pPr>
              <w:pStyle w:val="NormalWeb"/>
              <w:spacing w:before="0" w:beforeAutospacing="0" w:after="0" w:afterAutospacing="0"/>
              <w:ind w:right="34"/>
              <w:rPr>
                <w:rFonts w:ascii="Arial" w:hAnsi="Arial" w:cs="Arial"/>
                <w:color w:val="000000" w:themeColor="text1"/>
                <w:sz w:val="22"/>
                <w:szCs w:val="22"/>
              </w:rPr>
            </w:pPr>
          </w:p>
          <w:p w14:paraId="2BBDE9A7" w14:textId="77777777" w:rsidR="00D24F19" w:rsidRPr="00B728EA" w:rsidRDefault="00D24F19" w:rsidP="00061784">
            <w:pPr>
              <w:pStyle w:val="NormalWeb"/>
              <w:spacing w:before="0" w:beforeAutospacing="0" w:after="0" w:afterAutospacing="0"/>
              <w:ind w:right="34"/>
              <w:rPr>
                <w:rFonts w:ascii="Times New Roman" w:hAnsi="Times New Roman"/>
                <w:color w:val="000000" w:themeColor="text1"/>
                <w:sz w:val="22"/>
                <w:szCs w:val="22"/>
              </w:rPr>
            </w:pPr>
            <w:r w:rsidRPr="00B728EA">
              <w:rPr>
                <w:rFonts w:ascii="Times New Roman" w:hAnsi="Times New Roman"/>
                <w:color w:val="000000" w:themeColor="text1"/>
                <w:sz w:val="22"/>
                <w:szCs w:val="22"/>
              </w:rPr>
              <w:t>*See separate guidance in the MA Writing Guidelines</w:t>
            </w:r>
          </w:p>
          <w:p w14:paraId="2FB97B3E" w14:textId="77777777" w:rsidR="00D24F19" w:rsidRPr="00B728EA" w:rsidRDefault="00D24F19" w:rsidP="00061784">
            <w:pPr>
              <w:pStyle w:val="NormalWeb"/>
              <w:spacing w:before="0" w:beforeAutospacing="0" w:after="0" w:afterAutospacing="0"/>
              <w:ind w:right="34"/>
              <w:rPr>
                <w:rFonts w:ascii="Arial" w:hAnsi="Arial" w:cs="Arial"/>
                <w:sz w:val="22"/>
                <w:szCs w:val="22"/>
              </w:rPr>
            </w:pPr>
          </w:p>
          <w:p w14:paraId="79B9CF9D" w14:textId="77777777" w:rsidR="00D24F19" w:rsidRPr="00B728EA" w:rsidRDefault="00D24F19" w:rsidP="0006178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685EAEEC" w14:textId="77777777" w:rsidR="00D24F19" w:rsidRPr="00B728EA" w:rsidRDefault="00D24F19" w:rsidP="00061784">
            <w:pPr>
              <w:pStyle w:val="NormalWeb"/>
              <w:spacing w:before="0" w:beforeAutospacing="0" w:after="0" w:afterAutospacing="0"/>
              <w:ind w:right="34"/>
              <w:rPr>
                <w:rFonts w:ascii="Arial" w:hAnsi="Arial" w:cs="Arial"/>
                <w:sz w:val="22"/>
                <w:szCs w:val="22"/>
              </w:rPr>
            </w:pPr>
          </w:p>
          <w:p w14:paraId="13697B5D" w14:textId="77777777" w:rsidR="00D24F19" w:rsidRDefault="00D24F19" w:rsidP="00061784">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w:t>
            </w:r>
          </w:p>
          <w:p w14:paraId="50AE5A47" w14:textId="77777777" w:rsidR="00D24F19" w:rsidRPr="00230F35" w:rsidRDefault="00D24F19" w:rsidP="00061784">
            <w:pPr>
              <w:pStyle w:val="NormalWeb"/>
              <w:spacing w:before="0" w:beforeAutospacing="0" w:after="0" w:afterAutospacing="0"/>
              <w:ind w:right="34"/>
              <w:rPr>
                <w:rFonts w:ascii="Arial" w:hAnsi="Arial" w:cs="Arial"/>
                <w:sz w:val="22"/>
                <w:szCs w:val="22"/>
              </w:rPr>
            </w:pPr>
          </w:p>
        </w:tc>
      </w:tr>
      <w:tr w:rsidR="00D24F19" w:rsidRPr="00230F35" w14:paraId="344F6AD4" w14:textId="77777777" w:rsidTr="00061784">
        <w:trPr>
          <w:trHeight w:val="3972"/>
        </w:trPr>
        <w:tc>
          <w:tcPr>
            <w:tcW w:w="8856" w:type="dxa"/>
            <w:gridSpan w:val="5"/>
          </w:tcPr>
          <w:p w14:paraId="27D9DCC8" w14:textId="77777777" w:rsidR="00D24F19" w:rsidRDefault="00D24F19" w:rsidP="00061784">
            <w:pPr>
              <w:rPr>
                <w:rFonts w:ascii="Arial" w:hAnsi="Arial"/>
                <w:b/>
              </w:rPr>
            </w:pPr>
          </w:p>
          <w:p w14:paraId="6BF7B49A" w14:textId="77777777" w:rsidR="00D24F19" w:rsidRPr="00116CE6" w:rsidRDefault="00D24F19" w:rsidP="0006178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24F19" w:rsidRPr="00116CE6" w14:paraId="5C39B474" w14:textId="77777777" w:rsidTr="00061784">
              <w:tc>
                <w:tcPr>
                  <w:tcW w:w="6970" w:type="dxa"/>
                </w:tcPr>
                <w:p w14:paraId="18D870E2" w14:textId="77777777" w:rsidR="00D24F19" w:rsidRPr="00116CE6" w:rsidRDefault="00D24F19" w:rsidP="00061784">
                  <w:pPr>
                    <w:rPr>
                      <w:rFonts w:ascii="Arial" w:hAnsi="Arial"/>
                      <w:sz w:val="20"/>
                      <w:szCs w:val="20"/>
                    </w:rPr>
                  </w:pPr>
                </w:p>
                <w:p w14:paraId="426F482C" w14:textId="77777777" w:rsidR="00D24F19" w:rsidRPr="00116CE6" w:rsidRDefault="00D24F19" w:rsidP="0006178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230910F" w14:textId="77777777" w:rsidR="00D24F19" w:rsidRPr="00116CE6" w:rsidRDefault="00D24F19" w:rsidP="00061784">
                  <w:pPr>
                    <w:rPr>
                      <w:rFonts w:ascii="Arial" w:hAnsi="Arial"/>
                      <w:sz w:val="20"/>
                      <w:szCs w:val="20"/>
                    </w:rPr>
                  </w:pPr>
                </w:p>
              </w:tc>
            </w:tr>
            <w:tr w:rsidR="00D24F19" w:rsidRPr="00116CE6" w14:paraId="5EFEBD4A" w14:textId="77777777" w:rsidTr="00061784">
              <w:tc>
                <w:tcPr>
                  <w:tcW w:w="6970" w:type="dxa"/>
                </w:tcPr>
                <w:p w14:paraId="2CCCB556" w14:textId="77777777" w:rsidR="00D24F19" w:rsidRPr="00116CE6" w:rsidRDefault="00D24F19" w:rsidP="00061784">
                  <w:pPr>
                    <w:rPr>
                      <w:rFonts w:ascii="Arial" w:hAnsi="Arial"/>
                      <w:sz w:val="20"/>
                      <w:szCs w:val="20"/>
                    </w:rPr>
                  </w:pPr>
                </w:p>
                <w:p w14:paraId="44556CFF" w14:textId="77777777" w:rsidR="00D24F19" w:rsidRPr="00116CE6" w:rsidRDefault="00D24F19" w:rsidP="0006178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C435ACA" w14:textId="77777777" w:rsidR="00D24F19" w:rsidRPr="00116CE6" w:rsidRDefault="00D24F19" w:rsidP="00061784">
                  <w:pPr>
                    <w:rPr>
                      <w:rFonts w:ascii="Arial" w:hAnsi="Arial"/>
                      <w:sz w:val="20"/>
                      <w:szCs w:val="20"/>
                    </w:rPr>
                  </w:pPr>
                </w:p>
              </w:tc>
            </w:tr>
            <w:tr w:rsidR="00D24F19" w:rsidRPr="00116CE6" w14:paraId="6D0E24F3" w14:textId="77777777" w:rsidTr="00061784">
              <w:tc>
                <w:tcPr>
                  <w:tcW w:w="6970" w:type="dxa"/>
                </w:tcPr>
                <w:p w14:paraId="6DB0ABC7" w14:textId="77777777" w:rsidR="00D24F19" w:rsidRPr="00116CE6" w:rsidRDefault="00D24F19" w:rsidP="00061784">
                  <w:pPr>
                    <w:rPr>
                      <w:rFonts w:ascii="Arial" w:hAnsi="Arial"/>
                      <w:sz w:val="20"/>
                      <w:szCs w:val="20"/>
                    </w:rPr>
                  </w:pPr>
                </w:p>
                <w:p w14:paraId="2DBAE0B6" w14:textId="77777777" w:rsidR="00D24F19" w:rsidRPr="00116CE6" w:rsidRDefault="00D24F19" w:rsidP="0006178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54B83D9" w14:textId="77777777" w:rsidR="00D24F19" w:rsidRPr="00116CE6" w:rsidRDefault="00D24F19" w:rsidP="00061784">
                  <w:pPr>
                    <w:rPr>
                      <w:rFonts w:ascii="Arial" w:hAnsi="Arial"/>
                      <w:sz w:val="20"/>
                      <w:szCs w:val="20"/>
                    </w:rPr>
                  </w:pPr>
                </w:p>
              </w:tc>
            </w:tr>
            <w:tr w:rsidR="00D24F19" w:rsidRPr="00116CE6" w14:paraId="3F379E25" w14:textId="77777777" w:rsidTr="00061784">
              <w:tc>
                <w:tcPr>
                  <w:tcW w:w="6970" w:type="dxa"/>
                </w:tcPr>
                <w:p w14:paraId="52AC67B3" w14:textId="77777777" w:rsidR="00D24F19" w:rsidRDefault="00D24F19" w:rsidP="00061784">
                  <w:pPr>
                    <w:rPr>
                      <w:rFonts w:ascii="Arial" w:hAnsi="Arial"/>
                      <w:sz w:val="20"/>
                      <w:szCs w:val="20"/>
                    </w:rPr>
                  </w:pPr>
                </w:p>
                <w:p w14:paraId="3B132DBF" w14:textId="77777777" w:rsidR="00D24F19" w:rsidRPr="00022345" w:rsidRDefault="00D24F19" w:rsidP="00061784">
                  <w:pPr>
                    <w:rPr>
                      <w:rFonts w:ascii="Arial" w:hAnsi="Arial"/>
                      <w:b/>
                      <w:sz w:val="20"/>
                      <w:szCs w:val="20"/>
                    </w:rPr>
                  </w:pPr>
                  <w:r w:rsidRPr="00022345">
                    <w:rPr>
                      <w:rFonts w:ascii="Arial" w:hAnsi="Arial"/>
                      <w:b/>
                      <w:sz w:val="20"/>
                      <w:szCs w:val="20"/>
                    </w:rPr>
                    <w:t>Final Mark</w:t>
                  </w:r>
                </w:p>
                <w:p w14:paraId="69CECB8E" w14:textId="77777777" w:rsidR="00D24F19" w:rsidRPr="00116CE6" w:rsidRDefault="00D24F19" w:rsidP="00061784">
                  <w:pPr>
                    <w:rPr>
                      <w:rFonts w:ascii="Arial" w:hAnsi="Arial"/>
                      <w:sz w:val="20"/>
                      <w:szCs w:val="20"/>
                    </w:rPr>
                  </w:pPr>
                </w:p>
              </w:tc>
              <w:tc>
                <w:tcPr>
                  <w:tcW w:w="1660" w:type="dxa"/>
                </w:tcPr>
                <w:p w14:paraId="3D63F841" w14:textId="77777777" w:rsidR="00D24F19" w:rsidRPr="00116CE6" w:rsidRDefault="00D24F19" w:rsidP="00061784">
                  <w:pPr>
                    <w:rPr>
                      <w:rFonts w:ascii="Arial" w:hAnsi="Arial"/>
                      <w:sz w:val="20"/>
                      <w:szCs w:val="20"/>
                    </w:rPr>
                  </w:pPr>
                </w:p>
              </w:tc>
            </w:tr>
          </w:tbl>
          <w:p w14:paraId="53BAC4B0" w14:textId="77777777" w:rsidR="00D24F19" w:rsidRDefault="00D24F19" w:rsidP="00061784">
            <w:pPr>
              <w:pStyle w:val="NormalWeb"/>
              <w:spacing w:before="0" w:beforeAutospacing="0" w:after="0" w:afterAutospacing="0"/>
              <w:ind w:left="142" w:right="34"/>
              <w:rPr>
                <w:rFonts w:ascii="Arial" w:hAnsi="Arial" w:cs="Arial"/>
                <w:b/>
                <w:sz w:val="22"/>
                <w:szCs w:val="22"/>
              </w:rPr>
            </w:pPr>
          </w:p>
          <w:p w14:paraId="3F186636" w14:textId="77777777" w:rsidR="00D24F19" w:rsidRPr="00230F35" w:rsidRDefault="00D24F19" w:rsidP="0006178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615EA07" w14:textId="77777777" w:rsidR="00D24F19" w:rsidRDefault="00D24F19" w:rsidP="00061784">
            <w:pPr>
              <w:pStyle w:val="NormalWeb"/>
              <w:spacing w:before="0" w:beforeAutospacing="0" w:after="0" w:afterAutospacing="0"/>
              <w:rPr>
                <w:rFonts w:ascii="Arial" w:hAnsi="Arial" w:cs="Arial"/>
                <w:b/>
                <w:sz w:val="22"/>
                <w:szCs w:val="22"/>
              </w:rPr>
            </w:pPr>
          </w:p>
          <w:p w14:paraId="31BFE22A" w14:textId="77777777" w:rsidR="00D24F19" w:rsidRDefault="00D24F19" w:rsidP="00061784">
            <w:pPr>
              <w:pStyle w:val="NormalWeb"/>
              <w:spacing w:before="0" w:beforeAutospacing="0" w:after="0" w:afterAutospacing="0"/>
              <w:rPr>
                <w:rFonts w:ascii="Arial" w:hAnsi="Arial" w:cs="Arial"/>
                <w:b/>
                <w:sz w:val="22"/>
                <w:szCs w:val="22"/>
              </w:rPr>
            </w:pPr>
          </w:p>
          <w:p w14:paraId="29543402" w14:textId="77777777" w:rsidR="00D24F19" w:rsidRDefault="00D24F19" w:rsidP="00061784">
            <w:pPr>
              <w:pStyle w:val="NormalWeb"/>
              <w:spacing w:before="0" w:beforeAutospacing="0" w:after="0" w:afterAutospacing="0"/>
              <w:rPr>
                <w:rFonts w:ascii="Arial" w:hAnsi="Arial" w:cs="Arial"/>
                <w:b/>
                <w:sz w:val="22"/>
                <w:szCs w:val="22"/>
              </w:rPr>
            </w:pPr>
          </w:p>
          <w:p w14:paraId="1E5C06E5" w14:textId="77777777" w:rsidR="00D24F19" w:rsidRDefault="00D24F19" w:rsidP="00061784">
            <w:pPr>
              <w:pStyle w:val="NormalWeb"/>
              <w:spacing w:before="0" w:beforeAutospacing="0" w:after="0" w:afterAutospacing="0"/>
              <w:rPr>
                <w:rFonts w:ascii="Arial" w:hAnsi="Arial" w:cs="Arial"/>
                <w:b/>
                <w:sz w:val="22"/>
                <w:szCs w:val="22"/>
              </w:rPr>
            </w:pPr>
          </w:p>
          <w:p w14:paraId="4B8154AF" w14:textId="77777777" w:rsidR="00D24F19" w:rsidRDefault="00D24F19" w:rsidP="00061784">
            <w:pPr>
              <w:pStyle w:val="NormalWeb"/>
              <w:spacing w:before="0" w:beforeAutospacing="0" w:after="0" w:afterAutospacing="0"/>
              <w:rPr>
                <w:rFonts w:ascii="Arial" w:hAnsi="Arial" w:cs="Arial"/>
                <w:b/>
                <w:sz w:val="22"/>
                <w:szCs w:val="22"/>
              </w:rPr>
            </w:pPr>
          </w:p>
          <w:p w14:paraId="3B9AA114" w14:textId="77777777" w:rsidR="00D24F19" w:rsidRPr="00230F35" w:rsidRDefault="00D24F19" w:rsidP="0006178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36225E7F" w14:textId="77777777" w:rsidR="00D24F19" w:rsidRDefault="00D24F19" w:rsidP="0006178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F900CFF" w14:textId="77777777" w:rsidR="00D24F19" w:rsidRPr="00001C3B" w:rsidRDefault="00D24F19" w:rsidP="00061784">
            <w:pPr>
              <w:pStyle w:val="NormalWeb"/>
              <w:rPr>
                <w:rFonts w:ascii="Arial" w:hAnsi="Arial" w:cs="Arial"/>
                <w:sz w:val="22"/>
                <w:szCs w:val="22"/>
              </w:rPr>
            </w:pPr>
          </w:p>
        </w:tc>
      </w:tr>
      <w:tr w:rsidR="00D24F19" w:rsidRPr="00230F35" w14:paraId="4078C586" w14:textId="77777777" w:rsidTr="00061784">
        <w:trPr>
          <w:trHeight w:val="492"/>
        </w:trPr>
        <w:tc>
          <w:tcPr>
            <w:tcW w:w="6768" w:type="dxa"/>
            <w:gridSpan w:val="3"/>
          </w:tcPr>
          <w:p w14:paraId="65C218D6" w14:textId="77777777" w:rsidR="00D24F19" w:rsidRPr="00230F35" w:rsidRDefault="00D24F19" w:rsidP="0006178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3FB111" w14:textId="77777777" w:rsidR="00D24F19" w:rsidRPr="00230F35" w:rsidRDefault="00D24F19" w:rsidP="00061784">
            <w:pPr>
              <w:pStyle w:val="NormalWeb"/>
              <w:spacing w:after="0"/>
              <w:ind w:left="142" w:right="34"/>
              <w:rPr>
                <w:rFonts w:ascii="Arial" w:hAnsi="Arial" w:cs="Arial"/>
                <w:sz w:val="22"/>
                <w:szCs w:val="22"/>
              </w:rPr>
            </w:pPr>
            <w:r w:rsidRPr="00230F35">
              <w:rPr>
                <w:rFonts w:ascii="Arial" w:hAnsi="Arial" w:cs="Arial"/>
                <w:sz w:val="22"/>
                <w:szCs w:val="22"/>
              </w:rPr>
              <w:t>Date:</w:t>
            </w:r>
          </w:p>
        </w:tc>
      </w:tr>
      <w:tr w:rsidR="00D24F19" w:rsidRPr="002F467C" w14:paraId="735FDFA7" w14:textId="77777777" w:rsidTr="00061784">
        <w:tc>
          <w:tcPr>
            <w:tcW w:w="8856" w:type="dxa"/>
            <w:gridSpan w:val="5"/>
          </w:tcPr>
          <w:p w14:paraId="743E722E" w14:textId="77777777" w:rsidR="00D24F19" w:rsidRPr="00230F35" w:rsidRDefault="00D24F19" w:rsidP="00061784">
            <w:pPr>
              <w:pStyle w:val="NormalWeb"/>
              <w:spacing w:before="0" w:beforeAutospacing="0" w:after="0" w:afterAutospacing="0"/>
              <w:ind w:right="-334"/>
              <w:rPr>
                <w:rFonts w:ascii="Arial" w:hAnsi="Arial" w:cs="Arial"/>
                <w:bCs/>
                <w:i/>
                <w:sz w:val="22"/>
                <w:szCs w:val="22"/>
              </w:rPr>
            </w:pPr>
          </w:p>
          <w:p w14:paraId="1AAF3A03" w14:textId="77777777" w:rsidR="00D24F19" w:rsidRPr="00230F35" w:rsidRDefault="00D24F19" w:rsidP="0006178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F513CC3" w14:textId="77777777" w:rsidR="00D24F19" w:rsidRPr="00230F35" w:rsidRDefault="00D24F19" w:rsidP="00061784">
            <w:pPr>
              <w:pStyle w:val="NormalWeb"/>
              <w:spacing w:before="0" w:beforeAutospacing="0" w:after="0" w:afterAutospacing="0"/>
              <w:ind w:right="-334"/>
              <w:rPr>
                <w:rFonts w:ascii="Arial" w:hAnsi="Arial" w:cs="Arial"/>
                <w:b/>
                <w:bCs/>
                <w:sz w:val="22"/>
                <w:szCs w:val="22"/>
              </w:rPr>
            </w:pPr>
          </w:p>
          <w:p w14:paraId="7A94DD1A"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BF32D99"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7B2929DC"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7537D09C"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794ADBE4"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47E2B755"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5FA01B4F"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1C4480F7"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0B14405A"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22F56E26" w14:textId="77777777" w:rsidR="00D24F19" w:rsidRDefault="00D24F19" w:rsidP="00061784">
            <w:pPr>
              <w:pStyle w:val="NormalWeb"/>
              <w:spacing w:before="0" w:beforeAutospacing="0" w:after="0" w:afterAutospacing="0"/>
              <w:ind w:right="-334"/>
              <w:rPr>
                <w:rFonts w:ascii="Arial" w:hAnsi="Arial" w:cs="Arial"/>
                <w:bCs/>
                <w:sz w:val="22"/>
                <w:szCs w:val="22"/>
              </w:rPr>
            </w:pPr>
          </w:p>
          <w:p w14:paraId="3C8F7D26"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67C0F05F"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6FD256FB"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tc>
      </w:tr>
      <w:tr w:rsidR="00D24F19" w:rsidRPr="002F467C" w14:paraId="2D0B97F7" w14:textId="77777777" w:rsidTr="00061784">
        <w:trPr>
          <w:trHeight w:val="720"/>
        </w:trPr>
        <w:tc>
          <w:tcPr>
            <w:tcW w:w="5211" w:type="dxa"/>
            <w:gridSpan w:val="2"/>
          </w:tcPr>
          <w:p w14:paraId="40140F44"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5C9A7872"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24F19" w:rsidRPr="002F467C" w14:paraId="76604475" w14:textId="77777777" w:rsidTr="00061784">
        <w:trPr>
          <w:trHeight w:val="720"/>
        </w:trPr>
        <w:tc>
          <w:tcPr>
            <w:tcW w:w="8856" w:type="dxa"/>
            <w:gridSpan w:val="5"/>
          </w:tcPr>
          <w:p w14:paraId="30D19D72" w14:textId="77777777" w:rsidR="00D24F19" w:rsidRPr="00B34964" w:rsidRDefault="00D24F19" w:rsidP="00061784">
            <w:pPr>
              <w:rPr>
                <w:rFonts w:ascii="Arial" w:hAnsi="Arial" w:cs="Arial"/>
                <w:b/>
              </w:rPr>
            </w:pPr>
            <w:r w:rsidRPr="00B34964">
              <w:rPr>
                <w:rFonts w:ascii="Arial" w:hAnsi="Arial" w:cs="Arial"/>
                <w:b/>
              </w:rPr>
              <w:t>External Examiner’s comments (if relevant)</w:t>
            </w:r>
          </w:p>
          <w:p w14:paraId="7491F986"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1F1E8517"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70E47D1F"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08A11031"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25F6DA14"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0A19068A"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7D1C845E"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4A0EF8BE"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3B696EC2" w14:textId="77777777" w:rsidR="00D24F19" w:rsidRDefault="00D24F19" w:rsidP="00061784">
            <w:pPr>
              <w:pStyle w:val="NormalWeb"/>
              <w:spacing w:before="0" w:beforeAutospacing="0" w:after="0" w:afterAutospacing="0"/>
              <w:ind w:right="-334"/>
              <w:rPr>
                <w:rFonts w:ascii="Arial" w:hAnsi="Arial" w:cs="Arial"/>
                <w:bCs/>
                <w:sz w:val="22"/>
                <w:szCs w:val="22"/>
              </w:rPr>
            </w:pPr>
          </w:p>
          <w:p w14:paraId="56CAEB3B"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p w14:paraId="41AF1FB5" w14:textId="77777777" w:rsidR="00D24F19" w:rsidRPr="00230F35" w:rsidRDefault="00D24F19" w:rsidP="00061784">
            <w:pPr>
              <w:pStyle w:val="NormalWeb"/>
              <w:spacing w:before="0" w:beforeAutospacing="0" w:after="0" w:afterAutospacing="0"/>
              <w:ind w:right="-334"/>
              <w:rPr>
                <w:rFonts w:ascii="Arial" w:hAnsi="Arial" w:cs="Arial"/>
                <w:bCs/>
                <w:sz w:val="22"/>
                <w:szCs w:val="22"/>
              </w:rPr>
            </w:pPr>
          </w:p>
        </w:tc>
      </w:tr>
      <w:tr w:rsidR="00D24F19" w:rsidRPr="002F467C" w14:paraId="40FCEFBB" w14:textId="77777777" w:rsidTr="00061784">
        <w:trPr>
          <w:trHeight w:val="720"/>
        </w:trPr>
        <w:tc>
          <w:tcPr>
            <w:tcW w:w="5211" w:type="dxa"/>
            <w:gridSpan w:val="2"/>
          </w:tcPr>
          <w:p w14:paraId="662F374F" w14:textId="77777777" w:rsidR="00D24F19" w:rsidRPr="00230F35" w:rsidRDefault="00D24F19" w:rsidP="00061784">
            <w:pPr>
              <w:rPr>
                <w:rFonts w:ascii="Arial" w:hAnsi="Arial" w:cs="Arial"/>
              </w:rPr>
            </w:pPr>
            <w:r w:rsidRPr="00230F35">
              <w:rPr>
                <w:rFonts w:ascii="Arial" w:hAnsi="Arial" w:cs="Arial"/>
              </w:rPr>
              <w:t>External Examiner’s Signature:</w:t>
            </w:r>
          </w:p>
        </w:tc>
        <w:tc>
          <w:tcPr>
            <w:tcW w:w="3645" w:type="dxa"/>
            <w:gridSpan w:val="3"/>
          </w:tcPr>
          <w:p w14:paraId="3C69C6D0" w14:textId="77777777" w:rsidR="00D24F19" w:rsidRPr="00230F35" w:rsidRDefault="00D24F19" w:rsidP="00061784">
            <w:pPr>
              <w:rPr>
                <w:rFonts w:ascii="Arial" w:hAnsi="Arial" w:cs="Arial"/>
              </w:rPr>
            </w:pPr>
            <w:r w:rsidRPr="00230F35">
              <w:rPr>
                <w:rFonts w:ascii="Arial" w:hAnsi="Arial" w:cs="Arial"/>
              </w:rPr>
              <w:t>Date:</w:t>
            </w:r>
          </w:p>
        </w:tc>
      </w:tr>
    </w:tbl>
    <w:p w14:paraId="4285AE6D" w14:textId="77777777" w:rsidR="00D24F19" w:rsidRDefault="00D24F19" w:rsidP="00D24F19"/>
    <w:p w14:paraId="1D816F1B" w14:textId="77777777" w:rsidR="00D24F19" w:rsidRDefault="00D24F19" w:rsidP="00D24F19"/>
    <w:p w14:paraId="09901AAE" w14:textId="77777777" w:rsidR="00D24F19" w:rsidRDefault="00D24F19" w:rsidP="00D24F19"/>
    <w:p w14:paraId="785C3DB4" w14:textId="77777777" w:rsidR="00D24F19" w:rsidRDefault="00D24F19" w:rsidP="00D24F19"/>
    <w:p w14:paraId="05B820F3" w14:textId="77777777" w:rsidR="00D24F19" w:rsidRDefault="00D24F19" w:rsidP="00D24F19"/>
    <w:p w14:paraId="03D4B5D1" w14:textId="77777777" w:rsidR="00D24F19" w:rsidRDefault="00D24F19" w:rsidP="00D24F19"/>
    <w:p w14:paraId="124FB47F" w14:textId="77777777" w:rsidR="00D24F19" w:rsidRDefault="00D24F19" w:rsidP="00D24F19"/>
    <w:p w14:paraId="16CC2E00" w14:textId="77777777" w:rsidR="00D24F19" w:rsidRDefault="00D24F19" w:rsidP="00D24F19"/>
    <w:p w14:paraId="320D82E1" w14:textId="77777777" w:rsidR="00D24F19" w:rsidRDefault="00D24F19" w:rsidP="00D24F19"/>
    <w:p w14:paraId="4B62B326" w14:textId="77777777" w:rsidR="00D24F19" w:rsidRDefault="00D24F19" w:rsidP="00D24F19"/>
    <w:p w14:paraId="247FA89A" w14:textId="77777777" w:rsidR="00D24F19" w:rsidRDefault="00D24F19" w:rsidP="00D24F19"/>
    <w:p w14:paraId="5073CFB8" w14:textId="77777777" w:rsidR="00D24F19" w:rsidRDefault="00D24F19" w:rsidP="00D24F19"/>
    <w:p w14:paraId="05F4B365" w14:textId="77777777" w:rsidR="00D24F19" w:rsidRDefault="00D24F19" w:rsidP="00D24F19"/>
    <w:p w14:paraId="1792CC3C" w14:textId="77777777" w:rsidR="00D24F19" w:rsidRDefault="00D24F19" w:rsidP="00D24F19"/>
    <w:p w14:paraId="75B1E985" w14:textId="77777777" w:rsidR="00D24F19" w:rsidRDefault="00D24F19" w:rsidP="00D24F19"/>
    <w:p w14:paraId="45587758" w14:textId="77777777" w:rsidR="00D24F19" w:rsidRDefault="00D24F19" w:rsidP="00D24F19"/>
    <w:p w14:paraId="6DE757B0" w14:textId="77777777" w:rsidR="00D24F19" w:rsidRDefault="00D24F19" w:rsidP="00D24F19"/>
    <w:p w14:paraId="5F1BEA48" w14:textId="77777777" w:rsidR="00D24F19" w:rsidRDefault="00D24F19" w:rsidP="00D24F19"/>
    <w:p w14:paraId="6C1EF089" w14:textId="77777777" w:rsidR="00D24F19" w:rsidRDefault="00D24F19" w:rsidP="0026630F">
      <w:pPr>
        <w:pStyle w:val="Title"/>
        <w:jc w:val="center"/>
        <w:rPr>
          <w:sz w:val="28"/>
          <w:szCs w:val="28"/>
        </w:rPr>
      </w:pPr>
    </w:p>
    <w:p w14:paraId="3B2F9C5B" w14:textId="77777777" w:rsidR="00D24F19" w:rsidRDefault="00D24F19" w:rsidP="0026630F">
      <w:pPr>
        <w:pStyle w:val="Title"/>
        <w:jc w:val="center"/>
        <w:rPr>
          <w:sz w:val="28"/>
          <w:szCs w:val="28"/>
        </w:rPr>
      </w:pPr>
    </w:p>
    <w:p w14:paraId="7ABB69A0" w14:textId="79FEB340" w:rsidR="0026630F" w:rsidRDefault="0026630F" w:rsidP="0026630F">
      <w:pPr>
        <w:pStyle w:val="Title"/>
        <w:jc w:val="center"/>
        <w:rPr>
          <w:sz w:val="28"/>
          <w:szCs w:val="28"/>
        </w:rPr>
      </w:pPr>
      <w:r w:rsidRPr="0026630F">
        <w:rPr>
          <w:sz w:val="28"/>
          <w:szCs w:val="28"/>
        </w:rPr>
        <w:t xml:space="preserve">Compare and Contrast </w:t>
      </w:r>
      <w:r w:rsidR="008502AB" w:rsidRPr="0026630F">
        <w:rPr>
          <w:sz w:val="28"/>
          <w:szCs w:val="28"/>
        </w:rPr>
        <w:t>Eliade and Durkheim on Sacred Space</w:t>
      </w:r>
    </w:p>
    <w:p w14:paraId="68BC8CD4" w14:textId="6D2B5EF6" w:rsidR="0026630F" w:rsidRDefault="0026630F" w:rsidP="0026630F">
      <w:pPr>
        <w:jc w:val="center"/>
      </w:pPr>
      <w:r>
        <w:t xml:space="preserve">Grace Ibrahim </w:t>
      </w:r>
    </w:p>
    <w:p w14:paraId="05839A7D" w14:textId="0EEF0F20" w:rsidR="00065F59" w:rsidRPr="0026630F" w:rsidRDefault="00065F59" w:rsidP="0026630F">
      <w:pPr>
        <w:jc w:val="center"/>
      </w:pPr>
      <w:r>
        <w:t>HPCA7014</w:t>
      </w:r>
    </w:p>
    <w:p w14:paraId="6B2478EE" w14:textId="77777777" w:rsidR="008502AB" w:rsidRPr="00065F59" w:rsidRDefault="008502AB" w:rsidP="008502AB">
      <w:pPr>
        <w:pStyle w:val="Heading1"/>
        <w:rPr>
          <w:color w:val="auto"/>
          <w:sz w:val="24"/>
          <w:szCs w:val="24"/>
        </w:rPr>
      </w:pPr>
      <w:r w:rsidRPr="00065F59">
        <w:rPr>
          <w:color w:val="auto"/>
          <w:sz w:val="24"/>
          <w:szCs w:val="24"/>
        </w:rPr>
        <w:t>Introduction: What “Makes” Space Sacred?</w:t>
      </w:r>
    </w:p>
    <w:p w14:paraId="256BC522" w14:textId="77777777" w:rsidR="00B5794F" w:rsidRDefault="00B5794F" w:rsidP="00B5794F">
      <w:pPr>
        <w:ind w:firstLine="720"/>
      </w:pPr>
      <w:r>
        <w:t xml:space="preserve">The feeling of sacred space is perhaps one of the oldest ideas passed through time from the neanderthals to us.  Sacred space- what it means, what it is, and what divides the sacred from mundane, has long been a focal point within religious studies and anthropology; often raising foundational questions about the nature of place, identity, and transcendence. What is it that makes </w:t>
      </w:r>
      <w:proofErr w:type="gramStart"/>
      <w:r>
        <w:t>a space</w:t>
      </w:r>
      <w:proofErr w:type="gramEnd"/>
      <w:r>
        <w:t xml:space="preserve"> sacred? Is it inherent within the landscape? Or perhaps does it arise from ritual, myth, and/or deliberate collective action?  In this essay, we will look at two well-known theorists, Mircea Eliade and Émile Durkheim. At first, their concepts may seem to only </w:t>
      </w:r>
      <w:proofErr w:type="gramStart"/>
      <w:r>
        <w:t>contrast</w:t>
      </w:r>
      <w:proofErr w:type="gramEnd"/>
      <w:r>
        <w:t xml:space="preserve"> each other, but through deeper exploration I will highlight the complementary points in their frameworks to act as lights along the path as we investigate the sacred. </w:t>
      </w:r>
    </w:p>
    <w:p w14:paraId="32768045" w14:textId="77777777" w:rsidR="00B5794F" w:rsidRDefault="00B5794F" w:rsidP="00B5794F">
      <w:pPr>
        <w:ind w:firstLine="720"/>
      </w:pPr>
      <w:r>
        <w:t xml:space="preserve"> Eliade places emphasis on the irruption of the transcendent into the material realm, while Durkheim roots the sacred in deliberate social practices and collective representations. This essay will systematically </w:t>
      </w:r>
      <w:proofErr w:type="gramStart"/>
      <w:r>
        <w:t>compare and contrast</w:t>
      </w:r>
      <w:proofErr w:type="gramEnd"/>
      <w:r>
        <w:t xml:space="preserve"> their approaches by examining how each envisions the creation of sacred space, as well as the metaphysical implications of these views. In doing so, it will also bring in Aristotle’s </w:t>
      </w:r>
      <w:proofErr w:type="gramStart"/>
      <w:r>
        <w:t>metaphysics;</w:t>
      </w:r>
      <w:proofErr w:type="gramEnd"/>
      <w:r>
        <w:t xml:space="preserve"> which deepens our understanding of essence, actuality, and potentiality in relation to sacredness.</w:t>
      </w:r>
    </w:p>
    <w:p w14:paraId="4774CDD2" w14:textId="0723A585" w:rsidR="00B5794F" w:rsidRDefault="00B5794F" w:rsidP="00B5794F">
      <w:pPr>
        <w:ind w:firstLine="720"/>
      </w:pPr>
      <w:r>
        <w:t xml:space="preserve"> While both Eliade and Durkheim’s extensive and thoughtful frameworks help us get a better understanding of sacred space, the work of Christopher Tilley, Barbara Bender, and Wong tie it together by providing support to analyze their similarities and differences. Tilley’s phenomenology of landscape reinforces Eliade’s view that sacredness is deeply experiential and tied to how individuals perceive and interact with their surroundings, while his emphasis on negotiation and embodiment echoes Durkheim’s insight that the sacred arises through collective practices. Together, this illustrates how the meaning of a place is shaped and maintained by social practices.</w:t>
      </w:r>
    </w:p>
    <w:p w14:paraId="39508027" w14:textId="02ABEAAC" w:rsidR="00B242F2" w:rsidRDefault="00B242F2" w:rsidP="00B242F2">
      <w:pPr>
        <w:ind w:firstLine="720"/>
      </w:pPr>
      <w:r>
        <w:t xml:space="preserve">Barbara Bender’s research on contested sites like Stonehenge further backs up Durkheim’s perspective by showing how sacredness is continually constructed and reconstructed through communal actions, disputes, and the plurality of meanings attributed by different groups. This aligns with Durkheim’s argument that the sacred is not an inherent property, but a result of collective consensus and ongoing social interaction. Bender’s work also acknowledges the enduring aura and resonance certain landscapes possess; </w:t>
      </w:r>
      <w:proofErr w:type="gramStart"/>
      <w:r>
        <w:t>thus</w:t>
      </w:r>
      <w:proofErr w:type="gramEnd"/>
      <w:r>
        <w:t xml:space="preserve"> paralleling Eliade’s notion of </w:t>
      </w:r>
      <w:proofErr w:type="spellStart"/>
      <w:r>
        <w:t>hierophany</w:t>
      </w:r>
      <w:proofErr w:type="spellEnd"/>
      <w:r>
        <w:t xml:space="preserve"> and cosmic orientation.</w:t>
      </w:r>
    </w:p>
    <w:p w14:paraId="60513A19" w14:textId="77777777" w:rsidR="00B242F2" w:rsidRDefault="00B242F2" w:rsidP="00B242F2">
      <w:pPr>
        <w:ind w:firstLine="720"/>
      </w:pPr>
      <w:r>
        <w:t xml:space="preserve">Wong’s exploration of alternative cosmologies, which blur the boundaries between sacred and profane, supports both Eliade’s and Durkheim’s views by demonstrating that sacred space is not fixed but relational and culturally specific. This underscores the point that while Eliade </w:t>
      </w:r>
      <w:r>
        <w:lastRenderedPageBreak/>
        <w:t xml:space="preserve">emphasizes the </w:t>
      </w:r>
      <w:proofErr w:type="gramStart"/>
      <w:r>
        <w:t>irruption</w:t>
      </w:r>
      <w:proofErr w:type="gramEnd"/>
      <w:r>
        <w:t xml:space="preserve"> of the transcendent and Durkheim highlights social construction, both approaches recognize that sacredness depends on key factors such as context, interpretation, and the lived realities of communities.</w:t>
      </w:r>
    </w:p>
    <w:p w14:paraId="1038B1BA" w14:textId="272EBA6F" w:rsidR="00B242F2" w:rsidRDefault="00B242F2" w:rsidP="00B242F2">
      <w:pPr>
        <w:ind w:firstLine="720"/>
      </w:pPr>
      <w:r>
        <w:t>Together, these scholars affirm that sacred space is dynamic and multifaceted; providing further evidence for the complementary aspects of Eliade’s and Durkheim’s theories while also illustrating the distinct ways each framework approaches the formation and experience of the sacred.</w:t>
      </w:r>
    </w:p>
    <w:p w14:paraId="355B6207" w14:textId="77777777" w:rsidR="008502AB" w:rsidRPr="00065F59" w:rsidRDefault="008502AB" w:rsidP="008502AB">
      <w:pPr>
        <w:pStyle w:val="Heading1"/>
        <w:rPr>
          <w:color w:val="auto"/>
          <w:sz w:val="24"/>
          <w:szCs w:val="24"/>
        </w:rPr>
      </w:pPr>
      <w:r w:rsidRPr="00065F59">
        <w:rPr>
          <w:color w:val="auto"/>
          <w:sz w:val="24"/>
          <w:szCs w:val="24"/>
        </w:rPr>
        <w:t xml:space="preserve">Section 1: Eliade’s </w:t>
      </w:r>
      <w:proofErr w:type="spellStart"/>
      <w:r w:rsidRPr="00065F59">
        <w:rPr>
          <w:color w:val="auto"/>
          <w:sz w:val="24"/>
          <w:szCs w:val="24"/>
        </w:rPr>
        <w:t>Hierophany</w:t>
      </w:r>
      <w:proofErr w:type="spellEnd"/>
      <w:r w:rsidRPr="00065F59">
        <w:rPr>
          <w:color w:val="auto"/>
          <w:sz w:val="24"/>
          <w:szCs w:val="24"/>
        </w:rPr>
        <w:t>, Cosmic Orientation, and Metaphysical Resonance</w:t>
      </w:r>
    </w:p>
    <w:p w14:paraId="5465099E" w14:textId="132F5A3B" w:rsidR="008502AB" w:rsidRDefault="008502AB" w:rsidP="00A35D97">
      <w:pPr>
        <w:ind w:firstLine="720"/>
      </w:pPr>
      <w:r w:rsidRPr="008502AB">
        <w:t xml:space="preserve">Mircea Eliade’s </w:t>
      </w:r>
      <w:r w:rsidR="006321E3">
        <w:t>“</w:t>
      </w:r>
      <w:r w:rsidRPr="008502AB">
        <w:t>The Sacred and the Profane</w:t>
      </w:r>
      <w:r w:rsidR="00DA7B6C">
        <w:t>,</w:t>
      </w:r>
      <w:r w:rsidR="006321E3">
        <w:t>”</w:t>
      </w:r>
      <w:r w:rsidR="00DA7B6C">
        <w:t xml:space="preserve"> houses the </w:t>
      </w:r>
      <w:r w:rsidR="00F26DB1">
        <w:t>most complete version of his theories;</w:t>
      </w:r>
      <w:r w:rsidRPr="008502AB">
        <w:t xml:space="preserve"> </w:t>
      </w:r>
      <w:r w:rsidR="00F26DB1">
        <w:t>t</w:t>
      </w:r>
      <w:r w:rsidR="00C8133F">
        <w:t>he core of</w:t>
      </w:r>
      <w:r w:rsidR="00F26DB1">
        <w:t xml:space="preserve"> this</w:t>
      </w:r>
      <w:r w:rsidR="00C8133F">
        <w:t xml:space="preserve"> vision </w:t>
      </w:r>
      <w:r w:rsidRPr="008502AB">
        <w:t xml:space="preserve">is that of </w:t>
      </w:r>
      <w:proofErr w:type="spellStart"/>
      <w:r w:rsidRPr="008502AB">
        <w:t>hierophany</w:t>
      </w:r>
      <w:proofErr w:type="spellEnd"/>
      <w:r w:rsidR="00F26DB1">
        <w:t>. T</w:t>
      </w:r>
      <w:r w:rsidRPr="008502AB">
        <w:t>he manifestation of the sacred in the ordinary world. For him, the sacred does not simply exist everywhere</w:t>
      </w:r>
      <w:r w:rsidR="006321E3">
        <w:t xml:space="preserve"> (though it potentially could at any moment)</w:t>
      </w:r>
      <w:r w:rsidRPr="008502AB">
        <w:t xml:space="preserve">; </w:t>
      </w:r>
      <w:r w:rsidR="004F50CB">
        <w:t>instead</w:t>
      </w:r>
      <w:r w:rsidRPr="008502AB">
        <w:t>, it appears</w:t>
      </w:r>
      <w:r w:rsidR="004F50CB">
        <w:t xml:space="preserve"> </w:t>
      </w:r>
      <w:r w:rsidRPr="008502AB">
        <w:t>break</w:t>
      </w:r>
      <w:r w:rsidR="004F50CB">
        <w:t xml:space="preserve">ing through the veil </w:t>
      </w:r>
      <w:r w:rsidR="006321E3">
        <w:t xml:space="preserve">of the </w:t>
      </w:r>
      <w:r w:rsidR="004F50CB">
        <w:t>mundane</w:t>
      </w:r>
      <w:r w:rsidRPr="008502AB">
        <w:t xml:space="preserve"> </w:t>
      </w:r>
      <w:r w:rsidR="004F50CB">
        <w:t xml:space="preserve">transforming </w:t>
      </w:r>
      <w:r w:rsidRPr="008502AB">
        <w:t xml:space="preserve">a fragment of profane space into a </w:t>
      </w:r>
      <w:r w:rsidR="006321E3">
        <w:t>core</w:t>
      </w:r>
      <w:r w:rsidRPr="008502AB">
        <w:t xml:space="preserve"> of meaning and order. This “breakthrough” is existentially significant, offering believers a means to orient themselves within the cosmos. Sacred space is t</w:t>
      </w:r>
      <w:r w:rsidR="00BD26DE">
        <w:t>herefore</w:t>
      </w:r>
      <w:r w:rsidRPr="008502AB">
        <w:t xml:space="preserve"> both a locus of revelation and a point of orientation: it anchors human experience in a </w:t>
      </w:r>
      <w:proofErr w:type="gramStart"/>
      <w:r w:rsidRPr="008502AB">
        <w:t>world otherwise</w:t>
      </w:r>
      <w:proofErr w:type="gramEnd"/>
      <w:r w:rsidRPr="008502AB">
        <w:t xml:space="preserve"> characterized by chaos and contingency.</w:t>
      </w:r>
    </w:p>
    <w:p w14:paraId="7D66DA6B" w14:textId="52BFAE1C" w:rsidR="008502AB" w:rsidRDefault="008502AB" w:rsidP="00BD26DE">
      <w:pPr>
        <w:ind w:firstLine="720"/>
      </w:pPr>
      <w:r w:rsidRPr="008502AB">
        <w:t>Eliade writes that for archaic societies, “the manifestation of the sacred, ontologically founds the world,” and that the experience of sacred space “provides man with orientation in the chaos of homogenous, amorphous space.”</w:t>
      </w:r>
      <w:r w:rsidR="004F50CB" w:rsidRPr="00550353">
        <w:rPr>
          <w:rStyle w:val="FootnoteReference"/>
        </w:rPr>
        <w:footnoteReference w:id="1"/>
      </w:r>
      <w:r w:rsidRPr="008502AB">
        <w:t xml:space="preserve"> The axis mundi—the world center—is a recurrent symbol in religious traditions, from mountains and trees to temples and cities. These sites serve as symbolic bridges between different realms of existence: heaven, earth, and the underworld. The cosmic orientation provided by sacred space endows it with existential and metaphysical significance, linking the human to the divine and the temporal to the eternal.</w:t>
      </w:r>
    </w:p>
    <w:p w14:paraId="6AB9BE05" w14:textId="0F5D6B8C" w:rsidR="008502AB" w:rsidRDefault="008502AB" w:rsidP="00F418EF">
      <w:pPr>
        <w:ind w:firstLine="720"/>
      </w:pPr>
      <w:r w:rsidRPr="008502AB">
        <w:t>Central to Eliade’s understanding is the role of ritual and myth. Through ritual reenactment of cosmogonic events, communities continually renew</w:t>
      </w:r>
      <w:r w:rsidR="001374F9">
        <w:t xml:space="preserve"> </w:t>
      </w:r>
      <w:r w:rsidR="003D6AA7">
        <w:t>their</w:t>
      </w:r>
      <w:r w:rsidR="001374F9">
        <w:t xml:space="preserve"> connection and commitment to</w:t>
      </w:r>
      <w:r w:rsidRPr="008502AB">
        <w:t xml:space="preserve"> </w:t>
      </w:r>
      <w:r w:rsidR="00274F1C">
        <w:t xml:space="preserve">their </w:t>
      </w:r>
      <w:r w:rsidRPr="008502AB">
        <w:t xml:space="preserve">sacred space. </w:t>
      </w:r>
      <w:r w:rsidR="00274F1C">
        <w:t>T</w:t>
      </w:r>
      <w:r w:rsidRPr="008502AB">
        <w:t>emple</w:t>
      </w:r>
      <w:r w:rsidR="00274F1C">
        <w:t>s</w:t>
      </w:r>
      <w:r w:rsidRPr="008502AB">
        <w:t>, for example,</w:t>
      </w:r>
      <w:r w:rsidR="00274F1C">
        <w:t xml:space="preserve"> are</w:t>
      </w:r>
      <w:r w:rsidRPr="008502AB">
        <w:t xml:space="preserve"> not simply a </w:t>
      </w:r>
      <w:r w:rsidR="000A00DC">
        <w:t xml:space="preserve">collection of </w:t>
      </w:r>
      <w:r w:rsidRPr="008502AB">
        <w:t>building</w:t>
      </w:r>
      <w:r w:rsidR="000A00DC">
        <w:t>s</w:t>
      </w:r>
      <w:r w:rsidRPr="008502AB">
        <w:t xml:space="preserve">; </w:t>
      </w:r>
      <w:r w:rsidR="006A5C9C">
        <w:t xml:space="preserve">they are </w:t>
      </w:r>
      <w:r w:rsidR="00AA2A68">
        <w:t xml:space="preserve">the </w:t>
      </w:r>
      <w:r w:rsidRPr="008502AB">
        <w:t xml:space="preserve">site of the original creation, the place where the world was founded, and where it can be renewed through </w:t>
      </w:r>
      <w:proofErr w:type="gramStart"/>
      <w:r w:rsidRPr="008502AB">
        <w:t>mythic</w:t>
      </w:r>
      <w:proofErr w:type="gramEnd"/>
      <w:r w:rsidRPr="008502AB">
        <w:t xml:space="preserve"> performance. Thus, sacred space is not static</w:t>
      </w:r>
      <w:r w:rsidR="00AA2A68">
        <w:t xml:space="preserve">, </w:t>
      </w:r>
      <w:r w:rsidRPr="008502AB">
        <w:t>it is continually enacted and re-enacted, inscribed with layers of meaning and metaphysical resonance.</w:t>
      </w:r>
    </w:p>
    <w:p w14:paraId="7938C371" w14:textId="222B04D2" w:rsidR="008502AB" w:rsidRDefault="00747C72" w:rsidP="003861E1">
      <w:pPr>
        <w:ind w:firstLine="720"/>
      </w:pPr>
      <w:r w:rsidRPr="00747C72">
        <w:t> Aristotle’s metaphysical framework enriches Eliade’s understanding of sacred space, particularly through his analysis of substance (</w:t>
      </w:r>
      <w:proofErr w:type="spellStart"/>
      <w:r w:rsidRPr="00747C72">
        <w:t>ousia</w:t>
      </w:r>
      <w:proofErr w:type="spellEnd"/>
      <w:r w:rsidRPr="00747C72">
        <w:t>) and actuality (energeia)</w:t>
      </w:r>
      <w:r>
        <w:t xml:space="preserve">. </w:t>
      </w:r>
      <w:r w:rsidR="008502AB" w:rsidRPr="008502AB">
        <w:t>Aristotle differentiates between potentiality and actuality</w:t>
      </w:r>
      <w:r>
        <w:t xml:space="preserve">, </w:t>
      </w:r>
      <w:r w:rsidR="008502AB" w:rsidRPr="008502AB">
        <w:t>the process by which something comes to fully realize its essence. Sacred space, from this perspective, is the actualization of the potential for the sacred within profane reality. It is not merely a symbol but a</w:t>
      </w:r>
      <w:r w:rsidR="00E33EDB">
        <w:t xml:space="preserve"> living site</w:t>
      </w:r>
      <w:r w:rsidR="008502AB" w:rsidRPr="008502AB">
        <w:t xml:space="preserve"> where the ontological potential of the landscape is brought into being. The axis mundi, then, can be understood as both a symbolic and an ontological center</w:t>
      </w:r>
      <w:r w:rsidR="009D22D0">
        <w:t xml:space="preserve">; </w:t>
      </w:r>
      <w:r w:rsidR="008502AB" w:rsidRPr="008502AB">
        <w:t>a place where the world’s deepest realities are made actual.</w:t>
      </w:r>
      <w:r w:rsidR="00550353">
        <w:rPr>
          <w:rStyle w:val="FootnoteReference"/>
        </w:rPr>
        <w:footnoteReference w:id="2"/>
      </w:r>
    </w:p>
    <w:p w14:paraId="27E54861" w14:textId="30DD953E" w:rsidR="008502AB" w:rsidRDefault="00460406" w:rsidP="008502AB">
      <w:r>
        <w:lastRenderedPageBreak/>
        <w:t>Furthermore</w:t>
      </w:r>
      <w:r w:rsidR="008502AB" w:rsidRPr="008502AB">
        <w:t xml:space="preserve">, the metaphysical principle of form and function, so central to Aristotle, allows us to see sacred space as a locus where form (sacred architecture, ritual design) and function (orientation, renewal, community) coincide to produce meaning. Eliade’s thought </w:t>
      </w:r>
      <w:r w:rsidR="003F2B3E">
        <w:t>therefore</w:t>
      </w:r>
      <w:r w:rsidR="008502AB" w:rsidRPr="008502AB">
        <w:t xml:space="preserve"> finds philosophical depth in Aristotle’s inquiry into being, essence, and the actualization of potentiality in the world.</w:t>
      </w:r>
    </w:p>
    <w:p w14:paraId="2A02F2C6" w14:textId="77777777" w:rsidR="008502AB" w:rsidRPr="00065F59" w:rsidRDefault="008502AB" w:rsidP="008502AB">
      <w:pPr>
        <w:pStyle w:val="Heading1"/>
        <w:rPr>
          <w:color w:val="auto"/>
          <w:sz w:val="24"/>
          <w:szCs w:val="24"/>
        </w:rPr>
      </w:pPr>
      <w:r w:rsidRPr="00065F59">
        <w:rPr>
          <w:color w:val="auto"/>
          <w:sz w:val="24"/>
          <w:szCs w:val="24"/>
        </w:rPr>
        <w:t>Section 2: Durkheim’s Collective Representations, Social Construction of the Sacred, and Aristotle’s Notion of Community</w:t>
      </w:r>
    </w:p>
    <w:p w14:paraId="4D161601" w14:textId="5B970E26" w:rsidR="008502AB" w:rsidRDefault="008502AB" w:rsidP="007E6C21">
      <w:pPr>
        <w:ind w:firstLine="720"/>
      </w:pPr>
      <w:r w:rsidRPr="008502AB">
        <w:t>Émile Durkheim’s approach, as presented in The Elementary Forms of Religious Life, shifts attention from</w:t>
      </w:r>
      <w:r w:rsidR="007360C9">
        <w:t xml:space="preserve"> the</w:t>
      </w:r>
      <w:r w:rsidRPr="008502AB">
        <w:t xml:space="preserve"> </w:t>
      </w:r>
      <w:r w:rsidR="003948CD" w:rsidRPr="008502AB">
        <w:t xml:space="preserve">transcendence </w:t>
      </w:r>
      <w:r w:rsidR="003948CD">
        <w:t>of</w:t>
      </w:r>
      <w:r w:rsidR="007360C9">
        <w:t xml:space="preserve"> Eliades</w:t>
      </w:r>
      <w:r w:rsidR="003948CD">
        <w:t xml:space="preserve"> </w:t>
      </w:r>
      <w:r w:rsidRPr="008502AB">
        <w:t xml:space="preserve">to society. Durkheim argues that the distinction between sacred and profane is not inherent to places or objects but is </w:t>
      </w:r>
      <w:r w:rsidR="007217E5">
        <w:t>conscientiously</w:t>
      </w:r>
      <w:r w:rsidR="006E1635">
        <w:t xml:space="preserve"> </w:t>
      </w:r>
      <w:r w:rsidRPr="008502AB">
        <w:t xml:space="preserve">constructed and maintained through collective representations and ritualized practices. Sacred space, in his view, is a product of communal consensus, arising through the shared beliefs and rites that </w:t>
      </w:r>
      <w:proofErr w:type="gramStart"/>
      <w:r w:rsidRPr="008502AB">
        <w:t>mark out</w:t>
      </w:r>
      <w:proofErr w:type="gramEnd"/>
      <w:r w:rsidRPr="008502AB">
        <w:t xml:space="preserve"> certain areas as holy.</w:t>
      </w:r>
      <w:r w:rsidR="00DC17DD">
        <w:rPr>
          <w:rStyle w:val="FootnoteReference"/>
        </w:rPr>
        <w:footnoteReference w:id="3"/>
      </w:r>
    </w:p>
    <w:p w14:paraId="30D18BB9" w14:textId="3FD04190" w:rsidR="008502AB" w:rsidRDefault="008502AB" w:rsidP="00390077">
      <w:pPr>
        <w:ind w:firstLine="720"/>
      </w:pPr>
      <w:r w:rsidRPr="008502AB">
        <w:t>Durkheim observes that rituals performed at sacred sites serve to reinforce social cohesion and identity. These rituals are not simply private acts of devotion but public, communal events that bind the group together and reaffirm its shared values. The sanctity of a place is</w:t>
      </w:r>
      <w:r w:rsidR="004D20C4">
        <w:t xml:space="preserve"> therefore</w:t>
      </w:r>
      <w:r w:rsidRPr="008502AB">
        <w:t xml:space="preserve"> less about its metaphysical properties and more about its social function: it expresses and sustains the moral order of the community, creating boundaries between “us” and “them,” sacred and profane.</w:t>
      </w:r>
    </w:p>
    <w:p w14:paraId="79728D95" w14:textId="59165320" w:rsidR="008502AB" w:rsidRDefault="00242799" w:rsidP="00242799">
      <w:pPr>
        <w:ind w:firstLine="720"/>
      </w:pPr>
      <w:r>
        <w:t xml:space="preserve">Here, </w:t>
      </w:r>
      <w:r w:rsidRPr="00242799">
        <w:t>Aristotle’s Metaphysics frames substance (</w:t>
      </w:r>
      <w:proofErr w:type="spellStart"/>
      <w:r w:rsidRPr="00242799">
        <w:t>ousia</w:t>
      </w:r>
      <w:proofErr w:type="spellEnd"/>
      <w:r w:rsidRPr="00242799">
        <w:t>) as the shared, enduring reality that defines a thing’s identity and actuality (energeia) as the process by which that shared identity is made tangible</w:t>
      </w:r>
      <w:r w:rsidR="004E7D2B">
        <w:t>.</w:t>
      </w:r>
      <w:r w:rsidRPr="00242799">
        <w:t xml:space="preserve"> For Durkheim, this translates directly to sacred space: it is not the realization of individual or transcendent potential as with Eliade but the actualization of a community’s collective substance</w:t>
      </w:r>
      <w:r w:rsidR="004E7D2B">
        <w:t>. I</w:t>
      </w:r>
      <w:r w:rsidRPr="00242799">
        <w:t>t</w:t>
      </w:r>
      <w:r w:rsidR="004E7D2B">
        <w:t xml:space="preserve"> is</w:t>
      </w:r>
      <w:r w:rsidRPr="00242799">
        <w:t xml:space="preserve"> shared beliefs, values, and social bonds. Sacred space, in his view, becomes the concrete site where the group’s abstract "essence" is enacted through ritualized practices, binding individuals to one another and reinforcing the communal order that gives the sacred </w:t>
      </w:r>
      <w:r w:rsidR="004D20C4" w:rsidRPr="00242799">
        <w:t>meaning</w:t>
      </w:r>
      <w:r w:rsidRPr="00242799">
        <w:t>. Rituals serve as the mechanism through which this collective substance is maintained, shaping the landscape and individual experience around the shared forms that unify the community.</w:t>
      </w:r>
      <w:r>
        <w:rPr>
          <w:rStyle w:val="FootnoteReference"/>
        </w:rPr>
        <w:footnoteReference w:id="4"/>
      </w:r>
    </w:p>
    <w:p w14:paraId="38EC6149" w14:textId="46CF7F23" w:rsidR="008502AB" w:rsidRDefault="008502AB" w:rsidP="00552E68">
      <w:pPr>
        <w:ind w:firstLine="720"/>
      </w:pPr>
      <w:r w:rsidRPr="008502AB">
        <w:t xml:space="preserve">Durkheim’s analysis is functionalist, foregrounding the role of ritual, social memory, and boundary-making in the construction and maintenance of sacred space. Through this lens, the sacred is not a metaphysical eruption but a social </w:t>
      </w:r>
      <w:r w:rsidR="00841F36" w:rsidRPr="008502AB">
        <w:t>achievement</w:t>
      </w:r>
      <w:r w:rsidR="00841F36">
        <w:t xml:space="preserve">, a </w:t>
      </w:r>
      <w:r w:rsidRPr="008502AB">
        <w:t>continual process of designation, performance, and collective affirmation.</w:t>
      </w:r>
    </w:p>
    <w:p w14:paraId="08DE0A3D" w14:textId="59987265" w:rsidR="008502AB" w:rsidRPr="00065F59" w:rsidRDefault="008502AB" w:rsidP="008502AB">
      <w:pPr>
        <w:pStyle w:val="Heading1"/>
        <w:rPr>
          <w:color w:val="auto"/>
          <w:sz w:val="24"/>
          <w:szCs w:val="24"/>
        </w:rPr>
      </w:pPr>
      <w:r w:rsidRPr="00065F59">
        <w:rPr>
          <w:color w:val="auto"/>
          <w:sz w:val="24"/>
          <w:szCs w:val="24"/>
        </w:rPr>
        <w:lastRenderedPageBreak/>
        <w:t xml:space="preserve">Section </w:t>
      </w:r>
      <w:proofErr w:type="gramStart"/>
      <w:r w:rsidRPr="00065F59">
        <w:rPr>
          <w:color w:val="auto"/>
          <w:sz w:val="24"/>
          <w:szCs w:val="24"/>
        </w:rPr>
        <w:t>3:Critique</w:t>
      </w:r>
      <w:proofErr w:type="gramEnd"/>
      <w:r w:rsidRPr="00065F59">
        <w:rPr>
          <w:color w:val="auto"/>
          <w:sz w:val="24"/>
          <w:szCs w:val="24"/>
        </w:rPr>
        <w:t xml:space="preserve"> &amp; Expansion—Lived Landscapes, Contestation, and Alternative Cosmologies</w:t>
      </w:r>
    </w:p>
    <w:p w14:paraId="633D6327" w14:textId="77777777" w:rsidR="008502AB" w:rsidRPr="00065F59" w:rsidRDefault="008502AB" w:rsidP="008502AB">
      <w:pPr>
        <w:pStyle w:val="Heading2"/>
        <w:rPr>
          <w:color w:val="auto"/>
          <w:sz w:val="24"/>
          <w:szCs w:val="24"/>
        </w:rPr>
      </w:pPr>
      <w:r w:rsidRPr="00065F59">
        <w:rPr>
          <w:color w:val="auto"/>
          <w:sz w:val="24"/>
          <w:szCs w:val="24"/>
        </w:rPr>
        <w:t>Phenomenology and Embodied Experience: Tilley</w:t>
      </w:r>
    </w:p>
    <w:p w14:paraId="355857BC" w14:textId="1C33440D" w:rsidR="00AA68D7" w:rsidRDefault="006D1CA1" w:rsidP="0026665A">
      <w:pPr>
        <w:ind w:firstLine="720"/>
      </w:pPr>
      <w:r w:rsidRPr="003A49BA">
        <w:t xml:space="preserve">While Eliade and Durkheim offer invaluable frameworks </w:t>
      </w:r>
      <w:r w:rsidR="00C20825">
        <w:t xml:space="preserve">their models risk overlooking the embodied complexity of sacred space. </w:t>
      </w:r>
      <w:r>
        <w:t>A</w:t>
      </w:r>
      <w:r w:rsidR="008224A7">
        <w:t xml:space="preserve"> </w:t>
      </w:r>
      <w:r w:rsidRPr="006D1CA1">
        <w:t>gap filled by Christopher Tilley’s A Phenomenology of Landscape. Tilley argues sacredness arises through sensory, bodily engagement with place</w:t>
      </w:r>
      <w:r w:rsidR="003A3881">
        <w:t xml:space="preserve"> via, </w:t>
      </w:r>
      <w:r w:rsidRPr="006D1CA1">
        <w:t>movement, touch, sightlines</w:t>
      </w:r>
      <w:r w:rsidR="0004677D">
        <w:t xml:space="preserve"> and navigation</w:t>
      </w:r>
      <w:r w:rsidR="001C18EC">
        <w:t xml:space="preserve">. By </w:t>
      </w:r>
      <w:r w:rsidRPr="006D1CA1">
        <w:t>framing landscapes as active participants in meaning-making</w:t>
      </w:r>
      <w:r w:rsidR="006D198C">
        <w:t>, shaping humans and humans shaping</w:t>
      </w:r>
      <w:r w:rsidR="00AA68D7">
        <w:t xml:space="preserve"> </w:t>
      </w:r>
      <w:r w:rsidR="006D198C">
        <w:t>them</w:t>
      </w:r>
      <w:r w:rsidR="00AA68D7">
        <w:t>, he</w:t>
      </w:r>
      <w:r w:rsidRPr="006D1CA1">
        <w:t xml:space="preserve"> bridges </w:t>
      </w:r>
      <w:r w:rsidR="0080087A" w:rsidRPr="006D1CA1">
        <w:t xml:space="preserve">Eliade’s </w:t>
      </w:r>
      <w:r w:rsidR="0080087A">
        <w:t>focus</w:t>
      </w:r>
      <w:r w:rsidR="00AA68D7">
        <w:t xml:space="preserve"> on </w:t>
      </w:r>
      <w:r w:rsidRPr="006D1CA1">
        <w:t>experiential focus and Durkheim’s collective practice</w:t>
      </w:r>
      <w:r w:rsidR="003A3881">
        <w:rPr>
          <w:rStyle w:val="FootnoteReference"/>
        </w:rPr>
        <w:footnoteReference w:id="5"/>
      </w:r>
      <w:r w:rsidRPr="006D1CA1">
        <w:t xml:space="preserve"> </w:t>
      </w:r>
    </w:p>
    <w:p w14:paraId="53CFF774" w14:textId="2CF10F7C" w:rsidR="006D1CA1" w:rsidRDefault="003A3881" w:rsidP="0026665A">
      <w:pPr>
        <w:ind w:firstLine="720"/>
      </w:pPr>
      <w:r>
        <w:t>F</w:t>
      </w:r>
      <w:r w:rsidR="006D1CA1" w:rsidRPr="006D1CA1">
        <w:t xml:space="preserve">or Eliade, Tilley grounds </w:t>
      </w:r>
      <w:proofErr w:type="spellStart"/>
      <w:r w:rsidR="006D1CA1" w:rsidRPr="006D1CA1">
        <w:t>hierophany</w:t>
      </w:r>
      <w:proofErr w:type="spellEnd"/>
      <w:r w:rsidR="006D1CA1" w:rsidRPr="006D1CA1">
        <w:t xml:space="preserve"> in lived rituals like </w:t>
      </w:r>
      <w:r w:rsidR="0080087A" w:rsidRPr="006D1CA1">
        <w:t>pilgrimage</w:t>
      </w:r>
      <w:r w:rsidR="0080087A">
        <w:t xml:space="preserve">, </w:t>
      </w:r>
      <w:proofErr w:type="spellStart"/>
      <w:r w:rsidR="0080087A">
        <w:t>Ddeeping</w:t>
      </w:r>
      <w:proofErr w:type="spellEnd"/>
      <w:r w:rsidR="00082535">
        <w:t xml:space="preserve"> the theory by showing </w:t>
      </w:r>
      <w:r w:rsidR="0080087A">
        <w:t>how transcendence</w:t>
      </w:r>
      <w:r w:rsidR="00900879">
        <w:t xml:space="preserve"> is felt though bodily engagement. </w:t>
      </w:r>
      <w:r w:rsidR="006D1CA1" w:rsidRPr="006D1CA1">
        <w:t xml:space="preserve"> </w:t>
      </w:r>
      <w:r w:rsidR="00031D0A">
        <w:t>F</w:t>
      </w:r>
      <w:r w:rsidR="006D1CA1" w:rsidRPr="006D1CA1">
        <w:t>or Durkheim, he roots collective consensus in physical, shared practice</w:t>
      </w:r>
      <w:r w:rsidR="00031D0A">
        <w:t>, demonstrating that social cohesion is not abstract</w:t>
      </w:r>
      <w:r w:rsidR="002B0B66">
        <w:t xml:space="preserve"> but enacted </w:t>
      </w:r>
      <w:r w:rsidR="0080087A">
        <w:t>through embodied</w:t>
      </w:r>
      <w:r w:rsidR="002B0B66">
        <w:t xml:space="preserve"> </w:t>
      </w:r>
      <w:r w:rsidR="0080087A">
        <w:t>interaction</w:t>
      </w:r>
      <w:r w:rsidR="002B0B66">
        <w:t xml:space="preserve"> with space. </w:t>
      </w:r>
      <w:r>
        <w:t xml:space="preserve"> </w:t>
      </w:r>
      <w:r w:rsidR="006D1CA1" w:rsidRPr="006D1CA1">
        <w:t>Aristotle’s metaphysics</w:t>
      </w:r>
      <w:r w:rsidR="0026665A">
        <w:t xml:space="preserve"> </w:t>
      </w:r>
      <w:r w:rsidR="006D1CA1" w:rsidRPr="006D1CA1">
        <w:t>reinforces</w:t>
      </w:r>
      <w:r>
        <w:t xml:space="preserve"> Tilley’s stance with this idea that </w:t>
      </w:r>
      <w:r w:rsidR="006D1CA1" w:rsidRPr="006D1CA1">
        <w:t>the actualization of sacredness (energeia) depends on the embodied potential (</w:t>
      </w:r>
      <w:proofErr w:type="spellStart"/>
      <w:r w:rsidR="006D1CA1" w:rsidRPr="006D1CA1">
        <w:t>dunamis</w:t>
      </w:r>
      <w:proofErr w:type="spellEnd"/>
      <w:r w:rsidR="006D1CA1" w:rsidRPr="006D1CA1">
        <w:t>) of human-landscape interaction. Sacred space becomes a dynamic process of meaning-making, shaped by reciprocal human-place relationships.</w:t>
      </w:r>
    </w:p>
    <w:p w14:paraId="0B78063D" w14:textId="77777777" w:rsidR="008502AB" w:rsidRPr="00065F59" w:rsidRDefault="008502AB" w:rsidP="008502AB">
      <w:pPr>
        <w:pStyle w:val="Heading2"/>
        <w:rPr>
          <w:color w:val="auto"/>
          <w:sz w:val="24"/>
          <w:szCs w:val="24"/>
        </w:rPr>
      </w:pPr>
      <w:r w:rsidRPr="00065F59">
        <w:rPr>
          <w:color w:val="auto"/>
          <w:sz w:val="24"/>
          <w:szCs w:val="24"/>
        </w:rPr>
        <w:t>Contestation and Plurality: Bender</w:t>
      </w:r>
    </w:p>
    <w:p w14:paraId="3746B832" w14:textId="55712FAE" w:rsidR="000C16E4" w:rsidRDefault="000C16E4" w:rsidP="000F3D18">
      <w:pPr>
        <w:ind w:firstLine="720"/>
      </w:pPr>
      <w:r w:rsidRPr="000C16E4">
        <w:t>Barbara Bender’s work in </w:t>
      </w:r>
      <w:r w:rsidRPr="0074000F">
        <w:t>Stonehenge: Making Space</w:t>
      </w:r>
      <w:r w:rsidRPr="000C16E4">
        <w:t> extends Durkheim’s theory of social construction while echoing Eliade’s concern with existential resonance. She demonstrates that Stonehenge’s sacredness is shaped by competing communities</w:t>
      </w:r>
      <w:r w:rsidR="0074000F">
        <w:t xml:space="preserve">, </w:t>
      </w:r>
      <w:r w:rsidRPr="000C16E4">
        <w:t>archaeologists, neo-pagans, tourists,</w:t>
      </w:r>
      <w:r w:rsidR="0074000F">
        <w:t xml:space="preserve"> heritage managers and the local community alike. </w:t>
      </w:r>
      <w:r w:rsidRPr="000C16E4">
        <w:t xml:space="preserve"> </w:t>
      </w:r>
      <w:r w:rsidR="00186AE3">
        <w:t>Revealing</w:t>
      </w:r>
      <w:r w:rsidR="0074000F">
        <w:t xml:space="preserve">, </w:t>
      </w:r>
      <w:r w:rsidRPr="000C16E4">
        <w:t xml:space="preserve">sacredness </w:t>
      </w:r>
      <w:proofErr w:type="gramStart"/>
      <w:r w:rsidRPr="000C16E4">
        <w:t>as</w:t>
      </w:r>
      <w:proofErr w:type="gramEnd"/>
      <w:r w:rsidRPr="000C16E4">
        <w:t xml:space="preserve"> inherently contested, plural, and negotiated.</w:t>
      </w:r>
      <w:r w:rsidR="00186AE3">
        <w:rPr>
          <w:rStyle w:val="FootnoteReference"/>
        </w:rPr>
        <w:footnoteReference w:id="6"/>
      </w:r>
      <w:r w:rsidR="00A22B4C">
        <w:t xml:space="preserve"> </w:t>
      </w:r>
      <w:r w:rsidRPr="000C16E4">
        <w:t xml:space="preserve">This expands Durkheim’s focus on consensus to incorporate power dynamics and conflict: where Eliade framed contestation as a threat to the </w:t>
      </w:r>
      <w:proofErr w:type="spellStart"/>
      <w:r w:rsidRPr="000C16E4">
        <w:t>sacred’s</w:t>
      </w:r>
      <w:proofErr w:type="spellEnd"/>
      <w:r w:rsidRPr="000C16E4">
        <w:t xml:space="preserve"> existential purity, Bender argues it is intrinsic to sacredness, not a flaw. She also echoes Eliade’s anxiety over the “sterilization” of sacred space</w:t>
      </w:r>
      <w:r w:rsidR="00FC3CFA">
        <w:t xml:space="preserve"> through </w:t>
      </w:r>
      <w:r w:rsidRPr="000C16E4">
        <w:t xml:space="preserve">bureaucratic rules </w:t>
      </w:r>
      <w:r w:rsidR="00FC3CFA">
        <w:t>and</w:t>
      </w:r>
      <w:r w:rsidRPr="000C16E4">
        <w:t xml:space="preserve"> commercialization that risk eroding the existential richness he associates with </w:t>
      </w:r>
      <w:proofErr w:type="spellStart"/>
      <w:r w:rsidRPr="000C16E4">
        <w:t>hierophany</w:t>
      </w:r>
      <w:proofErr w:type="spellEnd"/>
      <w:r w:rsidR="00A22B4C">
        <w:t xml:space="preserve">, </w:t>
      </w:r>
      <w:r w:rsidRPr="000C16E4">
        <w:t>while</w:t>
      </w:r>
      <w:r w:rsidR="00A22B4C">
        <w:t xml:space="preserve"> still</w:t>
      </w:r>
      <w:r w:rsidRPr="000C16E4">
        <w:t xml:space="preserve"> showing that Eliade’s notion of a sacred “aura” persists through successive communities’ reengagement with a site’s meaning. Further</w:t>
      </w:r>
      <w:r w:rsidR="00A22B4C">
        <w:t xml:space="preserve"> backing up this idea </w:t>
      </w:r>
      <w:proofErr w:type="gramStart"/>
      <w:r w:rsidR="00A22B4C">
        <w:t>is</w:t>
      </w:r>
      <w:r w:rsidRPr="000C16E4">
        <w:t>,</w:t>
      </w:r>
      <w:proofErr w:type="gramEnd"/>
      <w:r w:rsidRPr="000C16E4">
        <w:t xml:space="preserve"> Aristotle’s notion of evolving substance: Stonehenge’s sacredness, like a community’s essence, is continually actualized through negotiation, not fixed by transcendence or consensus.</w:t>
      </w:r>
    </w:p>
    <w:p w14:paraId="724D0D3D" w14:textId="77777777" w:rsidR="00FE0EF3" w:rsidRDefault="00FE0EF3" w:rsidP="00A22B4C"/>
    <w:p w14:paraId="7F156299" w14:textId="77777777" w:rsidR="008502AB" w:rsidRPr="00065F59" w:rsidRDefault="008502AB" w:rsidP="008502AB">
      <w:pPr>
        <w:pStyle w:val="Heading2"/>
        <w:rPr>
          <w:color w:val="auto"/>
          <w:sz w:val="24"/>
          <w:szCs w:val="24"/>
        </w:rPr>
      </w:pPr>
      <w:r w:rsidRPr="00065F59">
        <w:rPr>
          <w:color w:val="auto"/>
          <w:sz w:val="24"/>
          <w:szCs w:val="24"/>
        </w:rPr>
        <w:t>Alternative Cosmologies: Wong and the Continuity of Sacred and Profane</w:t>
      </w:r>
    </w:p>
    <w:p w14:paraId="32C9C195" w14:textId="1D0460E4" w:rsidR="007514D0" w:rsidRPr="007514D0" w:rsidRDefault="007514D0" w:rsidP="007514D0">
      <w:pPr>
        <w:ind w:firstLine="720"/>
      </w:pPr>
      <w:r w:rsidRPr="007514D0">
        <w:t>Eva Wong’s exploration of East Asian cosmologies challenges the sacred</w:t>
      </w:r>
      <w:r w:rsidR="00A809B5">
        <w:t xml:space="preserve"> and </w:t>
      </w:r>
      <w:r w:rsidRPr="007514D0">
        <w:t>profane binary central to both theorists</w:t>
      </w:r>
      <w:r w:rsidR="00AE49D8">
        <w:t xml:space="preserve">. </w:t>
      </w:r>
      <w:r w:rsidRPr="007514D0">
        <w:t xml:space="preserve"> She </w:t>
      </w:r>
      <w:r w:rsidR="00AE49D8" w:rsidRPr="007514D0">
        <w:t>reveals</w:t>
      </w:r>
      <w:r w:rsidR="00AE49D8">
        <w:t xml:space="preserve"> worlds</w:t>
      </w:r>
      <w:r w:rsidRPr="007514D0">
        <w:t xml:space="preserve"> where sacred and profane exist on a continuum, suffusing daily life rather than standing apart.</w:t>
      </w:r>
      <w:r w:rsidR="00AE49D8" w:rsidRPr="00AE49D8">
        <w:t xml:space="preserve"> </w:t>
      </w:r>
      <w:r w:rsidR="00AE49D8" w:rsidRPr="00592B65">
        <w:t>In these cosmologies</w:t>
      </w:r>
      <w:r w:rsidRPr="007514D0">
        <w:t xml:space="preserve"> </w:t>
      </w:r>
      <w:r w:rsidR="00AE49D8" w:rsidRPr="00592B65">
        <w:t>rituals do not separate the sacred from the profane but</w:t>
      </w:r>
      <w:r w:rsidRPr="007514D0">
        <w:t xml:space="preserve"> enable their mutual transformation, showing sacredness can be relational and embedded, not exceptional.</w:t>
      </w:r>
      <w:r w:rsidR="00AE49D8">
        <w:rPr>
          <w:rStyle w:val="FootnoteReference"/>
        </w:rPr>
        <w:footnoteReference w:id="7"/>
      </w:r>
    </w:p>
    <w:p w14:paraId="01144427" w14:textId="79FBDD2C" w:rsidR="007514D0" w:rsidRPr="007514D0" w:rsidRDefault="007514D0" w:rsidP="007514D0">
      <w:pPr>
        <w:ind w:firstLine="720"/>
      </w:pPr>
      <w:r w:rsidRPr="007514D0">
        <w:lastRenderedPageBreak/>
        <w:t xml:space="preserve">This enriches Eliade by framing </w:t>
      </w:r>
      <w:proofErr w:type="spellStart"/>
      <w:r w:rsidRPr="007514D0">
        <w:t>hierophany</w:t>
      </w:r>
      <w:proofErr w:type="spellEnd"/>
      <w:r w:rsidRPr="007514D0">
        <w:t xml:space="preserve"> as subtle, ongoing flow rather than rare rupture</w:t>
      </w:r>
      <w:r w:rsidR="00AE49D8">
        <w:t xml:space="preserve">. </w:t>
      </w:r>
      <w:r w:rsidR="00B84840">
        <w:t>F</w:t>
      </w:r>
      <w:r w:rsidRPr="007514D0">
        <w:t xml:space="preserve">or Durkheim, it highlights cultural specificity in collective representations. Aristotle’s focus on </w:t>
      </w:r>
      <w:r w:rsidR="00B750B9">
        <w:t xml:space="preserve">the </w:t>
      </w:r>
      <w:r w:rsidRPr="007514D0">
        <w:t xml:space="preserve">process </w:t>
      </w:r>
      <w:r w:rsidR="00B750B9">
        <w:t xml:space="preserve">of </w:t>
      </w:r>
      <w:r w:rsidRPr="007514D0">
        <w:t>becoming over fixed binaries</w:t>
      </w:r>
      <w:r w:rsidR="00AE49D8">
        <w:t xml:space="preserve"> </w:t>
      </w:r>
      <w:r w:rsidRPr="007514D0">
        <w:t xml:space="preserve">supports this </w:t>
      </w:r>
      <w:r w:rsidR="00AE49D8" w:rsidRPr="007514D0">
        <w:t>fluidity</w:t>
      </w:r>
      <w:r w:rsidR="00AE49D8">
        <w:t xml:space="preserve"> showing that</w:t>
      </w:r>
      <w:r w:rsidRPr="007514D0">
        <w:t xml:space="preserve"> sacredness is actualized in ways aligned with transcendence, social function, or continuity.</w:t>
      </w:r>
    </w:p>
    <w:p w14:paraId="2983B764" w14:textId="683D08FB" w:rsidR="00592B65" w:rsidRDefault="00592B65" w:rsidP="00AE49D8"/>
    <w:p w14:paraId="20DDF905" w14:textId="77777777" w:rsidR="008502AB" w:rsidRPr="00065F59" w:rsidRDefault="008502AB" w:rsidP="008502AB">
      <w:pPr>
        <w:pStyle w:val="Heading2"/>
        <w:rPr>
          <w:color w:val="auto"/>
          <w:sz w:val="24"/>
          <w:szCs w:val="24"/>
        </w:rPr>
      </w:pPr>
      <w:r w:rsidRPr="00065F59">
        <w:rPr>
          <w:color w:val="auto"/>
          <w:sz w:val="24"/>
          <w:szCs w:val="24"/>
        </w:rPr>
        <w:t>Relationality, Power, and the Lived Landscape</w:t>
      </w:r>
    </w:p>
    <w:p w14:paraId="2BD70A5D" w14:textId="03960960" w:rsidR="000E051D" w:rsidRPr="0019440A" w:rsidRDefault="000E051D" w:rsidP="00C23874">
      <w:pPr>
        <w:ind w:firstLine="720"/>
      </w:pPr>
      <w:r w:rsidRPr="000E051D">
        <w:t xml:space="preserve">Integrating these perspectives, sacred space emerges as a relational phenomenon shaped by transcendence, social practice, embodied experience, and culture. </w:t>
      </w:r>
      <w:r w:rsidR="0019440A" w:rsidRPr="0019440A">
        <w:t>Power and contestation are inherent to its formation: sacredness is not merely received or designated but made, remade, and sometimes resisted. Sites like Stonehenge resist bureaucratic “sterilization” because communities assert their own claims to meaning, underscoring that sacred space is open, unfinished, and perpetually renewed.</w:t>
      </w:r>
    </w:p>
    <w:p w14:paraId="1FE78BBA" w14:textId="43047DE5" w:rsidR="008502AB" w:rsidRPr="00065F59" w:rsidRDefault="008502AB" w:rsidP="008502AB">
      <w:pPr>
        <w:pStyle w:val="Heading1"/>
        <w:rPr>
          <w:color w:val="auto"/>
          <w:sz w:val="24"/>
          <w:szCs w:val="24"/>
        </w:rPr>
      </w:pPr>
      <w:r w:rsidRPr="00065F59">
        <w:rPr>
          <w:color w:val="auto"/>
          <w:sz w:val="24"/>
          <w:szCs w:val="24"/>
        </w:rPr>
        <w:t>Conclusion: The Complexity of Sacred Space</w:t>
      </w:r>
    </w:p>
    <w:p w14:paraId="2015D5FD" w14:textId="77777777" w:rsidR="005E110C" w:rsidRDefault="005E110C" w:rsidP="00C23874">
      <w:pPr>
        <w:ind w:firstLine="720"/>
      </w:pPr>
      <w:r w:rsidRPr="005E110C">
        <w:t>This essay’s core purpose</w:t>
      </w:r>
      <w:r>
        <w:t xml:space="preserve">, </w:t>
      </w:r>
      <w:proofErr w:type="gramStart"/>
      <w:r w:rsidRPr="005E110C">
        <w:t>comparing and contrasting</w:t>
      </w:r>
      <w:proofErr w:type="gramEnd"/>
      <w:r w:rsidRPr="005E110C">
        <w:t xml:space="preserve"> Mircea Eliade and Émile Durkheim’s theories of sacred space</w:t>
      </w:r>
      <w:r>
        <w:t>, r</w:t>
      </w:r>
      <w:r w:rsidRPr="005E110C">
        <w:t xml:space="preserve">eveals two distinct yet complementary frameworks. Eliade frames sacred space as a transcendental rupture: a </w:t>
      </w:r>
      <w:proofErr w:type="spellStart"/>
      <w:r w:rsidRPr="005E110C">
        <w:t>hierophany</w:t>
      </w:r>
      <w:proofErr w:type="spellEnd"/>
      <w:r w:rsidRPr="005E110C">
        <w:t xml:space="preserve"> that breaks through profane chaos to offer cosmic orientation, existential meaning, and connection to the divine. For him, sacredness is rooted in the ontological potential of the landscape, actualized through myth and ritual. Durkheim, by contrast, grounds sacred space in social construction: it emerges from collective representations, ritualized consensus, and communal values, functioning to bind groups, reinforce moral order, and materialize a community’s shared essence. For Durkheim, sacredness is a social achievement, not a metaphysical given.</w:t>
      </w:r>
    </w:p>
    <w:p w14:paraId="63EC4F02" w14:textId="201879CE" w:rsidR="00570AFB" w:rsidRPr="00570AFB" w:rsidRDefault="00570AFB" w:rsidP="00C23874">
      <w:pPr>
        <w:ind w:firstLine="720"/>
      </w:pPr>
      <w:r w:rsidRPr="00570AFB">
        <w:t>Scholars like Christopher Tilley, Barbara Bender, and Eva Wong do not overshadow this core contrast</w:t>
      </w:r>
      <w:r w:rsidR="00065F59">
        <w:t>, t</w:t>
      </w:r>
      <w:r w:rsidRPr="00570AFB">
        <w:t>hey deepen it. Tilley’s phenomenology reinforces Eliade’s focus on experiential sacredness while grounding Durkheim’s collective practices in embodied action, highlighting how both theorists’ insights depend on human engagement with place. Bender’s work on contestation expands Durkheim’s emphasis on consensus to include power dynamics, while echoing Eliade’s concern with preserving a site’s existential resonance amid external pressures. Wong’s alternative cosmologies challenge the sacred-profane binary central to both thinkers, yet this serves to clarify their shared reliance on that binary</w:t>
      </w:r>
      <w:r w:rsidR="00B44E77" w:rsidRPr="00FA3605">
        <w:t xml:space="preserve">. </w:t>
      </w:r>
      <w:r w:rsidR="00FA3605" w:rsidRPr="00FA3605">
        <w:t>Eliade as a rupture, Durkheim as a social boundary—while illustrating how supporting perspectives refine their core claims.</w:t>
      </w:r>
    </w:p>
    <w:p w14:paraId="7B9FEA32" w14:textId="5F0DF80F" w:rsidR="00570AFB" w:rsidRPr="00570AFB" w:rsidRDefault="00570AFB" w:rsidP="007B2EA4">
      <w:pPr>
        <w:ind w:firstLine="720"/>
      </w:pPr>
      <w:r w:rsidRPr="00570AFB">
        <w:t xml:space="preserve">In essence, Eliade and Durkheim’s theories stand as </w:t>
      </w:r>
      <w:r w:rsidR="00B44E77">
        <w:t xml:space="preserve">an </w:t>
      </w:r>
      <w:r w:rsidRPr="00570AFB">
        <w:t>anchor: one</w:t>
      </w:r>
      <w:r w:rsidR="00B44E77">
        <w:t xml:space="preserve"> side</w:t>
      </w:r>
      <w:r w:rsidRPr="00570AFB">
        <w:t xml:space="preserve"> centered on transcendence and cosmic orientation, the other on social construction and cohesion. The supporting scholars confirm and extend these differences</w:t>
      </w:r>
      <w:r w:rsidR="00065F59">
        <w:t xml:space="preserve">, </w:t>
      </w:r>
      <w:r w:rsidRPr="00570AFB">
        <w:t>they do not replace them</w:t>
      </w:r>
      <w:r w:rsidR="00065F59">
        <w:t xml:space="preserve">, </w:t>
      </w:r>
      <w:r w:rsidRPr="00570AFB">
        <w:t>by revealing how lived experience (Tilley), contestation (Bender), and cultural specificity (Wong) illuminate the practical implications of Eliade and Durkheim’s ideas. Together, this comparison shows that sacred space cannot be reduced to either transcendence or social function alone; it emerges from the tension and interplay between the two.</w:t>
      </w:r>
    </w:p>
    <w:p w14:paraId="3379587B" w14:textId="77777777" w:rsidR="007B2EA4" w:rsidRDefault="007B2EA4">
      <w:pPr>
        <w:rPr>
          <w:rFonts w:asciiTheme="majorHAnsi" w:eastAsiaTheme="majorEastAsia" w:hAnsiTheme="majorHAnsi" w:cstheme="majorBidi"/>
          <w:color w:val="0F4761" w:themeColor="accent1" w:themeShade="BF"/>
          <w:sz w:val="32"/>
          <w:szCs w:val="32"/>
        </w:rPr>
      </w:pPr>
      <w:r>
        <w:br w:type="page"/>
      </w:r>
    </w:p>
    <w:sdt>
      <w:sdtPr>
        <w:rPr>
          <w:rFonts w:asciiTheme="minorHAnsi" w:eastAsiaTheme="minorEastAsia" w:hAnsiTheme="minorHAnsi" w:cstheme="minorBidi"/>
          <w:color w:val="auto"/>
          <w:sz w:val="22"/>
          <w:szCs w:val="22"/>
        </w:rPr>
        <w:id w:val="-1588447409"/>
        <w:docPartObj>
          <w:docPartGallery w:val="Bibliographies"/>
          <w:docPartUnique/>
        </w:docPartObj>
      </w:sdtPr>
      <w:sdtContent>
        <w:p w14:paraId="3B30D974" w14:textId="02B764FC" w:rsidR="0046638E" w:rsidRPr="00380932" w:rsidRDefault="0046638E">
          <w:pPr>
            <w:pStyle w:val="Heading1"/>
            <w:rPr>
              <w:color w:val="auto"/>
              <w:sz w:val="28"/>
              <w:szCs w:val="28"/>
            </w:rPr>
          </w:pPr>
          <w:r w:rsidRPr="00380932">
            <w:rPr>
              <w:color w:val="auto"/>
              <w:sz w:val="28"/>
              <w:szCs w:val="28"/>
            </w:rPr>
            <w:t>References</w:t>
          </w:r>
        </w:p>
        <w:sdt>
          <w:sdtPr>
            <w:id w:val="-573587230"/>
            <w:bibliography/>
          </w:sdtPr>
          <w:sdtContent>
            <w:p w14:paraId="74955968" w14:textId="77777777" w:rsidR="0046638E" w:rsidRDefault="0046638E" w:rsidP="0046638E">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Asristotle. (1998). In T. b. Lawson-Tancred, </w:t>
              </w:r>
              <w:r>
                <w:rPr>
                  <w:i/>
                  <w:iCs/>
                  <w:noProof/>
                </w:rPr>
                <w:t>Metaphysics.</w:t>
              </w:r>
              <w:r>
                <w:rPr>
                  <w:noProof/>
                </w:rPr>
                <w:t xml:space="preserve"> Penguin Books.</w:t>
              </w:r>
            </w:p>
            <w:p w14:paraId="2093ECC9" w14:textId="77777777" w:rsidR="0046638E" w:rsidRDefault="0046638E" w:rsidP="0046638E">
              <w:pPr>
                <w:pStyle w:val="Bibliography"/>
                <w:ind w:left="720" w:hanging="720"/>
                <w:rPr>
                  <w:noProof/>
                </w:rPr>
              </w:pPr>
              <w:r>
                <w:rPr>
                  <w:noProof/>
                </w:rPr>
                <w:t xml:space="preserve">Bender, B. (1998). </w:t>
              </w:r>
              <w:r>
                <w:rPr>
                  <w:i/>
                  <w:iCs/>
                  <w:noProof/>
                </w:rPr>
                <w:t>Stonehenge: Making Space .</w:t>
              </w:r>
              <w:r>
                <w:rPr>
                  <w:noProof/>
                </w:rPr>
                <w:t xml:space="preserve"> Berg.</w:t>
              </w:r>
            </w:p>
            <w:p w14:paraId="65EF9430" w14:textId="77777777" w:rsidR="0046638E" w:rsidRDefault="0046638E" w:rsidP="0046638E">
              <w:pPr>
                <w:pStyle w:val="Bibliography"/>
                <w:ind w:left="720" w:hanging="720"/>
                <w:rPr>
                  <w:noProof/>
                </w:rPr>
              </w:pPr>
              <w:r>
                <w:rPr>
                  <w:noProof/>
                </w:rPr>
                <w:t xml:space="preserve">Durkheim, E. (1995). In t. b. Fields, </w:t>
              </w:r>
              <w:r>
                <w:rPr>
                  <w:i/>
                  <w:iCs/>
                  <w:noProof/>
                </w:rPr>
                <w:t>The Elementary Forms of Religious Life.</w:t>
              </w:r>
              <w:r>
                <w:rPr>
                  <w:noProof/>
                </w:rPr>
                <w:t xml:space="preserve"> Free Press.</w:t>
              </w:r>
            </w:p>
            <w:p w14:paraId="3314E5FB" w14:textId="77777777" w:rsidR="0046638E" w:rsidRDefault="0046638E" w:rsidP="0046638E">
              <w:pPr>
                <w:pStyle w:val="Bibliography"/>
                <w:ind w:left="720" w:hanging="720"/>
                <w:rPr>
                  <w:noProof/>
                </w:rPr>
              </w:pPr>
              <w:r>
                <w:rPr>
                  <w:noProof/>
                </w:rPr>
                <w:t xml:space="preserve">Eliade, M. (1959). In T. b. Trask, </w:t>
              </w:r>
              <w:r>
                <w:rPr>
                  <w:i/>
                  <w:iCs/>
                  <w:noProof/>
                </w:rPr>
                <w:t>The Sacred and the Profane: The Nature of Religion.</w:t>
              </w:r>
              <w:r>
                <w:rPr>
                  <w:noProof/>
                </w:rPr>
                <w:t xml:space="preserve"> Harper One.</w:t>
              </w:r>
            </w:p>
            <w:p w14:paraId="43C7A147" w14:textId="77777777" w:rsidR="0046638E" w:rsidRDefault="0046638E" w:rsidP="0046638E">
              <w:pPr>
                <w:pStyle w:val="Bibliography"/>
                <w:ind w:left="720" w:hanging="720"/>
                <w:rPr>
                  <w:noProof/>
                </w:rPr>
              </w:pPr>
              <w:r>
                <w:rPr>
                  <w:noProof/>
                </w:rPr>
                <w:t xml:space="preserve">Tilley, C. (1994). </w:t>
              </w:r>
              <w:r>
                <w:rPr>
                  <w:i/>
                  <w:iCs/>
                  <w:noProof/>
                </w:rPr>
                <w:t>A Phenomenology of Landscape: Places, Paths and Landscape.</w:t>
              </w:r>
              <w:r>
                <w:rPr>
                  <w:noProof/>
                </w:rPr>
                <w:t xml:space="preserve"> Berg.</w:t>
              </w:r>
            </w:p>
            <w:p w14:paraId="5C830B7D" w14:textId="77777777" w:rsidR="0046638E" w:rsidRDefault="0046638E" w:rsidP="0046638E">
              <w:pPr>
                <w:pStyle w:val="Bibliography"/>
                <w:ind w:left="720" w:hanging="720"/>
                <w:rPr>
                  <w:noProof/>
                </w:rPr>
              </w:pPr>
              <w:r>
                <w:rPr>
                  <w:noProof/>
                </w:rPr>
                <w:t xml:space="preserve">Wong, E. (1997). </w:t>
              </w:r>
              <w:r>
                <w:rPr>
                  <w:i/>
                  <w:iCs/>
                  <w:noProof/>
                </w:rPr>
                <w:t>Taoism: An Essential Guide.</w:t>
              </w:r>
              <w:r>
                <w:rPr>
                  <w:noProof/>
                </w:rPr>
                <w:t xml:space="preserve"> Shambhala .</w:t>
              </w:r>
            </w:p>
            <w:p w14:paraId="5C13073D" w14:textId="0A232E64" w:rsidR="0046638E" w:rsidRDefault="0046638E" w:rsidP="0046638E">
              <w:r>
                <w:rPr>
                  <w:b/>
                  <w:bCs/>
                  <w:noProof/>
                </w:rPr>
                <w:fldChar w:fldCharType="end"/>
              </w:r>
            </w:p>
          </w:sdtContent>
        </w:sdt>
      </w:sdtContent>
    </w:sdt>
    <w:p w14:paraId="44D1854D" w14:textId="13BD187A" w:rsidR="000D4AAA" w:rsidRPr="008502AB" w:rsidRDefault="000D4AAA" w:rsidP="008502AB"/>
    <w:sectPr w:rsidR="000D4AAA" w:rsidRPr="008502A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7D800A" w14:textId="77777777" w:rsidR="00A14263" w:rsidRDefault="00A14263" w:rsidP="004F50CB">
      <w:pPr>
        <w:spacing w:after="0" w:line="240" w:lineRule="auto"/>
      </w:pPr>
      <w:r>
        <w:separator/>
      </w:r>
    </w:p>
  </w:endnote>
  <w:endnote w:type="continuationSeparator" w:id="0">
    <w:p w14:paraId="69C01232" w14:textId="77777777" w:rsidR="00A14263" w:rsidRDefault="00A14263" w:rsidP="004F5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00"/>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00"/>
    <w:family w:val="roman"/>
    <w:pitch w:val="variable"/>
    <w:sig w:usb0="81000003" w:usb1="00000000" w:usb2="00000000" w:usb3="00000000" w:csb0="0001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8A34B" w14:textId="77777777" w:rsidR="00A14263" w:rsidRDefault="00A14263" w:rsidP="004F50CB">
      <w:pPr>
        <w:spacing w:after="0" w:line="240" w:lineRule="auto"/>
      </w:pPr>
      <w:r>
        <w:separator/>
      </w:r>
    </w:p>
  </w:footnote>
  <w:footnote w:type="continuationSeparator" w:id="0">
    <w:p w14:paraId="49C96943" w14:textId="77777777" w:rsidR="00A14263" w:rsidRDefault="00A14263" w:rsidP="004F50CB">
      <w:pPr>
        <w:spacing w:after="0" w:line="240" w:lineRule="auto"/>
      </w:pPr>
      <w:r>
        <w:continuationSeparator/>
      </w:r>
    </w:p>
  </w:footnote>
  <w:footnote w:id="1">
    <w:p w14:paraId="0D70789C" w14:textId="456A44F1" w:rsidR="004F50CB" w:rsidRPr="00550353" w:rsidRDefault="004F50CB">
      <w:pPr>
        <w:pStyle w:val="FootnoteText"/>
        <w:rPr>
          <w:sz w:val="18"/>
          <w:szCs w:val="18"/>
        </w:rPr>
      </w:pPr>
      <w:r>
        <w:rPr>
          <w:rStyle w:val="FootnoteReference"/>
        </w:rPr>
        <w:footnoteRef/>
      </w:r>
      <w:r>
        <w:t xml:space="preserve"> </w:t>
      </w:r>
      <w:r w:rsidRPr="00550353">
        <w:rPr>
          <w:sz w:val="18"/>
          <w:szCs w:val="18"/>
        </w:rPr>
        <w:t>Mircea Eliade, “The Sacred and the Profane: The Nature of religion</w:t>
      </w:r>
      <w:r w:rsidR="00AB4B1E">
        <w:rPr>
          <w:sz w:val="18"/>
          <w:szCs w:val="18"/>
        </w:rPr>
        <w:t>”</w:t>
      </w:r>
      <w:r w:rsidRPr="00550353">
        <w:rPr>
          <w:sz w:val="18"/>
          <w:szCs w:val="18"/>
        </w:rPr>
        <w:t>, (Harper one, Harcourt press</w:t>
      </w:r>
      <w:r w:rsidR="007F263E">
        <w:rPr>
          <w:sz w:val="18"/>
          <w:szCs w:val="18"/>
        </w:rPr>
        <w:t>,</w:t>
      </w:r>
      <w:r w:rsidRPr="00550353">
        <w:rPr>
          <w:sz w:val="18"/>
          <w:szCs w:val="18"/>
        </w:rPr>
        <w:t xml:space="preserve"> 1959)</w:t>
      </w:r>
      <w:r w:rsidR="00B5794F" w:rsidRPr="00550353">
        <w:rPr>
          <w:sz w:val="18"/>
          <w:szCs w:val="18"/>
        </w:rPr>
        <w:t xml:space="preserve"> Pgs 21,23</w:t>
      </w:r>
    </w:p>
  </w:footnote>
  <w:footnote w:id="2">
    <w:p w14:paraId="1299BC19" w14:textId="6EBA8973" w:rsidR="00550353" w:rsidRPr="00550353" w:rsidRDefault="00550353" w:rsidP="00550353">
      <w:pPr>
        <w:pStyle w:val="FootnoteText"/>
        <w:rPr>
          <w:sz w:val="18"/>
          <w:szCs w:val="18"/>
        </w:rPr>
      </w:pPr>
      <w:r w:rsidRPr="00550353">
        <w:rPr>
          <w:rStyle w:val="FootnoteReference"/>
          <w:sz w:val="18"/>
          <w:szCs w:val="18"/>
        </w:rPr>
        <w:footnoteRef/>
      </w:r>
      <w:r w:rsidRPr="00550353">
        <w:rPr>
          <w:sz w:val="18"/>
          <w:szCs w:val="18"/>
        </w:rPr>
        <w:t xml:space="preserve"> Aristotle</w:t>
      </w:r>
      <w:r>
        <w:rPr>
          <w:sz w:val="18"/>
          <w:szCs w:val="18"/>
        </w:rPr>
        <w:t>,</w:t>
      </w:r>
      <w:r w:rsidRPr="00550353">
        <w:rPr>
          <w:i/>
          <w:iCs/>
          <w:sz w:val="18"/>
          <w:szCs w:val="18"/>
        </w:rPr>
        <w:t xml:space="preserve"> </w:t>
      </w:r>
      <w:r>
        <w:rPr>
          <w:sz w:val="18"/>
          <w:szCs w:val="18"/>
        </w:rPr>
        <w:t>“</w:t>
      </w:r>
      <w:r w:rsidRPr="00550353">
        <w:rPr>
          <w:sz w:val="18"/>
          <w:szCs w:val="18"/>
        </w:rPr>
        <w:t>Metaphysics</w:t>
      </w:r>
      <w:r>
        <w:rPr>
          <w:sz w:val="18"/>
          <w:szCs w:val="18"/>
        </w:rPr>
        <w:t>”</w:t>
      </w:r>
      <w:r w:rsidRPr="00550353">
        <w:rPr>
          <w:sz w:val="18"/>
          <w:szCs w:val="18"/>
        </w:rPr>
        <w:t> (H. Lawson - Tancred, Trans. Penguin Books</w:t>
      </w:r>
      <w:r w:rsidR="007F263E">
        <w:rPr>
          <w:sz w:val="18"/>
          <w:szCs w:val="18"/>
        </w:rPr>
        <w:t>,</w:t>
      </w:r>
      <w:r>
        <w:rPr>
          <w:sz w:val="18"/>
          <w:szCs w:val="18"/>
        </w:rPr>
        <w:t xml:space="preserve"> 2004</w:t>
      </w:r>
      <w:r w:rsidRPr="00550353">
        <w:rPr>
          <w:sz w:val="18"/>
          <w:szCs w:val="18"/>
        </w:rPr>
        <w:t>) Substance (ousia): Book VII (1028a–1038b) Actuality (energeia): Book IX (1045b–1051b</w:t>
      </w:r>
      <w:r w:rsidR="00963B3F">
        <w:rPr>
          <w:sz w:val="18"/>
          <w:szCs w:val="18"/>
        </w:rPr>
        <w:t>)</w:t>
      </w:r>
    </w:p>
    <w:p w14:paraId="2ED1C022" w14:textId="77777777" w:rsidR="00550353" w:rsidRDefault="00550353" w:rsidP="00550353">
      <w:pPr>
        <w:pStyle w:val="FootnoteText"/>
      </w:pPr>
    </w:p>
  </w:footnote>
  <w:footnote w:id="3">
    <w:p w14:paraId="71078ACC" w14:textId="44619F40" w:rsidR="00DC17DD" w:rsidRPr="00AB4B1E" w:rsidRDefault="00DC17DD">
      <w:pPr>
        <w:pStyle w:val="FootnoteText"/>
        <w:rPr>
          <w:sz w:val="18"/>
          <w:szCs w:val="18"/>
        </w:rPr>
      </w:pPr>
      <w:r>
        <w:rPr>
          <w:rStyle w:val="FootnoteReference"/>
        </w:rPr>
        <w:footnoteRef/>
      </w:r>
      <w:r>
        <w:t xml:space="preserve"> </w:t>
      </w:r>
      <w:r w:rsidR="00CE5FF9" w:rsidRPr="00CE5FF9">
        <w:rPr>
          <w:sz w:val="18"/>
          <w:szCs w:val="18"/>
        </w:rPr>
        <w:t>Émile Durkheim</w:t>
      </w:r>
      <w:r w:rsidR="00CE5FF9">
        <w:rPr>
          <w:sz w:val="18"/>
          <w:szCs w:val="18"/>
        </w:rPr>
        <w:t>,</w:t>
      </w:r>
      <w:r w:rsidR="00E95A95">
        <w:rPr>
          <w:sz w:val="18"/>
          <w:szCs w:val="18"/>
        </w:rPr>
        <w:t xml:space="preserve"> Karen Fields, “</w:t>
      </w:r>
      <w:r w:rsidR="00AB4B1E">
        <w:t>T</w:t>
      </w:r>
      <w:r w:rsidR="00AB4B1E" w:rsidRPr="00AB4B1E">
        <w:rPr>
          <w:sz w:val="18"/>
          <w:szCs w:val="18"/>
        </w:rPr>
        <w:t>he Elementary Forms of Religious Life</w:t>
      </w:r>
      <w:r w:rsidR="00E95A95">
        <w:rPr>
          <w:sz w:val="18"/>
          <w:szCs w:val="18"/>
        </w:rPr>
        <w:t xml:space="preserve">” </w:t>
      </w:r>
      <w:r w:rsidR="00007F6E">
        <w:rPr>
          <w:sz w:val="18"/>
          <w:szCs w:val="18"/>
        </w:rPr>
        <w:t>(The</w:t>
      </w:r>
      <w:r w:rsidR="00707FED">
        <w:rPr>
          <w:sz w:val="18"/>
          <w:szCs w:val="18"/>
        </w:rPr>
        <w:t xml:space="preserve"> Free Press, 1995) Pgs. XXX</w:t>
      </w:r>
      <w:r w:rsidR="00007F6E">
        <w:rPr>
          <w:sz w:val="18"/>
          <w:szCs w:val="18"/>
        </w:rPr>
        <w:t>II</w:t>
      </w:r>
      <w:r w:rsidR="00707FED">
        <w:rPr>
          <w:sz w:val="18"/>
          <w:szCs w:val="18"/>
        </w:rPr>
        <w:t>-XX</w:t>
      </w:r>
      <w:r w:rsidR="00007F6E">
        <w:rPr>
          <w:sz w:val="18"/>
          <w:szCs w:val="18"/>
        </w:rPr>
        <w:t>III</w:t>
      </w:r>
    </w:p>
  </w:footnote>
  <w:footnote w:id="4">
    <w:p w14:paraId="129B8CC2" w14:textId="6FF281CB" w:rsidR="00242799" w:rsidRPr="00550353" w:rsidRDefault="00242799" w:rsidP="00242799">
      <w:pPr>
        <w:pStyle w:val="FootnoteText"/>
        <w:rPr>
          <w:sz w:val="18"/>
          <w:szCs w:val="18"/>
        </w:rPr>
      </w:pPr>
      <w:r>
        <w:rPr>
          <w:rStyle w:val="FootnoteReference"/>
        </w:rPr>
        <w:footnoteRef/>
      </w:r>
      <w:r>
        <w:t xml:space="preserve"> </w:t>
      </w:r>
      <w:r w:rsidRPr="00550353">
        <w:rPr>
          <w:sz w:val="18"/>
          <w:szCs w:val="18"/>
        </w:rPr>
        <w:t>Aristotle</w:t>
      </w:r>
      <w:r>
        <w:rPr>
          <w:sz w:val="18"/>
          <w:szCs w:val="18"/>
        </w:rPr>
        <w:t>,</w:t>
      </w:r>
      <w:r w:rsidRPr="00550353">
        <w:rPr>
          <w:i/>
          <w:iCs/>
          <w:sz w:val="18"/>
          <w:szCs w:val="18"/>
        </w:rPr>
        <w:t xml:space="preserve"> </w:t>
      </w:r>
      <w:r>
        <w:rPr>
          <w:sz w:val="18"/>
          <w:szCs w:val="18"/>
        </w:rPr>
        <w:t>“</w:t>
      </w:r>
      <w:r w:rsidRPr="00550353">
        <w:rPr>
          <w:sz w:val="18"/>
          <w:szCs w:val="18"/>
        </w:rPr>
        <w:t>Metaphysics</w:t>
      </w:r>
      <w:r>
        <w:rPr>
          <w:sz w:val="18"/>
          <w:szCs w:val="18"/>
        </w:rPr>
        <w:t>”</w:t>
      </w:r>
      <w:r w:rsidRPr="00550353">
        <w:rPr>
          <w:sz w:val="18"/>
          <w:szCs w:val="18"/>
        </w:rPr>
        <w:t> (H. Lawson - Tancred, Trans. Penguin Books</w:t>
      </w:r>
      <w:r w:rsidR="007F263E">
        <w:rPr>
          <w:sz w:val="18"/>
          <w:szCs w:val="18"/>
        </w:rPr>
        <w:t>,</w:t>
      </w:r>
      <w:r>
        <w:rPr>
          <w:sz w:val="18"/>
          <w:szCs w:val="18"/>
        </w:rPr>
        <w:t xml:space="preserve"> 2004</w:t>
      </w:r>
      <w:r w:rsidRPr="00550353">
        <w:rPr>
          <w:sz w:val="18"/>
          <w:szCs w:val="18"/>
        </w:rPr>
        <w:t>.) Substance (ousia): Book VII (1028a–1038b) Actuality (energeia): Book IX (104</w:t>
      </w:r>
      <w:r w:rsidR="005D2FDC">
        <w:rPr>
          <w:sz w:val="18"/>
          <w:szCs w:val="18"/>
        </w:rPr>
        <w:t>8a</w:t>
      </w:r>
      <w:r w:rsidRPr="00550353">
        <w:rPr>
          <w:sz w:val="18"/>
          <w:szCs w:val="18"/>
        </w:rPr>
        <w:t>–10</w:t>
      </w:r>
      <w:r w:rsidR="005D2FDC">
        <w:rPr>
          <w:sz w:val="18"/>
          <w:szCs w:val="18"/>
        </w:rPr>
        <w:t>49</w:t>
      </w:r>
      <w:r w:rsidRPr="00550353">
        <w:rPr>
          <w:sz w:val="18"/>
          <w:szCs w:val="18"/>
        </w:rPr>
        <w:t>b</w:t>
      </w:r>
      <w:r>
        <w:rPr>
          <w:sz w:val="18"/>
          <w:szCs w:val="18"/>
        </w:rPr>
        <w:t>)</w:t>
      </w:r>
    </w:p>
    <w:p w14:paraId="797186C4" w14:textId="7473A0D3" w:rsidR="00242799" w:rsidRDefault="00242799">
      <w:pPr>
        <w:pStyle w:val="FootnoteText"/>
      </w:pPr>
    </w:p>
  </w:footnote>
  <w:footnote w:id="5">
    <w:p w14:paraId="3BA464D2" w14:textId="77777777" w:rsidR="003A3881" w:rsidRPr="007F263E" w:rsidRDefault="003A3881" w:rsidP="003A3881">
      <w:pPr>
        <w:pStyle w:val="FootnoteText"/>
        <w:rPr>
          <w:sz w:val="18"/>
          <w:szCs w:val="18"/>
        </w:rPr>
      </w:pPr>
      <w:r>
        <w:rPr>
          <w:rStyle w:val="FootnoteReference"/>
        </w:rPr>
        <w:footnoteRef/>
      </w:r>
      <w:r>
        <w:t xml:space="preserve"> </w:t>
      </w:r>
      <w:r w:rsidRPr="007F263E">
        <w:rPr>
          <w:sz w:val="18"/>
          <w:szCs w:val="18"/>
        </w:rPr>
        <w:t>Christopher Tilley, “A Phenomenology of Landscape: Places, Paths, and Monuments.” (Berg,1994) Pgs</w:t>
      </w:r>
      <w:r>
        <w:rPr>
          <w:sz w:val="18"/>
          <w:szCs w:val="18"/>
        </w:rPr>
        <w:t>.</w:t>
      </w:r>
      <w:r w:rsidRPr="007F263E">
        <w:rPr>
          <w:sz w:val="18"/>
          <w:szCs w:val="18"/>
        </w:rPr>
        <w:t xml:space="preserve"> 12-28</w:t>
      </w:r>
    </w:p>
  </w:footnote>
  <w:footnote w:id="6">
    <w:p w14:paraId="1B31F173" w14:textId="77777777" w:rsidR="00186AE3" w:rsidRDefault="00186AE3" w:rsidP="00186AE3">
      <w:pPr>
        <w:pStyle w:val="FootnoteText"/>
      </w:pPr>
      <w:r w:rsidRPr="007F263E">
        <w:rPr>
          <w:rStyle w:val="FootnoteReference"/>
          <w:sz w:val="18"/>
          <w:szCs w:val="18"/>
        </w:rPr>
        <w:footnoteRef/>
      </w:r>
      <w:r w:rsidRPr="007F263E">
        <w:rPr>
          <w:sz w:val="18"/>
          <w:szCs w:val="18"/>
        </w:rPr>
        <w:t xml:space="preserve"> Barbara Bender, “</w:t>
      </w:r>
      <w:r>
        <w:rPr>
          <w:sz w:val="18"/>
          <w:szCs w:val="18"/>
        </w:rPr>
        <w:t>S</w:t>
      </w:r>
      <w:r w:rsidRPr="007F263E">
        <w:rPr>
          <w:sz w:val="18"/>
          <w:szCs w:val="18"/>
        </w:rPr>
        <w:t>tonehenge: Making Space (Oxford, Berg, 1998)</w:t>
      </w:r>
      <w:r>
        <w:rPr>
          <w:sz w:val="18"/>
          <w:szCs w:val="18"/>
        </w:rPr>
        <w:t xml:space="preserve"> Pgs.100-120</w:t>
      </w:r>
    </w:p>
  </w:footnote>
  <w:footnote w:id="7">
    <w:p w14:paraId="5FC3BC75" w14:textId="77777777" w:rsidR="00AE49D8" w:rsidRPr="00F802DA" w:rsidRDefault="00AE49D8" w:rsidP="00AE49D8">
      <w:pPr>
        <w:pStyle w:val="FootnoteText"/>
        <w:rPr>
          <w:sz w:val="18"/>
          <w:szCs w:val="18"/>
        </w:rPr>
      </w:pPr>
      <w:r>
        <w:rPr>
          <w:rStyle w:val="FootnoteReference"/>
        </w:rPr>
        <w:footnoteRef/>
      </w:r>
      <w:r>
        <w:t xml:space="preserve"> </w:t>
      </w:r>
      <w:r w:rsidRPr="00F802DA">
        <w:rPr>
          <w:sz w:val="18"/>
          <w:szCs w:val="18"/>
        </w:rPr>
        <w:t>Eva Wong, “Taoism</w:t>
      </w:r>
      <w:r>
        <w:rPr>
          <w:sz w:val="18"/>
          <w:szCs w:val="18"/>
        </w:rPr>
        <w:t>:</w:t>
      </w:r>
      <w:r w:rsidRPr="00F802DA">
        <w:rPr>
          <w:sz w:val="18"/>
          <w:szCs w:val="18"/>
        </w:rPr>
        <w:t xml:space="preserve"> An Essential Guide</w:t>
      </w:r>
      <w:r>
        <w:rPr>
          <w:sz w:val="18"/>
          <w:szCs w:val="18"/>
        </w:rPr>
        <w:t xml:space="preserve"> </w:t>
      </w:r>
      <w:r w:rsidRPr="00F802DA">
        <w:rPr>
          <w:sz w:val="18"/>
          <w:szCs w:val="18"/>
        </w:rPr>
        <w:t>(Shambhala Press, 2011)</w:t>
      </w:r>
      <w:r>
        <w:rPr>
          <w:sz w:val="18"/>
          <w:szCs w:val="18"/>
        </w:rPr>
        <w:t xml:space="preserve"> Pgs12-28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91019"/>
    <w:multiLevelType w:val="hybridMultilevel"/>
    <w:tmpl w:val="8DF46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B40971"/>
    <w:multiLevelType w:val="hybridMultilevel"/>
    <w:tmpl w:val="E0CEB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8D4A0F"/>
    <w:multiLevelType w:val="hybridMultilevel"/>
    <w:tmpl w:val="BC2A3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8F21B2"/>
    <w:multiLevelType w:val="hybridMultilevel"/>
    <w:tmpl w:val="A50E9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355B7C"/>
    <w:multiLevelType w:val="hybridMultilevel"/>
    <w:tmpl w:val="F8988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5144D7"/>
    <w:multiLevelType w:val="hybridMultilevel"/>
    <w:tmpl w:val="6A42C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086754"/>
    <w:multiLevelType w:val="hybridMultilevel"/>
    <w:tmpl w:val="9DE62B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2A539A1"/>
    <w:multiLevelType w:val="multilevel"/>
    <w:tmpl w:val="1BBA2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346DC6"/>
    <w:multiLevelType w:val="hybridMultilevel"/>
    <w:tmpl w:val="4462C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DB0B38"/>
    <w:multiLevelType w:val="hybridMultilevel"/>
    <w:tmpl w:val="171E1F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AC4094"/>
    <w:multiLevelType w:val="hybridMultilevel"/>
    <w:tmpl w:val="3F84F9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8C3FD6"/>
    <w:multiLevelType w:val="hybridMultilevel"/>
    <w:tmpl w:val="8AE86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3826714">
    <w:abstractNumId w:val="3"/>
  </w:num>
  <w:num w:numId="2" w16cid:durableId="448819242">
    <w:abstractNumId w:val="6"/>
  </w:num>
  <w:num w:numId="3" w16cid:durableId="489833515">
    <w:abstractNumId w:val="9"/>
  </w:num>
  <w:num w:numId="4" w16cid:durableId="1148860028">
    <w:abstractNumId w:val="10"/>
  </w:num>
  <w:num w:numId="5" w16cid:durableId="75785433">
    <w:abstractNumId w:val="1"/>
  </w:num>
  <w:num w:numId="6" w16cid:durableId="1087850108">
    <w:abstractNumId w:val="5"/>
  </w:num>
  <w:num w:numId="7" w16cid:durableId="142744939">
    <w:abstractNumId w:val="4"/>
  </w:num>
  <w:num w:numId="8" w16cid:durableId="1748189736">
    <w:abstractNumId w:val="2"/>
  </w:num>
  <w:num w:numId="9" w16cid:durableId="450364976">
    <w:abstractNumId w:val="0"/>
  </w:num>
  <w:num w:numId="10" w16cid:durableId="310139395">
    <w:abstractNumId w:val="8"/>
  </w:num>
  <w:num w:numId="11" w16cid:durableId="716777097">
    <w:abstractNumId w:val="11"/>
  </w:num>
  <w:num w:numId="12" w16cid:durableId="10812969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C04"/>
    <w:rsid w:val="00007F6E"/>
    <w:rsid w:val="00031D0A"/>
    <w:rsid w:val="00035BEE"/>
    <w:rsid w:val="0004677D"/>
    <w:rsid w:val="000471AC"/>
    <w:rsid w:val="000634DB"/>
    <w:rsid w:val="00065F59"/>
    <w:rsid w:val="00082535"/>
    <w:rsid w:val="00093005"/>
    <w:rsid w:val="000A00DC"/>
    <w:rsid w:val="000C16E4"/>
    <w:rsid w:val="000C619C"/>
    <w:rsid w:val="000D4AAA"/>
    <w:rsid w:val="000E051D"/>
    <w:rsid w:val="000F3D18"/>
    <w:rsid w:val="00107911"/>
    <w:rsid w:val="001374F9"/>
    <w:rsid w:val="00186AE3"/>
    <w:rsid w:val="0019440A"/>
    <w:rsid w:val="001A4D8B"/>
    <w:rsid w:val="001C18EC"/>
    <w:rsid w:val="001F31F2"/>
    <w:rsid w:val="00216FD1"/>
    <w:rsid w:val="00223EC5"/>
    <w:rsid w:val="0023771E"/>
    <w:rsid w:val="00242799"/>
    <w:rsid w:val="0026630F"/>
    <w:rsid w:val="0026665A"/>
    <w:rsid w:val="00274F1C"/>
    <w:rsid w:val="002779F7"/>
    <w:rsid w:val="002B0B66"/>
    <w:rsid w:val="00354C04"/>
    <w:rsid w:val="00372102"/>
    <w:rsid w:val="00380932"/>
    <w:rsid w:val="003861E1"/>
    <w:rsid w:val="00390077"/>
    <w:rsid w:val="003948CD"/>
    <w:rsid w:val="003A3881"/>
    <w:rsid w:val="003A49BA"/>
    <w:rsid w:val="003D6AA7"/>
    <w:rsid w:val="003F2B3E"/>
    <w:rsid w:val="003F436E"/>
    <w:rsid w:val="00460406"/>
    <w:rsid w:val="00462D80"/>
    <w:rsid w:val="0046638E"/>
    <w:rsid w:val="004D20C4"/>
    <w:rsid w:val="004E7D2B"/>
    <w:rsid w:val="004F50CB"/>
    <w:rsid w:val="00550353"/>
    <w:rsid w:val="00552E68"/>
    <w:rsid w:val="00570AFB"/>
    <w:rsid w:val="00592B65"/>
    <w:rsid w:val="005D2846"/>
    <w:rsid w:val="005D2FDC"/>
    <w:rsid w:val="005E110C"/>
    <w:rsid w:val="005E3ADF"/>
    <w:rsid w:val="005F6996"/>
    <w:rsid w:val="006321E3"/>
    <w:rsid w:val="0066584B"/>
    <w:rsid w:val="006A5C9C"/>
    <w:rsid w:val="006D198C"/>
    <w:rsid w:val="006D1CA1"/>
    <w:rsid w:val="006E1635"/>
    <w:rsid w:val="00707FED"/>
    <w:rsid w:val="00712A03"/>
    <w:rsid w:val="007217E5"/>
    <w:rsid w:val="007360C9"/>
    <w:rsid w:val="0074000F"/>
    <w:rsid w:val="007431C0"/>
    <w:rsid w:val="00747C72"/>
    <w:rsid w:val="007514D0"/>
    <w:rsid w:val="00760EAB"/>
    <w:rsid w:val="007B2EA4"/>
    <w:rsid w:val="007E6C21"/>
    <w:rsid w:val="007F263E"/>
    <w:rsid w:val="0080087A"/>
    <w:rsid w:val="0080427D"/>
    <w:rsid w:val="00813FC4"/>
    <w:rsid w:val="00817B00"/>
    <w:rsid w:val="008224A7"/>
    <w:rsid w:val="00841F36"/>
    <w:rsid w:val="008502AB"/>
    <w:rsid w:val="00861108"/>
    <w:rsid w:val="008729B0"/>
    <w:rsid w:val="008A5C0A"/>
    <w:rsid w:val="008D35D6"/>
    <w:rsid w:val="008E2616"/>
    <w:rsid w:val="00900879"/>
    <w:rsid w:val="00963B3F"/>
    <w:rsid w:val="00995A9F"/>
    <w:rsid w:val="009D22D0"/>
    <w:rsid w:val="009D2560"/>
    <w:rsid w:val="009E6034"/>
    <w:rsid w:val="00A1041D"/>
    <w:rsid w:val="00A14263"/>
    <w:rsid w:val="00A22B4C"/>
    <w:rsid w:val="00A35D97"/>
    <w:rsid w:val="00A40DBE"/>
    <w:rsid w:val="00A712C4"/>
    <w:rsid w:val="00A809B5"/>
    <w:rsid w:val="00AA2A68"/>
    <w:rsid w:val="00AA68D7"/>
    <w:rsid w:val="00AB4B1E"/>
    <w:rsid w:val="00AE49D8"/>
    <w:rsid w:val="00B242F2"/>
    <w:rsid w:val="00B44E77"/>
    <w:rsid w:val="00B5794F"/>
    <w:rsid w:val="00B750B9"/>
    <w:rsid w:val="00B77D78"/>
    <w:rsid w:val="00B84840"/>
    <w:rsid w:val="00BA23EE"/>
    <w:rsid w:val="00BD26DE"/>
    <w:rsid w:val="00BD4486"/>
    <w:rsid w:val="00BE0687"/>
    <w:rsid w:val="00C20825"/>
    <w:rsid w:val="00C23874"/>
    <w:rsid w:val="00C2524D"/>
    <w:rsid w:val="00C30D18"/>
    <w:rsid w:val="00C31921"/>
    <w:rsid w:val="00C55FC1"/>
    <w:rsid w:val="00C8133F"/>
    <w:rsid w:val="00CC3CB6"/>
    <w:rsid w:val="00CE5FF9"/>
    <w:rsid w:val="00D14887"/>
    <w:rsid w:val="00D24F19"/>
    <w:rsid w:val="00DA7B6C"/>
    <w:rsid w:val="00DB7B93"/>
    <w:rsid w:val="00DC17DD"/>
    <w:rsid w:val="00DF1B6B"/>
    <w:rsid w:val="00E33EDB"/>
    <w:rsid w:val="00E36570"/>
    <w:rsid w:val="00E47264"/>
    <w:rsid w:val="00E91F21"/>
    <w:rsid w:val="00E95A95"/>
    <w:rsid w:val="00F26DB1"/>
    <w:rsid w:val="00F3389D"/>
    <w:rsid w:val="00F418EF"/>
    <w:rsid w:val="00F802DA"/>
    <w:rsid w:val="00FA3605"/>
    <w:rsid w:val="00FC2A0D"/>
    <w:rsid w:val="00FC3CFA"/>
    <w:rsid w:val="00FE0EF3"/>
    <w:rsid w:val="00FF4F94"/>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7BAB9"/>
  <w15:chartTrackingRefBased/>
  <w15:docId w15:val="{066EB652-2A63-4AEC-978B-35A30EA6E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C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54C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C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C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C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C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C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C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C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C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54C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C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C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C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C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C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C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C04"/>
    <w:rPr>
      <w:rFonts w:eastAsiaTheme="majorEastAsia" w:cstheme="majorBidi"/>
      <w:color w:val="272727" w:themeColor="text1" w:themeTint="D8"/>
    </w:rPr>
  </w:style>
  <w:style w:type="paragraph" w:styleId="Title">
    <w:name w:val="Title"/>
    <w:basedOn w:val="Normal"/>
    <w:next w:val="Normal"/>
    <w:link w:val="TitleChar"/>
    <w:uiPriority w:val="10"/>
    <w:qFormat/>
    <w:rsid w:val="00354C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C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C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C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C04"/>
    <w:pPr>
      <w:spacing w:before="160"/>
      <w:jc w:val="center"/>
    </w:pPr>
    <w:rPr>
      <w:i/>
      <w:iCs/>
      <w:color w:val="404040" w:themeColor="text1" w:themeTint="BF"/>
    </w:rPr>
  </w:style>
  <w:style w:type="character" w:customStyle="1" w:styleId="QuoteChar">
    <w:name w:val="Quote Char"/>
    <w:basedOn w:val="DefaultParagraphFont"/>
    <w:link w:val="Quote"/>
    <w:uiPriority w:val="29"/>
    <w:rsid w:val="00354C04"/>
    <w:rPr>
      <w:i/>
      <w:iCs/>
      <w:color w:val="404040" w:themeColor="text1" w:themeTint="BF"/>
    </w:rPr>
  </w:style>
  <w:style w:type="paragraph" w:styleId="ListParagraph">
    <w:name w:val="List Paragraph"/>
    <w:basedOn w:val="Normal"/>
    <w:uiPriority w:val="34"/>
    <w:qFormat/>
    <w:rsid w:val="00354C04"/>
    <w:pPr>
      <w:ind w:left="720"/>
      <w:contextualSpacing/>
    </w:pPr>
  </w:style>
  <w:style w:type="character" w:styleId="IntenseEmphasis">
    <w:name w:val="Intense Emphasis"/>
    <w:basedOn w:val="DefaultParagraphFont"/>
    <w:uiPriority w:val="21"/>
    <w:qFormat/>
    <w:rsid w:val="00354C04"/>
    <w:rPr>
      <w:i/>
      <w:iCs/>
      <w:color w:val="0F4761" w:themeColor="accent1" w:themeShade="BF"/>
    </w:rPr>
  </w:style>
  <w:style w:type="paragraph" w:styleId="IntenseQuote">
    <w:name w:val="Intense Quote"/>
    <w:basedOn w:val="Normal"/>
    <w:next w:val="Normal"/>
    <w:link w:val="IntenseQuoteChar"/>
    <w:uiPriority w:val="30"/>
    <w:qFormat/>
    <w:rsid w:val="00354C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C04"/>
    <w:rPr>
      <w:i/>
      <w:iCs/>
      <w:color w:val="0F4761" w:themeColor="accent1" w:themeShade="BF"/>
    </w:rPr>
  </w:style>
  <w:style w:type="character" w:styleId="IntenseReference">
    <w:name w:val="Intense Reference"/>
    <w:basedOn w:val="DefaultParagraphFont"/>
    <w:uiPriority w:val="32"/>
    <w:qFormat/>
    <w:rsid w:val="00354C04"/>
    <w:rPr>
      <w:b/>
      <w:bCs/>
      <w:smallCaps/>
      <w:color w:val="0F4761" w:themeColor="accent1" w:themeShade="BF"/>
      <w:spacing w:val="5"/>
    </w:rPr>
  </w:style>
  <w:style w:type="paragraph" w:styleId="EndnoteText">
    <w:name w:val="endnote text"/>
    <w:basedOn w:val="Normal"/>
    <w:link w:val="EndnoteTextChar"/>
    <w:uiPriority w:val="99"/>
    <w:semiHidden/>
    <w:unhideWhenUsed/>
    <w:rsid w:val="004F50C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F50CB"/>
    <w:rPr>
      <w:sz w:val="20"/>
      <w:szCs w:val="20"/>
    </w:rPr>
  </w:style>
  <w:style w:type="character" w:styleId="EndnoteReference">
    <w:name w:val="endnote reference"/>
    <w:basedOn w:val="DefaultParagraphFont"/>
    <w:uiPriority w:val="99"/>
    <w:semiHidden/>
    <w:unhideWhenUsed/>
    <w:rsid w:val="004F50CB"/>
    <w:rPr>
      <w:vertAlign w:val="superscript"/>
    </w:rPr>
  </w:style>
  <w:style w:type="paragraph" w:styleId="FootnoteText">
    <w:name w:val="footnote text"/>
    <w:basedOn w:val="Normal"/>
    <w:link w:val="FootnoteTextChar"/>
    <w:uiPriority w:val="99"/>
    <w:semiHidden/>
    <w:unhideWhenUsed/>
    <w:rsid w:val="004F50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50CB"/>
    <w:rPr>
      <w:sz w:val="20"/>
      <w:szCs w:val="20"/>
    </w:rPr>
  </w:style>
  <w:style w:type="character" w:styleId="FootnoteReference">
    <w:name w:val="footnote reference"/>
    <w:basedOn w:val="DefaultParagraphFont"/>
    <w:uiPriority w:val="99"/>
    <w:semiHidden/>
    <w:unhideWhenUsed/>
    <w:rsid w:val="004F50CB"/>
    <w:rPr>
      <w:vertAlign w:val="superscript"/>
    </w:rPr>
  </w:style>
  <w:style w:type="paragraph" w:styleId="NormalWeb">
    <w:name w:val="Normal (Web)"/>
    <w:basedOn w:val="Normal"/>
    <w:uiPriority w:val="99"/>
    <w:unhideWhenUsed/>
    <w:rsid w:val="00D24F19"/>
    <w:pPr>
      <w:spacing w:before="100" w:beforeAutospacing="1" w:after="100" w:afterAutospacing="1" w:line="240" w:lineRule="auto"/>
    </w:pPr>
    <w:rPr>
      <w:rFonts w:ascii="Georgia" w:eastAsia="SimSun" w:hAnsi="Georgia" w:cs="Times New Roman"/>
      <w:color w:val="000000"/>
      <w:kern w:val="0"/>
      <w:sz w:val="21"/>
      <w:szCs w:val="21"/>
      <w:lang w:val="en-GB"/>
      <w14:ligatures w14:val="none"/>
    </w:rPr>
  </w:style>
  <w:style w:type="paragraph" w:styleId="Bibliography">
    <w:name w:val="Bibliography"/>
    <w:basedOn w:val="Normal"/>
    <w:next w:val="Normal"/>
    <w:uiPriority w:val="37"/>
    <w:unhideWhenUsed/>
    <w:rsid w:val="0046638E"/>
  </w:style>
  <w:style w:type="character" w:styleId="Hyperlink">
    <w:name w:val="Hyperlink"/>
    <w:basedOn w:val="DefaultParagraphFont"/>
    <w:uiPriority w:val="99"/>
    <w:unhideWhenUsed/>
    <w:rsid w:val="005D2846"/>
    <w:rPr>
      <w:color w:val="467886" w:themeColor="hyperlink"/>
      <w:u w:val="single"/>
    </w:rPr>
  </w:style>
  <w:style w:type="character" w:styleId="UnresolvedMention">
    <w:name w:val="Unresolved Mention"/>
    <w:basedOn w:val="DefaultParagraphFont"/>
    <w:uiPriority w:val="99"/>
    <w:semiHidden/>
    <w:unhideWhenUsed/>
    <w:rsid w:val="005D28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5162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32%34%31%3894%30@%73%74%75%64%65n%74%2e%75%77%74sd.a%63%2e%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Tra98</b:Tag>
    <b:SourceType>BookSection</b:SourceType>
    <b:Guid>{AA0C114D-83DF-45DC-8D09-D3D13808D8A3}</b:Guid>
    <b:Year>1998</b:Year>
    <b:Author>
      <b:Author>
        <b:NameList>
          <b:Person>
            <b:Last>Asristotle</b:Last>
          </b:Person>
        </b:NameList>
      </b:Author>
      <b:BookAuthor>
        <b:NameList>
          <b:Person>
            <b:Last>Lawson-Tancred</b:Last>
            <b:First>Translated</b:First>
            <b:Middle>by Hugh</b:Middle>
          </b:Person>
        </b:NameList>
      </b:BookAuthor>
    </b:Author>
    <b:BookTitle>Metaphysics</b:BookTitle>
    <b:Publisher>Penguin Books</b:Publisher>
    <b:RefOrder>1</b:RefOrder>
  </b:Source>
  <b:Source>
    <b:Tag>Eli59</b:Tag>
    <b:SourceType>BookSection</b:SourceType>
    <b:Guid>{F5C8A4FA-712D-45B9-BFED-584C2F8DF9E4}</b:Guid>
    <b:BookTitle>The Sacred and the Profane: The Nature of Religion</b:BookTitle>
    <b:Year>1959</b:Year>
    <b:Publisher>Harper One</b:Publisher>
    <b:Author>
      <b:Author>
        <b:NameList>
          <b:Person>
            <b:Last>Eliade</b:Last>
            <b:First>Mircea</b:First>
          </b:Person>
        </b:NameList>
      </b:Author>
      <b:BookAuthor>
        <b:NameList>
          <b:Person>
            <b:Last>Trask</b:Last>
            <b:First>Translated</b:First>
            <b:Middle>by Willard R.</b:Middle>
          </b:Person>
        </b:NameList>
      </b:BookAuthor>
    </b:Author>
    <b:RefOrder>2</b:RefOrder>
  </b:Source>
  <b:Source>
    <b:Tag>Emi95</b:Tag>
    <b:SourceType>BookSection</b:SourceType>
    <b:Guid>{7DB50DF7-C2AA-4170-8C7C-3618F579122A}</b:Guid>
    <b:Author>
      <b:Author>
        <b:NameList>
          <b:Person>
            <b:Last>Durkheim</b:Last>
            <b:First>Emile</b:First>
          </b:Person>
        </b:NameList>
      </b:Author>
      <b:BookAuthor>
        <b:NameList>
          <b:Person>
            <b:Last>Fields</b:Last>
            <b:First>translated</b:First>
            <b:Middle>by Karen E.</b:Middle>
          </b:Person>
        </b:NameList>
      </b:BookAuthor>
    </b:Author>
    <b:BookTitle>The Elementary Forms of Religious Life</b:BookTitle>
    <b:Year>1995</b:Year>
    <b:Publisher>Free Press</b:Publisher>
    <b:RefOrder>3</b:RefOrder>
  </b:Source>
  <b:Source>
    <b:Tag>Bar98</b:Tag>
    <b:SourceType>Book</b:SourceType>
    <b:Guid>{A086AA32-BE5C-40B3-B4F8-0BDB2D32A2AA}</b:Guid>
    <b:Title>Stonehenge: Making Space </b:Title>
    <b:Year>1998</b:Year>
    <b:Publisher>Berg</b:Publisher>
    <b:Author>
      <b:Author>
        <b:NameList>
          <b:Person>
            <b:Last>Bender</b:Last>
            <b:First>Barbara</b:First>
          </b:Person>
        </b:NameList>
      </b:Author>
    </b:Author>
    <b:RefOrder>4</b:RefOrder>
  </b:Source>
  <b:Source>
    <b:Tag>Chr94</b:Tag>
    <b:SourceType>Book</b:SourceType>
    <b:Guid>{8CE44BE8-794F-4BE1-89CD-4D4BD1A30E09}</b:Guid>
    <b:Author>
      <b:Author>
        <b:NameList>
          <b:Person>
            <b:Last>Tilley</b:Last>
            <b:First>Christopher</b:First>
          </b:Person>
        </b:NameList>
      </b:Author>
    </b:Author>
    <b:Title>A Phenomenology of Landscape: Places, Paths and Landscape</b:Title>
    <b:Year>1994</b:Year>
    <b:Publisher>Berg</b:Publisher>
    <b:RefOrder>5</b:RefOrder>
  </b:Source>
  <b:Source>
    <b:Tag>Eva97</b:Tag>
    <b:SourceType>Book</b:SourceType>
    <b:Guid>{11A7E24A-01CD-49E1-9DD3-CED2FECCA55F}</b:Guid>
    <b:Author>
      <b:Author>
        <b:NameList>
          <b:Person>
            <b:Last>Wong</b:Last>
            <b:First>Eva</b:First>
          </b:Person>
        </b:NameList>
      </b:Author>
    </b:Author>
    <b:Title>Taoism: An Essential Guide</b:Title>
    <b:Year>1997</b:Year>
    <b:Publisher>Shambhala </b:Publisher>
    <b:RefOrder>6</b:RefOrder>
  </b:Source>
</b:Sources>
</file>

<file path=customXml/itemProps1.xml><?xml version="1.0" encoding="utf-8"?>
<ds:datastoreItem xmlns:ds="http://schemas.openxmlformats.org/officeDocument/2006/customXml" ds:itemID="{B468264F-2996-41FF-8787-E9AD60BE1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1803</TotalTime>
  <Pages>9</Pages>
  <Words>2519</Words>
  <Characters>15039</Characters>
  <Application>Microsoft Office Word</Application>
  <DocSecurity>0</DocSecurity>
  <Lines>319</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Ibrahim</dc:creator>
  <cp:keywords/>
  <dc:description/>
  <cp:lastModifiedBy>Grace Ibrahim</cp:lastModifiedBy>
  <cp:revision>118</cp:revision>
  <dcterms:created xsi:type="dcterms:W3CDTF">2025-11-12T12:52:00Z</dcterms:created>
  <dcterms:modified xsi:type="dcterms:W3CDTF">2025-11-13T19:12:00Z</dcterms:modified>
</cp:coreProperties>
</file>