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E60C59" w14:textId="77777777" w:rsidR="007979F1" w:rsidRPr="007F2863" w:rsidRDefault="007979F1" w:rsidP="002E3FE7">
      <w:pPr>
        <w:jc w:val="center"/>
        <w:rPr>
          <w:i/>
          <w:u w:val="single"/>
        </w:rPr>
      </w:pPr>
      <w:r w:rsidRPr="007F2863">
        <w:rPr>
          <w:i/>
          <w:u w:val="single"/>
        </w:rPr>
        <w:t>Chapter review and application to Egypt</w:t>
      </w:r>
      <w:r w:rsidR="007F2863">
        <w:rPr>
          <w:i/>
          <w:u w:val="single"/>
        </w:rPr>
        <w:t>.</w:t>
      </w:r>
    </w:p>
    <w:p w14:paraId="5BD0EF9D" w14:textId="77777777" w:rsidR="002C4D4D" w:rsidRDefault="002C4D4D"/>
    <w:p w14:paraId="096E2428" w14:textId="77777777" w:rsidR="002C4D4D" w:rsidRDefault="002C4D4D"/>
    <w:p w14:paraId="40230CF8" w14:textId="77777777" w:rsidR="006416BA" w:rsidRDefault="006416BA"/>
    <w:p w14:paraId="35BEDA2D" w14:textId="77777777" w:rsidR="000F6264" w:rsidRDefault="000F6264"/>
    <w:p w14:paraId="75C4B3A1" w14:textId="77777777" w:rsidR="00CE00DB" w:rsidRDefault="00CE00DB"/>
    <w:p w14:paraId="2EB7BBA3" w14:textId="3FFF62DA" w:rsidR="003343C9" w:rsidRDefault="005565AE">
      <w:r>
        <w:t xml:space="preserve">This </w:t>
      </w:r>
      <w:r w:rsidR="00004973">
        <w:t xml:space="preserve">essay discusses a chapter review while applying its content to the culture of ancient Egypt. </w:t>
      </w:r>
      <w:r w:rsidR="00B45150">
        <w:t xml:space="preserve">The chapter </w:t>
      </w:r>
      <w:r w:rsidR="00856789">
        <w:t>is taken from the book</w:t>
      </w:r>
      <w:r w:rsidR="001D54BE">
        <w:t xml:space="preserve"> ‘Ancient Complex Societies’, written by </w:t>
      </w:r>
      <w:r w:rsidR="00EC15E4">
        <w:t xml:space="preserve">Jennifer C. Ross and Sharon R. </w:t>
      </w:r>
      <w:proofErr w:type="spellStart"/>
      <w:r w:rsidR="00EC15E4">
        <w:t>Steadman</w:t>
      </w:r>
      <w:proofErr w:type="spellEnd"/>
      <w:r w:rsidR="00EC15E4">
        <w:t>.</w:t>
      </w:r>
      <w:r w:rsidR="00FB143B">
        <w:t xml:space="preserve"> </w:t>
      </w:r>
    </w:p>
    <w:p w14:paraId="41A54F54" w14:textId="77777777" w:rsidR="00EC15E4" w:rsidRDefault="00EC15E4"/>
    <w:p w14:paraId="025C9CAC" w14:textId="583706A9" w:rsidR="00D5161E" w:rsidRDefault="003343C9">
      <w:r>
        <w:t xml:space="preserve">The </w:t>
      </w:r>
      <w:r w:rsidR="0067348B">
        <w:t xml:space="preserve">title </w:t>
      </w:r>
      <w:r w:rsidR="004B7945">
        <w:t>‘</w:t>
      </w:r>
      <w:r w:rsidR="0067348B">
        <w:t>Human Cultural Institutions</w:t>
      </w:r>
      <w:r w:rsidR="00AD328B">
        <w:t xml:space="preserve">: </w:t>
      </w:r>
      <w:r w:rsidR="0067348B">
        <w:t>Critical Elements in Complex Society</w:t>
      </w:r>
      <w:r w:rsidR="004B7945">
        <w:t>’</w:t>
      </w:r>
      <w:r w:rsidR="00AD328B">
        <w:t xml:space="preserve">. This links </w:t>
      </w:r>
      <w:r w:rsidR="00A70BA2">
        <w:t xml:space="preserve">back to the </w:t>
      </w:r>
      <w:r w:rsidR="00ED0A76">
        <w:t xml:space="preserve">title of the book, ‘Ancient Complex Societies’, </w:t>
      </w:r>
      <w:r w:rsidR="00D41B43">
        <w:t xml:space="preserve">with the critical elements </w:t>
      </w:r>
      <w:r w:rsidR="00397AA0">
        <w:t xml:space="preserve">being </w:t>
      </w:r>
      <w:r w:rsidR="00FA6F4E">
        <w:t>the subheadings in the chapter.</w:t>
      </w:r>
    </w:p>
    <w:p w14:paraId="6101804E" w14:textId="6F03B9E4" w:rsidR="00525CC5" w:rsidRDefault="00525CC5"/>
    <w:p w14:paraId="58A4D828" w14:textId="649DF407" w:rsidR="001313E9" w:rsidRDefault="001313E9">
      <w:r>
        <w:t>The chapter is introduced by</w:t>
      </w:r>
      <w:r w:rsidR="00B4624A">
        <w:t xml:space="preserve"> explaining the authors’ definition of cultural institutions as it is stated in the chapter title. It describes how the chapter will evaluate the societal institutions in reference to ancient civilisations</w:t>
      </w:r>
      <w:r w:rsidR="00B4624A">
        <w:rPr>
          <w:rStyle w:val="FootnoteReference"/>
        </w:rPr>
        <w:footnoteReference w:id="1"/>
      </w:r>
      <w:r w:rsidR="00B4624A">
        <w:t>.</w:t>
      </w:r>
    </w:p>
    <w:p w14:paraId="118B8BAC" w14:textId="77777777" w:rsidR="00B4624A" w:rsidRDefault="00B4624A"/>
    <w:p w14:paraId="6FCFEDCC" w14:textId="6198CDE5" w:rsidR="0099485D" w:rsidRDefault="002C4D4D" w:rsidP="008154B1">
      <w:r>
        <w:t xml:space="preserve">The authors </w:t>
      </w:r>
      <w:r w:rsidR="0099485D">
        <w:t xml:space="preserve">describe </w:t>
      </w:r>
      <w:r w:rsidR="009A7D6C">
        <w:t xml:space="preserve">the importance of kinship relationships and their </w:t>
      </w:r>
      <w:r w:rsidR="008F7D5F">
        <w:t xml:space="preserve">effect on </w:t>
      </w:r>
      <w:r w:rsidR="00934D0F">
        <w:t>power, etc., in complex societies compared with less complex ones</w:t>
      </w:r>
      <w:r w:rsidR="0099485D">
        <w:t xml:space="preserve"> under the heading </w:t>
      </w:r>
      <w:r w:rsidR="004E49AF">
        <w:t>‘</w:t>
      </w:r>
      <w:r w:rsidR="0099485D">
        <w:t>Kinship, Social Networks and Social Differentiation</w:t>
      </w:r>
      <w:r w:rsidR="004E49AF">
        <w:t>’</w:t>
      </w:r>
      <w:r w:rsidR="00934D0F">
        <w:t xml:space="preserve">. </w:t>
      </w:r>
      <w:r w:rsidR="00D14635">
        <w:t xml:space="preserve">In ancient Egypt kinship is </w:t>
      </w:r>
      <w:r w:rsidR="0099181D">
        <w:t xml:space="preserve">important, as described by </w:t>
      </w:r>
      <w:proofErr w:type="spellStart"/>
      <w:r w:rsidR="0099181D">
        <w:t>Weneke</w:t>
      </w:r>
      <w:proofErr w:type="spellEnd"/>
      <w:r w:rsidR="0099181D">
        <w:t xml:space="preserve"> (2007)</w:t>
      </w:r>
      <w:r w:rsidR="004D79C8">
        <w:rPr>
          <w:rStyle w:val="FootnoteReference"/>
        </w:rPr>
        <w:footnoteReference w:id="2"/>
      </w:r>
      <w:r w:rsidR="0099181D">
        <w:t>.</w:t>
      </w:r>
    </w:p>
    <w:p w14:paraId="24CC1EED" w14:textId="45CB3F11" w:rsidR="00366DCE" w:rsidRDefault="00366DCE" w:rsidP="008154B1"/>
    <w:p w14:paraId="213F4845" w14:textId="510FE537" w:rsidR="00366DCE" w:rsidRDefault="008F5816" w:rsidP="008154B1">
      <w:r>
        <w:t xml:space="preserve">Religion and ritual is discussed </w:t>
      </w:r>
      <w:r w:rsidR="00537F97">
        <w:t xml:space="preserve">under </w:t>
      </w:r>
      <w:r>
        <w:t xml:space="preserve">the next heading of the same name. </w:t>
      </w:r>
      <w:r w:rsidR="00793E6A">
        <w:t xml:space="preserve">It states how religion was centralised and structured in complex societies, therefore making </w:t>
      </w:r>
      <w:r w:rsidR="003672E8">
        <w:t xml:space="preserve">Egypt a complex society </w:t>
      </w:r>
      <w:r>
        <w:t xml:space="preserve">This was very important in Ancient Egyptian culture, as </w:t>
      </w:r>
      <w:r w:rsidR="005B08F9">
        <w:t xml:space="preserve">mentioned in the chapter and </w:t>
      </w:r>
      <w:r>
        <w:t xml:space="preserve">by </w:t>
      </w:r>
      <w:r w:rsidR="007F75E1">
        <w:t>Shaw</w:t>
      </w:r>
      <w:r w:rsidR="00397552">
        <w:t xml:space="preserve"> (2004)</w:t>
      </w:r>
      <w:r w:rsidR="005B08F9">
        <w:t xml:space="preserve"> that the pharaohs</w:t>
      </w:r>
      <w:r w:rsidR="00F62266">
        <w:t xml:space="preserve"> emphasised their close link with the gods and they </w:t>
      </w:r>
      <w:r w:rsidR="005B08F9">
        <w:t>built grand tombs for the afterlife</w:t>
      </w:r>
      <w:r>
        <w:rPr>
          <w:rStyle w:val="FootnoteReference"/>
        </w:rPr>
        <w:footnoteReference w:id="3"/>
      </w:r>
      <w:r w:rsidR="006E7FA7">
        <w:t xml:space="preserve">. </w:t>
      </w:r>
    </w:p>
    <w:p w14:paraId="62E03B79" w14:textId="6B536B69" w:rsidR="002C4D4D" w:rsidRDefault="002C4D4D"/>
    <w:p w14:paraId="53C33354" w14:textId="4AC3B2CB" w:rsidR="000B7095" w:rsidRDefault="006E7FA7">
      <w:r>
        <w:t>Economic organisations is addressed next by the authors</w:t>
      </w:r>
      <w:r w:rsidR="00933342">
        <w:t xml:space="preserve"> briefly, </w:t>
      </w:r>
      <w:r w:rsidR="000C5446">
        <w:t xml:space="preserve">with the </w:t>
      </w:r>
      <w:r w:rsidR="001F35BD">
        <w:t>original definition meaning the household resources</w:t>
      </w:r>
      <w:r>
        <w:t xml:space="preserve">. </w:t>
      </w:r>
      <w:r w:rsidR="00223341">
        <w:t xml:space="preserve">This was used to link to the next heading, a discussion of </w:t>
      </w:r>
      <w:r w:rsidR="00BC52E5">
        <w:t xml:space="preserve">resources, raw materials and labour. </w:t>
      </w:r>
      <w:r w:rsidR="004F4438">
        <w:t xml:space="preserve">Irrigation </w:t>
      </w:r>
      <w:r w:rsidR="00B53E3E">
        <w:t xml:space="preserve">was used </w:t>
      </w:r>
      <w:r w:rsidR="00F068EE">
        <w:t xml:space="preserve">in agriculture along he Nile in ancient Egypt. </w:t>
      </w:r>
      <w:r w:rsidR="00BC52E5">
        <w:t xml:space="preserve">According to </w:t>
      </w:r>
      <w:proofErr w:type="spellStart"/>
      <w:r w:rsidR="006E1E0F">
        <w:t>Wengrow</w:t>
      </w:r>
      <w:proofErr w:type="spellEnd"/>
      <w:r w:rsidR="00BC52E5">
        <w:t xml:space="preserve"> the materials used in </w:t>
      </w:r>
      <w:r w:rsidR="00F27277">
        <w:t>Egypt were</w:t>
      </w:r>
      <w:r w:rsidR="00765D11">
        <w:t xml:space="preserve"> limestone</w:t>
      </w:r>
      <w:r w:rsidR="004A3DEE">
        <w:t xml:space="preserve">, </w:t>
      </w:r>
      <w:r w:rsidR="001279E6">
        <w:t xml:space="preserve">bronze, </w:t>
      </w:r>
      <w:r w:rsidR="00806A6F">
        <w:t>gold</w:t>
      </w:r>
      <w:r w:rsidR="00A6689B">
        <w:t xml:space="preserve"> and</w:t>
      </w:r>
      <w:r w:rsidR="00806A6F">
        <w:t xml:space="preserve"> lapis lazuli</w:t>
      </w:r>
      <w:r w:rsidR="00662ED0">
        <w:t xml:space="preserve"> </w:t>
      </w:r>
      <w:r w:rsidR="00A6689B">
        <w:t>to name a few</w:t>
      </w:r>
      <w:r w:rsidR="006355E2">
        <w:rPr>
          <w:rStyle w:val="FootnoteReference"/>
        </w:rPr>
        <w:footnoteReference w:id="4"/>
      </w:r>
      <w:r w:rsidR="00F70E7D">
        <w:t>.</w:t>
      </w:r>
    </w:p>
    <w:p w14:paraId="2B1B2A9E" w14:textId="77777777" w:rsidR="000B7095" w:rsidRDefault="000B7095"/>
    <w:p w14:paraId="27F26896" w14:textId="4EE854ED" w:rsidR="00525CC5" w:rsidRDefault="006D40A4" w:rsidP="008154B1">
      <w:r>
        <w:t>Under the heading ‘</w:t>
      </w:r>
      <w:r w:rsidR="00525CC5">
        <w:t>Technology and Craft Production</w:t>
      </w:r>
      <w:r>
        <w:t>’ the authors discus</w:t>
      </w:r>
      <w:r w:rsidR="00535F0A">
        <w:t>s archeological definitions in terms of raw materials and the development of architectural strictures and art. In ancient Egypt has many examples of this, one of which is the Great Sphinx of Giza, a limestone statue thought to have been built circa 2500 BC</w:t>
      </w:r>
      <w:r w:rsidR="00E03069">
        <w:t xml:space="preserve"> during the Old Kingdom </w:t>
      </w:r>
      <w:r w:rsidR="00213262">
        <w:t>and the 4</w:t>
      </w:r>
      <w:r w:rsidR="00213262" w:rsidRPr="00213262">
        <w:rPr>
          <w:vertAlign w:val="superscript"/>
        </w:rPr>
        <w:t>th</w:t>
      </w:r>
      <w:r w:rsidR="00213262">
        <w:t xml:space="preserve"> Dynasty</w:t>
      </w:r>
      <w:r w:rsidR="00535F0A">
        <w:rPr>
          <w:rStyle w:val="FootnoteReference"/>
        </w:rPr>
        <w:footnoteReference w:id="5"/>
      </w:r>
      <w:r w:rsidR="006A61B7">
        <w:t>.</w:t>
      </w:r>
    </w:p>
    <w:p w14:paraId="19A2FAC4" w14:textId="77777777" w:rsidR="00525CC5" w:rsidRDefault="00525CC5" w:rsidP="008154B1"/>
    <w:p w14:paraId="1C7AF47E" w14:textId="41DACDFF" w:rsidR="00525CC5" w:rsidRDefault="00D46E46" w:rsidP="008154B1">
      <w:r>
        <w:t>The authors next address e</w:t>
      </w:r>
      <w:r w:rsidR="00525CC5">
        <w:t xml:space="preserve">xchange </w:t>
      </w:r>
      <w:r>
        <w:t xml:space="preserve">in </w:t>
      </w:r>
      <w:r w:rsidR="00A36B0D">
        <w:t>complex societies</w:t>
      </w:r>
      <w:r w:rsidR="00AB2091">
        <w:t xml:space="preserve">, focussing on the methods, </w:t>
      </w:r>
      <w:r w:rsidR="00B63FFC">
        <w:t>definitions and evidence</w:t>
      </w:r>
      <w:r w:rsidR="00FF5768">
        <w:t xml:space="preserve"> in the ancient world</w:t>
      </w:r>
      <w:r w:rsidR="00B63FFC">
        <w:t xml:space="preserve">. </w:t>
      </w:r>
      <w:r w:rsidR="00C70157">
        <w:t xml:space="preserve">It is stated that exchange was more likely an exchange of </w:t>
      </w:r>
      <w:r w:rsidR="00F36D65">
        <w:t xml:space="preserve">goods or services as </w:t>
      </w:r>
      <w:r w:rsidR="006C7182">
        <w:t>opposed to money in antiquity</w:t>
      </w:r>
      <w:r w:rsidR="00EB690F">
        <w:t>,</w:t>
      </w:r>
      <w:r w:rsidR="00382470">
        <w:t xml:space="preserve"> as coinage was developed in the 1</w:t>
      </w:r>
      <w:r w:rsidR="00382470" w:rsidRPr="00382470">
        <w:rPr>
          <w:vertAlign w:val="superscript"/>
        </w:rPr>
        <w:t>st</w:t>
      </w:r>
      <w:r w:rsidR="00382470">
        <w:t xml:space="preserve"> millennium BC</w:t>
      </w:r>
      <w:r w:rsidR="006C7182">
        <w:t xml:space="preserve">. </w:t>
      </w:r>
      <w:r w:rsidR="00D00D78">
        <w:t>A</w:t>
      </w:r>
      <w:r w:rsidR="00A5719A">
        <w:t xml:space="preserve">ccording to </w:t>
      </w:r>
      <w:proofErr w:type="spellStart"/>
      <w:r w:rsidR="00A5719A">
        <w:t>Wengrow</w:t>
      </w:r>
      <w:proofErr w:type="spellEnd"/>
      <w:r w:rsidR="00A5719A">
        <w:t xml:space="preserve"> (</w:t>
      </w:r>
      <w:r w:rsidR="00A7786A">
        <w:t>201</w:t>
      </w:r>
      <w:r w:rsidR="00D00D78">
        <w:t>0)</w:t>
      </w:r>
      <w:r w:rsidR="00B915B4">
        <w:t xml:space="preserve"> exchange was prevalent, </w:t>
      </w:r>
      <w:r w:rsidR="00D16C98">
        <w:t>for example between Egypt and Lebanon</w:t>
      </w:r>
      <w:r w:rsidR="00D16C98">
        <w:rPr>
          <w:rStyle w:val="FootnoteReference"/>
        </w:rPr>
        <w:footnoteReference w:id="6"/>
      </w:r>
      <w:r w:rsidR="00D16C98">
        <w:t>.</w:t>
      </w:r>
    </w:p>
    <w:p w14:paraId="5501D66C" w14:textId="45EA033E" w:rsidR="00525CC5" w:rsidRDefault="00525CC5" w:rsidP="008154B1"/>
    <w:p w14:paraId="1B7E49A3" w14:textId="0645C0AA" w:rsidR="00224082" w:rsidRDefault="00FA7F67" w:rsidP="008154B1">
      <w:r>
        <w:lastRenderedPageBreak/>
        <w:t>The topic of e</w:t>
      </w:r>
      <w:r w:rsidR="00161108">
        <w:t xml:space="preserve">conomic </w:t>
      </w:r>
      <w:r>
        <w:t>d</w:t>
      </w:r>
      <w:r w:rsidR="00161108">
        <w:t xml:space="preserve">ifferentiation and </w:t>
      </w:r>
      <w:r>
        <w:t>c</w:t>
      </w:r>
      <w:r w:rsidR="00161108">
        <w:t xml:space="preserve">omplexity </w:t>
      </w:r>
      <w:r w:rsidR="000F7B18">
        <w:t xml:space="preserve">mentions the presence of wealth inequality in complex societies in terms of materials, labour and land, among other aspects. </w:t>
      </w:r>
      <w:bookmarkStart w:id="0" w:name="_GoBack"/>
      <w:bookmarkEnd w:id="0"/>
      <w:r w:rsidR="00525CC5">
        <w:t xml:space="preserve">Political </w:t>
      </w:r>
      <w:r w:rsidR="00775DA1">
        <w:t>o</w:t>
      </w:r>
      <w:r w:rsidR="00525CC5">
        <w:t xml:space="preserve">rganisation and </w:t>
      </w:r>
      <w:r w:rsidR="00775DA1">
        <w:t>c</w:t>
      </w:r>
      <w:r w:rsidR="00525CC5">
        <w:t>omplexity</w:t>
      </w:r>
      <w:r w:rsidR="00B63FFC">
        <w:t xml:space="preserve"> is </w:t>
      </w:r>
      <w:r w:rsidR="007A53CB">
        <w:t xml:space="preserve">also </w:t>
      </w:r>
      <w:r w:rsidR="00775DA1">
        <w:t xml:space="preserve">discussed. </w:t>
      </w:r>
      <w:r w:rsidR="00FE0B1A">
        <w:t xml:space="preserve">The authors define this as being </w:t>
      </w:r>
      <w:r w:rsidR="00C43499">
        <w:t>based on leadership</w:t>
      </w:r>
      <w:r w:rsidR="002107CD">
        <w:t xml:space="preserve"> and the recognition of the populace of the authority held by the political </w:t>
      </w:r>
      <w:r w:rsidR="00DF7963">
        <w:t>power</w:t>
      </w:r>
      <w:r w:rsidR="00D13837">
        <w:t xml:space="preserve">. </w:t>
      </w:r>
      <w:r w:rsidR="00224082">
        <w:t>In Egypt, officials represented the power held by the pharaoh</w:t>
      </w:r>
      <w:r w:rsidR="00224082">
        <w:rPr>
          <w:rStyle w:val="FootnoteReference"/>
        </w:rPr>
        <w:footnoteReference w:id="7"/>
      </w:r>
      <w:r w:rsidR="00224082">
        <w:t>.</w:t>
      </w:r>
    </w:p>
    <w:p w14:paraId="36211DD4" w14:textId="77777777" w:rsidR="00525CC5" w:rsidRDefault="00525CC5" w:rsidP="008154B1"/>
    <w:p w14:paraId="2F822875" w14:textId="36288101" w:rsidR="00525CC5" w:rsidRDefault="00E43F75" w:rsidP="008154B1">
      <w:r>
        <w:t xml:space="preserve">The authors </w:t>
      </w:r>
      <w:r w:rsidR="00EE18B9">
        <w:t>address the d</w:t>
      </w:r>
      <w:r w:rsidR="00525CC5">
        <w:t xml:space="preserve">imensions of </w:t>
      </w:r>
      <w:r w:rsidR="00EE18B9">
        <w:t>p</w:t>
      </w:r>
      <w:r w:rsidR="00525CC5">
        <w:t xml:space="preserve">olitical </w:t>
      </w:r>
      <w:r w:rsidR="00EE18B9">
        <w:t>c</w:t>
      </w:r>
      <w:r w:rsidR="00525CC5">
        <w:t>omplexity</w:t>
      </w:r>
      <w:r w:rsidR="00EE18B9">
        <w:t xml:space="preserve">, </w:t>
      </w:r>
      <w:r w:rsidR="00AC0EFD">
        <w:t xml:space="preserve">with a focus on centralisation, differentiation and integration. </w:t>
      </w:r>
      <w:r w:rsidR="00987B21">
        <w:t xml:space="preserve">Centralisation is prominent throughout most of Egyptian history, with the pharaoh </w:t>
      </w:r>
      <w:r w:rsidR="00F24E3A">
        <w:t xml:space="preserve">holding </w:t>
      </w:r>
      <w:r w:rsidR="00AB2616">
        <w:t xml:space="preserve">sole power. </w:t>
      </w:r>
      <w:r w:rsidR="00961FEA">
        <w:t xml:space="preserve">Differentiation is present in the hierarchical levels </w:t>
      </w:r>
      <w:r w:rsidR="00B55FA5">
        <w:t>in Egyptian society</w:t>
      </w:r>
      <w:r w:rsidR="00B242BB">
        <w:rPr>
          <w:rStyle w:val="FootnoteReference"/>
        </w:rPr>
        <w:footnoteReference w:id="8"/>
      </w:r>
      <w:r w:rsidR="00B55FA5">
        <w:t xml:space="preserve">. </w:t>
      </w:r>
    </w:p>
    <w:p w14:paraId="6D86B071" w14:textId="77777777" w:rsidR="00525CC5" w:rsidRDefault="00525CC5" w:rsidP="008154B1"/>
    <w:p w14:paraId="162C2C0A" w14:textId="2A9C375D" w:rsidR="00CE00DB" w:rsidRDefault="00AD1262">
      <w:r>
        <w:t>The authors conclude the chapter by</w:t>
      </w:r>
      <w:r w:rsidR="008C715F">
        <w:t xml:space="preserve"> </w:t>
      </w:r>
      <w:r w:rsidR="00DF7B45">
        <w:t xml:space="preserve">summarising the chapter as well as introducing the content in the following chapter. </w:t>
      </w:r>
      <w:r w:rsidR="00CE00DB">
        <w:br w:type="page"/>
      </w:r>
    </w:p>
    <w:p w14:paraId="6CDDC897" w14:textId="77777777" w:rsidR="006C79A1" w:rsidRDefault="006C79A1"/>
    <w:p w14:paraId="37A23B8C" w14:textId="42CDD128" w:rsidR="00CE00DB" w:rsidRDefault="00CE00DB">
      <w:r>
        <w:t>Bibliography:</w:t>
      </w:r>
    </w:p>
    <w:p w14:paraId="65D34160" w14:textId="77777777" w:rsidR="00CE00DB" w:rsidRDefault="00CE00DB"/>
    <w:p w14:paraId="747FDFB5" w14:textId="77777777" w:rsidR="00B45150" w:rsidRDefault="00B45150"/>
    <w:p w14:paraId="68B608CE" w14:textId="13879EC9" w:rsidR="00B45150" w:rsidRPr="008E15BF" w:rsidRDefault="00B45150" w:rsidP="00073C50">
      <w:pPr>
        <w:rPr>
          <w:color w:val="000000" w:themeColor="text1"/>
          <w:kern w:val="24"/>
        </w:rPr>
      </w:pPr>
      <w:proofErr w:type="spellStart"/>
      <w:r>
        <w:rPr>
          <w:color w:val="000000" w:themeColor="text1"/>
          <w:kern w:val="24"/>
        </w:rPr>
        <w:t>Charvát</w:t>
      </w:r>
      <w:proofErr w:type="spellEnd"/>
      <w:r>
        <w:rPr>
          <w:color w:val="000000" w:themeColor="text1"/>
          <w:kern w:val="24"/>
        </w:rPr>
        <w:t xml:space="preserve">, P. (2013) </w:t>
      </w:r>
      <w:r>
        <w:rPr>
          <w:i/>
          <w:color w:val="000000" w:themeColor="text1"/>
          <w:kern w:val="24"/>
        </w:rPr>
        <w:t>‘</w:t>
      </w:r>
      <w:r w:rsidRPr="0022550D">
        <w:rPr>
          <w:i/>
          <w:color w:val="000000" w:themeColor="text1"/>
          <w:kern w:val="24"/>
        </w:rPr>
        <w:t>The Birth of the State: Ancient Egypt, Mesopotamia, India and China</w:t>
      </w:r>
      <w:r>
        <w:rPr>
          <w:i/>
          <w:color w:val="000000" w:themeColor="text1"/>
          <w:kern w:val="24"/>
        </w:rPr>
        <w:t>’.</w:t>
      </w:r>
      <w:r>
        <w:rPr>
          <w:color w:val="000000" w:themeColor="text1"/>
          <w:kern w:val="24"/>
        </w:rPr>
        <w:t xml:space="preserve"> 1</w:t>
      </w:r>
      <w:r w:rsidRPr="00B86D2C">
        <w:rPr>
          <w:color w:val="000000" w:themeColor="text1"/>
          <w:kern w:val="24"/>
          <w:vertAlign w:val="superscript"/>
        </w:rPr>
        <w:t>st</w:t>
      </w:r>
      <w:r>
        <w:rPr>
          <w:color w:val="000000" w:themeColor="text1"/>
          <w:kern w:val="24"/>
        </w:rPr>
        <w:t xml:space="preserve"> </w:t>
      </w:r>
      <w:r w:rsidR="00BF0B9A">
        <w:rPr>
          <w:color w:val="000000" w:themeColor="text1"/>
          <w:kern w:val="24"/>
        </w:rPr>
        <w:t xml:space="preserve">English </w:t>
      </w:r>
      <w:r>
        <w:rPr>
          <w:color w:val="000000" w:themeColor="text1"/>
          <w:kern w:val="24"/>
        </w:rPr>
        <w:t>Ed.</w:t>
      </w:r>
      <w:r>
        <w:rPr>
          <w:i/>
          <w:color w:val="000000" w:themeColor="text1"/>
          <w:kern w:val="24"/>
        </w:rPr>
        <w:t xml:space="preserve"> </w:t>
      </w:r>
      <w:r>
        <w:rPr>
          <w:color w:val="000000" w:themeColor="text1"/>
          <w:kern w:val="24"/>
        </w:rPr>
        <w:t xml:space="preserve">Prague: Charles University in Prague, </w:t>
      </w:r>
      <w:proofErr w:type="spellStart"/>
      <w:r>
        <w:rPr>
          <w:color w:val="000000" w:themeColor="text1"/>
          <w:kern w:val="24"/>
        </w:rPr>
        <w:t>Karolinum</w:t>
      </w:r>
      <w:proofErr w:type="spellEnd"/>
      <w:r>
        <w:rPr>
          <w:color w:val="000000" w:themeColor="text1"/>
          <w:kern w:val="24"/>
        </w:rPr>
        <w:t xml:space="preserve"> Press.</w:t>
      </w:r>
    </w:p>
    <w:p w14:paraId="2A7CAFF6" w14:textId="77777777" w:rsidR="00B45150" w:rsidRDefault="00B45150" w:rsidP="00073C50">
      <w:pPr>
        <w:rPr>
          <w:color w:val="000000" w:themeColor="text1"/>
        </w:rPr>
      </w:pPr>
    </w:p>
    <w:p w14:paraId="0C774424" w14:textId="77777777" w:rsidR="00B45150" w:rsidRPr="00C719A6" w:rsidRDefault="00B45150" w:rsidP="00073C50">
      <w:pPr>
        <w:rPr>
          <w:color w:val="000000" w:themeColor="text1"/>
        </w:rPr>
      </w:pPr>
      <w:r>
        <w:rPr>
          <w:color w:val="000000" w:themeColor="text1"/>
        </w:rPr>
        <w:t xml:space="preserve">Ross, J. C.;  </w:t>
      </w:r>
      <w:proofErr w:type="spellStart"/>
      <w:r>
        <w:rPr>
          <w:color w:val="000000" w:themeColor="text1"/>
        </w:rPr>
        <w:t>Steadman</w:t>
      </w:r>
      <w:proofErr w:type="spellEnd"/>
      <w:r>
        <w:rPr>
          <w:color w:val="000000" w:themeColor="text1"/>
        </w:rPr>
        <w:t>, S. R. (2017)</w:t>
      </w:r>
      <w:r>
        <w:rPr>
          <w:i/>
          <w:color w:val="000000" w:themeColor="text1"/>
        </w:rPr>
        <w:t xml:space="preserve"> ‘Ancient and  Complex Societies’. </w:t>
      </w:r>
      <w:r w:rsidRPr="00C719A6">
        <w:rPr>
          <w:color w:val="000000" w:themeColor="text1"/>
        </w:rPr>
        <w:t xml:space="preserve">London: Taylor &amp; Francis Group. </w:t>
      </w:r>
    </w:p>
    <w:p w14:paraId="567DCF66" w14:textId="77777777" w:rsidR="00B45150" w:rsidRDefault="00B45150" w:rsidP="00073C50">
      <w:pPr>
        <w:rPr>
          <w:color w:val="000000" w:themeColor="text1"/>
          <w:kern w:val="24"/>
        </w:rPr>
      </w:pPr>
    </w:p>
    <w:p w14:paraId="338A7058" w14:textId="2C4C1BC5" w:rsidR="00B45150" w:rsidRDefault="00B45150" w:rsidP="00073C50">
      <w:pPr>
        <w:rPr>
          <w:color w:val="000000" w:themeColor="text1"/>
          <w:kern w:val="24"/>
        </w:rPr>
      </w:pPr>
      <w:r w:rsidRPr="00F80735">
        <w:rPr>
          <w:color w:val="000000" w:themeColor="text1"/>
          <w:kern w:val="24"/>
        </w:rPr>
        <w:t>Shaw, I.</w:t>
      </w:r>
      <w:r w:rsidR="008C4059">
        <w:rPr>
          <w:color w:val="000000" w:themeColor="text1"/>
          <w:kern w:val="24"/>
        </w:rPr>
        <w:t xml:space="preserve"> </w:t>
      </w:r>
      <w:r w:rsidRPr="00F80735">
        <w:rPr>
          <w:color w:val="000000" w:themeColor="text1"/>
          <w:kern w:val="24"/>
        </w:rPr>
        <w:t xml:space="preserve">(2004) </w:t>
      </w:r>
      <w:r w:rsidRPr="00F80735">
        <w:rPr>
          <w:iCs/>
          <w:color w:val="000000" w:themeColor="text1"/>
          <w:kern w:val="24"/>
        </w:rPr>
        <w:t>‘</w:t>
      </w:r>
      <w:r w:rsidRPr="00242A96">
        <w:rPr>
          <w:iCs/>
          <w:color w:val="000000" w:themeColor="text1"/>
          <w:kern w:val="24"/>
        </w:rPr>
        <w:t>The Oxford History of Ancient Egypt</w:t>
      </w:r>
      <w:r w:rsidRPr="00F80735">
        <w:rPr>
          <w:iCs/>
          <w:color w:val="000000" w:themeColor="text1"/>
          <w:kern w:val="24"/>
        </w:rPr>
        <w:t xml:space="preserve">’. </w:t>
      </w:r>
      <w:r>
        <w:rPr>
          <w:iCs/>
          <w:color w:val="000000" w:themeColor="text1"/>
          <w:kern w:val="24"/>
        </w:rPr>
        <w:t xml:space="preserve">Oxford: </w:t>
      </w:r>
      <w:r w:rsidRPr="00F80735">
        <w:rPr>
          <w:color w:val="000000" w:themeColor="text1"/>
          <w:kern w:val="24"/>
        </w:rPr>
        <w:t xml:space="preserve">Oxford University Press. </w:t>
      </w:r>
    </w:p>
    <w:p w14:paraId="6104B636" w14:textId="345D20A2" w:rsidR="00B45150" w:rsidRDefault="00B45150" w:rsidP="00073C50">
      <w:pPr>
        <w:rPr>
          <w:color w:val="000000" w:themeColor="text1"/>
          <w:kern w:val="24"/>
        </w:rPr>
      </w:pPr>
    </w:p>
    <w:p w14:paraId="73B9A4D0" w14:textId="7F83F885" w:rsidR="00A7786A" w:rsidRPr="00682E50" w:rsidRDefault="00A7786A" w:rsidP="00073C50">
      <w:pPr>
        <w:rPr>
          <w:color w:val="000000" w:themeColor="text1"/>
          <w:kern w:val="24"/>
        </w:rPr>
      </w:pPr>
      <w:proofErr w:type="spellStart"/>
      <w:r>
        <w:rPr>
          <w:color w:val="000000" w:themeColor="text1"/>
          <w:kern w:val="24"/>
        </w:rPr>
        <w:t>Wengrow</w:t>
      </w:r>
      <w:proofErr w:type="spellEnd"/>
      <w:r>
        <w:rPr>
          <w:color w:val="000000" w:themeColor="text1"/>
          <w:kern w:val="24"/>
        </w:rPr>
        <w:t xml:space="preserve">, </w:t>
      </w:r>
      <w:r w:rsidR="00506AB5">
        <w:rPr>
          <w:color w:val="000000" w:themeColor="text1"/>
          <w:kern w:val="24"/>
        </w:rPr>
        <w:t xml:space="preserve">D. (2010) </w:t>
      </w:r>
      <w:r w:rsidR="00682E50">
        <w:rPr>
          <w:i/>
          <w:color w:val="000000" w:themeColor="text1"/>
          <w:kern w:val="24"/>
        </w:rPr>
        <w:t xml:space="preserve">‘What Makes </w:t>
      </w:r>
      <w:proofErr w:type="spellStart"/>
      <w:r w:rsidR="00682E50">
        <w:rPr>
          <w:i/>
          <w:color w:val="000000" w:themeColor="text1"/>
          <w:kern w:val="24"/>
        </w:rPr>
        <w:t>Civilization</w:t>
      </w:r>
      <w:proofErr w:type="spellEnd"/>
      <w:r w:rsidR="00682E50">
        <w:rPr>
          <w:i/>
          <w:color w:val="000000" w:themeColor="text1"/>
          <w:kern w:val="24"/>
        </w:rPr>
        <w:t xml:space="preserve">?’ </w:t>
      </w:r>
      <w:r w:rsidR="00682E50">
        <w:rPr>
          <w:color w:val="000000" w:themeColor="text1"/>
          <w:kern w:val="24"/>
        </w:rPr>
        <w:t xml:space="preserve">Great Britain: </w:t>
      </w:r>
      <w:r w:rsidR="00764641">
        <w:rPr>
          <w:color w:val="000000" w:themeColor="text1"/>
          <w:kern w:val="24"/>
        </w:rPr>
        <w:t xml:space="preserve">Clays Ltd. </w:t>
      </w:r>
    </w:p>
    <w:p w14:paraId="704579C3" w14:textId="77777777" w:rsidR="00A7786A" w:rsidRDefault="00A7786A" w:rsidP="00073C50">
      <w:pPr>
        <w:rPr>
          <w:color w:val="000000" w:themeColor="text1"/>
          <w:kern w:val="24"/>
        </w:rPr>
      </w:pPr>
    </w:p>
    <w:p w14:paraId="0CCF1215" w14:textId="77777777" w:rsidR="00B45150" w:rsidRPr="00002E25" w:rsidRDefault="00B45150" w:rsidP="00073C50">
      <w:pPr>
        <w:rPr>
          <w:color w:val="000000" w:themeColor="text1"/>
          <w:kern w:val="24"/>
        </w:rPr>
      </w:pPr>
      <w:proofErr w:type="spellStart"/>
      <w:r w:rsidRPr="000E440C">
        <w:rPr>
          <w:color w:val="000000" w:themeColor="text1"/>
          <w:kern w:val="24"/>
        </w:rPr>
        <w:t>Wenke</w:t>
      </w:r>
      <w:proofErr w:type="spellEnd"/>
      <w:r>
        <w:rPr>
          <w:color w:val="000000" w:themeColor="text1"/>
          <w:kern w:val="24"/>
        </w:rPr>
        <w:t>, R. F.;</w:t>
      </w:r>
      <w:r w:rsidRPr="000E440C">
        <w:rPr>
          <w:color w:val="000000" w:themeColor="text1"/>
          <w:kern w:val="24"/>
        </w:rPr>
        <w:t xml:space="preserve"> </w:t>
      </w:r>
      <w:proofErr w:type="spellStart"/>
      <w:r w:rsidRPr="000E440C">
        <w:rPr>
          <w:color w:val="000000" w:themeColor="text1"/>
          <w:kern w:val="24"/>
        </w:rPr>
        <w:t>Olszewski</w:t>
      </w:r>
      <w:proofErr w:type="spellEnd"/>
      <w:r>
        <w:rPr>
          <w:color w:val="000000" w:themeColor="text1"/>
          <w:kern w:val="24"/>
        </w:rPr>
        <w:t xml:space="preserve">, D. J. (2007) </w:t>
      </w:r>
      <w:r w:rsidRPr="0092453E">
        <w:rPr>
          <w:i/>
          <w:color w:val="000000" w:themeColor="text1"/>
          <w:kern w:val="24"/>
        </w:rPr>
        <w:t>‘</w:t>
      </w:r>
      <w:r w:rsidRPr="002E035A">
        <w:rPr>
          <w:i/>
          <w:color w:val="000000" w:themeColor="text1"/>
          <w:kern w:val="24"/>
        </w:rPr>
        <w:t>Patterns in Prehistory: Humankind’s First Three Million Years</w:t>
      </w:r>
      <w:r w:rsidRPr="0092453E">
        <w:rPr>
          <w:i/>
          <w:color w:val="000000" w:themeColor="text1"/>
          <w:kern w:val="24"/>
        </w:rPr>
        <w:t>’</w:t>
      </w:r>
      <w:r>
        <w:rPr>
          <w:color w:val="000000" w:themeColor="text1"/>
          <w:kern w:val="24"/>
        </w:rPr>
        <w:t>. 5</w:t>
      </w:r>
      <w:r w:rsidRPr="003E6CF5">
        <w:rPr>
          <w:color w:val="000000" w:themeColor="text1"/>
          <w:kern w:val="24"/>
          <w:vertAlign w:val="superscript"/>
        </w:rPr>
        <w:t>th</w:t>
      </w:r>
      <w:r>
        <w:rPr>
          <w:color w:val="000000" w:themeColor="text1"/>
          <w:kern w:val="24"/>
        </w:rPr>
        <w:t xml:space="preserve"> Ed. Oxford: Oxford a University Press. </w:t>
      </w:r>
    </w:p>
    <w:p w14:paraId="7EF568A5" w14:textId="06DDDA10" w:rsidR="00B45150" w:rsidRDefault="00B45150"/>
    <w:p w14:paraId="08034D17" w14:textId="50D412F0" w:rsidR="006947A8" w:rsidRPr="005F2DCF" w:rsidRDefault="006947A8">
      <w:r>
        <w:t>Wilkinson, T. (</w:t>
      </w:r>
      <w:r w:rsidR="00D035AD">
        <w:t xml:space="preserve">2010) </w:t>
      </w:r>
      <w:r w:rsidR="00D035AD">
        <w:rPr>
          <w:i/>
        </w:rPr>
        <w:t>‘The Rise and Fall of Ancient Egypt</w:t>
      </w:r>
      <w:r w:rsidR="005F2DCF">
        <w:rPr>
          <w:i/>
        </w:rPr>
        <w:t>: The History of a Civilisation from 3000BC to Cleopatra’.</w:t>
      </w:r>
      <w:r w:rsidR="005F2DCF">
        <w:t xml:space="preserve"> </w:t>
      </w:r>
      <w:r w:rsidR="00123148">
        <w:t xml:space="preserve">London: </w:t>
      </w:r>
      <w:r w:rsidR="009717DB">
        <w:t xml:space="preserve">CPI Group. </w:t>
      </w:r>
    </w:p>
    <w:sectPr w:rsidR="006947A8" w:rsidRPr="005F2D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8A4B0D" w14:textId="77777777" w:rsidR="00C05CC5" w:rsidRDefault="00C05CC5" w:rsidP="00B45150">
      <w:r>
        <w:separator/>
      </w:r>
    </w:p>
  </w:endnote>
  <w:endnote w:type="continuationSeparator" w:id="0">
    <w:p w14:paraId="25EFC551" w14:textId="77777777" w:rsidR="00C05CC5" w:rsidRDefault="00C05CC5" w:rsidP="00B451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9ADB6B" w14:textId="77777777" w:rsidR="00C05CC5" w:rsidRDefault="00C05CC5" w:rsidP="00B45150">
      <w:r>
        <w:separator/>
      </w:r>
    </w:p>
  </w:footnote>
  <w:footnote w:type="continuationSeparator" w:id="0">
    <w:p w14:paraId="45D8E064" w14:textId="77777777" w:rsidR="00C05CC5" w:rsidRDefault="00C05CC5" w:rsidP="00B45150">
      <w:r>
        <w:continuationSeparator/>
      </w:r>
    </w:p>
  </w:footnote>
  <w:footnote w:id="1">
    <w:p w14:paraId="5DAB7CA9" w14:textId="782494D4" w:rsidR="00B4624A" w:rsidRDefault="00B4624A">
      <w:pPr>
        <w:pStyle w:val="FootnoteText"/>
      </w:pPr>
      <w:r>
        <w:rPr>
          <w:rStyle w:val="FootnoteReference"/>
        </w:rPr>
        <w:footnoteRef/>
      </w:r>
      <w:r>
        <w:t xml:space="preserve"> </w:t>
      </w:r>
      <w:r>
        <w:rPr>
          <w:color w:val="000000" w:themeColor="text1"/>
        </w:rPr>
        <w:t xml:space="preserve">Ross, J. C.;  </w:t>
      </w:r>
      <w:proofErr w:type="spellStart"/>
      <w:r>
        <w:rPr>
          <w:color w:val="000000" w:themeColor="text1"/>
        </w:rPr>
        <w:t>Steadman</w:t>
      </w:r>
      <w:proofErr w:type="spellEnd"/>
      <w:r>
        <w:rPr>
          <w:color w:val="000000" w:themeColor="text1"/>
        </w:rPr>
        <w:t>, S. R. (2017)</w:t>
      </w:r>
      <w:r>
        <w:rPr>
          <w:i/>
          <w:color w:val="000000" w:themeColor="text1"/>
        </w:rPr>
        <w:t xml:space="preserve"> ‘Ancient and  Complex Societies’. </w:t>
      </w:r>
      <w:r w:rsidRPr="00C719A6">
        <w:rPr>
          <w:color w:val="000000" w:themeColor="text1"/>
        </w:rPr>
        <w:t xml:space="preserve">London: Taylor &amp; Francis Group. </w:t>
      </w:r>
      <w:r>
        <w:rPr>
          <w:color w:val="000000" w:themeColor="text1"/>
        </w:rPr>
        <w:t>p.6</w:t>
      </w:r>
      <w:r w:rsidR="001C3EB1">
        <w:rPr>
          <w:color w:val="000000" w:themeColor="text1"/>
        </w:rPr>
        <w:t>.</w:t>
      </w:r>
    </w:p>
  </w:footnote>
  <w:footnote w:id="2">
    <w:p w14:paraId="6A71A213" w14:textId="41BFE27D" w:rsidR="004D79C8" w:rsidRPr="002E035A" w:rsidRDefault="004D79C8" w:rsidP="002E035A">
      <w:pPr>
        <w:rPr>
          <w:color w:val="000000" w:themeColor="text1"/>
          <w:kern w:val="24"/>
        </w:rPr>
      </w:pPr>
      <w:r>
        <w:rPr>
          <w:rStyle w:val="FootnoteReference"/>
        </w:rPr>
        <w:footnoteRef/>
      </w:r>
      <w:r>
        <w:t xml:space="preserve"> </w:t>
      </w:r>
      <w:proofErr w:type="spellStart"/>
      <w:r w:rsidR="002E035A" w:rsidRPr="000E440C">
        <w:rPr>
          <w:color w:val="000000" w:themeColor="text1"/>
          <w:kern w:val="24"/>
        </w:rPr>
        <w:t>Wenke</w:t>
      </w:r>
      <w:proofErr w:type="spellEnd"/>
      <w:r w:rsidR="002E035A">
        <w:rPr>
          <w:color w:val="000000" w:themeColor="text1"/>
          <w:kern w:val="24"/>
        </w:rPr>
        <w:t>, R. F.;</w:t>
      </w:r>
      <w:r w:rsidR="002E035A" w:rsidRPr="000E440C">
        <w:rPr>
          <w:color w:val="000000" w:themeColor="text1"/>
          <w:kern w:val="24"/>
        </w:rPr>
        <w:t xml:space="preserve"> </w:t>
      </w:r>
      <w:proofErr w:type="spellStart"/>
      <w:r w:rsidR="002E035A" w:rsidRPr="000E440C">
        <w:rPr>
          <w:color w:val="000000" w:themeColor="text1"/>
          <w:kern w:val="24"/>
        </w:rPr>
        <w:t>Olszewski</w:t>
      </w:r>
      <w:proofErr w:type="spellEnd"/>
      <w:r w:rsidR="002E035A">
        <w:rPr>
          <w:color w:val="000000" w:themeColor="text1"/>
          <w:kern w:val="24"/>
        </w:rPr>
        <w:t xml:space="preserve">, D. J. (2007) </w:t>
      </w:r>
      <w:r w:rsidR="002E035A" w:rsidRPr="0092453E">
        <w:rPr>
          <w:i/>
          <w:color w:val="000000" w:themeColor="text1"/>
          <w:kern w:val="24"/>
        </w:rPr>
        <w:t>‘</w:t>
      </w:r>
      <w:r w:rsidR="002E035A" w:rsidRPr="002E035A">
        <w:rPr>
          <w:i/>
          <w:color w:val="000000" w:themeColor="text1"/>
          <w:kern w:val="24"/>
        </w:rPr>
        <w:t>Patterns in Prehistory: Humankind’s First Three Million Years</w:t>
      </w:r>
      <w:r w:rsidR="002E035A" w:rsidRPr="0092453E">
        <w:rPr>
          <w:i/>
          <w:color w:val="000000" w:themeColor="text1"/>
          <w:kern w:val="24"/>
        </w:rPr>
        <w:t>’</w:t>
      </w:r>
      <w:r w:rsidR="002E035A">
        <w:rPr>
          <w:color w:val="000000" w:themeColor="text1"/>
          <w:kern w:val="24"/>
        </w:rPr>
        <w:t>. 5</w:t>
      </w:r>
      <w:r w:rsidR="002E035A" w:rsidRPr="003E6CF5">
        <w:rPr>
          <w:color w:val="000000" w:themeColor="text1"/>
          <w:kern w:val="24"/>
          <w:vertAlign w:val="superscript"/>
        </w:rPr>
        <w:t>th</w:t>
      </w:r>
      <w:r w:rsidR="002E035A">
        <w:rPr>
          <w:color w:val="000000" w:themeColor="text1"/>
          <w:kern w:val="24"/>
        </w:rPr>
        <w:t xml:space="preserve"> Ed. Oxford: Oxford a University Press. p.370. </w:t>
      </w:r>
    </w:p>
  </w:footnote>
  <w:footnote w:id="3">
    <w:p w14:paraId="54D5B41C" w14:textId="7B5B49A1" w:rsidR="008F5816" w:rsidRPr="001C3EB1" w:rsidRDefault="008F5816" w:rsidP="001C3EB1">
      <w:pPr>
        <w:rPr>
          <w:color w:val="000000" w:themeColor="text1"/>
          <w:kern w:val="24"/>
        </w:rPr>
      </w:pPr>
      <w:r>
        <w:rPr>
          <w:rStyle w:val="FootnoteReference"/>
        </w:rPr>
        <w:footnoteRef/>
      </w:r>
      <w:r>
        <w:t xml:space="preserve"> </w:t>
      </w:r>
      <w:r w:rsidR="001C3EB1" w:rsidRPr="00F80735">
        <w:rPr>
          <w:color w:val="000000" w:themeColor="text1"/>
          <w:kern w:val="24"/>
        </w:rPr>
        <w:t>Shaw, I.</w:t>
      </w:r>
      <w:r w:rsidR="001C3EB1">
        <w:rPr>
          <w:color w:val="000000" w:themeColor="text1"/>
          <w:kern w:val="24"/>
        </w:rPr>
        <w:t xml:space="preserve"> </w:t>
      </w:r>
      <w:r w:rsidR="001C3EB1" w:rsidRPr="00F80735">
        <w:rPr>
          <w:color w:val="000000" w:themeColor="text1"/>
          <w:kern w:val="24"/>
        </w:rPr>
        <w:t xml:space="preserve">(2004) </w:t>
      </w:r>
      <w:r w:rsidR="001C3EB1" w:rsidRPr="00F80735">
        <w:rPr>
          <w:iCs/>
          <w:color w:val="000000" w:themeColor="text1"/>
          <w:kern w:val="24"/>
        </w:rPr>
        <w:t>‘</w:t>
      </w:r>
      <w:r w:rsidR="001C3EB1" w:rsidRPr="00242A96">
        <w:rPr>
          <w:iCs/>
          <w:color w:val="000000" w:themeColor="text1"/>
          <w:kern w:val="24"/>
        </w:rPr>
        <w:t>The Oxford History of Ancient Egypt</w:t>
      </w:r>
      <w:r w:rsidR="001C3EB1" w:rsidRPr="00F80735">
        <w:rPr>
          <w:iCs/>
          <w:color w:val="000000" w:themeColor="text1"/>
          <w:kern w:val="24"/>
        </w:rPr>
        <w:t xml:space="preserve">’. </w:t>
      </w:r>
      <w:r w:rsidR="001C3EB1">
        <w:rPr>
          <w:iCs/>
          <w:color w:val="000000" w:themeColor="text1"/>
          <w:kern w:val="24"/>
        </w:rPr>
        <w:t xml:space="preserve">Oxford: </w:t>
      </w:r>
      <w:r w:rsidR="001C3EB1" w:rsidRPr="00F80735">
        <w:rPr>
          <w:color w:val="000000" w:themeColor="text1"/>
          <w:kern w:val="24"/>
        </w:rPr>
        <w:t xml:space="preserve">Oxford University Press. </w:t>
      </w:r>
      <w:r w:rsidR="001C3EB1">
        <w:rPr>
          <w:color w:val="000000" w:themeColor="text1"/>
          <w:kern w:val="24"/>
        </w:rPr>
        <w:t>p.99.</w:t>
      </w:r>
    </w:p>
  </w:footnote>
  <w:footnote w:id="4">
    <w:p w14:paraId="1120BE35" w14:textId="5890918E" w:rsidR="006355E2" w:rsidRPr="006355E2" w:rsidRDefault="006355E2" w:rsidP="006355E2">
      <w:pPr>
        <w:rPr>
          <w:color w:val="000000" w:themeColor="text1"/>
          <w:kern w:val="24"/>
        </w:rPr>
      </w:pPr>
      <w:r>
        <w:rPr>
          <w:rStyle w:val="FootnoteReference"/>
        </w:rPr>
        <w:footnoteRef/>
      </w:r>
      <w:r>
        <w:t xml:space="preserve"> </w:t>
      </w:r>
      <w:proofErr w:type="spellStart"/>
      <w:r>
        <w:rPr>
          <w:color w:val="000000" w:themeColor="text1"/>
          <w:kern w:val="24"/>
        </w:rPr>
        <w:t>Wengrow</w:t>
      </w:r>
      <w:proofErr w:type="spellEnd"/>
      <w:r>
        <w:rPr>
          <w:color w:val="000000" w:themeColor="text1"/>
          <w:kern w:val="24"/>
        </w:rPr>
        <w:t xml:space="preserve">, D. (2010) </w:t>
      </w:r>
      <w:r>
        <w:rPr>
          <w:i/>
          <w:color w:val="000000" w:themeColor="text1"/>
          <w:kern w:val="24"/>
        </w:rPr>
        <w:t xml:space="preserve">‘What Makes </w:t>
      </w:r>
      <w:proofErr w:type="spellStart"/>
      <w:r>
        <w:rPr>
          <w:i/>
          <w:color w:val="000000" w:themeColor="text1"/>
          <w:kern w:val="24"/>
        </w:rPr>
        <w:t>Civilization</w:t>
      </w:r>
      <w:proofErr w:type="spellEnd"/>
      <w:r>
        <w:rPr>
          <w:i/>
          <w:color w:val="000000" w:themeColor="text1"/>
          <w:kern w:val="24"/>
        </w:rPr>
        <w:t xml:space="preserve">?’ </w:t>
      </w:r>
      <w:r>
        <w:rPr>
          <w:color w:val="000000" w:themeColor="text1"/>
          <w:kern w:val="24"/>
        </w:rPr>
        <w:t xml:space="preserve">Great Britain: Clays Ltd. </w:t>
      </w:r>
    </w:p>
  </w:footnote>
  <w:footnote w:id="5">
    <w:p w14:paraId="05AC4EA1" w14:textId="4541E501" w:rsidR="00535F0A" w:rsidRDefault="00535F0A" w:rsidP="001E472C">
      <w:r>
        <w:rPr>
          <w:rStyle w:val="FootnoteReference"/>
        </w:rPr>
        <w:footnoteRef/>
      </w:r>
      <w:r>
        <w:t xml:space="preserve"> </w:t>
      </w:r>
      <w:r w:rsidR="001E472C">
        <w:t xml:space="preserve">Wilkinson, T. (2010) </w:t>
      </w:r>
      <w:r w:rsidR="001E472C">
        <w:rPr>
          <w:i/>
        </w:rPr>
        <w:t>‘The Rise and Fall of Ancient Egypt: The History of a Civilisation from 3000BC to Cleopatra’.</w:t>
      </w:r>
      <w:r w:rsidR="001E472C">
        <w:t xml:space="preserve"> London: CPI Group. p.</w:t>
      </w:r>
      <w:r w:rsidR="00BC72A9">
        <w:t xml:space="preserve">91. </w:t>
      </w:r>
    </w:p>
  </w:footnote>
  <w:footnote w:id="6">
    <w:p w14:paraId="47180670" w14:textId="6A5453C1" w:rsidR="00D16C98" w:rsidRPr="00773DB6" w:rsidRDefault="00D16C98" w:rsidP="00773DB6">
      <w:pPr>
        <w:rPr>
          <w:color w:val="000000" w:themeColor="text1"/>
          <w:kern w:val="24"/>
        </w:rPr>
      </w:pPr>
      <w:r>
        <w:rPr>
          <w:rStyle w:val="FootnoteReference"/>
        </w:rPr>
        <w:footnoteRef/>
      </w:r>
      <w:r>
        <w:t xml:space="preserve"> </w:t>
      </w:r>
      <w:proofErr w:type="spellStart"/>
      <w:r w:rsidR="00773DB6">
        <w:rPr>
          <w:color w:val="000000" w:themeColor="text1"/>
          <w:kern w:val="24"/>
        </w:rPr>
        <w:t>Wengrow</w:t>
      </w:r>
      <w:proofErr w:type="spellEnd"/>
      <w:r w:rsidR="00773DB6">
        <w:rPr>
          <w:color w:val="000000" w:themeColor="text1"/>
          <w:kern w:val="24"/>
        </w:rPr>
        <w:t xml:space="preserve">, D. (2010) </w:t>
      </w:r>
      <w:r w:rsidR="00773DB6">
        <w:rPr>
          <w:i/>
          <w:color w:val="000000" w:themeColor="text1"/>
          <w:kern w:val="24"/>
        </w:rPr>
        <w:t xml:space="preserve">‘What Makes </w:t>
      </w:r>
      <w:proofErr w:type="spellStart"/>
      <w:r w:rsidR="00773DB6">
        <w:rPr>
          <w:i/>
          <w:color w:val="000000" w:themeColor="text1"/>
          <w:kern w:val="24"/>
        </w:rPr>
        <w:t>Civilization</w:t>
      </w:r>
      <w:proofErr w:type="spellEnd"/>
      <w:r w:rsidR="00773DB6">
        <w:rPr>
          <w:i/>
          <w:color w:val="000000" w:themeColor="text1"/>
          <w:kern w:val="24"/>
        </w:rPr>
        <w:t xml:space="preserve">?’ </w:t>
      </w:r>
      <w:r w:rsidR="00773DB6">
        <w:rPr>
          <w:color w:val="000000" w:themeColor="text1"/>
          <w:kern w:val="24"/>
        </w:rPr>
        <w:t>Great Britain: Clays Ltd. pp.19-20</w:t>
      </w:r>
      <w:r w:rsidR="00BA01CD">
        <w:rPr>
          <w:color w:val="000000" w:themeColor="text1"/>
          <w:kern w:val="24"/>
        </w:rPr>
        <w:t xml:space="preserve">, </w:t>
      </w:r>
      <w:r w:rsidR="008C57C6">
        <w:rPr>
          <w:color w:val="000000" w:themeColor="text1"/>
          <w:kern w:val="24"/>
        </w:rPr>
        <w:t xml:space="preserve">p.108. </w:t>
      </w:r>
    </w:p>
  </w:footnote>
  <w:footnote w:id="7">
    <w:p w14:paraId="5875ED00" w14:textId="0325EF34" w:rsidR="00224082" w:rsidRPr="0022550D" w:rsidRDefault="00224082" w:rsidP="0022550D">
      <w:pPr>
        <w:rPr>
          <w:color w:val="000000" w:themeColor="text1"/>
          <w:kern w:val="24"/>
        </w:rPr>
      </w:pPr>
      <w:r>
        <w:rPr>
          <w:rStyle w:val="FootnoteReference"/>
        </w:rPr>
        <w:footnoteRef/>
      </w:r>
      <w:r>
        <w:t xml:space="preserve"> </w:t>
      </w:r>
      <w:proofErr w:type="spellStart"/>
      <w:r w:rsidR="0022550D">
        <w:rPr>
          <w:color w:val="000000" w:themeColor="text1"/>
          <w:kern w:val="24"/>
        </w:rPr>
        <w:t>Charvát</w:t>
      </w:r>
      <w:proofErr w:type="spellEnd"/>
      <w:r w:rsidR="0022550D">
        <w:rPr>
          <w:color w:val="000000" w:themeColor="text1"/>
          <w:kern w:val="24"/>
        </w:rPr>
        <w:t xml:space="preserve">, P. (2013) </w:t>
      </w:r>
      <w:r w:rsidR="0022550D">
        <w:rPr>
          <w:i/>
          <w:color w:val="000000" w:themeColor="text1"/>
          <w:kern w:val="24"/>
        </w:rPr>
        <w:t>‘</w:t>
      </w:r>
      <w:r w:rsidR="0022550D" w:rsidRPr="0022550D">
        <w:rPr>
          <w:i/>
          <w:color w:val="000000" w:themeColor="text1"/>
          <w:kern w:val="24"/>
        </w:rPr>
        <w:t>The Birth of the State: Ancient Egypt, Mesopotamia, India and China</w:t>
      </w:r>
      <w:r w:rsidR="0022550D">
        <w:rPr>
          <w:i/>
          <w:color w:val="000000" w:themeColor="text1"/>
          <w:kern w:val="24"/>
        </w:rPr>
        <w:t>’.</w:t>
      </w:r>
      <w:r w:rsidR="0022550D">
        <w:rPr>
          <w:color w:val="000000" w:themeColor="text1"/>
          <w:kern w:val="24"/>
        </w:rPr>
        <w:t xml:space="preserve"> 1</w:t>
      </w:r>
      <w:r w:rsidR="0022550D" w:rsidRPr="00B86D2C">
        <w:rPr>
          <w:color w:val="000000" w:themeColor="text1"/>
          <w:kern w:val="24"/>
          <w:vertAlign w:val="superscript"/>
        </w:rPr>
        <w:t>st</w:t>
      </w:r>
      <w:r w:rsidR="0022550D">
        <w:rPr>
          <w:color w:val="000000" w:themeColor="text1"/>
          <w:kern w:val="24"/>
        </w:rPr>
        <w:t xml:space="preserve"> English Ed.</w:t>
      </w:r>
      <w:r w:rsidR="0022550D">
        <w:rPr>
          <w:i/>
          <w:color w:val="000000" w:themeColor="text1"/>
          <w:kern w:val="24"/>
        </w:rPr>
        <w:t xml:space="preserve"> </w:t>
      </w:r>
      <w:r w:rsidR="0022550D">
        <w:rPr>
          <w:color w:val="000000" w:themeColor="text1"/>
          <w:kern w:val="24"/>
        </w:rPr>
        <w:t xml:space="preserve">Prague: Charles University in Prague, </w:t>
      </w:r>
      <w:proofErr w:type="spellStart"/>
      <w:r w:rsidR="0022550D">
        <w:rPr>
          <w:color w:val="000000" w:themeColor="text1"/>
          <w:kern w:val="24"/>
        </w:rPr>
        <w:t>Karolinum</w:t>
      </w:r>
      <w:proofErr w:type="spellEnd"/>
      <w:r w:rsidR="0022550D">
        <w:rPr>
          <w:color w:val="000000" w:themeColor="text1"/>
          <w:kern w:val="24"/>
        </w:rPr>
        <w:t xml:space="preserve"> Press. p</w:t>
      </w:r>
      <w:r w:rsidR="004B7B87">
        <w:rPr>
          <w:color w:val="000000" w:themeColor="text1"/>
          <w:kern w:val="24"/>
        </w:rPr>
        <w:t>.</w:t>
      </w:r>
      <w:r w:rsidR="0022550D">
        <w:rPr>
          <w:color w:val="000000" w:themeColor="text1"/>
          <w:kern w:val="24"/>
        </w:rPr>
        <w:t>6</w:t>
      </w:r>
      <w:r w:rsidR="004B7B87">
        <w:rPr>
          <w:color w:val="000000" w:themeColor="text1"/>
          <w:kern w:val="24"/>
        </w:rPr>
        <w:t>8</w:t>
      </w:r>
      <w:r w:rsidR="0022550D">
        <w:rPr>
          <w:color w:val="000000" w:themeColor="text1"/>
          <w:kern w:val="24"/>
        </w:rPr>
        <w:t xml:space="preserve">. </w:t>
      </w:r>
    </w:p>
  </w:footnote>
  <w:footnote w:id="8">
    <w:p w14:paraId="4AE9D842" w14:textId="7D1A1361" w:rsidR="00B242BB" w:rsidRPr="00E56E13" w:rsidRDefault="00B242BB" w:rsidP="00E56E13">
      <w:pPr>
        <w:rPr>
          <w:color w:val="000000" w:themeColor="text1"/>
          <w:kern w:val="24"/>
        </w:rPr>
      </w:pPr>
      <w:r>
        <w:rPr>
          <w:rStyle w:val="FootnoteReference"/>
        </w:rPr>
        <w:footnoteRef/>
      </w:r>
      <w:r>
        <w:t xml:space="preserve"> </w:t>
      </w:r>
      <w:proofErr w:type="spellStart"/>
      <w:r w:rsidR="00E56E13" w:rsidRPr="000E440C">
        <w:rPr>
          <w:color w:val="000000" w:themeColor="text1"/>
          <w:kern w:val="24"/>
        </w:rPr>
        <w:t>Wenke</w:t>
      </w:r>
      <w:proofErr w:type="spellEnd"/>
      <w:r w:rsidR="00E56E13">
        <w:rPr>
          <w:color w:val="000000" w:themeColor="text1"/>
          <w:kern w:val="24"/>
        </w:rPr>
        <w:t>, R. F.;</w:t>
      </w:r>
      <w:r w:rsidR="00E56E13" w:rsidRPr="000E440C">
        <w:rPr>
          <w:color w:val="000000" w:themeColor="text1"/>
          <w:kern w:val="24"/>
        </w:rPr>
        <w:t xml:space="preserve"> </w:t>
      </w:r>
      <w:proofErr w:type="spellStart"/>
      <w:r w:rsidR="00E56E13" w:rsidRPr="000E440C">
        <w:rPr>
          <w:color w:val="000000" w:themeColor="text1"/>
          <w:kern w:val="24"/>
        </w:rPr>
        <w:t>Olszewski</w:t>
      </w:r>
      <w:proofErr w:type="spellEnd"/>
      <w:r w:rsidR="00E56E13">
        <w:rPr>
          <w:color w:val="000000" w:themeColor="text1"/>
          <w:kern w:val="24"/>
        </w:rPr>
        <w:t xml:space="preserve">, D. J. (2007) </w:t>
      </w:r>
      <w:r w:rsidR="00E56E13" w:rsidRPr="0092453E">
        <w:rPr>
          <w:i/>
          <w:color w:val="000000" w:themeColor="text1"/>
          <w:kern w:val="24"/>
        </w:rPr>
        <w:t>‘</w:t>
      </w:r>
      <w:r w:rsidR="00E56E13" w:rsidRPr="002E035A">
        <w:rPr>
          <w:i/>
          <w:color w:val="000000" w:themeColor="text1"/>
          <w:kern w:val="24"/>
        </w:rPr>
        <w:t>Patterns in Prehistory: Humankind’s First Three Million Years</w:t>
      </w:r>
      <w:r w:rsidR="00E56E13" w:rsidRPr="0092453E">
        <w:rPr>
          <w:i/>
          <w:color w:val="000000" w:themeColor="text1"/>
          <w:kern w:val="24"/>
        </w:rPr>
        <w:t>’</w:t>
      </w:r>
      <w:r w:rsidR="00E56E13">
        <w:rPr>
          <w:color w:val="000000" w:themeColor="text1"/>
          <w:kern w:val="24"/>
        </w:rPr>
        <w:t>. 5</w:t>
      </w:r>
      <w:r w:rsidR="00E56E13" w:rsidRPr="003E6CF5">
        <w:rPr>
          <w:color w:val="000000" w:themeColor="text1"/>
          <w:kern w:val="24"/>
          <w:vertAlign w:val="superscript"/>
        </w:rPr>
        <w:t>th</w:t>
      </w:r>
      <w:r w:rsidR="00E56E13">
        <w:rPr>
          <w:color w:val="000000" w:themeColor="text1"/>
          <w:kern w:val="24"/>
        </w:rPr>
        <w:t xml:space="preserve"> Ed. Oxford: Oxford a University Press. p.370.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2C32AF"/>
    <w:multiLevelType w:val="hybridMultilevel"/>
    <w:tmpl w:val="2CAC19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50524E"/>
    <w:multiLevelType w:val="hybridMultilevel"/>
    <w:tmpl w:val="927E84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3202B4"/>
    <w:multiLevelType w:val="hybridMultilevel"/>
    <w:tmpl w:val="C3DC82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876E5D"/>
    <w:multiLevelType w:val="hybridMultilevel"/>
    <w:tmpl w:val="7116F0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1673A4"/>
    <w:multiLevelType w:val="hybridMultilevel"/>
    <w:tmpl w:val="31EC85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9F1"/>
    <w:rsid w:val="00004973"/>
    <w:rsid w:val="000B7095"/>
    <w:rsid w:val="000C5446"/>
    <w:rsid w:val="000F6264"/>
    <w:rsid w:val="000F7B18"/>
    <w:rsid w:val="00123148"/>
    <w:rsid w:val="001279E6"/>
    <w:rsid w:val="001313E9"/>
    <w:rsid w:val="00161108"/>
    <w:rsid w:val="00191BF4"/>
    <w:rsid w:val="001C3EB1"/>
    <w:rsid w:val="001D54BE"/>
    <w:rsid w:val="001E472C"/>
    <w:rsid w:val="001E577F"/>
    <w:rsid w:val="001F35BD"/>
    <w:rsid w:val="002037BD"/>
    <w:rsid w:val="002107CD"/>
    <w:rsid w:val="00213262"/>
    <w:rsid w:val="00223341"/>
    <w:rsid w:val="00224082"/>
    <w:rsid w:val="0022550D"/>
    <w:rsid w:val="002276F8"/>
    <w:rsid w:val="00242A96"/>
    <w:rsid w:val="002C4D4D"/>
    <w:rsid w:val="002E035A"/>
    <w:rsid w:val="002E3FE7"/>
    <w:rsid w:val="00315C10"/>
    <w:rsid w:val="003343C9"/>
    <w:rsid w:val="00343E99"/>
    <w:rsid w:val="003458B7"/>
    <w:rsid w:val="00366DCE"/>
    <w:rsid w:val="003672E8"/>
    <w:rsid w:val="00382470"/>
    <w:rsid w:val="00397552"/>
    <w:rsid w:val="00397AA0"/>
    <w:rsid w:val="003A133F"/>
    <w:rsid w:val="003D0D6B"/>
    <w:rsid w:val="00436D7F"/>
    <w:rsid w:val="00440C63"/>
    <w:rsid w:val="00457525"/>
    <w:rsid w:val="00476302"/>
    <w:rsid w:val="00487E1A"/>
    <w:rsid w:val="004A3DEE"/>
    <w:rsid w:val="004B7945"/>
    <w:rsid w:val="004B7B87"/>
    <w:rsid w:val="004C6E8C"/>
    <w:rsid w:val="004D79C8"/>
    <w:rsid w:val="004E49AF"/>
    <w:rsid w:val="004F4438"/>
    <w:rsid w:val="00506AB5"/>
    <w:rsid w:val="00525CC5"/>
    <w:rsid w:val="00535F0A"/>
    <w:rsid w:val="00537F97"/>
    <w:rsid w:val="00540729"/>
    <w:rsid w:val="005565AE"/>
    <w:rsid w:val="0058158B"/>
    <w:rsid w:val="005B08F9"/>
    <w:rsid w:val="005B2641"/>
    <w:rsid w:val="005F2DCF"/>
    <w:rsid w:val="005F55D2"/>
    <w:rsid w:val="006355E2"/>
    <w:rsid w:val="006416BA"/>
    <w:rsid w:val="00662ED0"/>
    <w:rsid w:val="0067348B"/>
    <w:rsid w:val="00674251"/>
    <w:rsid w:val="0067671E"/>
    <w:rsid w:val="00682E50"/>
    <w:rsid w:val="00690EF7"/>
    <w:rsid w:val="006947A8"/>
    <w:rsid w:val="006A5048"/>
    <w:rsid w:val="006A61B7"/>
    <w:rsid w:val="006B2AA6"/>
    <w:rsid w:val="006C7182"/>
    <w:rsid w:val="006C79A1"/>
    <w:rsid w:val="006D40A4"/>
    <w:rsid w:val="006E1E0F"/>
    <w:rsid w:val="006E7FA7"/>
    <w:rsid w:val="006F0296"/>
    <w:rsid w:val="00764641"/>
    <w:rsid w:val="00765D11"/>
    <w:rsid w:val="00773667"/>
    <w:rsid w:val="00773DB6"/>
    <w:rsid w:val="00775DA1"/>
    <w:rsid w:val="00784158"/>
    <w:rsid w:val="00793E6A"/>
    <w:rsid w:val="007979F1"/>
    <w:rsid w:val="007A53CB"/>
    <w:rsid w:val="007E0696"/>
    <w:rsid w:val="007F2863"/>
    <w:rsid w:val="007F75E1"/>
    <w:rsid w:val="00806A6F"/>
    <w:rsid w:val="00847778"/>
    <w:rsid w:val="00856789"/>
    <w:rsid w:val="00886600"/>
    <w:rsid w:val="008C4059"/>
    <w:rsid w:val="008C57C6"/>
    <w:rsid w:val="008C715F"/>
    <w:rsid w:val="008D1716"/>
    <w:rsid w:val="008F5816"/>
    <w:rsid w:val="008F7D5F"/>
    <w:rsid w:val="00933342"/>
    <w:rsid w:val="00934D0F"/>
    <w:rsid w:val="00950680"/>
    <w:rsid w:val="00961FEA"/>
    <w:rsid w:val="009717DB"/>
    <w:rsid w:val="00985D2C"/>
    <w:rsid w:val="00987B21"/>
    <w:rsid w:val="0099181D"/>
    <w:rsid w:val="0099485D"/>
    <w:rsid w:val="009A319B"/>
    <w:rsid w:val="009A6D17"/>
    <w:rsid w:val="009A7D6C"/>
    <w:rsid w:val="009B5CC1"/>
    <w:rsid w:val="009F4C8F"/>
    <w:rsid w:val="00A0414F"/>
    <w:rsid w:val="00A36B0D"/>
    <w:rsid w:val="00A44253"/>
    <w:rsid w:val="00A5719A"/>
    <w:rsid w:val="00A578CA"/>
    <w:rsid w:val="00A6689B"/>
    <w:rsid w:val="00A70BA2"/>
    <w:rsid w:val="00A76924"/>
    <w:rsid w:val="00A7786A"/>
    <w:rsid w:val="00AB03C2"/>
    <w:rsid w:val="00AB2091"/>
    <w:rsid w:val="00AB2616"/>
    <w:rsid w:val="00AC0EFD"/>
    <w:rsid w:val="00AD1262"/>
    <w:rsid w:val="00AD328B"/>
    <w:rsid w:val="00AF69E1"/>
    <w:rsid w:val="00B242BB"/>
    <w:rsid w:val="00B278A2"/>
    <w:rsid w:val="00B45150"/>
    <w:rsid w:val="00B4624A"/>
    <w:rsid w:val="00B53E3E"/>
    <w:rsid w:val="00B55FA5"/>
    <w:rsid w:val="00B63FFC"/>
    <w:rsid w:val="00B71084"/>
    <w:rsid w:val="00B83792"/>
    <w:rsid w:val="00B915B4"/>
    <w:rsid w:val="00BA01CD"/>
    <w:rsid w:val="00BA5776"/>
    <w:rsid w:val="00BC52E5"/>
    <w:rsid w:val="00BC72A9"/>
    <w:rsid w:val="00BE2E12"/>
    <w:rsid w:val="00BF0B9A"/>
    <w:rsid w:val="00C05CC5"/>
    <w:rsid w:val="00C127DF"/>
    <w:rsid w:val="00C43499"/>
    <w:rsid w:val="00C46F33"/>
    <w:rsid w:val="00C70157"/>
    <w:rsid w:val="00CA280B"/>
    <w:rsid w:val="00CA66EA"/>
    <w:rsid w:val="00CE00DB"/>
    <w:rsid w:val="00D00D78"/>
    <w:rsid w:val="00D035AD"/>
    <w:rsid w:val="00D13837"/>
    <w:rsid w:val="00D14635"/>
    <w:rsid w:val="00D16C98"/>
    <w:rsid w:val="00D41B43"/>
    <w:rsid w:val="00D46E46"/>
    <w:rsid w:val="00D5161E"/>
    <w:rsid w:val="00D83EA8"/>
    <w:rsid w:val="00D8485F"/>
    <w:rsid w:val="00DE43DF"/>
    <w:rsid w:val="00DF7963"/>
    <w:rsid w:val="00DF7B45"/>
    <w:rsid w:val="00E03069"/>
    <w:rsid w:val="00E43F75"/>
    <w:rsid w:val="00E56E13"/>
    <w:rsid w:val="00E656F4"/>
    <w:rsid w:val="00E82D3A"/>
    <w:rsid w:val="00EB690F"/>
    <w:rsid w:val="00EC15E4"/>
    <w:rsid w:val="00EC3585"/>
    <w:rsid w:val="00ED0A76"/>
    <w:rsid w:val="00ED2ECF"/>
    <w:rsid w:val="00EE18B9"/>
    <w:rsid w:val="00F068EE"/>
    <w:rsid w:val="00F24E3A"/>
    <w:rsid w:val="00F27277"/>
    <w:rsid w:val="00F322BF"/>
    <w:rsid w:val="00F36D65"/>
    <w:rsid w:val="00F62266"/>
    <w:rsid w:val="00F67CDD"/>
    <w:rsid w:val="00F70E7D"/>
    <w:rsid w:val="00F93B56"/>
    <w:rsid w:val="00FA6F4E"/>
    <w:rsid w:val="00FA7F67"/>
    <w:rsid w:val="00FB143B"/>
    <w:rsid w:val="00FD5E5F"/>
    <w:rsid w:val="00FE0B1A"/>
    <w:rsid w:val="00FE7F78"/>
    <w:rsid w:val="00FF5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7550F3"/>
  <w15:chartTrackingRefBased/>
  <w15:docId w15:val="{D6A41D31-068F-D547-938B-2851E1AD0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7E1A"/>
    <w:pPr>
      <w:ind w:left="720"/>
      <w:contextualSpacing/>
    </w:pPr>
  </w:style>
  <w:style w:type="paragraph" w:styleId="FootnoteText">
    <w:name w:val="footnote text"/>
    <w:basedOn w:val="Normal"/>
    <w:link w:val="FootnoteTextChar"/>
    <w:uiPriority w:val="99"/>
    <w:semiHidden/>
    <w:unhideWhenUsed/>
    <w:rsid w:val="00B45150"/>
    <w:rPr>
      <w:sz w:val="20"/>
      <w:szCs w:val="20"/>
    </w:rPr>
  </w:style>
  <w:style w:type="character" w:customStyle="1" w:styleId="FootnoteTextChar">
    <w:name w:val="Footnote Text Char"/>
    <w:basedOn w:val="DefaultParagraphFont"/>
    <w:link w:val="FootnoteText"/>
    <w:uiPriority w:val="99"/>
    <w:semiHidden/>
    <w:rsid w:val="00B45150"/>
    <w:rPr>
      <w:sz w:val="20"/>
      <w:szCs w:val="20"/>
    </w:rPr>
  </w:style>
  <w:style w:type="character" w:styleId="FootnoteReference">
    <w:name w:val="footnote reference"/>
    <w:basedOn w:val="DefaultParagraphFont"/>
    <w:uiPriority w:val="99"/>
    <w:semiHidden/>
    <w:unhideWhenUsed/>
    <w:rsid w:val="00B4515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3</Pages>
  <Words>620</Words>
  <Characters>3539</Characters>
  <Application>Microsoft Office Word</Application>
  <DocSecurity>0</DocSecurity>
  <Lines>29</Lines>
  <Paragraphs>8</Paragraphs>
  <ScaleCrop>false</ScaleCrop>
  <Company/>
  <LinksUpToDate>false</LinksUpToDate>
  <CharactersWithSpaces>4151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(1801719)</dc:creator>
  <cp:keywords/>
  <dc:description/>
  <cp:lastModifiedBy>Rebecca Smith (1801719)</cp:lastModifiedBy>
  <cp:revision>5</cp:revision>
  <dcterms:created xsi:type="dcterms:W3CDTF">2019-01-23T15:11:00Z</dcterms:created>
  <dcterms:modified xsi:type="dcterms:W3CDTF">2019-01-23T16:44:00Z</dcterms:modified>
</cp:coreProperties>
</file>