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5B52F4" w14:textId="59D88C6D" w:rsidR="00C413EC" w:rsidRDefault="00C413EC" w:rsidP="00C413EC">
      <w:pPr>
        <w:pStyle w:val="Heading1"/>
        <w:rPr>
          <w:lang w:val="en-GB"/>
        </w:rPr>
      </w:pPr>
      <w:r>
        <w:rPr>
          <w:lang w:val="en-GB"/>
        </w:rPr>
        <w:t>Catalogue entry</w:t>
      </w:r>
    </w:p>
    <w:p w14:paraId="188A2C17" w14:textId="456255ED" w:rsidR="00C413EC" w:rsidRDefault="004F7F20" w:rsidP="00C413EC">
      <w:pPr>
        <w:pStyle w:val="Heading2"/>
      </w:pPr>
      <w:r>
        <w:rPr>
          <w:noProof/>
        </w:rPr>
        <w:drawing>
          <wp:anchor distT="0" distB="0" distL="114300" distR="114300" simplePos="0" relativeHeight="251658752" behindDoc="1" locked="0" layoutInCell="1" allowOverlap="1" wp14:anchorId="5A39CDEF" wp14:editId="627D9637">
            <wp:simplePos x="0" y="0"/>
            <wp:positionH relativeFrom="page">
              <wp:align>left</wp:align>
            </wp:positionH>
            <wp:positionV relativeFrom="paragraph">
              <wp:posOffset>174625</wp:posOffset>
            </wp:positionV>
            <wp:extent cx="2141220" cy="2141220"/>
            <wp:effectExtent l="0" t="0" r="0" b="0"/>
            <wp:wrapSquare wrapText="bothSides"/>
            <wp:docPr id="13962421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078506" name="Picture 1404078506"/>
                    <pic:cNvPicPr/>
                  </pic:nvPicPr>
                  <pic:blipFill rotWithShape="1">
                    <a:blip r:embed="rId10"/>
                    <a:srcRect l="14348" t="17488" r="39595" b="21103"/>
                    <a:stretch>
                      <a:fillRect/>
                    </a:stretch>
                  </pic:blipFill>
                  <pic:spPr bwMode="auto">
                    <a:xfrm rot="5400000">
                      <a:off x="0" y="0"/>
                      <a:ext cx="2141220" cy="2141220"/>
                    </a:xfrm>
                    <a:prstGeom prst="rect">
                      <a:avLst/>
                    </a:prstGeom>
                    <a:ln>
                      <a:noFill/>
                    </a:ln>
                    <a:extLst>
                      <a:ext uri="{53640926-AAD7-44D8-BBD7-CCE9431645EC}">
                        <a14:shadowObscured xmlns:a14="http://schemas.microsoft.com/office/drawing/2010/main"/>
                      </a:ext>
                    </a:extLst>
                  </pic:spPr>
                </pic:pic>
              </a:graphicData>
            </a:graphic>
          </wp:anchor>
        </w:drawing>
      </w:r>
    </w:p>
    <w:p w14:paraId="3D068D88" w14:textId="6887466D" w:rsidR="00032829" w:rsidRDefault="00032829" w:rsidP="00BF59C9">
      <w:r>
        <w:rPr>
          <w:noProof/>
        </w:rPr>
        <w:drawing>
          <wp:anchor distT="0" distB="0" distL="114300" distR="114300" simplePos="0" relativeHeight="251664896" behindDoc="1" locked="0" layoutInCell="1" allowOverlap="1" wp14:anchorId="2DDEE34D" wp14:editId="28A5C1EE">
            <wp:simplePos x="0" y="0"/>
            <wp:positionH relativeFrom="margin">
              <wp:align>right</wp:align>
            </wp:positionH>
            <wp:positionV relativeFrom="paragraph">
              <wp:posOffset>49530</wp:posOffset>
            </wp:positionV>
            <wp:extent cx="1929130" cy="2063115"/>
            <wp:effectExtent l="9207" t="0" r="4128" b="4127"/>
            <wp:wrapSquare wrapText="bothSides"/>
            <wp:docPr id="723880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880609" name="Picture 723880609"/>
                    <pic:cNvPicPr/>
                  </pic:nvPicPr>
                  <pic:blipFill rotWithShape="1">
                    <a:blip r:embed="rId11"/>
                    <a:srcRect l="32311" t="15332" r="30656" b="31857"/>
                    <a:stretch>
                      <a:fillRect/>
                    </a:stretch>
                  </pic:blipFill>
                  <pic:spPr bwMode="auto">
                    <a:xfrm rot="5400000">
                      <a:off x="0" y="0"/>
                      <a:ext cx="1929130" cy="2063115"/>
                    </a:xfrm>
                    <a:prstGeom prst="rect">
                      <a:avLst/>
                    </a:prstGeom>
                    <a:ln>
                      <a:noFill/>
                    </a:ln>
                    <a:extLst>
                      <a:ext uri="{53640926-AAD7-44D8-BBD7-CCE9431645EC}">
                        <a14:shadowObscured xmlns:a14="http://schemas.microsoft.com/office/drawing/2010/main"/>
                      </a:ext>
                    </a:extLst>
                  </pic:spPr>
                </pic:pic>
              </a:graphicData>
            </a:graphic>
          </wp:anchor>
        </w:drawing>
      </w:r>
      <w:r w:rsidR="004F7F20">
        <w:t xml:space="preserve">Left: </w:t>
      </w:r>
      <w:r w:rsidR="00BA649B">
        <w:t xml:space="preserve">Small pottery face front with scale </w:t>
      </w:r>
    </w:p>
    <w:p w14:paraId="3BDB39E3" w14:textId="2C1E4ACF" w:rsidR="00BF59C9" w:rsidRDefault="00BA649B" w:rsidP="00BF59C9">
      <w:r>
        <w:t>(</w:t>
      </w:r>
      <w:r w:rsidR="00032829">
        <w:t>Williams, 2025, fig.1)</w:t>
      </w:r>
      <w:r w:rsidR="00B81D53">
        <w:rPr>
          <w:rStyle w:val="FootnoteReference"/>
        </w:rPr>
        <w:footnoteReference w:id="1"/>
      </w:r>
    </w:p>
    <w:p w14:paraId="739C4A90" w14:textId="6425E13B" w:rsidR="00032829" w:rsidRPr="00BF59C9" w:rsidRDefault="00032829" w:rsidP="00BF59C9">
      <w:r>
        <w:t xml:space="preserve">Right: Small pottery face back </w:t>
      </w:r>
      <w:r w:rsidR="001A5EF2">
        <w:t>with scale (Williams, 2025, fig.2)</w:t>
      </w:r>
      <w:r w:rsidR="00B81D53">
        <w:rPr>
          <w:rStyle w:val="FootnoteReference"/>
        </w:rPr>
        <w:footnoteReference w:id="2"/>
      </w:r>
    </w:p>
    <w:p w14:paraId="1013E8D8" w14:textId="77777777" w:rsidR="00A958B5" w:rsidRDefault="00032829" w:rsidP="00BF59C9">
      <w:pPr>
        <w:tabs>
          <w:tab w:val="left" w:pos="9216"/>
        </w:tabs>
        <w:rPr>
          <w:rFonts w:ascii="Arial" w:hAnsi="Arial" w:cs="Arial"/>
          <w:bCs/>
        </w:rPr>
      </w:pPr>
      <w:r>
        <w:rPr>
          <w:noProof/>
        </w:rPr>
        <w:drawing>
          <wp:inline distT="0" distB="0" distL="0" distR="0" wp14:anchorId="41D58298" wp14:editId="36FFE1CD">
            <wp:extent cx="1995805" cy="2116455"/>
            <wp:effectExtent l="0" t="3175" r="1270" b="1270"/>
            <wp:docPr id="9029058" name="Picture 3" descr="A rock on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9058" name="Picture 3" descr="A rock on a white surface&#10;&#10;AI-generated content may be incorrect."/>
                    <pic:cNvPicPr/>
                  </pic:nvPicPr>
                  <pic:blipFill rotWithShape="1">
                    <a:blip r:embed="rId12"/>
                    <a:srcRect l="40640" t="8248" r="14064" b="27707"/>
                    <a:stretch>
                      <a:fillRect/>
                    </a:stretch>
                  </pic:blipFill>
                  <pic:spPr bwMode="auto">
                    <a:xfrm rot="5400000">
                      <a:off x="0" y="0"/>
                      <a:ext cx="1995805" cy="2116455"/>
                    </a:xfrm>
                    <a:prstGeom prst="rect">
                      <a:avLst/>
                    </a:prstGeom>
                    <a:ln>
                      <a:noFill/>
                    </a:ln>
                    <a:extLst>
                      <a:ext uri="{53640926-AAD7-44D8-BBD7-CCE9431645EC}">
                        <a14:shadowObscured xmlns:a14="http://schemas.microsoft.com/office/drawing/2010/main"/>
                      </a:ext>
                    </a:extLst>
                  </pic:spPr>
                </pic:pic>
              </a:graphicData>
            </a:graphic>
          </wp:inline>
        </w:drawing>
      </w:r>
      <w:r w:rsidR="001A5EF2">
        <w:rPr>
          <w:rFonts w:ascii="Arial" w:hAnsi="Arial" w:cs="Arial"/>
          <w:bCs/>
        </w:rPr>
        <w:t xml:space="preserve"> </w:t>
      </w:r>
    </w:p>
    <w:p w14:paraId="47EDCDAD" w14:textId="68DFA8BD" w:rsidR="001A5EF2" w:rsidRPr="001A5EF2" w:rsidRDefault="00A958B5" w:rsidP="00BF59C9">
      <w:pPr>
        <w:tabs>
          <w:tab w:val="left" w:pos="9216"/>
        </w:tabs>
        <w:rPr>
          <w:rFonts w:ascii="Arial" w:hAnsi="Arial" w:cs="Arial"/>
          <w:bCs/>
        </w:rPr>
      </w:pPr>
      <w:r>
        <w:rPr>
          <w:rFonts w:ascii="Arial" w:hAnsi="Arial" w:cs="Arial"/>
          <w:bCs/>
        </w:rPr>
        <w:t>above</w:t>
      </w:r>
      <w:r w:rsidR="001A5EF2">
        <w:rPr>
          <w:rFonts w:ascii="Arial" w:hAnsi="Arial" w:cs="Arial"/>
          <w:bCs/>
        </w:rPr>
        <w:t>: small pottery face side profile (Williams, 2025, fig.3)</w:t>
      </w:r>
      <w:r w:rsidR="00225AC6">
        <w:rPr>
          <w:rStyle w:val="FootnoteReference"/>
          <w:rFonts w:ascii="Arial" w:hAnsi="Arial" w:cs="Arial"/>
          <w:bCs/>
        </w:rPr>
        <w:footnoteReference w:id="3"/>
      </w:r>
    </w:p>
    <w:p w14:paraId="55738FB5" w14:textId="77777777" w:rsidR="00032829" w:rsidRDefault="00032829" w:rsidP="00BF59C9">
      <w:pPr>
        <w:tabs>
          <w:tab w:val="left" w:pos="9216"/>
        </w:tabs>
        <w:rPr>
          <w:rFonts w:ascii="Arial" w:hAnsi="Arial" w:cs="Arial"/>
          <w:b/>
          <w:sz w:val="28"/>
          <w:szCs w:val="28"/>
        </w:rPr>
      </w:pPr>
    </w:p>
    <w:p w14:paraId="47282C81" w14:textId="4872C8AA" w:rsidR="00C413EC" w:rsidRDefault="00DA0C10" w:rsidP="00BF59C9">
      <w:pPr>
        <w:tabs>
          <w:tab w:val="left" w:pos="9216"/>
        </w:tabs>
        <w:rPr>
          <w:rFonts w:ascii="Arial" w:hAnsi="Arial" w:cs="Arial"/>
          <w:b/>
          <w:sz w:val="28"/>
          <w:szCs w:val="28"/>
          <w:lang w:val="en-GB" w:eastAsia="en-GB"/>
        </w:rPr>
      </w:pPr>
      <w:r>
        <w:rPr>
          <w:rFonts w:ascii="Arial" w:hAnsi="Arial" w:cs="Arial"/>
          <w:b/>
          <w:sz w:val="28"/>
          <w:szCs w:val="28"/>
        </w:rPr>
        <w:t>Small Pottery Face</w:t>
      </w:r>
      <w:r w:rsidR="00BF59C9">
        <w:rPr>
          <w:rFonts w:ascii="Arial" w:hAnsi="Arial" w:cs="Arial"/>
          <w:b/>
          <w:sz w:val="28"/>
          <w:szCs w:val="28"/>
        </w:rPr>
        <w:tab/>
      </w:r>
    </w:p>
    <w:p w14:paraId="6B4039FC" w14:textId="6591C02F" w:rsidR="00C413EC" w:rsidRDefault="00C413EC" w:rsidP="00BF59C9">
      <w:pPr>
        <w:rPr>
          <w:rFonts w:ascii="Arial" w:hAnsi="Arial" w:cs="Arial"/>
          <w:b/>
        </w:rPr>
      </w:pPr>
      <w:r>
        <w:rPr>
          <w:rFonts w:ascii="Arial" w:hAnsi="Arial" w:cs="Arial"/>
          <w:b/>
        </w:rPr>
        <w:t xml:space="preserve">Cyfarthfa Castle, Merthyr Tydfil </w:t>
      </w:r>
      <w:r w:rsidR="00BF59C9">
        <w:rPr>
          <w:rFonts w:ascii="Arial" w:hAnsi="Arial" w:cs="Arial"/>
          <w:b/>
        </w:rPr>
        <w:t xml:space="preserve">CCM 175.996 </w:t>
      </w:r>
    </w:p>
    <w:p w14:paraId="19FD72AF" w14:textId="2893325D" w:rsidR="00C413EC" w:rsidRDefault="00C413EC" w:rsidP="00C413EC">
      <w:pPr>
        <w:rPr>
          <w:rFonts w:ascii="Arial" w:hAnsi="Arial" w:cs="Arial"/>
        </w:rPr>
      </w:pPr>
      <w:r>
        <w:rPr>
          <w:rFonts w:ascii="Arial" w:hAnsi="Arial" w:cs="Arial"/>
          <w:b/>
          <w:bCs/>
        </w:rPr>
        <w:t xml:space="preserve">Object type: </w:t>
      </w:r>
      <w:r w:rsidR="001A5EF2">
        <w:rPr>
          <w:rFonts w:ascii="Arial" w:hAnsi="Arial" w:cs="Arial"/>
          <w:b/>
          <w:bCs/>
        </w:rPr>
        <w:t>head connected to funerary mask</w:t>
      </w:r>
    </w:p>
    <w:p w14:paraId="2B255A0C" w14:textId="022AB5AC" w:rsidR="00C413EC" w:rsidRDefault="00C413EC" w:rsidP="00C413EC">
      <w:pPr>
        <w:rPr>
          <w:rFonts w:ascii="Arial" w:hAnsi="Arial" w:cs="Arial"/>
        </w:rPr>
      </w:pPr>
      <w:r>
        <w:rPr>
          <w:rFonts w:ascii="Arial" w:hAnsi="Arial" w:cs="Arial"/>
          <w:b/>
          <w:bCs/>
        </w:rPr>
        <w:t xml:space="preserve">Material: </w:t>
      </w:r>
      <w:r w:rsidR="00BF59C9">
        <w:rPr>
          <w:rFonts w:ascii="Arial" w:hAnsi="Arial" w:cs="Arial"/>
          <w:b/>
          <w:bCs/>
        </w:rPr>
        <w:t>Marl Clay A3</w:t>
      </w:r>
    </w:p>
    <w:p w14:paraId="52FC5A38" w14:textId="57CD86AD" w:rsidR="00C413EC" w:rsidRDefault="00C413EC" w:rsidP="00C413EC">
      <w:pPr>
        <w:rPr>
          <w:rFonts w:ascii="Arial" w:hAnsi="Arial" w:cs="Arial"/>
        </w:rPr>
      </w:pPr>
      <w:r>
        <w:rPr>
          <w:rFonts w:ascii="Arial" w:hAnsi="Arial" w:cs="Arial"/>
          <w:b/>
          <w:bCs/>
        </w:rPr>
        <w:t xml:space="preserve">Period: </w:t>
      </w:r>
      <w:r w:rsidR="00BF59C9">
        <w:rPr>
          <w:rFonts w:ascii="Arial" w:hAnsi="Arial" w:cs="Arial"/>
          <w:b/>
          <w:bCs/>
        </w:rPr>
        <w:t>17</w:t>
      </w:r>
      <w:r w:rsidR="00BF59C9" w:rsidRPr="00BF59C9">
        <w:rPr>
          <w:rFonts w:ascii="Arial" w:hAnsi="Arial" w:cs="Arial"/>
          <w:b/>
          <w:bCs/>
          <w:vertAlign w:val="superscript"/>
        </w:rPr>
        <w:t>th</w:t>
      </w:r>
      <w:r w:rsidR="00BF59C9">
        <w:rPr>
          <w:rFonts w:ascii="Arial" w:hAnsi="Arial" w:cs="Arial"/>
          <w:b/>
          <w:bCs/>
        </w:rPr>
        <w:t xml:space="preserve"> -18</w:t>
      </w:r>
      <w:r w:rsidR="00BF59C9" w:rsidRPr="00BF59C9">
        <w:rPr>
          <w:rFonts w:ascii="Arial" w:hAnsi="Arial" w:cs="Arial"/>
          <w:b/>
          <w:bCs/>
          <w:vertAlign w:val="superscript"/>
        </w:rPr>
        <w:t>th</w:t>
      </w:r>
      <w:r w:rsidR="00BF59C9">
        <w:rPr>
          <w:rFonts w:ascii="Arial" w:hAnsi="Arial" w:cs="Arial"/>
          <w:b/>
          <w:bCs/>
        </w:rPr>
        <w:t xml:space="preserve"> Dynasty (late second intermediate period- new Kingdom, proposed)</w:t>
      </w:r>
    </w:p>
    <w:p w14:paraId="361E0AB5" w14:textId="49FE0E13" w:rsidR="00C413EC" w:rsidRDefault="00C413EC" w:rsidP="00C413EC">
      <w:pPr>
        <w:rPr>
          <w:rFonts w:ascii="Arial" w:hAnsi="Arial" w:cs="Arial"/>
        </w:rPr>
      </w:pPr>
      <w:r>
        <w:rPr>
          <w:rFonts w:ascii="Arial" w:hAnsi="Arial" w:cs="Arial"/>
          <w:b/>
          <w:bCs/>
        </w:rPr>
        <w:t xml:space="preserve">Provenance: </w:t>
      </w:r>
      <w:r w:rsidR="00BF59C9">
        <w:rPr>
          <w:rFonts w:ascii="Arial" w:hAnsi="Arial" w:cs="Arial"/>
          <w:b/>
          <w:bCs/>
        </w:rPr>
        <w:t>Upper Egypt</w:t>
      </w:r>
    </w:p>
    <w:p w14:paraId="398D9EF7" w14:textId="0B5CA810" w:rsidR="00C413EC" w:rsidRDefault="00C413EC" w:rsidP="00C413EC">
      <w:pPr>
        <w:rPr>
          <w:rFonts w:ascii="Arial" w:hAnsi="Arial" w:cs="Arial"/>
        </w:rPr>
      </w:pPr>
      <w:r>
        <w:rPr>
          <w:rFonts w:ascii="Arial" w:hAnsi="Arial" w:cs="Arial"/>
          <w:b/>
          <w:bCs/>
        </w:rPr>
        <w:t xml:space="preserve">Dimensions: </w:t>
      </w:r>
      <w:r w:rsidR="00BF59C9">
        <w:rPr>
          <w:rFonts w:ascii="Arial" w:hAnsi="Arial" w:cs="Arial"/>
          <w:b/>
          <w:bCs/>
        </w:rPr>
        <w:t xml:space="preserve">5.6 x 5.4 x 4cm </w:t>
      </w:r>
    </w:p>
    <w:p w14:paraId="09184213" w14:textId="4C7E4D9F" w:rsidR="00C413EC" w:rsidRDefault="00C413EC" w:rsidP="00C413EC">
      <w:pPr>
        <w:rPr>
          <w:rFonts w:ascii="Arial" w:hAnsi="Arial" w:cs="Arial"/>
        </w:rPr>
      </w:pPr>
      <w:r>
        <w:rPr>
          <w:rFonts w:ascii="Arial" w:hAnsi="Arial" w:cs="Arial"/>
        </w:rPr>
        <w:t xml:space="preserve">Object analysis by </w:t>
      </w:r>
      <w:r w:rsidR="00BF59C9">
        <w:rPr>
          <w:rFonts w:ascii="Arial" w:hAnsi="Arial" w:cs="Arial"/>
        </w:rPr>
        <w:t>Kip Williams</w:t>
      </w:r>
    </w:p>
    <w:p w14:paraId="02AB8C4D" w14:textId="77777777" w:rsidR="00C413EC" w:rsidRDefault="00C413EC" w:rsidP="00C413EC">
      <w:pPr>
        <w:rPr>
          <w:rFonts w:ascii="Arial" w:hAnsi="Arial" w:cs="Arial"/>
          <w:b/>
          <w:sz w:val="24"/>
          <w:szCs w:val="24"/>
          <w:u w:val="single"/>
        </w:rPr>
      </w:pPr>
      <w:r>
        <w:rPr>
          <w:rFonts w:ascii="Arial" w:hAnsi="Arial" w:cs="Arial"/>
          <w:b/>
          <w:sz w:val="24"/>
          <w:szCs w:val="24"/>
          <w:u w:val="single"/>
        </w:rPr>
        <w:t>Description</w:t>
      </w:r>
    </w:p>
    <w:p w14:paraId="18AA970F" w14:textId="0C31ED12" w:rsidR="00BF59C9" w:rsidRDefault="00BF59C9" w:rsidP="00C413EC">
      <w:pPr>
        <w:rPr>
          <w:rFonts w:ascii="Arial" w:hAnsi="Arial" w:cs="Arial"/>
          <w:bCs/>
          <w:sz w:val="24"/>
          <w:szCs w:val="24"/>
        </w:rPr>
      </w:pPr>
      <w:r>
        <w:rPr>
          <w:rFonts w:ascii="Arial" w:hAnsi="Arial" w:cs="Arial"/>
          <w:bCs/>
          <w:sz w:val="24"/>
          <w:szCs w:val="24"/>
        </w:rPr>
        <w:t xml:space="preserve">This object is a small object in a head shape, with only one ear present. It is </w:t>
      </w:r>
      <w:proofErr w:type="gramStart"/>
      <w:r>
        <w:rPr>
          <w:rFonts w:ascii="Arial" w:hAnsi="Arial" w:cs="Arial"/>
          <w:bCs/>
          <w:sz w:val="24"/>
          <w:szCs w:val="24"/>
        </w:rPr>
        <w:t>a very light</w:t>
      </w:r>
      <w:proofErr w:type="gramEnd"/>
      <w:r>
        <w:rPr>
          <w:rFonts w:ascii="Arial" w:hAnsi="Arial" w:cs="Arial"/>
          <w:bCs/>
          <w:sz w:val="24"/>
          <w:szCs w:val="24"/>
        </w:rPr>
        <w:t xml:space="preserve"> beige-</w:t>
      </w:r>
      <w:r w:rsidR="005C6B32">
        <w:rPr>
          <w:rFonts w:ascii="Arial" w:hAnsi="Arial" w:cs="Arial"/>
          <w:bCs/>
          <w:sz w:val="24"/>
          <w:szCs w:val="24"/>
        </w:rPr>
        <w:t>grey colour</w:t>
      </w:r>
      <w:r>
        <w:rPr>
          <w:rFonts w:ascii="Arial" w:hAnsi="Arial" w:cs="Arial"/>
          <w:bCs/>
          <w:sz w:val="24"/>
          <w:szCs w:val="24"/>
        </w:rPr>
        <w:t>,</w:t>
      </w:r>
      <w:r w:rsidR="005C6B32">
        <w:rPr>
          <w:rFonts w:ascii="Arial" w:hAnsi="Arial" w:cs="Arial"/>
          <w:bCs/>
          <w:sz w:val="24"/>
          <w:szCs w:val="24"/>
        </w:rPr>
        <w:t xml:space="preserve"> </w:t>
      </w:r>
      <w:r w:rsidR="00386F17">
        <w:rPr>
          <w:rFonts w:ascii="Arial" w:hAnsi="Arial" w:cs="Arial"/>
          <w:bCs/>
          <w:sz w:val="24"/>
          <w:szCs w:val="24"/>
        </w:rPr>
        <w:t>has a</w:t>
      </w:r>
      <w:r w:rsidR="00FA3FEB">
        <w:rPr>
          <w:rFonts w:ascii="Arial" w:hAnsi="Arial" w:cs="Arial"/>
          <w:bCs/>
          <w:sz w:val="24"/>
          <w:szCs w:val="24"/>
        </w:rPr>
        <w:t xml:space="preserve"> slightly</w:t>
      </w:r>
      <w:r w:rsidR="00386F17">
        <w:rPr>
          <w:rFonts w:ascii="Arial" w:hAnsi="Arial" w:cs="Arial"/>
          <w:bCs/>
          <w:sz w:val="24"/>
          <w:szCs w:val="24"/>
        </w:rPr>
        <w:t xml:space="preserve"> rough limestone-like texture,</w:t>
      </w:r>
      <w:r>
        <w:rPr>
          <w:rFonts w:ascii="Arial" w:hAnsi="Arial" w:cs="Arial"/>
          <w:bCs/>
          <w:sz w:val="24"/>
          <w:szCs w:val="24"/>
        </w:rPr>
        <w:t xml:space="preserve"> with small black and red grain found throughout. It </w:t>
      </w:r>
      <w:proofErr w:type="gramStart"/>
      <w:r>
        <w:rPr>
          <w:rFonts w:ascii="Arial" w:hAnsi="Arial" w:cs="Arial"/>
          <w:bCs/>
          <w:sz w:val="24"/>
          <w:szCs w:val="24"/>
        </w:rPr>
        <w:t>i</w:t>
      </w:r>
      <w:r w:rsidR="00386F17">
        <w:rPr>
          <w:rFonts w:ascii="Arial" w:hAnsi="Arial" w:cs="Arial"/>
          <w:bCs/>
          <w:sz w:val="24"/>
          <w:szCs w:val="24"/>
        </w:rPr>
        <w:t>s</w:t>
      </w:r>
      <w:r>
        <w:rPr>
          <w:rFonts w:ascii="Arial" w:hAnsi="Arial" w:cs="Arial"/>
          <w:bCs/>
          <w:sz w:val="24"/>
          <w:szCs w:val="24"/>
        </w:rPr>
        <w:t xml:space="preserve"> chopped</w:t>
      </w:r>
      <w:proofErr w:type="gramEnd"/>
      <w:r>
        <w:rPr>
          <w:rFonts w:ascii="Arial" w:hAnsi="Arial" w:cs="Arial"/>
          <w:bCs/>
          <w:sz w:val="24"/>
          <w:szCs w:val="24"/>
        </w:rPr>
        <w:t xml:space="preserve"> off at the forehead, ha</w:t>
      </w:r>
      <w:r w:rsidR="00386F17">
        <w:rPr>
          <w:rFonts w:ascii="Arial" w:hAnsi="Arial" w:cs="Arial"/>
          <w:bCs/>
          <w:sz w:val="24"/>
          <w:szCs w:val="24"/>
        </w:rPr>
        <w:t>s</w:t>
      </w:r>
      <w:r>
        <w:rPr>
          <w:rFonts w:ascii="Arial" w:hAnsi="Arial" w:cs="Arial"/>
          <w:bCs/>
          <w:sz w:val="24"/>
          <w:szCs w:val="24"/>
        </w:rPr>
        <w:t xml:space="preserve"> eyes, </w:t>
      </w:r>
      <w:proofErr w:type="gramStart"/>
      <w:r>
        <w:rPr>
          <w:rFonts w:ascii="Arial" w:hAnsi="Arial" w:cs="Arial"/>
          <w:bCs/>
          <w:sz w:val="24"/>
          <w:szCs w:val="24"/>
        </w:rPr>
        <w:t>nose</w:t>
      </w:r>
      <w:proofErr w:type="gramEnd"/>
      <w:r>
        <w:rPr>
          <w:rFonts w:ascii="Arial" w:hAnsi="Arial" w:cs="Arial"/>
          <w:bCs/>
          <w:sz w:val="24"/>
          <w:szCs w:val="24"/>
        </w:rPr>
        <w:t xml:space="preserve"> and a mouth,</w:t>
      </w:r>
      <w:r w:rsidR="00386F17">
        <w:rPr>
          <w:rFonts w:ascii="Arial" w:hAnsi="Arial" w:cs="Arial"/>
          <w:bCs/>
          <w:sz w:val="24"/>
          <w:szCs w:val="24"/>
        </w:rPr>
        <w:t xml:space="preserve"> and</w:t>
      </w:r>
      <w:r>
        <w:rPr>
          <w:rFonts w:ascii="Arial" w:hAnsi="Arial" w:cs="Arial"/>
          <w:bCs/>
          <w:sz w:val="24"/>
          <w:szCs w:val="24"/>
        </w:rPr>
        <w:t xml:space="preserve"> </w:t>
      </w:r>
      <w:proofErr w:type="gramStart"/>
      <w:r>
        <w:rPr>
          <w:rFonts w:ascii="Arial" w:hAnsi="Arial" w:cs="Arial"/>
          <w:bCs/>
          <w:sz w:val="24"/>
          <w:szCs w:val="24"/>
        </w:rPr>
        <w:t xml:space="preserve">is also </w:t>
      </w:r>
      <w:r>
        <w:rPr>
          <w:rFonts w:ascii="Arial" w:hAnsi="Arial" w:cs="Arial"/>
          <w:bCs/>
          <w:sz w:val="24"/>
          <w:szCs w:val="24"/>
        </w:rPr>
        <w:lastRenderedPageBreak/>
        <w:t>slightly raised</w:t>
      </w:r>
      <w:proofErr w:type="gramEnd"/>
      <w:r>
        <w:rPr>
          <w:rFonts w:ascii="Arial" w:hAnsi="Arial" w:cs="Arial"/>
          <w:bCs/>
          <w:sz w:val="24"/>
          <w:szCs w:val="24"/>
        </w:rPr>
        <w:t xml:space="preserve"> above the eyes. There is damage to the chin area, and ink found in spaces such as the inner corner of both eyes, the outer corner of one eye, and the sides of the face</w:t>
      </w:r>
      <w:r w:rsidR="00FA3FEB">
        <w:rPr>
          <w:rFonts w:ascii="Arial" w:hAnsi="Arial" w:cs="Arial"/>
          <w:bCs/>
          <w:sz w:val="24"/>
          <w:szCs w:val="24"/>
        </w:rPr>
        <w:t>, where the colour of the object goes more grey</w:t>
      </w:r>
      <w:r>
        <w:rPr>
          <w:rFonts w:ascii="Arial" w:hAnsi="Arial" w:cs="Arial"/>
          <w:bCs/>
          <w:sz w:val="24"/>
          <w:szCs w:val="24"/>
        </w:rPr>
        <w:t xml:space="preserve">. The back of the object is rougher in texture, with a smooth indent the width of an index finger, and the height of approx. 3cm. </w:t>
      </w:r>
    </w:p>
    <w:p w14:paraId="197ED62D" w14:textId="77777777" w:rsidR="00DA61A8" w:rsidRDefault="00BF59C9" w:rsidP="00C413EC">
      <w:pPr>
        <w:rPr>
          <w:rFonts w:ascii="Arial" w:hAnsi="Arial" w:cs="Arial"/>
          <w:bCs/>
          <w:sz w:val="24"/>
          <w:szCs w:val="24"/>
        </w:rPr>
      </w:pPr>
      <w:r>
        <w:rPr>
          <w:rFonts w:ascii="Arial" w:hAnsi="Arial" w:cs="Arial"/>
          <w:bCs/>
          <w:sz w:val="24"/>
          <w:szCs w:val="24"/>
        </w:rPr>
        <w:t xml:space="preserve">This object is similar to ones found in tombs around Upper </w:t>
      </w:r>
      <w:r w:rsidR="00737FE6">
        <w:rPr>
          <w:rFonts w:ascii="Arial" w:hAnsi="Arial" w:cs="Arial"/>
          <w:bCs/>
          <w:sz w:val="24"/>
          <w:szCs w:val="24"/>
        </w:rPr>
        <w:t>Egypt</w:t>
      </w:r>
      <w:r w:rsidR="003F183F">
        <w:rPr>
          <w:rFonts w:ascii="Arial" w:hAnsi="Arial" w:cs="Arial"/>
          <w:bCs/>
          <w:sz w:val="24"/>
          <w:szCs w:val="24"/>
        </w:rPr>
        <w:t xml:space="preserve"> (In Beni Hasan</w:t>
      </w:r>
      <w:r w:rsidR="00FC122B">
        <w:rPr>
          <w:rStyle w:val="FootnoteReference"/>
          <w:rFonts w:ascii="Arial" w:hAnsi="Arial" w:cs="Arial"/>
          <w:bCs/>
          <w:sz w:val="24"/>
          <w:szCs w:val="24"/>
        </w:rPr>
        <w:footnoteReference w:id="4"/>
      </w:r>
      <w:r w:rsidR="003F183F">
        <w:rPr>
          <w:rFonts w:ascii="Arial" w:hAnsi="Arial" w:cs="Arial"/>
          <w:bCs/>
          <w:sz w:val="24"/>
          <w:szCs w:val="24"/>
        </w:rPr>
        <w:t>, Qubbet El-Hawa</w:t>
      </w:r>
      <w:r w:rsidR="00FC122B">
        <w:rPr>
          <w:rStyle w:val="FootnoteReference"/>
          <w:rFonts w:ascii="Arial" w:hAnsi="Arial" w:cs="Arial"/>
          <w:bCs/>
          <w:sz w:val="24"/>
          <w:szCs w:val="24"/>
        </w:rPr>
        <w:footnoteReference w:id="5"/>
      </w:r>
      <w:r w:rsidR="003F183F">
        <w:rPr>
          <w:rFonts w:ascii="Arial" w:hAnsi="Arial" w:cs="Arial"/>
          <w:bCs/>
          <w:sz w:val="24"/>
          <w:szCs w:val="24"/>
        </w:rPr>
        <w:t>, and Abydos</w:t>
      </w:r>
      <w:r w:rsidR="00FC122B">
        <w:rPr>
          <w:rStyle w:val="FootnoteReference"/>
          <w:rFonts w:ascii="Arial" w:hAnsi="Arial" w:cs="Arial"/>
          <w:bCs/>
          <w:sz w:val="24"/>
          <w:szCs w:val="24"/>
        </w:rPr>
        <w:footnoteReference w:id="6"/>
      </w:r>
      <w:r w:rsidR="003F183F">
        <w:rPr>
          <w:rFonts w:ascii="Arial" w:hAnsi="Arial" w:cs="Arial"/>
          <w:bCs/>
          <w:sz w:val="24"/>
          <w:szCs w:val="24"/>
        </w:rPr>
        <w:t>)</w:t>
      </w:r>
      <w:r w:rsidR="00737FE6">
        <w:rPr>
          <w:rFonts w:ascii="Arial" w:hAnsi="Arial" w:cs="Arial"/>
          <w:bCs/>
          <w:sz w:val="24"/>
          <w:szCs w:val="24"/>
        </w:rPr>
        <w:t xml:space="preserve"> and</w:t>
      </w:r>
      <w:r>
        <w:rPr>
          <w:rFonts w:ascii="Arial" w:hAnsi="Arial" w:cs="Arial"/>
          <w:bCs/>
          <w:sz w:val="24"/>
          <w:szCs w:val="24"/>
        </w:rPr>
        <w:t xml:space="preserve"> is predicted to be a part of a funerary mask of the early Rishi design, with a disproportionately small face in a mask with feathers surrounding it. Due to the style, the item can </w:t>
      </w:r>
      <w:proofErr w:type="gramStart"/>
      <w:r>
        <w:rPr>
          <w:rFonts w:ascii="Arial" w:hAnsi="Arial" w:cs="Arial"/>
          <w:bCs/>
          <w:sz w:val="24"/>
          <w:szCs w:val="24"/>
        </w:rPr>
        <w:t>be hypothesized</w:t>
      </w:r>
      <w:proofErr w:type="gramEnd"/>
      <w:r>
        <w:rPr>
          <w:rFonts w:ascii="Arial" w:hAnsi="Arial" w:cs="Arial"/>
          <w:bCs/>
          <w:sz w:val="24"/>
          <w:szCs w:val="24"/>
        </w:rPr>
        <w:t xml:space="preserve"> to be from the late 17</w:t>
      </w:r>
      <w:r w:rsidRPr="00BF59C9">
        <w:rPr>
          <w:rFonts w:ascii="Arial" w:hAnsi="Arial" w:cs="Arial"/>
          <w:bCs/>
          <w:sz w:val="24"/>
          <w:szCs w:val="24"/>
          <w:vertAlign w:val="superscript"/>
        </w:rPr>
        <w:t>th</w:t>
      </w:r>
      <w:r>
        <w:rPr>
          <w:rFonts w:ascii="Arial" w:hAnsi="Arial" w:cs="Arial"/>
          <w:bCs/>
          <w:sz w:val="24"/>
          <w:szCs w:val="24"/>
        </w:rPr>
        <w:t xml:space="preserve"> to early 18</w:t>
      </w:r>
      <w:r w:rsidRPr="00BF59C9">
        <w:rPr>
          <w:rFonts w:ascii="Arial" w:hAnsi="Arial" w:cs="Arial"/>
          <w:bCs/>
          <w:sz w:val="24"/>
          <w:szCs w:val="24"/>
          <w:vertAlign w:val="superscript"/>
        </w:rPr>
        <w:t>th</w:t>
      </w:r>
      <w:r>
        <w:rPr>
          <w:rFonts w:ascii="Arial" w:hAnsi="Arial" w:cs="Arial"/>
          <w:bCs/>
          <w:sz w:val="24"/>
          <w:szCs w:val="24"/>
        </w:rPr>
        <w:t xml:space="preserve"> dynasty</w:t>
      </w:r>
      <w:r w:rsidR="00D353B8">
        <w:rPr>
          <w:rStyle w:val="FootnoteReference"/>
          <w:rFonts w:ascii="Arial" w:hAnsi="Arial" w:cs="Arial"/>
          <w:bCs/>
          <w:sz w:val="24"/>
          <w:szCs w:val="24"/>
        </w:rPr>
        <w:footnoteReference w:id="7"/>
      </w:r>
      <w:r w:rsidR="00D353B8">
        <w:rPr>
          <w:rStyle w:val="FootnoteReference"/>
          <w:rFonts w:ascii="Arial" w:hAnsi="Arial" w:cs="Arial"/>
          <w:bCs/>
          <w:sz w:val="24"/>
          <w:szCs w:val="24"/>
        </w:rPr>
        <w:footnoteReference w:id="8"/>
      </w:r>
      <w:r>
        <w:rPr>
          <w:rFonts w:ascii="Arial" w:hAnsi="Arial" w:cs="Arial"/>
          <w:bCs/>
          <w:sz w:val="24"/>
          <w:szCs w:val="24"/>
        </w:rPr>
        <w:t xml:space="preserve">. </w:t>
      </w:r>
    </w:p>
    <w:p w14:paraId="20716936" w14:textId="3979BB8F" w:rsidR="00BF59C9" w:rsidRDefault="00BF59C9" w:rsidP="00C413EC">
      <w:pPr>
        <w:rPr>
          <w:rFonts w:ascii="Arial" w:hAnsi="Arial" w:cs="Arial"/>
          <w:bCs/>
          <w:sz w:val="24"/>
          <w:szCs w:val="24"/>
        </w:rPr>
      </w:pPr>
      <w:r>
        <w:rPr>
          <w:rFonts w:ascii="Arial" w:hAnsi="Arial" w:cs="Arial"/>
          <w:bCs/>
          <w:sz w:val="24"/>
          <w:szCs w:val="24"/>
        </w:rPr>
        <w:t xml:space="preserve">The material is </w:t>
      </w:r>
      <w:proofErr w:type="gramStart"/>
      <w:r>
        <w:rPr>
          <w:rFonts w:ascii="Arial" w:hAnsi="Arial" w:cs="Arial"/>
          <w:bCs/>
          <w:sz w:val="24"/>
          <w:szCs w:val="24"/>
        </w:rPr>
        <w:t>likely marl</w:t>
      </w:r>
      <w:proofErr w:type="gramEnd"/>
      <w:r>
        <w:rPr>
          <w:rFonts w:ascii="Arial" w:hAnsi="Arial" w:cs="Arial"/>
          <w:bCs/>
          <w:sz w:val="24"/>
          <w:szCs w:val="24"/>
        </w:rPr>
        <w:t xml:space="preserve"> A3, often made in the</w:t>
      </w:r>
      <w:r w:rsidR="009245AD">
        <w:rPr>
          <w:rFonts w:ascii="Arial" w:hAnsi="Arial" w:cs="Arial"/>
          <w:bCs/>
          <w:sz w:val="24"/>
          <w:szCs w:val="24"/>
        </w:rPr>
        <w:t xml:space="preserve"> elephantine region</w:t>
      </w:r>
      <w:r w:rsidR="00E6756F">
        <w:rPr>
          <w:rFonts w:ascii="Arial" w:hAnsi="Arial" w:cs="Arial"/>
          <w:bCs/>
          <w:sz w:val="24"/>
          <w:szCs w:val="24"/>
        </w:rPr>
        <w:t xml:space="preserve">, which </w:t>
      </w:r>
      <w:r w:rsidR="00421257">
        <w:rPr>
          <w:rFonts w:ascii="Arial" w:hAnsi="Arial" w:cs="Arial"/>
          <w:bCs/>
          <w:sz w:val="24"/>
          <w:szCs w:val="24"/>
        </w:rPr>
        <w:t>also</w:t>
      </w:r>
      <w:r w:rsidR="00E6756F">
        <w:rPr>
          <w:rFonts w:ascii="Arial" w:hAnsi="Arial" w:cs="Arial"/>
          <w:bCs/>
          <w:sz w:val="24"/>
          <w:szCs w:val="24"/>
        </w:rPr>
        <w:t xml:space="preserve"> solidifies the concept of this </w:t>
      </w:r>
      <w:r w:rsidR="00421257">
        <w:rPr>
          <w:rFonts w:ascii="Arial" w:hAnsi="Arial" w:cs="Arial"/>
          <w:bCs/>
          <w:sz w:val="24"/>
          <w:szCs w:val="24"/>
        </w:rPr>
        <w:t>object</w:t>
      </w:r>
      <w:r w:rsidR="00E6756F">
        <w:rPr>
          <w:rFonts w:ascii="Arial" w:hAnsi="Arial" w:cs="Arial"/>
          <w:bCs/>
          <w:sz w:val="24"/>
          <w:szCs w:val="24"/>
        </w:rPr>
        <w:t xml:space="preserve"> being from upper Egypt</w:t>
      </w:r>
      <w:r w:rsidR="00D353B8">
        <w:rPr>
          <w:rStyle w:val="FootnoteReference"/>
          <w:rFonts w:ascii="Arial" w:hAnsi="Arial" w:cs="Arial"/>
          <w:bCs/>
          <w:sz w:val="24"/>
          <w:szCs w:val="24"/>
        </w:rPr>
        <w:footnoteReference w:id="9"/>
      </w:r>
      <w:r w:rsidR="00E6756F">
        <w:rPr>
          <w:rFonts w:ascii="Arial" w:hAnsi="Arial" w:cs="Arial"/>
          <w:bCs/>
          <w:sz w:val="24"/>
          <w:szCs w:val="24"/>
        </w:rPr>
        <w:t>.</w:t>
      </w:r>
      <w:r w:rsidR="00DA61A8">
        <w:rPr>
          <w:rFonts w:ascii="Arial" w:hAnsi="Arial" w:cs="Arial"/>
          <w:bCs/>
          <w:sz w:val="24"/>
          <w:szCs w:val="24"/>
        </w:rPr>
        <w:t xml:space="preserve"> Marl A3, especially type </w:t>
      </w:r>
      <w:r w:rsidR="00A958B5">
        <w:rPr>
          <w:rFonts w:ascii="Arial" w:hAnsi="Arial" w:cs="Arial"/>
          <w:bCs/>
          <w:sz w:val="24"/>
          <w:szCs w:val="24"/>
        </w:rPr>
        <w:t>v</w:t>
      </w:r>
      <w:r w:rsidR="00DA61A8">
        <w:rPr>
          <w:rFonts w:ascii="Arial" w:hAnsi="Arial" w:cs="Arial"/>
          <w:bCs/>
          <w:sz w:val="24"/>
          <w:szCs w:val="24"/>
        </w:rPr>
        <w:t>b is often identified through it’s</w:t>
      </w:r>
      <w:r w:rsidR="0017475A">
        <w:rPr>
          <w:rFonts w:ascii="Arial" w:hAnsi="Arial" w:cs="Arial"/>
          <w:bCs/>
          <w:sz w:val="24"/>
          <w:szCs w:val="24"/>
        </w:rPr>
        <w:t xml:space="preserve"> light colour,</w:t>
      </w:r>
      <w:r w:rsidR="00DA61A8">
        <w:rPr>
          <w:rFonts w:ascii="Arial" w:hAnsi="Arial" w:cs="Arial"/>
          <w:bCs/>
          <w:sz w:val="24"/>
          <w:szCs w:val="24"/>
        </w:rPr>
        <w:t xml:space="preserve"> rough texture,</w:t>
      </w:r>
      <w:r w:rsidR="0017475A">
        <w:rPr>
          <w:rFonts w:ascii="Arial" w:hAnsi="Arial" w:cs="Arial"/>
          <w:bCs/>
          <w:sz w:val="24"/>
          <w:szCs w:val="24"/>
        </w:rPr>
        <w:t xml:space="preserve"> and </w:t>
      </w:r>
      <w:r w:rsidR="00983E8A">
        <w:rPr>
          <w:rFonts w:ascii="Arial" w:hAnsi="Arial" w:cs="Arial"/>
          <w:bCs/>
          <w:sz w:val="24"/>
          <w:szCs w:val="24"/>
        </w:rPr>
        <w:t>small black and red inclusions.</w:t>
      </w:r>
      <w:r w:rsidR="00983E8A">
        <w:rPr>
          <w:rStyle w:val="FootnoteReference"/>
          <w:rFonts w:ascii="Arial" w:hAnsi="Arial" w:cs="Arial"/>
          <w:bCs/>
          <w:sz w:val="24"/>
          <w:szCs w:val="24"/>
        </w:rPr>
        <w:footnoteReference w:id="10"/>
      </w:r>
      <w:r w:rsidR="00DA61A8">
        <w:rPr>
          <w:rFonts w:ascii="Arial" w:hAnsi="Arial" w:cs="Arial"/>
          <w:bCs/>
          <w:sz w:val="24"/>
          <w:szCs w:val="24"/>
        </w:rPr>
        <w:t xml:space="preserve"> </w:t>
      </w:r>
      <w:r w:rsidR="00E6756F">
        <w:rPr>
          <w:rFonts w:ascii="Arial" w:hAnsi="Arial" w:cs="Arial"/>
          <w:bCs/>
          <w:sz w:val="24"/>
          <w:szCs w:val="24"/>
        </w:rPr>
        <w:t xml:space="preserve"> There are also mentions of this typer of object being </w:t>
      </w:r>
      <w:r w:rsidR="00421257">
        <w:rPr>
          <w:rFonts w:ascii="Arial" w:hAnsi="Arial" w:cs="Arial"/>
          <w:bCs/>
          <w:sz w:val="24"/>
          <w:szCs w:val="24"/>
        </w:rPr>
        <w:t>produced</w:t>
      </w:r>
      <w:r w:rsidR="00E6756F">
        <w:rPr>
          <w:rFonts w:ascii="Arial" w:hAnsi="Arial" w:cs="Arial"/>
          <w:bCs/>
          <w:sz w:val="24"/>
          <w:szCs w:val="24"/>
        </w:rPr>
        <w:t xml:space="preserve"> outside of </w:t>
      </w:r>
      <w:r w:rsidR="00937F5D">
        <w:rPr>
          <w:rFonts w:ascii="Arial" w:hAnsi="Arial" w:cs="Arial"/>
          <w:bCs/>
          <w:sz w:val="24"/>
          <w:szCs w:val="24"/>
        </w:rPr>
        <w:t>Egypt itself, towards the Nubia region</w:t>
      </w:r>
      <w:r w:rsidR="00D353B8">
        <w:rPr>
          <w:rFonts w:ascii="Arial" w:hAnsi="Arial" w:cs="Arial"/>
          <w:bCs/>
          <w:sz w:val="24"/>
          <w:szCs w:val="24"/>
        </w:rPr>
        <w:t>, which means that there is a small chance this object could not be Egyptian at all</w:t>
      </w:r>
      <w:r w:rsidR="00D353B8">
        <w:rPr>
          <w:rStyle w:val="FootnoteReference"/>
          <w:rFonts w:ascii="Arial" w:hAnsi="Arial" w:cs="Arial"/>
          <w:bCs/>
          <w:sz w:val="24"/>
          <w:szCs w:val="24"/>
        </w:rPr>
        <w:footnoteReference w:id="11"/>
      </w:r>
      <w:r w:rsidR="00D353B8">
        <w:rPr>
          <w:rFonts w:ascii="Arial" w:hAnsi="Arial" w:cs="Arial"/>
          <w:bCs/>
          <w:sz w:val="24"/>
          <w:szCs w:val="24"/>
        </w:rPr>
        <w:t>.</w:t>
      </w:r>
    </w:p>
    <w:p w14:paraId="157F59AF" w14:textId="57A97FA3" w:rsidR="007C7A94" w:rsidRDefault="007C7A94" w:rsidP="00C413EC">
      <w:pPr>
        <w:rPr>
          <w:rFonts w:ascii="Arial" w:hAnsi="Arial" w:cs="Arial"/>
          <w:bCs/>
          <w:sz w:val="24"/>
          <w:szCs w:val="24"/>
        </w:rPr>
      </w:pPr>
      <w:r>
        <w:rPr>
          <w:rFonts w:ascii="Arial" w:hAnsi="Arial" w:cs="Arial"/>
          <w:bCs/>
          <w:sz w:val="24"/>
          <w:szCs w:val="24"/>
        </w:rPr>
        <w:t xml:space="preserve">This </w:t>
      </w:r>
      <w:r w:rsidR="00737FE6">
        <w:rPr>
          <w:rFonts w:ascii="Arial" w:hAnsi="Arial" w:cs="Arial"/>
          <w:bCs/>
          <w:sz w:val="24"/>
          <w:szCs w:val="24"/>
        </w:rPr>
        <w:t>object</w:t>
      </w:r>
      <w:r>
        <w:rPr>
          <w:rFonts w:ascii="Arial" w:hAnsi="Arial" w:cs="Arial"/>
          <w:bCs/>
          <w:sz w:val="24"/>
          <w:szCs w:val="24"/>
        </w:rPr>
        <w:t xml:space="preserve"> was </w:t>
      </w:r>
      <w:proofErr w:type="gramStart"/>
      <w:r>
        <w:rPr>
          <w:rFonts w:ascii="Arial" w:hAnsi="Arial" w:cs="Arial"/>
          <w:bCs/>
          <w:sz w:val="24"/>
          <w:szCs w:val="24"/>
        </w:rPr>
        <w:t>likely made</w:t>
      </w:r>
      <w:proofErr w:type="gramEnd"/>
      <w:r>
        <w:rPr>
          <w:rFonts w:ascii="Arial" w:hAnsi="Arial" w:cs="Arial"/>
          <w:bCs/>
          <w:sz w:val="24"/>
          <w:szCs w:val="24"/>
        </w:rPr>
        <w:t xml:space="preserve"> for a non-elite member of </w:t>
      </w:r>
      <w:r w:rsidR="00421257">
        <w:rPr>
          <w:rFonts w:ascii="Arial" w:hAnsi="Arial" w:cs="Arial"/>
          <w:bCs/>
          <w:sz w:val="24"/>
          <w:szCs w:val="24"/>
        </w:rPr>
        <w:t>society</w:t>
      </w:r>
      <w:r>
        <w:rPr>
          <w:rFonts w:ascii="Arial" w:hAnsi="Arial" w:cs="Arial"/>
          <w:bCs/>
          <w:sz w:val="24"/>
          <w:szCs w:val="24"/>
        </w:rPr>
        <w:t xml:space="preserve">, who may have earned </w:t>
      </w:r>
      <w:r w:rsidR="00A958B5">
        <w:rPr>
          <w:rFonts w:ascii="Arial" w:hAnsi="Arial" w:cs="Arial"/>
          <w:bCs/>
          <w:sz w:val="24"/>
          <w:szCs w:val="24"/>
        </w:rPr>
        <w:t>an</w:t>
      </w:r>
      <w:r>
        <w:rPr>
          <w:rFonts w:ascii="Arial" w:hAnsi="Arial" w:cs="Arial"/>
          <w:bCs/>
          <w:sz w:val="24"/>
          <w:szCs w:val="24"/>
        </w:rPr>
        <w:t xml:space="preserve"> amount of </w:t>
      </w:r>
      <w:r w:rsidR="00421257">
        <w:rPr>
          <w:rFonts w:ascii="Arial" w:hAnsi="Arial" w:cs="Arial"/>
          <w:bCs/>
          <w:sz w:val="24"/>
          <w:szCs w:val="24"/>
        </w:rPr>
        <w:t>wealth</w:t>
      </w:r>
      <w:r>
        <w:rPr>
          <w:rFonts w:ascii="Arial" w:hAnsi="Arial" w:cs="Arial"/>
          <w:bCs/>
          <w:sz w:val="24"/>
          <w:szCs w:val="24"/>
        </w:rPr>
        <w:t xml:space="preserve">, but not a large amount. This can </w:t>
      </w:r>
      <w:proofErr w:type="gramStart"/>
      <w:r>
        <w:rPr>
          <w:rFonts w:ascii="Arial" w:hAnsi="Arial" w:cs="Arial"/>
          <w:bCs/>
          <w:sz w:val="24"/>
          <w:szCs w:val="24"/>
        </w:rPr>
        <w:t>be seen</w:t>
      </w:r>
      <w:proofErr w:type="gramEnd"/>
      <w:r>
        <w:rPr>
          <w:rFonts w:ascii="Arial" w:hAnsi="Arial" w:cs="Arial"/>
          <w:bCs/>
          <w:sz w:val="24"/>
          <w:szCs w:val="24"/>
        </w:rPr>
        <w:t xml:space="preserve"> through the expense of the clay used (inclusion levels), and the style of funerary mask it may have been from. </w:t>
      </w:r>
    </w:p>
    <w:p w14:paraId="39B0A38C" w14:textId="7D2CE889" w:rsidR="007263E0" w:rsidRDefault="00D467D7" w:rsidP="00C413EC">
      <w:pPr>
        <w:rPr>
          <w:rFonts w:ascii="Arial" w:hAnsi="Arial" w:cs="Arial"/>
          <w:bCs/>
          <w:sz w:val="24"/>
          <w:szCs w:val="24"/>
        </w:rPr>
      </w:pPr>
      <w:r>
        <w:rPr>
          <w:rFonts w:ascii="Arial" w:hAnsi="Arial" w:cs="Arial"/>
          <w:bCs/>
          <w:sz w:val="24"/>
          <w:szCs w:val="24"/>
        </w:rPr>
        <w:t xml:space="preserve">Whilst this item is </w:t>
      </w:r>
      <w:proofErr w:type="gramStart"/>
      <w:r>
        <w:rPr>
          <w:rFonts w:ascii="Arial" w:hAnsi="Arial" w:cs="Arial"/>
          <w:bCs/>
          <w:sz w:val="24"/>
          <w:szCs w:val="24"/>
        </w:rPr>
        <w:t>similar to</w:t>
      </w:r>
      <w:proofErr w:type="gramEnd"/>
      <w:r>
        <w:rPr>
          <w:rFonts w:ascii="Arial" w:hAnsi="Arial" w:cs="Arial"/>
          <w:bCs/>
          <w:sz w:val="24"/>
          <w:szCs w:val="24"/>
        </w:rPr>
        <w:t xml:space="preserve"> a series of </w:t>
      </w:r>
      <w:r w:rsidR="00DE1BD7">
        <w:rPr>
          <w:rFonts w:ascii="Arial" w:hAnsi="Arial" w:cs="Arial"/>
          <w:bCs/>
          <w:sz w:val="24"/>
          <w:szCs w:val="24"/>
        </w:rPr>
        <w:t xml:space="preserve">small faces found in upper Egypt, it does differ from them significantly in </w:t>
      </w:r>
      <w:r w:rsidR="00EF1395">
        <w:rPr>
          <w:rFonts w:ascii="Arial" w:hAnsi="Arial" w:cs="Arial"/>
          <w:bCs/>
          <w:sz w:val="24"/>
          <w:szCs w:val="24"/>
        </w:rPr>
        <w:t>material</w:t>
      </w:r>
      <w:r w:rsidR="0010789C">
        <w:rPr>
          <w:rFonts w:ascii="Arial" w:hAnsi="Arial" w:cs="Arial"/>
          <w:bCs/>
          <w:sz w:val="24"/>
          <w:szCs w:val="24"/>
        </w:rPr>
        <w:t xml:space="preserve">. </w:t>
      </w:r>
      <w:proofErr w:type="gramStart"/>
      <w:r w:rsidR="0010789C">
        <w:rPr>
          <w:rFonts w:ascii="Arial" w:hAnsi="Arial" w:cs="Arial"/>
          <w:bCs/>
          <w:sz w:val="24"/>
          <w:szCs w:val="24"/>
        </w:rPr>
        <w:t>The majority of</w:t>
      </w:r>
      <w:proofErr w:type="gramEnd"/>
      <w:r w:rsidR="0010789C">
        <w:rPr>
          <w:rFonts w:ascii="Arial" w:hAnsi="Arial" w:cs="Arial"/>
          <w:bCs/>
          <w:sz w:val="24"/>
          <w:szCs w:val="24"/>
        </w:rPr>
        <w:t xml:space="preserve"> these faces which have </w:t>
      </w:r>
      <w:proofErr w:type="gramStart"/>
      <w:r w:rsidR="0010789C">
        <w:rPr>
          <w:rFonts w:ascii="Arial" w:hAnsi="Arial" w:cs="Arial"/>
          <w:bCs/>
          <w:sz w:val="24"/>
          <w:szCs w:val="24"/>
        </w:rPr>
        <w:t>been recorded</w:t>
      </w:r>
      <w:proofErr w:type="gramEnd"/>
      <w:r w:rsidR="0010789C">
        <w:rPr>
          <w:rFonts w:ascii="Arial" w:hAnsi="Arial" w:cs="Arial"/>
          <w:bCs/>
          <w:sz w:val="24"/>
          <w:szCs w:val="24"/>
        </w:rPr>
        <w:t xml:space="preserve"> </w:t>
      </w:r>
      <w:proofErr w:type="gramStart"/>
      <w:r w:rsidR="0010789C">
        <w:rPr>
          <w:rFonts w:ascii="Arial" w:hAnsi="Arial" w:cs="Arial"/>
          <w:bCs/>
          <w:sz w:val="24"/>
          <w:szCs w:val="24"/>
        </w:rPr>
        <w:t>are made</w:t>
      </w:r>
      <w:proofErr w:type="gramEnd"/>
      <w:r w:rsidR="0010789C">
        <w:rPr>
          <w:rFonts w:ascii="Arial" w:hAnsi="Arial" w:cs="Arial"/>
          <w:bCs/>
          <w:sz w:val="24"/>
          <w:szCs w:val="24"/>
        </w:rPr>
        <w:t xml:space="preserve"> of cartonnage: a </w:t>
      </w:r>
      <w:r w:rsidR="00421257">
        <w:rPr>
          <w:rFonts w:ascii="Arial" w:hAnsi="Arial" w:cs="Arial"/>
          <w:bCs/>
          <w:sz w:val="24"/>
          <w:szCs w:val="24"/>
        </w:rPr>
        <w:t>mixture</w:t>
      </w:r>
      <w:r w:rsidR="0010789C">
        <w:rPr>
          <w:rFonts w:ascii="Arial" w:hAnsi="Arial" w:cs="Arial"/>
          <w:bCs/>
          <w:sz w:val="24"/>
          <w:szCs w:val="24"/>
        </w:rPr>
        <w:t xml:space="preserve"> of lin</w:t>
      </w:r>
      <w:r w:rsidR="006B5FFB">
        <w:rPr>
          <w:rFonts w:ascii="Arial" w:hAnsi="Arial" w:cs="Arial"/>
          <w:bCs/>
          <w:sz w:val="24"/>
          <w:szCs w:val="24"/>
        </w:rPr>
        <w:t>e</w:t>
      </w:r>
      <w:r w:rsidR="0010789C">
        <w:rPr>
          <w:rFonts w:ascii="Arial" w:hAnsi="Arial" w:cs="Arial"/>
          <w:bCs/>
          <w:sz w:val="24"/>
          <w:szCs w:val="24"/>
        </w:rPr>
        <w:t>n and pastes</w:t>
      </w:r>
      <w:r w:rsidR="00D1657B">
        <w:rPr>
          <w:rFonts w:ascii="Arial" w:hAnsi="Arial" w:cs="Arial"/>
          <w:bCs/>
          <w:sz w:val="24"/>
          <w:szCs w:val="24"/>
        </w:rPr>
        <w:t xml:space="preserve">, whereas this one </w:t>
      </w:r>
      <w:proofErr w:type="gramStart"/>
      <w:r w:rsidR="00D1657B">
        <w:rPr>
          <w:rFonts w:ascii="Arial" w:hAnsi="Arial" w:cs="Arial"/>
          <w:bCs/>
          <w:sz w:val="24"/>
          <w:szCs w:val="24"/>
        </w:rPr>
        <w:t>is made</w:t>
      </w:r>
      <w:proofErr w:type="gramEnd"/>
      <w:r w:rsidR="00D1657B">
        <w:rPr>
          <w:rFonts w:ascii="Arial" w:hAnsi="Arial" w:cs="Arial"/>
          <w:bCs/>
          <w:sz w:val="24"/>
          <w:szCs w:val="24"/>
        </w:rPr>
        <w:t xml:space="preserve"> of pottery. This could be an indication of </w:t>
      </w:r>
      <w:r w:rsidR="006B5FFB">
        <w:rPr>
          <w:rFonts w:ascii="Arial" w:hAnsi="Arial" w:cs="Arial"/>
          <w:bCs/>
          <w:sz w:val="24"/>
          <w:szCs w:val="24"/>
        </w:rPr>
        <w:t xml:space="preserve">the class of the </w:t>
      </w:r>
      <w:proofErr w:type="gramStart"/>
      <w:r w:rsidR="006B5FFB">
        <w:rPr>
          <w:rFonts w:ascii="Arial" w:hAnsi="Arial" w:cs="Arial"/>
          <w:bCs/>
          <w:sz w:val="24"/>
          <w:szCs w:val="24"/>
        </w:rPr>
        <w:t>individual, because</w:t>
      </w:r>
      <w:proofErr w:type="gramEnd"/>
      <w:r w:rsidR="006B5FFB">
        <w:rPr>
          <w:rFonts w:ascii="Arial" w:hAnsi="Arial" w:cs="Arial"/>
          <w:bCs/>
          <w:sz w:val="24"/>
          <w:szCs w:val="24"/>
        </w:rPr>
        <w:t xml:space="preserve"> those faces </w:t>
      </w:r>
      <w:proofErr w:type="gramStart"/>
      <w:r w:rsidR="006B5FFB">
        <w:rPr>
          <w:rFonts w:ascii="Arial" w:hAnsi="Arial" w:cs="Arial"/>
          <w:bCs/>
          <w:sz w:val="24"/>
          <w:szCs w:val="24"/>
        </w:rPr>
        <w:t>were also more intricately designed</w:t>
      </w:r>
      <w:proofErr w:type="gramEnd"/>
      <w:r w:rsidR="006B5FFB">
        <w:rPr>
          <w:rFonts w:ascii="Arial" w:hAnsi="Arial" w:cs="Arial"/>
          <w:bCs/>
          <w:sz w:val="24"/>
          <w:szCs w:val="24"/>
        </w:rPr>
        <w:t xml:space="preserve"> in general, and the cartonnage process </w:t>
      </w:r>
      <w:proofErr w:type="gramStart"/>
      <w:r w:rsidR="006B5FFB">
        <w:rPr>
          <w:rFonts w:ascii="Arial" w:hAnsi="Arial" w:cs="Arial"/>
          <w:bCs/>
          <w:sz w:val="24"/>
          <w:szCs w:val="24"/>
        </w:rPr>
        <w:t>likely would</w:t>
      </w:r>
      <w:proofErr w:type="gramEnd"/>
      <w:r w:rsidR="006B5FFB">
        <w:rPr>
          <w:rFonts w:ascii="Arial" w:hAnsi="Arial" w:cs="Arial"/>
          <w:bCs/>
          <w:sz w:val="24"/>
          <w:szCs w:val="24"/>
        </w:rPr>
        <w:t xml:space="preserve"> have cost more</w:t>
      </w:r>
      <w:r w:rsidR="00A32E36">
        <w:rPr>
          <w:rStyle w:val="FootnoteReference"/>
          <w:rFonts w:ascii="Arial" w:hAnsi="Arial" w:cs="Arial"/>
          <w:bCs/>
          <w:sz w:val="24"/>
          <w:szCs w:val="24"/>
        </w:rPr>
        <w:footnoteReference w:id="12"/>
      </w:r>
      <w:r w:rsidR="006B5FFB">
        <w:rPr>
          <w:rFonts w:ascii="Arial" w:hAnsi="Arial" w:cs="Arial"/>
          <w:bCs/>
          <w:sz w:val="24"/>
          <w:szCs w:val="24"/>
        </w:rPr>
        <w:t xml:space="preserve">. </w:t>
      </w:r>
    </w:p>
    <w:p w14:paraId="3E8088DB" w14:textId="01B84063" w:rsidR="001A5EF2" w:rsidRDefault="007C7A94" w:rsidP="007C7A94">
      <w:pPr>
        <w:rPr>
          <w:rFonts w:ascii="Arial" w:hAnsi="Arial" w:cs="Arial"/>
          <w:bCs/>
          <w:sz w:val="24"/>
          <w:szCs w:val="24"/>
        </w:rPr>
      </w:pPr>
      <w:proofErr w:type="gramStart"/>
      <w:r>
        <w:rPr>
          <w:rFonts w:ascii="Arial" w:hAnsi="Arial" w:cs="Arial"/>
          <w:bCs/>
          <w:sz w:val="24"/>
          <w:szCs w:val="24"/>
        </w:rPr>
        <w:t>Similar items</w:t>
      </w:r>
      <w:proofErr w:type="gramEnd"/>
      <w:r>
        <w:rPr>
          <w:rFonts w:ascii="Arial" w:hAnsi="Arial" w:cs="Arial"/>
          <w:bCs/>
          <w:sz w:val="24"/>
          <w:szCs w:val="24"/>
        </w:rPr>
        <w:t xml:space="preserve"> can also </w:t>
      </w:r>
      <w:proofErr w:type="gramStart"/>
      <w:r>
        <w:rPr>
          <w:rFonts w:ascii="Arial" w:hAnsi="Arial" w:cs="Arial"/>
          <w:bCs/>
          <w:sz w:val="24"/>
          <w:szCs w:val="24"/>
        </w:rPr>
        <w:t>be seen</w:t>
      </w:r>
      <w:proofErr w:type="gramEnd"/>
      <w:r>
        <w:rPr>
          <w:rFonts w:ascii="Arial" w:hAnsi="Arial" w:cs="Arial"/>
          <w:bCs/>
          <w:sz w:val="24"/>
          <w:szCs w:val="24"/>
        </w:rPr>
        <w:t xml:space="preserve"> in use as canopic jar lids, so there is a possibility that the hypothesis of a coffin lid is incorrect. This can </w:t>
      </w:r>
      <w:proofErr w:type="gramStart"/>
      <w:r>
        <w:rPr>
          <w:rFonts w:ascii="Arial" w:hAnsi="Arial" w:cs="Arial"/>
          <w:bCs/>
          <w:sz w:val="24"/>
          <w:szCs w:val="24"/>
        </w:rPr>
        <w:t>be seen</w:t>
      </w:r>
      <w:proofErr w:type="gramEnd"/>
      <w:r>
        <w:rPr>
          <w:rFonts w:ascii="Arial" w:hAnsi="Arial" w:cs="Arial"/>
          <w:bCs/>
          <w:sz w:val="24"/>
          <w:szCs w:val="24"/>
        </w:rPr>
        <w:t xml:space="preserve"> with items from across Egypt, usually </w:t>
      </w:r>
      <w:r>
        <w:rPr>
          <w:rFonts w:ascii="Arial" w:hAnsi="Arial" w:cs="Arial"/>
          <w:bCs/>
          <w:sz w:val="24"/>
          <w:szCs w:val="24"/>
        </w:rPr>
        <w:lastRenderedPageBreak/>
        <w:t xml:space="preserve">in a marl clay material. </w:t>
      </w:r>
      <w:r w:rsidR="001A5EF2">
        <w:rPr>
          <w:rFonts w:ascii="Arial" w:hAnsi="Arial" w:cs="Arial"/>
          <w:bCs/>
          <w:sz w:val="24"/>
          <w:szCs w:val="24"/>
        </w:rPr>
        <w:t>T</w:t>
      </w:r>
      <w:r w:rsidR="00A9000E">
        <w:rPr>
          <w:rFonts w:ascii="Arial" w:hAnsi="Arial" w:cs="Arial"/>
          <w:bCs/>
          <w:sz w:val="24"/>
          <w:szCs w:val="24"/>
        </w:rPr>
        <w:t>his is not certain</w:t>
      </w:r>
      <w:r w:rsidR="001A5EF2">
        <w:rPr>
          <w:rFonts w:ascii="Arial" w:hAnsi="Arial" w:cs="Arial"/>
          <w:bCs/>
          <w:sz w:val="24"/>
          <w:szCs w:val="24"/>
        </w:rPr>
        <w:t xml:space="preserve"> because the styles with faces on often depicted </w:t>
      </w:r>
      <w:r w:rsidR="00D034D4">
        <w:rPr>
          <w:rFonts w:ascii="Arial" w:hAnsi="Arial" w:cs="Arial"/>
          <w:bCs/>
          <w:sz w:val="24"/>
          <w:szCs w:val="24"/>
        </w:rPr>
        <w:t>Gods and</w:t>
      </w:r>
      <w:r w:rsidR="001A5EF2">
        <w:rPr>
          <w:rFonts w:ascii="Arial" w:hAnsi="Arial" w:cs="Arial"/>
          <w:bCs/>
          <w:sz w:val="24"/>
          <w:szCs w:val="24"/>
        </w:rPr>
        <w:t xml:space="preserve"> were not usually in a similar shape to the face</w:t>
      </w:r>
      <w:r w:rsidR="00A9000E">
        <w:rPr>
          <w:rFonts w:ascii="Arial" w:hAnsi="Arial" w:cs="Arial"/>
          <w:bCs/>
          <w:sz w:val="24"/>
          <w:szCs w:val="24"/>
        </w:rPr>
        <w:t>.</w:t>
      </w:r>
    </w:p>
    <w:p w14:paraId="16852E47" w14:textId="1C86F6A4" w:rsidR="001A5EF2" w:rsidRPr="001A5EF2" w:rsidRDefault="00A9000E" w:rsidP="007C7A94">
      <w:pPr>
        <w:rPr>
          <w:rFonts w:ascii="Arial" w:hAnsi="Arial" w:cs="Arial"/>
          <w:bCs/>
        </w:rPr>
      </w:pPr>
      <w:r>
        <w:rPr>
          <w:rFonts w:ascii="Arial" w:hAnsi="Arial" w:cs="Arial"/>
          <w:bCs/>
          <w:sz w:val="24"/>
          <w:szCs w:val="24"/>
        </w:rPr>
        <w:t xml:space="preserve"> </w:t>
      </w:r>
      <w:r w:rsidR="001A5EF2">
        <w:rPr>
          <w:rFonts w:ascii="Arial" w:hAnsi="Arial" w:cs="Arial"/>
          <w:bCs/>
          <w:noProof/>
          <w:sz w:val="24"/>
          <w:szCs w:val="24"/>
        </w:rPr>
        <w:drawing>
          <wp:inline distT="0" distB="0" distL="0" distR="0" wp14:anchorId="3A735289" wp14:editId="5CBD9D7D">
            <wp:extent cx="952500" cy="952500"/>
            <wp:effectExtent l="0" t="0" r="0" b="0"/>
            <wp:docPr id="340637850" name="Picture 4" descr="A stone statue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637850" name="Picture 4" descr="A stone statue of a person&#10;&#10;AI-generated content may be incorrect."/>
                    <pic:cNvPicPr/>
                  </pic:nvPicPr>
                  <pic:blipFill>
                    <a:blip r:embed="rId13"/>
                    <a:stretch>
                      <a:fillRect/>
                    </a:stretch>
                  </pic:blipFill>
                  <pic:spPr>
                    <a:xfrm>
                      <a:off x="0" y="0"/>
                      <a:ext cx="952500" cy="952500"/>
                    </a:xfrm>
                    <a:prstGeom prst="rect">
                      <a:avLst/>
                    </a:prstGeom>
                  </pic:spPr>
                </pic:pic>
              </a:graphicData>
            </a:graphic>
          </wp:inline>
        </w:drawing>
      </w:r>
      <w:r w:rsidR="001A5EF2">
        <w:rPr>
          <w:rFonts w:ascii="Arial" w:hAnsi="Arial" w:cs="Arial"/>
          <w:bCs/>
          <w:sz w:val="24"/>
          <w:szCs w:val="24"/>
        </w:rPr>
        <w:t xml:space="preserve"> </w:t>
      </w:r>
      <w:r w:rsidR="001A5EF2">
        <w:rPr>
          <w:rFonts w:ascii="Arial" w:hAnsi="Arial" w:cs="Arial"/>
          <w:bCs/>
        </w:rPr>
        <w:t>left: example of a canopic Jar lid (Dodson, 1994)</w:t>
      </w:r>
    </w:p>
    <w:p w14:paraId="2E47261E" w14:textId="178E79B6" w:rsidR="006B5FFB" w:rsidRDefault="006B5FFB" w:rsidP="00C413EC">
      <w:pPr>
        <w:rPr>
          <w:rFonts w:ascii="Arial" w:hAnsi="Arial" w:cs="Arial"/>
          <w:bCs/>
          <w:sz w:val="24"/>
          <w:szCs w:val="24"/>
        </w:rPr>
      </w:pPr>
      <w:r>
        <w:rPr>
          <w:rFonts w:ascii="Arial" w:hAnsi="Arial" w:cs="Arial"/>
          <w:bCs/>
          <w:sz w:val="24"/>
          <w:szCs w:val="24"/>
        </w:rPr>
        <w:t xml:space="preserve">This face would have been </w:t>
      </w:r>
      <w:r w:rsidR="00FA3FEB">
        <w:rPr>
          <w:rFonts w:ascii="Arial" w:hAnsi="Arial" w:cs="Arial"/>
          <w:bCs/>
          <w:sz w:val="24"/>
          <w:szCs w:val="24"/>
        </w:rPr>
        <w:t>important in the</w:t>
      </w:r>
      <w:r w:rsidR="009809EB">
        <w:rPr>
          <w:rFonts w:ascii="Arial" w:hAnsi="Arial" w:cs="Arial"/>
          <w:bCs/>
          <w:sz w:val="24"/>
          <w:szCs w:val="24"/>
        </w:rPr>
        <w:t xml:space="preserve"> progression of the individual into the afterlife. </w:t>
      </w:r>
      <w:r w:rsidR="003C7BB2">
        <w:rPr>
          <w:rFonts w:ascii="Arial" w:hAnsi="Arial" w:cs="Arial"/>
          <w:bCs/>
          <w:sz w:val="24"/>
          <w:szCs w:val="24"/>
        </w:rPr>
        <w:t>There is very much so a</w:t>
      </w:r>
      <w:r w:rsidR="00392CC7">
        <w:rPr>
          <w:rFonts w:ascii="Arial" w:hAnsi="Arial" w:cs="Arial"/>
          <w:bCs/>
          <w:sz w:val="24"/>
          <w:szCs w:val="24"/>
        </w:rPr>
        <w:t xml:space="preserve">n importance </w:t>
      </w:r>
      <w:r w:rsidR="00EB5ECA">
        <w:rPr>
          <w:rFonts w:ascii="Arial" w:hAnsi="Arial" w:cs="Arial"/>
          <w:bCs/>
          <w:sz w:val="24"/>
          <w:szCs w:val="24"/>
        </w:rPr>
        <w:t xml:space="preserve">placed upon </w:t>
      </w:r>
      <w:r w:rsidR="00DA0C10">
        <w:rPr>
          <w:rFonts w:ascii="Arial" w:hAnsi="Arial" w:cs="Arial"/>
          <w:bCs/>
          <w:sz w:val="24"/>
          <w:szCs w:val="24"/>
        </w:rPr>
        <w:t>the</w:t>
      </w:r>
      <w:r w:rsidR="00EB5ECA">
        <w:rPr>
          <w:rFonts w:ascii="Arial" w:hAnsi="Arial" w:cs="Arial"/>
          <w:bCs/>
          <w:sz w:val="24"/>
          <w:szCs w:val="24"/>
        </w:rPr>
        <w:t xml:space="preserve"> concept of maintain</w:t>
      </w:r>
      <w:r w:rsidR="006F6DD6">
        <w:rPr>
          <w:rFonts w:ascii="Arial" w:hAnsi="Arial" w:cs="Arial"/>
          <w:bCs/>
          <w:sz w:val="24"/>
          <w:szCs w:val="24"/>
        </w:rPr>
        <w:t xml:space="preserve">ing the body </w:t>
      </w:r>
      <w:r w:rsidR="004A5E0B">
        <w:rPr>
          <w:rFonts w:ascii="Arial" w:hAnsi="Arial" w:cs="Arial"/>
          <w:bCs/>
          <w:sz w:val="24"/>
          <w:szCs w:val="24"/>
        </w:rPr>
        <w:t>of an individual after death</w:t>
      </w:r>
      <w:r w:rsidR="00DA0C10">
        <w:rPr>
          <w:rFonts w:ascii="Arial" w:hAnsi="Arial" w:cs="Arial"/>
          <w:bCs/>
          <w:sz w:val="24"/>
          <w:szCs w:val="24"/>
        </w:rPr>
        <w:t>, so having a representation of the individual after passing</w:t>
      </w:r>
      <w:r w:rsidR="001A5EF2">
        <w:rPr>
          <w:rFonts w:ascii="Arial" w:hAnsi="Arial" w:cs="Arial"/>
          <w:bCs/>
          <w:sz w:val="24"/>
          <w:szCs w:val="24"/>
        </w:rPr>
        <w:t xml:space="preserve"> would have been extremely important for the progression of a composite self.</w:t>
      </w:r>
      <w:r w:rsidR="00683BCF">
        <w:rPr>
          <w:rStyle w:val="FootnoteReference"/>
          <w:rFonts w:ascii="Arial" w:hAnsi="Arial" w:cs="Arial"/>
          <w:bCs/>
          <w:sz w:val="24"/>
          <w:szCs w:val="24"/>
        </w:rPr>
        <w:footnoteReference w:id="13"/>
      </w:r>
      <w:r w:rsidR="001A5EF2">
        <w:rPr>
          <w:rFonts w:ascii="Arial" w:hAnsi="Arial" w:cs="Arial"/>
          <w:bCs/>
          <w:sz w:val="24"/>
          <w:szCs w:val="24"/>
        </w:rPr>
        <w:t xml:space="preserve"> </w:t>
      </w:r>
    </w:p>
    <w:p w14:paraId="763DBD70" w14:textId="641F0458" w:rsidR="00501954" w:rsidRDefault="0078726A" w:rsidP="00C413EC">
      <w:pPr>
        <w:rPr>
          <w:rFonts w:ascii="Arial" w:hAnsi="Arial" w:cs="Arial"/>
          <w:bCs/>
          <w:sz w:val="24"/>
          <w:szCs w:val="24"/>
        </w:rPr>
      </w:pPr>
      <w:r>
        <w:rPr>
          <w:rFonts w:ascii="Arial" w:hAnsi="Arial" w:cs="Arial"/>
          <w:bCs/>
          <w:sz w:val="24"/>
          <w:szCs w:val="24"/>
        </w:rPr>
        <w:t>The snapped off chin could be an indication of an additional beard attached</w:t>
      </w:r>
      <w:r w:rsidR="00F85BFA">
        <w:rPr>
          <w:rFonts w:ascii="Arial" w:hAnsi="Arial" w:cs="Arial"/>
          <w:bCs/>
          <w:sz w:val="24"/>
          <w:szCs w:val="24"/>
        </w:rPr>
        <w:t xml:space="preserve">, which would have </w:t>
      </w:r>
      <w:proofErr w:type="gramStart"/>
      <w:r w:rsidR="00F85BFA">
        <w:rPr>
          <w:rFonts w:ascii="Arial" w:hAnsi="Arial" w:cs="Arial"/>
          <w:bCs/>
          <w:sz w:val="24"/>
          <w:szCs w:val="24"/>
        </w:rPr>
        <w:t>been removed</w:t>
      </w:r>
      <w:proofErr w:type="gramEnd"/>
      <w:r w:rsidR="00F85BFA">
        <w:rPr>
          <w:rFonts w:ascii="Arial" w:hAnsi="Arial" w:cs="Arial"/>
          <w:bCs/>
          <w:sz w:val="24"/>
          <w:szCs w:val="24"/>
        </w:rPr>
        <w:t xml:space="preserve"> since, </w:t>
      </w:r>
      <w:proofErr w:type="gramStart"/>
      <w:r w:rsidR="00F85BFA">
        <w:rPr>
          <w:rFonts w:ascii="Arial" w:hAnsi="Arial" w:cs="Arial"/>
          <w:bCs/>
          <w:sz w:val="24"/>
          <w:szCs w:val="24"/>
        </w:rPr>
        <w:t>likely in</w:t>
      </w:r>
      <w:proofErr w:type="gramEnd"/>
      <w:r w:rsidR="00F85BFA">
        <w:rPr>
          <w:rFonts w:ascii="Arial" w:hAnsi="Arial" w:cs="Arial"/>
          <w:bCs/>
          <w:sz w:val="24"/>
          <w:szCs w:val="24"/>
        </w:rPr>
        <w:t xml:space="preserve"> the reuse process. </w:t>
      </w:r>
      <w:r w:rsidR="00202E81">
        <w:rPr>
          <w:rFonts w:ascii="Arial" w:hAnsi="Arial" w:cs="Arial"/>
          <w:bCs/>
          <w:sz w:val="24"/>
          <w:szCs w:val="24"/>
        </w:rPr>
        <w:t>This would have been a representation of the Akh</w:t>
      </w:r>
      <w:r w:rsidR="00501954">
        <w:rPr>
          <w:rFonts w:ascii="Arial" w:hAnsi="Arial" w:cs="Arial"/>
          <w:bCs/>
          <w:sz w:val="24"/>
          <w:szCs w:val="24"/>
        </w:rPr>
        <w:t>, the spiritual</w:t>
      </w:r>
      <w:r w:rsidR="00885B73">
        <w:rPr>
          <w:rFonts w:ascii="Arial" w:hAnsi="Arial" w:cs="Arial"/>
          <w:bCs/>
          <w:sz w:val="24"/>
          <w:szCs w:val="24"/>
        </w:rPr>
        <w:t>ly pure version of an individual</w:t>
      </w:r>
      <w:r w:rsidR="00202E81">
        <w:rPr>
          <w:rFonts w:ascii="Arial" w:hAnsi="Arial" w:cs="Arial"/>
          <w:bCs/>
          <w:sz w:val="24"/>
          <w:szCs w:val="24"/>
        </w:rPr>
        <w:t>.</w:t>
      </w:r>
      <w:r w:rsidR="00CC4553">
        <w:rPr>
          <w:rFonts w:ascii="Arial" w:hAnsi="Arial" w:cs="Arial"/>
          <w:bCs/>
          <w:sz w:val="24"/>
          <w:szCs w:val="24"/>
        </w:rPr>
        <w:t xml:space="preserve"> Having a representation of this on a coffin would have been a wish for the individual to achieve the status of an ‘akh</w:t>
      </w:r>
      <w:proofErr w:type="gramStart"/>
      <w:r w:rsidR="00CC4553">
        <w:rPr>
          <w:rFonts w:ascii="Arial" w:hAnsi="Arial" w:cs="Arial"/>
          <w:bCs/>
          <w:sz w:val="24"/>
          <w:szCs w:val="24"/>
        </w:rPr>
        <w:t>’,</w:t>
      </w:r>
      <w:proofErr w:type="gramEnd"/>
      <w:r w:rsidR="00CC4553">
        <w:rPr>
          <w:rFonts w:ascii="Arial" w:hAnsi="Arial" w:cs="Arial"/>
          <w:bCs/>
          <w:sz w:val="24"/>
          <w:szCs w:val="24"/>
        </w:rPr>
        <w:t xml:space="preserve"> who was more powerful than the normal </w:t>
      </w:r>
      <w:r w:rsidR="008C6772">
        <w:rPr>
          <w:rFonts w:ascii="Arial" w:hAnsi="Arial" w:cs="Arial"/>
          <w:bCs/>
          <w:sz w:val="24"/>
          <w:szCs w:val="24"/>
        </w:rPr>
        <w:t>individual</w:t>
      </w:r>
      <w:r w:rsidR="00CC4553">
        <w:rPr>
          <w:rFonts w:ascii="Arial" w:hAnsi="Arial" w:cs="Arial"/>
          <w:bCs/>
          <w:sz w:val="24"/>
          <w:szCs w:val="24"/>
        </w:rPr>
        <w:t xml:space="preserve"> due to their </w:t>
      </w:r>
      <w:r w:rsidR="002B7FB8">
        <w:rPr>
          <w:rFonts w:ascii="Arial" w:hAnsi="Arial" w:cs="Arial"/>
          <w:bCs/>
          <w:sz w:val="24"/>
          <w:szCs w:val="24"/>
        </w:rPr>
        <w:t>moral piety</w:t>
      </w:r>
      <w:r w:rsidR="00683BCF">
        <w:rPr>
          <w:rStyle w:val="FootnoteReference"/>
          <w:rFonts w:ascii="Arial" w:hAnsi="Arial" w:cs="Arial"/>
          <w:bCs/>
          <w:sz w:val="24"/>
          <w:szCs w:val="24"/>
        </w:rPr>
        <w:footnoteReference w:id="14"/>
      </w:r>
      <w:r w:rsidR="002B7FB8">
        <w:rPr>
          <w:rFonts w:ascii="Arial" w:hAnsi="Arial" w:cs="Arial"/>
          <w:bCs/>
          <w:sz w:val="24"/>
          <w:szCs w:val="24"/>
        </w:rPr>
        <w:t xml:space="preserve">. </w:t>
      </w:r>
    </w:p>
    <w:p w14:paraId="643EDF21" w14:textId="79CE9B47" w:rsidR="00897458" w:rsidRDefault="00897458" w:rsidP="00C413EC">
      <w:pPr>
        <w:rPr>
          <w:rFonts w:ascii="Arial" w:hAnsi="Arial" w:cs="Arial"/>
          <w:bCs/>
          <w:sz w:val="24"/>
          <w:szCs w:val="24"/>
        </w:rPr>
      </w:pPr>
      <w:r>
        <w:rPr>
          <w:rFonts w:ascii="Arial" w:hAnsi="Arial" w:cs="Arial"/>
          <w:bCs/>
          <w:sz w:val="24"/>
          <w:szCs w:val="24"/>
        </w:rPr>
        <w:t xml:space="preserve">The </w:t>
      </w:r>
      <w:r w:rsidR="008C6772">
        <w:rPr>
          <w:rFonts w:ascii="Arial" w:hAnsi="Arial" w:cs="Arial"/>
          <w:bCs/>
          <w:sz w:val="24"/>
          <w:szCs w:val="24"/>
        </w:rPr>
        <w:t>B</w:t>
      </w:r>
      <w:r>
        <w:rPr>
          <w:rFonts w:ascii="Arial" w:hAnsi="Arial" w:cs="Arial"/>
          <w:bCs/>
          <w:sz w:val="24"/>
          <w:szCs w:val="24"/>
        </w:rPr>
        <w:t xml:space="preserve">a can </w:t>
      </w:r>
      <w:r w:rsidR="00421257">
        <w:rPr>
          <w:rFonts w:ascii="Arial" w:hAnsi="Arial" w:cs="Arial"/>
          <w:bCs/>
          <w:sz w:val="24"/>
          <w:szCs w:val="24"/>
        </w:rPr>
        <w:t>also</w:t>
      </w:r>
      <w:r>
        <w:rPr>
          <w:rFonts w:ascii="Arial" w:hAnsi="Arial" w:cs="Arial"/>
          <w:bCs/>
          <w:sz w:val="24"/>
          <w:szCs w:val="24"/>
        </w:rPr>
        <w:t xml:space="preserve"> </w:t>
      </w:r>
      <w:proofErr w:type="gramStart"/>
      <w:r>
        <w:rPr>
          <w:rFonts w:ascii="Arial" w:hAnsi="Arial" w:cs="Arial"/>
          <w:bCs/>
          <w:sz w:val="24"/>
          <w:szCs w:val="24"/>
        </w:rPr>
        <w:t>be seen</w:t>
      </w:r>
      <w:proofErr w:type="gramEnd"/>
      <w:r>
        <w:rPr>
          <w:rFonts w:ascii="Arial" w:hAnsi="Arial" w:cs="Arial"/>
          <w:bCs/>
          <w:sz w:val="24"/>
          <w:szCs w:val="24"/>
        </w:rPr>
        <w:t xml:space="preserve"> in the design of the coffin. </w:t>
      </w:r>
      <w:r w:rsidR="00D11B43">
        <w:rPr>
          <w:rFonts w:ascii="Arial" w:hAnsi="Arial" w:cs="Arial"/>
          <w:bCs/>
          <w:sz w:val="24"/>
          <w:szCs w:val="24"/>
        </w:rPr>
        <w:t xml:space="preserve">These coffins very often have such a small face to make space for </w:t>
      </w:r>
      <w:r w:rsidR="008C6772">
        <w:rPr>
          <w:rFonts w:ascii="Arial" w:hAnsi="Arial" w:cs="Arial"/>
          <w:bCs/>
          <w:sz w:val="24"/>
          <w:szCs w:val="24"/>
        </w:rPr>
        <w:t xml:space="preserve">a design with </w:t>
      </w:r>
      <w:r w:rsidR="00683BCF">
        <w:rPr>
          <w:rFonts w:ascii="Arial" w:hAnsi="Arial" w:cs="Arial"/>
          <w:bCs/>
          <w:sz w:val="24"/>
          <w:szCs w:val="24"/>
        </w:rPr>
        <w:t>l</w:t>
      </w:r>
      <w:r w:rsidR="008C6772">
        <w:rPr>
          <w:rFonts w:ascii="Arial" w:hAnsi="Arial" w:cs="Arial"/>
          <w:bCs/>
          <w:sz w:val="24"/>
          <w:szCs w:val="24"/>
        </w:rPr>
        <w:t>arge amount pf feathers, typically depicting the Ba bird ‘embracing’ the face</w:t>
      </w:r>
      <w:r w:rsidR="00683BCF">
        <w:rPr>
          <w:rStyle w:val="FootnoteReference"/>
          <w:rFonts w:ascii="Arial" w:hAnsi="Arial" w:cs="Arial"/>
          <w:bCs/>
          <w:sz w:val="24"/>
          <w:szCs w:val="24"/>
        </w:rPr>
        <w:footnoteReference w:id="15"/>
      </w:r>
      <w:r w:rsidR="008C6772">
        <w:rPr>
          <w:rFonts w:ascii="Arial" w:hAnsi="Arial" w:cs="Arial"/>
          <w:bCs/>
          <w:sz w:val="24"/>
          <w:szCs w:val="24"/>
        </w:rPr>
        <w:t xml:space="preserve">. This is a symbol </w:t>
      </w:r>
      <w:r w:rsidR="000A7384">
        <w:rPr>
          <w:rFonts w:ascii="Arial" w:hAnsi="Arial" w:cs="Arial"/>
          <w:bCs/>
          <w:sz w:val="24"/>
          <w:szCs w:val="24"/>
        </w:rPr>
        <w:t>of protection</w:t>
      </w:r>
      <w:r w:rsidR="004E7C54">
        <w:rPr>
          <w:rFonts w:ascii="Arial" w:hAnsi="Arial" w:cs="Arial"/>
          <w:bCs/>
          <w:sz w:val="24"/>
          <w:szCs w:val="24"/>
        </w:rPr>
        <w:t xml:space="preserve"> and assurance that </w:t>
      </w:r>
      <w:r w:rsidR="000A7384">
        <w:rPr>
          <w:rFonts w:ascii="Arial" w:hAnsi="Arial" w:cs="Arial"/>
          <w:bCs/>
          <w:sz w:val="24"/>
          <w:szCs w:val="24"/>
        </w:rPr>
        <w:t>the</w:t>
      </w:r>
      <w:r w:rsidR="004E7C54">
        <w:rPr>
          <w:rFonts w:ascii="Arial" w:hAnsi="Arial" w:cs="Arial"/>
          <w:bCs/>
          <w:sz w:val="24"/>
          <w:szCs w:val="24"/>
        </w:rPr>
        <w:t xml:space="preserve"> ba will continue the legacy of the individual</w:t>
      </w:r>
      <w:r w:rsidR="00683BCF">
        <w:rPr>
          <w:rStyle w:val="FootnoteReference"/>
          <w:rFonts w:ascii="Arial" w:hAnsi="Arial" w:cs="Arial"/>
          <w:bCs/>
          <w:sz w:val="24"/>
          <w:szCs w:val="24"/>
        </w:rPr>
        <w:footnoteReference w:id="16"/>
      </w:r>
      <w:r w:rsidR="004E7C54">
        <w:rPr>
          <w:rFonts w:ascii="Arial" w:hAnsi="Arial" w:cs="Arial"/>
          <w:bCs/>
          <w:sz w:val="24"/>
          <w:szCs w:val="24"/>
        </w:rPr>
        <w:t xml:space="preserve">. </w:t>
      </w:r>
    </w:p>
    <w:p w14:paraId="0A2AA840" w14:textId="12388BFD" w:rsidR="001B2376" w:rsidRDefault="001B2376" w:rsidP="00C413EC">
      <w:pPr>
        <w:rPr>
          <w:rFonts w:ascii="Arial" w:hAnsi="Arial" w:cs="Arial"/>
          <w:bCs/>
          <w:sz w:val="24"/>
          <w:szCs w:val="24"/>
        </w:rPr>
      </w:pPr>
      <w:r>
        <w:rPr>
          <w:rFonts w:ascii="Arial" w:hAnsi="Arial" w:cs="Arial"/>
          <w:bCs/>
          <w:sz w:val="24"/>
          <w:szCs w:val="24"/>
        </w:rPr>
        <w:t>The notc</w:t>
      </w:r>
      <w:r w:rsidR="00C81EF0">
        <w:rPr>
          <w:rFonts w:ascii="Arial" w:hAnsi="Arial" w:cs="Arial"/>
          <w:bCs/>
          <w:sz w:val="24"/>
          <w:szCs w:val="24"/>
        </w:rPr>
        <w:t xml:space="preserve">h in the back indicates that this </w:t>
      </w:r>
      <w:r w:rsidR="00242F36">
        <w:rPr>
          <w:rFonts w:ascii="Arial" w:hAnsi="Arial" w:cs="Arial"/>
          <w:bCs/>
          <w:sz w:val="24"/>
          <w:szCs w:val="24"/>
        </w:rPr>
        <w:t xml:space="preserve">item would have </w:t>
      </w:r>
      <w:proofErr w:type="gramStart"/>
      <w:r w:rsidR="00242F36">
        <w:rPr>
          <w:rFonts w:ascii="Arial" w:hAnsi="Arial" w:cs="Arial"/>
          <w:bCs/>
          <w:sz w:val="24"/>
          <w:szCs w:val="24"/>
        </w:rPr>
        <w:t>been slotted</w:t>
      </w:r>
      <w:proofErr w:type="gramEnd"/>
      <w:r w:rsidR="00242F36">
        <w:rPr>
          <w:rFonts w:ascii="Arial" w:hAnsi="Arial" w:cs="Arial"/>
          <w:bCs/>
          <w:sz w:val="24"/>
          <w:szCs w:val="24"/>
        </w:rPr>
        <w:t xml:space="preserve"> into </w:t>
      </w:r>
      <w:r w:rsidR="00865590">
        <w:rPr>
          <w:rFonts w:ascii="Arial" w:hAnsi="Arial" w:cs="Arial"/>
          <w:bCs/>
          <w:sz w:val="24"/>
          <w:szCs w:val="24"/>
        </w:rPr>
        <w:t xml:space="preserve">a </w:t>
      </w:r>
      <w:r w:rsidR="009C09E0">
        <w:rPr>
          <w:rFonts w:ascii="Arial" w:hAnsi="Arial" w:cs="Arial"/>
          <w:bCs/>
          <w:sz w:val="24"/>
          <w:szCs w:val="24"/>
        </w:rPr>
        <w:t>bump in the coffin. This would indicate that</w:t>
      </w:r>
      <w:r w:rsidR="005965FC">
        <w:rPr>
          <w:rFonts w:ascii="Arial" w:hAnsi="Arial" w:cs="Arial"/>
          <w:bCs/>
          <w:sz w:val="24"/>
          <w:szCs w:val="24"/>
        </w:rPr>
        <w:t xml:space="preserve"> the face was an item of reuse. This could also connect to other versions of the faces, </w:t>
      </w:r>
      <w:r w:rsidR="0087120C">
        <w:rPr>
          <w:rFonts w:ascii="Arial" w:hAnsi="Arial" w:cs="Arial"/>
          <w:bCs/>
          <w:sz w:val="24"/>
          <w:szCs w:val="24"/>
        </w:rPr>
        <w:t xml:space="preserve">as there are instances of these faces </w:t>
      </w:r>
      <w:proofErr w:type="gramStart"/>
      <w:r w:rsidR="0087120C">
        <w:rPr>
          <w:rFonts w:ascii="Arial" w:hAnsi="Arial" w:cs="Arial"/>
          <w:bCs/>
          <w:sz w:val="24"/>
          <w:szCs w:val="24"/>
        </w:rPr>
        <w:t>being found</w:t>
      </w:r>
      <w:proofErr w:type="gramEnd"/>
      <w:r w:rsidR="0087120C">
        <w:rPr>
          <w:rFonts w:ascii="Arial" w:hAnsi="Arial" w:cs="Arial"/>
          <w:bCs/>
          <w:sz w:val="24"/>
          <w:szCs w:val="24"/>
        </w:rPr>
        <w:t xml:space="preserve"> </w:t>
      </w:r>
      <w:r w:rsidR="0071497A">
        <w:rPr>
          <w:rFonts w:ascii="Arial" w:hAnsi="Arial" w:cs="Arial"/>
          <w:bCs/>
          <w:sz w:val="24"/>
          <w:szCs w:val="24"/>
        </w:rPr>
        <w:t xml:space="preserve">without the wider context of a coffin in spaces such as Qubbet </w:t>
      </w:r>
      <w:r w:rsidR="000A7384">
        <w:rPr>
          <w:rFonts w:ascii="Arial" w:hAnsi="Arial" w:cs="Arial"/>
          <w:bCs/>
          <w:sz w:val="24"/>
          <w:szCs w:val="24"/>
        </w:rPr>
        <w:t>El</w:t>
      </w:r>
      <w:r w:rsidR="0071497A">
        <w:rPr>
          <w:rFonts w:ascii="Arial" w:hAnsi="Arial" w:cs="Arial"/>
          <w:bCs/>
          <w:sz w:val="24"/>
          <w:szCs w:val="24"/>
        </w:rPr>
        <w:t>-Hawa</w:t>
      </w:r>
      <w:r w:rsidR="00683BCF">
        <w:rPr>
          <w:rStyle w:val="FootnoteReference"/>
          <w:rFonts w:ascii="Arial" w:hAnsi="Arial" w:cs="Arial"/>
          <w:bCs/>
          <w:sz w:val="24"/>
          <w:szCs w:val="24"/>
        </w:rPr>
        <w:footnoteReference w:id="17"/>
      </w:r>
      <w:r w:rsidR="0071497A">
        <w:rPr>
          <w:rFonts w:ascii="Arial" w:hAnsi="Arial" w:cs="Arial"/>
          <w:bCs/>
          <w:sz w:val="24"/>
          <w:szCs w:val="24"/>
        </w:rPr>
        <w:t>, and Abydos</w:t>
      </w:r>
      <w:r w:rsidR="00683BCF">
        <w:rPr>
          <w:rStyle w:val="FootnoteReference"/>
          <w:rFonts w:ascii="Arial" w:hAnsi="Arial" w:cs="Arial"/>
          <w:bCs/>
          <w:sz w:val="24"/>
          <w:szCs w:val="24"/>
        </w:rPr>
        <w:footnoteReference w:id="18"/>
      </w:r>
      <w:r w:rsidR="0071497A">
        <w:rPr>
          <w:rFonts w:ascii="Arial" w:hAnsi="Arial" w:cs="Arial"/>
          <w:bCs/>
          <w:sz w:val="24"/>
          <w:szCs w:val="24"/>
        </w:rPr>
        <w:t>. The concept of reus</w:t>
      </w:r>
      <w:r w:rsidR="009927ED">
        <w:rPr>
          <w:rFonts w:ascii="Arial" w:hAnsi="Arial" w:cs="Arial"/>
          <w:bCs/>
          <w:sz w:val="24"/>
          <w:szCs w:val="24"/>
        </w:rPr>
        <w:t>ing funerary objects</w:t>
      </w:r>
      <w:r w:rsidR="0071497A">
        <w:rPr>
          <w:rFonts w:ascii="Arial" w:hAnsi="Arial" w:cs="Arial"/>
          <w:bCs/>
          <w:sz w:val="24"/>
          <w:szCs w:val="24"/>
        </w:rPr>
        <w:t xml:space="preserve"> </w:t>
      </w:r>
      <w:r w:rsidR="009927ED">
        <w:rPr>
          <w:rFonts w:ascii="Arial" w:hAnsi="Arial" w:cs="Arial"/>
          <w:bCs/>
          <w:sz w:val="24"/>
          <w:szCs w:val="24"/>
        </w:rPr>
        <w:t>wa</w:t>
      </w:r>
      <w:r w:rsidR="0071497A">
        <w:rPr>
          <w:rFonts w:ascii="Arial" w:hAnsi="Arial" w:cs="Arial"/>
          <w:bCs/>
          <w:sz w:val="24"/>
          <w:szCs w:val="24"/>
        </w:rPr>
        <w:t xml:space="preserve">s </w:t>
      </w:r>
      <w:proofErr w:type="gramStart"/>
      <w:r w:rsidR="0071497A">
        <w:rPr>
          <w:rFonts w:ascii="Arial" w:hAnsi="Arial" w:cs="Arial"/>
          <w:bCs/>
          <w:sz w:val="24"/>
          <w:szCs w:val="24"/>
        </w:rPr>
        <w:t>not uncommon</w:t>
      </w:r>
      <w:proofErr w:type="gramEnd"/>
      <w:r w:rsidR="0071497A">
        <w:rPr>
          <w:rFonts w:ascii="Arial" w:hAnsi="Arial" w:cs="Arial"/>
          <w:bCs/>
          <w:sz w:val="24"/>
          <w:szCs w:val="24"/>
        </w:rPr>
        <w:t xml:space="preserve"> for </w:t>
      </w:r>
      <w:r w:rsidR="009927ED">
        <w:rPr>
          <w:rFonts w:ascii="Arial" w:hAnsi="Arial" w:cs="Arial"/>
          <w:bCs/>
          <w:sz w:val="24"/>
          <w:szCs w:val="24"/>
        </w:rPr>
        <w:t>the Egyptians, so it is likely that the same coffin had the face replaced at least once to save on money and materials</w:t>
      </w:r>
      <w:r w:rsidR="00683BCF">
        <w:rPr>
          <w:rStyle w:val="FootnoteReference"/>
          <w:rFonts w:ascii="Arial" w:hAnsi="Arial" w:cs="Arial"/>
          <w:bCs/>
          <w:sz w:val="24"/>
          <w:szCs w:val="24"/>
        </w:rPr>
        <w:footnoteReference w:id="19"/>
      </w:r>
      <w:r w:rsidR="009927ED">
        <w:rPr>
          <w:rFonts w:ascii="Arial" w:hAnsi="Arial" w:cs="Arial"/>
          <w:bCs/>
          <w:sz w:val="24"/>
          <w:szCs w:val="24"/>
        </w:rPr>
        <w:t xml:space="preserve">. This also points to </w:t>
      </w:r>
      <w:r w:rsidR="00540B11">
        <w:rPr>
          <w:rFonts w:ascii="Arial" w:hAnsi="Arial" w:cs="Arial"/>
          <w:bCs/>
          <w:sz w:val="24"/>
          <w:szCs w:val="24"/>
        </w:rPr>
        <w:t>a non-</w:t>
      </w:r>
      <w:r w:rsidR="000A7384">
        <w:rPr>
          <w:rFonts w:ascii="Arial" w:hAnsi="Arial" w:cs="Arial"/>
          <w:bCs/>
          <w:sz w:val="24"/>
          <w:szCs w:val="24"/>
        </w:rPr>
        <w:t>elite</w:t>
      </w:r>
      <w:r w:rsidR="00540B11">
        <w:rPr>
          <w:rFonts w:ascii="Arial" w:hAnsi="Arial" w:cs="Arial"/>
          <w:bCs/>
          <w:sz w:val="24"/>
          <w:szCs w:val="24"/>
        </w:rPr>
        <w:t>, due to money-saving activities</w:t>
      </w:r>
      <w:r w:rsidR="00683BCF">
        <w:rPr>
          <w:rFonts w:ascii="Arial" w:hAnsi="Arial" w:cs="Arial"/>
          <w:bCs/>
          <w:sz w:val="24"/>
          <w:szCs w:val="24"/>
        </w:rPr>
        <w:t>.</w:t>
      </w:r>
    </w:p>
    <w:p w14:paraId="1398C810" w14:textId="2BCD506E" w:rsidR="00C413EC" w:rsidRDefault="00501954" w:rsidP="00D034D4">
      <w:pPr>
        <w:rPr>
          <w:rFonts w:ascii="Arial" w:hAnsi="Arial" w:cs="Arial"/>
          <w:bCs/>
          <w:sz w:val="24"/>
          <w:szCs w:val="24"/>
        </w:rPr>
      </w:pPr>
      <w:r>
        <w:rPr>
          <w:rFonts w:ascii="Arial" w:hAnsi="Arial" w:cs="Arial"/>
          <w:bCs/>
          <w:sz w:val="24"/>
          <w:szCs w:val="24"/>
        </w:rPr>
        <w:t xml:space="preserve">The </w:t>
      </w:r>
      <w:r w:rsidR="007F5603">
        <w:rPr>
          <w:rFonts w:ascii="Arial" w:hAnsi="Arial" w:cs="Arial"/>
          <w:bCs/>
          <w:sz w:val="24"/>
          <w:szCs w:val="24"/>
        </w:rPr>
        <w:t xml:space="preserve">remainders of black decoration around the eyes and face also have an important representation in understanding the object. </w:t>
      </w:r>
      <w:r w:rsidR="00FA3FEB">
        <w:rPr>
          <w:rFonts w:ascii="Arial" w:hAnsi="Arial" w:cs="Arial"/>
          <w:bCs/>
          <w:sz w:val="24"/>
          <w:szCs w:val="24"/>
        </w:rPr>
        <w:t>Eye</w:t>
      </w:r>
      <w:r w:rsidR="007F5603">
        <w:rPr>
          <w:rFonts w:ascii="Arial" w:hAnsi="Arial" w:cs="Arial"/>
          <w:bCs/>
          <w:sz w:val="24"/>
          <w:szCs w:val="24"/>
        </w:rPr>
        <w:t xml:space="preserve"> makeup was extremely common and important for all </w:t>
      </w:r>
      <w:r w:rsidR="00D96050">
        <w:rPr>
          <w:rFonts w:ascii="Arial" w:hAnsi="Arial" w:cs="Arial"/>
          <w:bCs/>
          <w:sz w:val="24"/>
          <w:szCs w:val="24"/>
        </w:rPr>
        <w:t>Egyptians</w:t>
      </w:r>
      <w:r w:rsidR="007F5603">
        <w:rPr>
          <w:rFonts w:ascii="Arial" w:hAnsi="Arial" w:cs="Arial"/>
          <w:bCs/>
          <w:sz w:val="24"/>
          <w:szCs w:val="24"/>
        </w:rPr>
        <w:t>, as a protection against the sun</w:t>
      </w:r>
      <w:r w:rsidR="00782192">
        <w:rPr>
          <w:rFonts w:ascii="Arial" w:hAnsi="Arial" w:cs="Arial"/>
          <w:bCs/>
          <w:sz w:val="24"/>
          <w:szCs w:val="24"/>
        </w:rPr>
        <w:t xml:space="preserve">, </w:t>
      </w:r>
      <w:r w:rsidR="008F7673">
        <w:rPr>
          <w:rFonts w:ascii="Arial" w:hAnsi="Arial" w:cs="Arial"/>
          <w:bCs/>
          <w:sz w:val="24"/>
          <w:szCs w:val="24"/>
        </w:rPr>
        <w:t>but</w:t>
      </w:r>
      <w:r w:rsidR="00782192">
        <w:rPr>
          <w:rFonts w:ascii="Arial" w:hAnsi="Arial" w:cs="Arial"/>
          <w:bCs/>
          <w:sz w:val="24"/>
          <w:szCs w:val="24"/>
        </w:rPr>
        <w:t xml:space="preserve"> also a</w:t>
      </w:r>
      <w:r w:rsidR="00F90E66">
        <w:rPr>
          <w:rFonts w:ascii="Arial" w:hAnsi="Arial" w:cs="Arial"/>
          <w:bCs/>
          <w:sz w:val="24"/>
          <w:szCs w:val="24"/>
        </w:rPr>
        <w:t>s a representation of Horus</w:t>
      </w:r>
      <w:r w:rsidR="008F7673">
        <w:rPr>
          <w:rFonts w:ascii="Arial" w:hAnsi="Arial" w:cs="Arial"/>
          <w:bCs/>
          <w:sz w:val="24"/>
          <w:szCs w:val="24"/>
        </w:rPr>
        <w:t xml:space="preserve">, </w:t>
      </w:r>
      <w:r w:rsidR="001D2CC0">
        <w:rPr>
          <w:rFonts w:ascii="Arial" w:hAnsi="Arial" w:cs="Arial"/>
          <w:bCs/>
          <w:sz w:val="24"/>
          <w:szCs w:val="24"/>
        </w:rPr>
        <w:t>which would be a protective symbol</w:t>
      </w:r>
      <w:r w:rsidR="00AB3CEE">
        <w:rPr>
          <w:rStyle w:val="FootnoteReference"/>
          <w:rFonts w:ascii="Arial" w:hAnsi="Arial" w:cs="Arial"/>
          <w:bCs/>
          <w:sz w:val="24"/>
          <w:szCs w:val="24"/>
        </w:rPr>
        <w:footnoteReference w:id="20"/>
      </w:r>
      <w:r w:rsidR="00F90E66">
        <w:rPr>
          <w:rFonts w:ascii="Arial" w:hAnsi="Arial" w:cs="Arial"/>
          <w:bCs/>
          <w:sz w:val="24"/>
          <w:szCs w:val="24"/>
        </w:rPr>
        <w:t>.</w:t>
      </w:r>
      <w:r w:rsidR="00782192">
        <w:rPr>
          <w:rFonts w:ascii="Arial" w:hAnsi="Arial" w:cs="Arial"/>
          <w:bCs/>
          <w:sz w:val="24"/>
          <w:szCs w:val="24"/>
        </w:rPr>
        <w:t xml:space="preserve"> </w:t>
      </w:r>
      <w:r w:rsidR="00F90E66">
        <w:rPr>
          <w:rFonts w:ascii="Arial" w:hAnsi="Arial" w:cs="Arial"/>
          <w:bCs/>
          <w:sz w:val="24"/>
          <w:szCs w:val="24"/>
        </w:rPr>
        <w:t>T</w:t>
      </w:r>
      <w:r w:rsidR="00D971BB">
        <w:rPr>
          <w:rFonts w:ascii="Arial" w:hAnsi="Arial" w:cs="Arial"/>
          <w:bCs/>
          <w:sz w:val="24"/>
          <w:szCs w:val="24"/>
        </w:rPr>
        <w:t xml:space="preserve">he paint along the sides could </w:t>
      </w:r>
      <w:r w:rsidR="004538B1">
        <w:rPr>
          <w:rFonts w:ascii="Arial" w:hAnsi="Arial" w:cs="Arial"/>
          <w:bCs/>
          <w:sz w:val="24"/>
          <w:szCs w:val="24"/>
        </w:rPr>
        <w:t>also b</w:t>
      </w:r>
      <w:r w:rsidR="005B5C5F">
        <w:rPr>
          <w:rFonts w:ascii="Arial" w:hAnsi="Arial" w:cs="Arial"/>
          <w:bCs/>
          <w:sz w:val="24"/>
          <w:szCs w:val="24"/>
        </w:rPr>
        <w:t xml:space="preserve">e from the </w:t>
      </w:r>
      <w:r w:rsidR="005B5C5F">
        <w:rPr>
          <w:rFonts w:ascii="Arial" w:hAnsi="Arial" w:cs="Arial"/>
          <w:bCs/>
          <w:sz w:val="24"/>
          <w:szCs w:val="24"/>
        </w:rPr>
        <w:lastRenderedPageBreak/>
        <w:t>blending into a coffin</w:t>
      </w:r>
      <w:r w:rsidR="00CC0486">
        <w:rPr>
          <w:rFonts w:ascii="Arial" w:hAnsi="Arial" w:cs="Arial"/>
          <w:bCs/>
          <w:sz w:val="24"/>
          <w:szCs w:val="24"/>
        </w:rPr>
        <w:t xml:space="preserve">, </w:t>
      </w:r>
      <w:r w:rsidR="00AD681C">
        <w:rPr>
          <w:rFonts w:ascii="Arial" w:hAnsi="Arial" w:cs="Arial"/>
          <w:bCs/>
          <w:sz w:val="24"/>
          <w:szCs w:val="24"/>
        </w:rPr>
        <w:t>which is an important part of influencing the hypothesis</w:t>
      </w:r>
      <w:r w:rsidR="00D96050">
        <w:rPr>
          <w:rFonts w:ascii="Arial" w:hAnsi="Arial" w:cs="Arial"/>
          <w:bCs/>
          <w:sz w:val="24"/>
          <w:szCs w:val="24"/>
        </w:rPr>
        <w:t xml:space="preserve"> of a coffin lid instead </w:t>
      </w:r>
      <w:r w:rsidR="0083422B">
        <w:rPr>
          <w:rFonts w:ascii="Arial" w:hAnsi="Arial" w:cs="Arial"/>
          <w:bCs/>
          <w:sz w:val="24"/>
          <w:szCs w:val="24"/>
        </w:rPr>
        <w:t>o</w:t>
      </w:r>
      <w:r w:rsidR="0024441F">
        <w:rPr>
          <w:rFonts w:ascii="Arial" w:hAnsi="Arial" w:cs="Arial"/>
          <w:bCs/>
          <w:sz w:val="24"/>
          <w:szCs w:val="24"/>
        </w:rPr>
        <w:t>f</w:t>
      </w:r>
      <w:r w:rsidR="0083422B">
        <w:rPr>
          <w:rFonts w:ascii="Arial" w:hAnsi="Arial" w:cs="Arial"/>
          <w:bCs/>
          <w:sz w:val="24"/>
          <w:szCs w:val="24"/>
        </w:rPr>
        <w:t xml:space="preserve"> a canopic jar</w:t>
      </w:r>
      <w:r w:rsidR="0024441F">
        <w:rPr>
          <w:rFonts w:ascii="Arial" w:hAnsi="Arial" w:cs="Arial"/>
          <w:bCs/>
          <w:sz w:val="24"/>
          <w:szCs w:val="24"/>
        </w:rPr>
        <w:t>.</w:t>
      </w:r>
    </w:p>
    <w:p w14:paraId="0D5C072B" w14:textId="062319A9" w:rsidR="008548E3" w:rsidRDefault="008548E3" w:rsidP="00D034D4">
      <w:pPr>
        <w:rPr>
          <w:rFonts w:ascii="Arial" w:hAnsi="Arial" w:cs="Arial"/>
          <w:bCs/>
          <w:sz w:val="24"/>
          <w:szCs w:val="24"/>
        </w:rPr>
      </w:pPr>
      <w:r>
        <w:rPr>
          <w:rFonts w:ascii="Arial" w:hAnsi="Arial" w:cs="Arial"/>
          <w:bCs/>
          <w:sz w:val="24"/>
          <w:szCs w:val="24"/>
        </w:rPr>
        <w:t xml:space="preserve">Overall, the true purpose and understanding of this object has been hindered by </w:t>
      </w:r>
      <w:proofErr w:type="spellStart"/>
      <w:r w:rsidR="00F21B84">
        <w:rPr>
          <w:rFonts w:ascii="Arial" w:hAnsi="Arial" w:cs="Arial"/>
          <w:bCs/>
          <w:sz w:val="24"/>
          <w:szCs w:val="24"/>
        </w:rPr>
        <w:t>pur</w:t>
      </w:r>
      <w:proofErr w:type="spellEnd"/>
      <w:r w:rsidR="00F21B84">
        <w:rPr>
          <w:rFonts w:ascii="Arial" w:hAnsi="Arial" w:cs="Arial"/>
          <w:bCs/>
          <w:sz w:val="24"/>
          <w:szCs w:val="24"/>
        </w:rPr>
        <w:t xml:space="preserve"> lack of knowledge on the exact location and context in which it was found, but the conclusions which can be drawn lead to an understanding of it’s provenance, date, and position within the funerary sphere.</w:t>
      </w:r>
    </w:p>
    <w:p w14:paraId="35C372B6" w14:textId="77777777" w:rsidR="00225AC6" w:rsidRPr="00225AC6" w:rsidRDefault="008E2429" w:rsidP="00225AC6">
      <w:pPr>
        <w:pStyle w:val="Bibliography"/>
        <w:rPr>
          <w:rFonts w:ascii="Arial" w:hAnsi="Arial" w:cs="Arial"/>
          <w:sz w:val="24"/>
        </w:rPr>
      </w:pPr>
      <w:r>
        <w:rPr>
          <w:rFonts w:ascii="Arial" w:hAnsi="Arial" w:cs="Arial"/>
          <w:bCs/>
          <w:sz w:val="24"/>
          <w:szCs w:val="24"/>
        </w:rPr>
        <w:fldChar w:fldCharType="begin"/>
      </w:r>
      <w:r>
        <w:rPr>
          <w:rFonts w:ascii="Arial" w:hAnsi="Arial" w:cs="Arial"/>
          <w:bCs/>
          <w:sz w:val="24"/>
          <w:szCs w:val="24"/>
        </w:rPr>
        <w:instrText xml:space="preserve"> ADDIN ZOTERO_BIBL {"uncited":[],"omitted":[],"custom":[]} CSL_BIBLIOGRAPHY </w:instrText>
      </w:r>
      <w:r>
        <w:rPr>
          <w:rFonts w:ascii="Arial" w:hAnsi="Arial" w:cs="Arial"/>
          <w:bCs/>
          <w:sz w:val="24"/>
          <w:szCs w:val="24"/>
        </w:rPr>
        <w:fldChar w:fldCharType="separate"/>
      </w:r>
      <w:proofErr w:type="spellStart"/>
      <w:r w:rsidR="00225AC6" w:rsidRPr="00225AC6">
        <w:rPr>
          <w:rFonts w:ascii="Arial" w:hAnsi="Arial" w:cs="Arial"/>
          <w:sz w:val="24"/>
        </w:rPr>
        <w:t>Bourriau</w:t>
      </w:r>
      <w:proofErr w:type="spellEnd"/>
      <w:r w:rsidR="00225AC6" w:rsidRPr="00225AC6">
        <w:rPr>
          <w:rFonts w:ascii="Arial" w:hAnsi="Arial" w:cs="Arial"/>
          <w:sz w:val="24"/>
        </w:rPr>
        <w:t xml:space="preserve">, Janine, </w:t>
      </w:r>
      <w:r w:rsidR="00225AC6" w:rsidRPr="00225AC6">
        <w:rPr>
          <w:rFonts w:ascii="Arial" w:hAnsi="Arial" w:cs="Arial"/>
          <w:i/>
          <w:iCs/>
          <w:sz w:val="24"/>
        </w:rPr>
        <w:t>Introduction Ancient Egyptian Pottery (2)</w:t>
      </w:r>
      <w:r w:rsidR="00225AC6" w:rsidRPr="00225AC6">
        <w:rPr>
          <w:rFonts w:ascii="Arial" w:hAnsi="Arial" w:cs="Arial"/>
          <w:sz w:val="24"/>
        </w:rPr>
        <w:t xml:space="preserve"> (1993) &lt;https://www.academia.edu/84542579/Janine_Bourriau_introduction_ancient_Egyptian_Pottery_2_&gt;</w:t>
      </w:r>
    </w:p>
    <w:p w14:paraId="26147DAB" w14:textId="77777777" w:rsidR="00225AC6" w:rsidRPr="00225AC6" w:rsidRDefault="00225AC6" w:rsidP="00225AC6">
      <w:pPr>
        <w:pStyle w:val="Bibliography"/>
        <w:rPr>
          <w:rFonts w:ascii="Arial" w:hAnsi="Arial" w:cs="Arial"/>
          <w:sz w:val="24"/>
        </w:rPr>
      </w:pPr>
      <w:r w:rsidRPr="00225AC6">
        <w:rPr>
          <w:rFonts w:ascii="Arial" w:hAnsi="Arial" w:cs="Arial"/>
          <w:sz w:val="24"/>
        </w:rPr>
        <w:t xml:space="preserve">Cooney, </w:t>
      </w:r>
      <w:proofErr w:type="gramStart"/>
      <w:r w:rsidRPr="00225AC6">
        <w:rPr>
          <w:rFonts w:ascii="Arial" w:hAnsi="Arial" w:cs="Arial"/>
          <w:sz w:val="24"/>
        </w:rPr>
        <w:t>Kara, ‘</w:t>
      </w:r>
      <w:proofErr w:type="gramEnd"/>
      <w:r w:rsidRPr="00225AC6">
        <w:rPr>
          <w:rFonts w:ascii="Arial" w:hAnsi="Arial" w:cs="Arial"/>
          <w:sz w:val="24"/>
        </w:rPr>
        <w:t>When Is It OK to Recycle a Coffin? The Rules of the Reuse Game in Ancient Egypt - the Ancient Near East Today</w:t>
      </w:r>
      <w:proofErr w:type="gramStart"/>
      <w:r w:rsidRPr="00225AC6">
        <w:rPr>
          <w:rFonts w:ascii="Arial" w:hAnsi="Arial" w:cs="Arial"/>
          <w:sz w:val="24"/>
        </w:rPr>
        <w:t>’,</w:t>
      </w:r>
      <w:proofErr w:type="gramEnd"/>
      <w:r w:rsidRPr="00225AC6">
        <w:rPr>
          <w:rFonts w:ascii="Arial" w:hAnsi="Arial" w:cs="Arial"/>
          <w:sz w:val="24"/>
        </w:rPr>
        <w:t xml:space="preserve"> </w:t>
      </w:r>
      <w:r w:rsidRPr="00225AC6">
        <w:rPr>
          <w:rFonts w:ascii="Arial" w:hAnsi="Arial" w:cs="Arial"/>
          <w:i/>
          <w:iCs/>
          <w:sz w:val="24"/>
        </w:rPr>
        <w:t>The Ancient Near East Today - Current News About the Ancient Past</w:t>
      </w:r>
      <w:r w:rsidRPr="00225AC6">
        <w:rPr>
          <w:rFonts w:ascii="Arial" w:hAnsi="Arial" w:cs="Arial"/>
          <w:sz w:val="24"/>
        </w:rPr>
        <w:t>, 19 March 2025 &lt;https://anetoday.org/recycle-coffin-egypt/&gt;</w:t>
      </w:r>
    </w:p>
    <w:p w14:paraId="7B25E2E2" w14:textId="77777777" w:rsidR="00225AC6" w:rsidRPr="00225AC6" w:rsidRDefault="00225AC6" w:rsidP="00225AC6">
      <w:pPr>
        <w:pStyle w:val="Bibliography"/>
        <w:rPr>
          <w:rFonts w:ascii="Arial" w:hAnsi="Arial" w:cs="Arial"/>
          <w:sz w:val="24"/>
        </w:rPr>
      </w:pPr>
      <w:r w:rsidRPr="00225AC6">
        <w:rPr>
          <w:rFonts w:ascii="Arial" w:hAnsi="Arial" w:cs="Arial"/>
          <w:sz w:val="24"/>
        </w:rPr>
        <w:t xml:space="preserve">De La Torre Robles, Yolanda, and others, </w:t>
      </w:r>
      <w:r w:rsidRPr="00225AC6">
        <w:rPr>
          <w:rFonts w:ascii="Arial" w:hAnsi="Arial" w:cs="Arial"/>
          <w:i/>
          <w:iCs/>
          <w:sz w:val="24"/>
        </w:rPr>
        <w:t xml:space="preserve">A Decade of Excavations in Qubbet El-Hawa: The Results of the University of </w:t>
      </w:r>
      <w:proofErr w:type="gramStart"/>
      <w:r w:rsidRPr="00225AC6">
        <w:rPr>
          <w:rFonts w:ascii="Arial" w:hAnsi="Arial" w:cs="Arial"/>
          <w:i/>
          <w:iCs/>
          <w:sz w:val="24"/>
        </w:rPr>
        <w:t>Jaén :</w:t>
      </w:r>
      <w:proofErr w:type="gramEnd"/>
      <w:r w:rsidRPr="00225AC6">
        <w:rPr>
          <w:rFonts w:ascii="Arial" w:hAnsi="Arial" w:cs="Arial"/>
          <w:i/>
          <w:iCs/>
          <w:sz w:val="24"/>
        </w:rPr>
        <w:t xml:space="preserve"> Catalogue of the Exhibition</w:t>
      </w:r>
      <w:r w:rsidRPr="00225AC6">
        <w:rPr>
          <w:rFonts w:ascii="Arial" w:hAnsi="Arial" w:cs="Arial"/>
          <w:sz w:val="24"/>
        </w:rPr>
        <w:t>, 2022 &lt;https://investigacion.ujaen.es/documentos/6644fb311728a37d32cc9b23?lang=en&gt;</w:t>
      </w:r>
    </w:p>
    <w:p w14:paraId="777DE92A" w14:textId="77777777" w:rsidR="00225AC6" w:rsidRPr="00225AC6" w:rsidRDefault="00225AC6" w:rsidP="00225AC6">
      <w:pPr>
        <w:pStyle w:val="Bibliography"/>
        <w:rPr>
          <w:rFonts w:ascii="Arial" w:hAnsi="Arial" w:cs="Arial"/>
          <w:sz w:val="24"/>
        </w:rPr>
      </w:pPr>
      <w:r w:rsidRPr="00225AC6">
        <w:rPr>
          <w:rFonts w:ascii="Arial" w:hAnsi="Arial" w:cs="Arial"/>
          <w:sz w:val="24"/>
        </w:rPr>
        <w:t>Dodson, Aidan, ‘A Funerary Mask in Durham and Mummy Adornment in the Late Second Intermediate Period and Early Eighteenth Dynasty</w:t>
      </w:r>
      <w:proofErr w:type="gramStart"/>
      <w:r w:rsidRPr="00225AC6">
        <w:rPr>
          <w:rFonts w:ascii="Arial" w:hAnsi="Arial" w:cs="Arial"/>
          <w:sz w:val="24"/>
        </w:rPr>
        <w:t>’,</w:t>
      </w:r>
      <w:proofErr w:type="gramEnd"/>
      <w:r w:rsidRPr="00225AC6">
        <w:rPr>
          <w:rFonts w:ascii="Arial" w:hAnsi="Arial" w:cs="Arial"/>
          <w:sz w:val="24"/>
        </w:rPr>
        <w:t xml:space="preserve"> </w:t>
      </w:r>
      <w:r w:rsidRPr="00225AC6">
        <w:rPr>
          <w:rFonts w:ascii="Arial" w:hAnsi="Arial" w:cs="Arial"/>
          <w:i/>
          <w:iCs/>
          <w:sz w:val="24"/>
        </w:rPr>
        <w:t>The Journal of Egyptian Archaeology</w:t>
      </w:r>
      <w:r w:rsidRPr="00225AC6">
        <w:rPr>
          <w:rFonts w:ascii="Arial" w:hAnsi="Arial" w:cs="Arial"/>
          <w:sz w:val="24"/>
        </w:rPr>
        <w:t>, 84 (1998), p. 93, doi:10.2307/3822207</w:t>
      </w:r>
    </w:p>
    <w:p w14:paraId="3466F435" w14:textId="77777777" w:rsidR="00225AC6" w:rsidRPr="00225AC6" w:rsidRDefault="00225AC6" w:rsidP="00225AC6">
      <w:pPr>
        <w:pStyle w:val="Bibliography"/>
        <w:rPr>
          <w:rFonts w:ascii="Arial" w:hAnsi="Arial" w:cs="Arial"/>
          <w:sz w:val="24"/>
        </w:rPr>
      </w:pPr>
      <w:r w:rsidRPr="00225AC6">
        <w:rPr>
          <w:rFonts w:ascii="Arial" w:hAnsi="Arial" w:cs="Arial"/>
          <w:sz w:val="24"/>
        </w:rPr>
        <w:t>El-</w:t>
      </w:r>
      <w:proofErr w:type="spellStart"/>
      <w:r w:rsidRPr="00225AC6">
        <w:rPr>
          <w:rFonts w:ascii="Arial" w:hAnsi="Arial" w:cs="Arial"/>
          <w:sz w:val="24"/>
        </w:rPr>
        <w:t>Kilany</w:t>
      </w:r>
      <w:proofErr w:type="spellEnd"/>
      <w:r w:rsidRPr="00225AC6">
        <w:rPr>
          <w:rFonts w:ascii="Arial" w:hAnsi="Arial" w:cs="Arial"/>
          <w:sz w:val="24"/>
        </w:rPr>
        <w:t xml:space="preserve">, Engy, and </w:t>
      </w:r>
      <w:proofErr w:type="spellStart"/>
      <w:r w:rsidRPr="00225AC6">
        <w:rPr>
          <w:rFonts w:ascii="Arial" w:hAnsi="Arial" w:cs="Arial"/>
          <w:sz w:val="24"/>
        </w:rPr>
        <w:t>Enas</w:t>
      </w:r>
      <w:proofErr w:type="spellEnd"/>
      <w:r w:rsidRPr="00225AC6">
        <w:rPr>
          <w:rFonts w:ascii="Arial" w:hAnsi="Arial" w:cs="Arial"/>
          <w:sz w:val="24"/>
        </w:rPr>
        <w:t xml:space="preserve"> Raoof, ‘Facial Cosmetics in Ancient Egypt</w:t>
      </w:r>
      <w:proofErr w:type="gramStart"/>
      <w:r w:rsidRPr="00225AC6">
        <w:rPr>
          <w:rFonts w:ascii="Arial" w:hAnsi="Arial" w:cs="Arial"/>
          <w:sz w:val="24"/>
        </w:rPr>
        <w:t>’,</w:t>
      </w:r>
      <w:proofErr w:type="gramEnd"/>
      <w:r w:rsidRPr="00225AC6">
        <w:rPr>
          <w:rFonts w:ascii="Arial" w:hAnsi="Arial" w:cs="Arial"/>
          <w:sz w:val="24"/>
        </w:rPr>
        <w:t xml:space="preserve"> </w:t>
      </w:r>
      <w:r w:rsidRPr="00225AC6">
        <w:rPr>
          <w:rFonts w:ascii="Arial" w:hAnsi="Arial" w:cs="Arial"/>
          <w:i/>
          <w:iCs/>
          <w:sz w:val="24"/>
        </w:rPr>
        <w:t>Egyptian Journal of Tourism Studies</w:t>
      </w:r>
      <w:r w:rsidRPr="00225AC6">
        <w:rPr>
          <w:rFonts w:ascii="Arial" w:hAnsi="Arial" w:cs="Arial"/>
          <w:sz w:val="24"/>
        </w:rPr>
        <w:t>, 16 (2017) &lt;https://www.academia.edu/33510332/Facial_Cosmetics_in_Ancient_Egypt_By&gt;</w:t>
      </w:r>
    </w:p>
    <w:p w14:paraId="6CB36A25" w14:textId="77777777" w:rsidR="00225AC6" w:rsidRPr="00225AC6" w:rsidRDefault="00225AC6" w:rsidP="00225AC6">
      <w:pPr>
        <w:pStyle w:val="Bibliography"/>
        <w:rPr>
          <w:rFonts w:ascii="Arial" w:hAnsi="Arial" w:cs="Arial"/>
          <w:sz w:val="24"/>
        </w:rPr>
      </w:pPr>
      <w:r w:rsidRPr="00225AC6">
        <w:rPr>
          <w:rFonts w:ascii="Arial" w:hAnsi="Arial" w:cs="Arial"/>
          <w:sz w:val="24"/>
        </w:rPr>
        <w:t xml:space="preserve">Garstang, </w:t>
      </w:r>
      <w:r w:rsidRPr="00225AC6">
        <w:rPr>
          <w:rFonts w:ascii="Arial" w:hAnsi="Arial" w:cs="Arial"/>
          <w:i/>
          <w:iCs/>
          <w:sz w:val="24"/>
        </w:rPr>
        <w:t>Burial Customs of Ancient Egypt</w:t>
      </w:r>
      <w:r w:rsidRPr="00225AC6">
        <w:rPr>
          <w:rFonts w:ascii="Arial" w:hAnsi="Arial" w:cs="Arial"/>
          <w:sz w:val="24"/>
        </w:rPr>
        <w:t xml:space="preserve"> (University of Liverpool, 1907)</w:t>
      </w:r>
    </w:p>
    <w:p w14:paraId="39FC05ED" w14:textId="77777777" w:rsidR="00225AC6" w:rsidRPr="00225AC6" w:rsidRDefault="00225AC6" w:rsidP="00225AC6">
      <w:pPr>
        <w:pStyle w:val="Bibliography"/>
        <w:rPr>
          <w:rFonts w:ascii="Arial" w:hAnsi="Arial" w:cs="Arial"/>
          <w:sz w:val="24"/>
        </w:rPr>
      </w:pPr>
      <w:r w:rsidRPr="00225AC6">
        <w:rPr>
          <w:rFonts w:ascii="Arial" w:hAnsi="Arial" w:cs="Arial"/>
          <w:sz w:val="24"/>
        </w:rPr>
        <w:t xml:space="preserve">Harrington, Nicola, </w:t>
      </w:r>
      <w:r w:rsidRPr="00225AC6">
        <w:rPr>
          <w:rFonts w:ascii="Arial" w:hAnsi="Arial" w:cs="Arial"/>
          <w:i/>
          <w:iCs/>
          <w:sz w:val="24"/>
        </w:rPr>
        <w:t>Living with the Dead: Ancestor Worship and Mortuary Ritual in Ancient Egypt</w:t>
      </w:r>
      <w:r w:rsidRPr="00225AC6">
        <w:rPr>
          <w:rFonts w:ascii="Arial" w:hAnsi="Arial" w:cs="Arial"/>
          <w:sz w:val="24"/>
        </w:rPr>
        <w:t xml:space="preserve"> (Oxbow Books, 2013), </w:t>
      </w:r>
      <w:r w:rsidRPr="00225AC6">
        <w:rPr>
          <w:rFonts w:ascii="Arial" w:hAnsi="Arial" w:cs="Arial"/>
          <w:smallCaps/>
          <w:sz w:val="24"/>
        </w:rPr>
        <w:t>vi</w:t>
      </w:r>
      <w:r w:rsidRPr="00225AC6">
        <w:rPr>
          <w:rFonts w:ascii="Arial" w:hAnsi="Arial" w:cs="Arial"/>
          <w:sz w:val="24"/>
        </w:rPr>
        <w:t xml:space="preserve"> &lt;https://doi.org/10.2307/j.ctvh1ds21&gt;</w:t>
      </w:r>
    </w:p>
    <w:p w14:paraId="147C31F0" w14:textId="77777777" w:rsidR="00225AC6" w:rsidRPr="00225AC6" w:rsidRDefault="00225AC6" w:rsidP="00225AC6">
      <w:pPr>
        <w:pStyle w:val="Bibliography"/>
        <w:rPr>
          <w:rFonts w:ascii="Arial" w:hAnsi="Arial" w:cs="Arial"/>
          <w:sz w:val="24"/>
        </w:rPr>
      </w:pPr>
      <w:proofErr w:type="spellStart"/>
      <w:r w:rsidRPr="00225AC6">
        <w:rPr>
          <w:rFonts w:ascii="Arial" w:hAnsi="Arial" w:cs="Arial"/>
          <w:sz w:val="24"/>
        </w:rPr>
        <w:t>Minaci</w:t>
      </w:r>
      <w:proofErr w:type="spellEnd"/>
      <w:r w:rsidRPr="00225AC6">
        <w:rPr>
          <w:rFonts w:ascii="Arial" w:hAnsi="Arial" w:cs="Arial"/>
          <w:sz w:val="24"/>
        </w:rPr>
        <w:t>, Gianluca, ‘The Iconography of the Rishi Coffins and the Legacy of the Late Middle Kingdom</w:t>
      </w:r>
      <w:proofErr w:type="gramStart"/>
      <w:r w:rsidRPr="00225AC6">
        <w:rPr>
          <w:rFonts w:ascii="Arial" w:hAnsi="Arial" w:cs="Arial"/>
          <w:sz w:val="24"/>
        </w:rPr>
        <w:t>’,</w:t>
      </w:r>
      <w:proofErr w:type="gramEnd"/>
      <w:r w:rsidRPr="00225AC6">
        <w:rPr>
          <w:rFonts w:ascii="Arial" w:hAnsi="Arial" w:cs="Arial"/>
          <w:sz w:val="24"/>
        </w:rPr>
        <w:t xml:space="preserve"> </w:t>
      </w:r>
      <w:r w:rsidRPr="00225AC6">
        <w:rPr>
          <w:rFonts w:ascii="Arial" w:hAnsi="Arial" w:cs="Arial"/>
          <w:i/>
          <w:iCs/>
          <w:sz w:val="24"/>
        </w:rPr>
        <w:t>Journal of the American Research Center in Egypt 46</w:t>
      </w:r>
      <w:r w:rsidRPr="00225AC6">
        <w:rPr>
          <w:rFonts w:ascii="Arial" w:hAnsi="Arial" w:cs="Arial"/>
          <w:sz w:val="24"/>
        </w:rPr>
        <w:t>, 2010 &lt;http://www.jstor.org/stable/41431569&gt;</w:t>
      </w:r>
    </w:p>
    <w:p w14:paraId="7B9479AF" w14:textId="77777777" w:rsidR="00225AC6" w:rsidRPr="00225AC6" w:rsidRDefault="00225AC6" w:rsidP="00225AC6">
      <w:pPr>
        <w:pStyle w:val="Bibliography"/>
        <w:rPr>
          <w:rFonts w:ascii="Arial" w:hAnsi="Arial" w:cs="Arial"/>
          <w:sz w:val="24"/>
        </w:rPr>
      </w:pPr>
      <w:r w:rsidRPr="00225AC6">
        <w:rPr>
          <w:rFonts w:ascii="Arial" w:hAnsi="Arial" w:cs="Arial"/>
          <w:sz w:val="24"/>
        </w:rPr>
        <w:t xml:space="preserve">Rzeuska, Teodozja, </w:t>
      </w:r>
      <w:r w:rsidRPr="00225AC6">
        <w:rPr>
          <w:rFonts w:ascii="Arial" w:hAnsi="Arial" w:cs="Arial"/>
          <w:i/>
          <w:iCs/>
          <w:sz w:val="24"/>
        </w:rPr>
        <w:t>Grain, Water and Wine. Remarks on the Marl A3 Transport-Storage Jars from Middle Kingdom Elephantine</w:t>
      </w:r>
      <w:r w:rsidRPr="00225AC6">
        <w:rPr>
          <w:rFonts w:ascii="Arial" w:hAnsi="Arial" w:cs="Arial"/>
          <w:sz w:val="24"/>
        </w:rPr>
        <w:t>, 2012 &lt;https://www.academia.edu/1512978/Grain_water_and_wine_Remarks_on_the_Marl_A3_Transport_Storage_Jars_from_Middle_Kingdom_Elephantine?source=swp_share&gt;</w:t>
      </w:r>
    </w:p>
    <w:p w14:paraId="0A0D22F1" w14:textId="77777777" w:rsidR="00225AC6" w:rsidRPr="00225AC6" w:rsidRDefault="00225AC6" w:rsidP="00225AC6">
      <w:pPr>
        <w:pStyle w:val="Bibliography"/>
        <w:rPr>
          <w:rFonts w:ascii="Arial" w:hAnsi="Arial" w:cs="Arial"/>
          <w:sz w:val="24"/>
        </w:rPr>
      </w:pPr>
      <w:r w:rsidRPr="00225AC6">
        <w:rPr>
          <w:rFonts w:ascii="Arial" w:hAnsi="Arial" w:cs="Arial"/>
          <w:sz w:val="24"/>
        </w:rPr>
        <w:t xml:space="preserve">Williams, Kip, </w:t>
      </w:r>
      <w:r w:rsidRPr="00225AC6">
        <w:rPr>
          <w:rFonts w:ascii="Arial" w:hAnsi="Arial" w:cs="Arial"/>
          <w:i/>
          <w:iCs/>
          <w:sz w:val="24"/>
        </w:rPr>
        <w:t>Image of Item CCM 175.96, from the Back</w:t>
      </w:r>
      <w:r w:rsidRPr="00225AC6">
        <w:rPr>
          <w:rFonts w:ascii="Arial" w:hAnsi="Arial" w:cs="Arial"/>
          <w:sz w:val="24"/>
        </w:rPr>
        <w:t>, 2025</w:t>
      </w:r>
    </w:p>
    <w:p w14:paraId="35022E79" w14:textId="77777777" w:rsidR="00225AC6" w:rsidRPr="00225AC6" w:rsidRDefault="00225AC6" w:rsidP="00225AC6">
      <w:pPr>
        <w:pStyle w:val="Bibliography"/>
        <w:rPr>
          <w:rFonts w:ascii="Arial" w:hAnsi="Arial" w:cs="Arial"/>
          <w:sz w:val="24"/>
        </w:rPr>
      </w:pPr>
      <w:r w:rsidRPr="00225AC6">
        <w:rPr>
          <w:rFonts w:ascii="Arial" w:hAnsi="Arial" w:cs="Arial"/>
          <w:sz w:val="24"/>
        </w:rPr>
        <w:t xml:space="preserve">——, </w:t>
      </w:r>
      <w:r w:rsidRPr="00225AC6">
        <w:rPr>
          <w:rFonts w:ascii="Arial" w:hAnsi="Arial" w:cs="Arial"/>
          <w:i/>
          <w:iCs/>
          <w:sz w:val="24"/>
        </w:rPr>
        <w:t>Image of Item CCM 175.96, from the Side</w:t>
      </w:r>
      <w:r w:rsidRPr="00225AC6">
        <w:rPr>
          <w:rFonts w:ascii="Arial" w:hAnsi="Arial" w:cs="Arial"/>
          <w:sz w:val="24"/>
        </w:rPr>
        <w:t>, 2025</w:t>
      </w:r>
    </w:p>
    <w:p w14:paraId="2FBDB744" w14:textId="77777777" w:rsidR="00225AC6" w:rsidRPr="00225AC6" w:rsidRDefault="00225AC6" w:rsidP="00225AC6">
      <w:pPr>
        <w:pStyle w:val="Bibliography"/>
        <w:rPr>
          <w:rFonts w:ascii="Arial" w:hAnsi="Arial" w:cs="Arial"/>
          <w:sz w:val="24"/>
        </w:rPr>
      </w:pPr>
      <w:r w:rsidRPr="00225AC6">
        <w:rPr>
          <w:rFonts w:ascii="Arial" w:hAnsi="Arial" w:cs="Arial"/>
          <w:sz w:val="24"/>
        </w:rPr>
        <w:t xml:space="preserve">——, </w:t>
      </w:r>
      <w:r w:rsidRPr="00225AC6">
        <w:rPr>
          <w:rFonts w:ascii="Arial" w:hAnsi="Arial" w:cs="Arial"/>
          <w:i/>
          <w:iCs/>
          <w:sz w:val="24"/>
        </w:rPr>
        <w:t>Image of Item CCM 175.96, with Scale</w:t>
      </w:r>
      <w:r w:rsidRPr="00225AC6">
        <w:rPr>
          <w:rFonts w:ascii="Arial" w:hAnsi="Arial" w:cs="Arial"/>
          <w:sz w:val="24"/>
        </w:rPr>
        <w:t>, 2025</w:t>
      </w:r>
    </w:p>
    <w:p w14:paraId="68F7862F" w14:textId="03AFF364" w:rsidR="008F77D1" w:rsidRPr="00D034D4" w:rsidRDefault="008E2429" w:rsidP="00D034D4">
      <w:pPr>
        <w:rPr>
          <w:rFonts w:ascii="Arial" w:hAnsi="Arial" w:cs="Arial"/>
          <w:bCs/>
          <w:sz w:val="24"/>
          <w:szCs w:val="24"/>
        </w:rPr>
      </w:pPr>
      <w:r>
        <w:rPr>
          <w:rFonts w:ascii="Arial" w:hAnsi="Arial" w:cs="Arial"/>
          <w:bCs/>
          <w:sz w:val="24"/>
          <w:szCs w:val="24"/>
        </w:rPr>
        <w:fldChar w:fldCharType="end"/>
      </w:r>
    </w:p>
    <w:sectPr w:rsidR="008F77D1" w:rsidRPr="00D034D4" w:rsidSect="00C413EC">
      <w:pgSz w:w="12240" w:h="15840"/>
      <w:pgMar w:top="964" w:right="1134" w:bottom="96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556CF8" w14:textId="77777777" w:rsidR="00FC122B" w:rsidRDefault="00FC122B" w:rsidP="00FC122B">
      <w:pPr>
        <w:spacing w:after="0" w:line="240" w:lineRule="auto"/>
      </w:pPr>
      <w:r>
        <w:separator/>
      </w:r>
    </w:p>
  </w:endnote>
  <w:endnote w:type="continuationSeparator" w:id="0">
    <w:p w14:paraId="79EB2DC5" w14:textId="77777777" w:rsidR="00FC122B" w:rsidRDefault="00FC122B" w:rsidP="00FC12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2530B0" w14:textId="77777777" w:rsidR="00FC122B" w:rsidRDefault="00FC122B" w:rsidP="00FC122B">
      <w:pPr>
        <w:spacing w:after="0" w:line="240" w:lineRule="auto"/>
      </w:pPr>
      <w:r>
        <w:separator/>
      </w:r>
    </w:p>
  </w:footnote>
  <w:footnote w:type="continuationSeparator" w:id="0">
    <w:p w14:paraId="532218C8" w14:textId="77777777" w:rsidR="00FC122B" w:rsidRDefault="00FC122B" w:rsidP="00FC122B">
      <w:pPr>
        <w:spacing w:after="0" w:line="240" w:lineRule="auto"/>
      </w:pPr>
      <w:r>
        <w:continuationSeparator/>
      </w:r>
    </w:p>
  </w:footnote>
  <w:footnote w:id="1">
    <w:p w14:paraId="2128B0B5" w14:textId="0D6483ED" w:rsidR="00B81D53" w:rsidRPr="00B81D53" w:rsidRDefault="00B81D53">
      <w:pPr>
        <w:pStyle w:val="FootnoteText"/>
        <w:rPr>
          <w:lang w:val="en-GB"/>
        </w:rPr>
      </w:pPr>
      <w:r>
        <w:rPr>
          <w:rStyle w:val="FootnoteReference"/>
        </w:rPr>
        <w:footnoteRef/>
      </w:r>
      <w:r>
        <w:t xml:space="preserve"> </w:t>
      </w:r>
      <w:r>
        <w:fldChar w:fldCharType="begin"/>
      </w:r>
      <w:r>
        <w:instrText xml:space="preserve"> ADDIN ZOTERO_ITEM CSL_CITATION {"citationID":"ZTD7q1EX","properties":{"formattedCitation":"Kip Williams, {\\i{}Image of Item CCM 175.96, with Scale}, 2025.","plainCitation":"Kip Williams, Image of Item CCM 175.96, with Scale, 2025.","noteIndex":1},"citationItems":[{"id":20,"uris":["http://zotero.org/users/18703416/items/IMDIW8YU"],"itemData":{"id":20,"type":"graphic","title":"Image of item CCM 175.96, with scale","author":[{"family":"Williams","given":"Kip"}],"issued":{"date-parts":[["2025"]]}}}],"schema":"https://github.com/citation-style-language/schema/raw/master/csl-citation.json"} </w:instrText>
      </w:r>
      <w:r>
        <w:fldChar w:fldCharType="separate"/>
      </w:r>
      <w:r w:rsidRPr="00B81D53">
        <w:rPr>
          <w:rFonts w:cs="Calibri"/>
        </w:rPr>
        <w:t xml:space="preserve">Kip Williams, </w:t>
      </w:r>
      <w:r w:rsidRPr="00B81D53">
        <w:rPr>
          <w:rFonts w:cs="Calibri"/>
          <w:i/>
          <w:iCs/>
        </w:rPr>
        <w:t>Image of Item CCM 175.96, with Scale</w:t>
      </w:r>
      <w:r w:rsidRPr="00B81D53">
        <w:rPr>
          <w:rFonts w:cs="Calibri"/>
        </w:rPr>
        <w:t>, 2025.</w:t>
      </w:r>
      <w:r>
        <w:fldChar w:fldCharType="end"/>
      </w:r>
    </w:p>
  </w:footnote>
  <w:footnote w:id="2">
    <w:p w14:paraId="1C3E6EE0" w14:textId="0AF1DC55" w:rsidR="00B81D53" w:rsidRPr="00B81D53" w:rsidRDefault="00B81D53">
      <w:pPr>
        <w:pStyle w:val="FootnoteText"/>
        <w:rPr>
          <w:lang w:val="en-GB"/>
        </w:rPr>
      </w:pPr>
      <w:r>
        <w:rPr>
          <w:rStyle w:val="FootnoteReference"/>
        </w:rPr>
        <w:footnoteRef/>
      </w:r>
      <w:r>
        <w:t xml:space="preserve"> </w:t>
      </w:r>
      <w:r>
        <w:fldChar w:fldCharType="begin"/>
      </w:r>
      <w:r>
        <w:instrText xml:space="preserve"> ADDIN ZOTERO_ITEM CSL_CITATION {"citationID":"97ARW2zf","properties":{"formattedCitation":"Kip Williams, {\\i{}Image of Item CCM 175.96, from the Back}, 2025.","plainCitation":"Kip Williams, Image of Item CCM 175.96, from the Back, 2025.","noteIndex":2},"citationItems":[{"id":18,"uris":["http://zotero.org/users/18703416/items/XHCAMSQV"],"itemData":{"id":18,"type":"graphic","title":"Image of item CCM 175.96, from the back","author":[{"family":"Williams","given":"Kip"}],"issued":{"date-parts":[["2025"]]}}}],"schema":"https://github.com/citation-style-language/schema/raw/master/csl-citation.json"} </w:instrText>
      </w:r>
      <w:r>
        <w:fldChar w:fldCharType="separate"/>
      </w:r>
      <w:r w:rsidRPr="00B81D53">
        <w:rPr>
          <w:rFonts w:cs="Calibri"/>
        </w:rPr>
        <w:t xml:space="preserve">Kip Williams, </w:t>
      </w:r>
      <w:r w:rsidRPr="00B81D53">
        <w:rPr>
          <w:rFonts w:cs="Calibri"/>
          <w:i/>
          <w:iCs/>
        </w:rPr>
        <w:t>Image of Item CCM 175.96, from the Back</w:t>
      </w:r>
      <w:r w:rsidRPr="00B81D53">
        <w:rPr>
          <w:rFonts w:cs="Calibri"/>
        </w:rPr>
        <w:t>, 2025.</w:t>
      </w:r>
      <w:r>
        <w:fldChar w:fldCharType="end"/>
      </w:r>
    </w:p>
  </w:footnote>
  <w:footnote w:id="3">
    <w:p w14:paraId="211CEA4F" w14:textId="4027D5B9" w:rsidR="00225AC6" w:rsidRPr="00225AC6" w:rsidRDefault="00225AC6">
      <w:pPr>
        <w:pStyle w:val="FootnoteText"/>
        <w:rPr>
          <w:lang w:val="en-GB"/>
        </w:rPr>
      </w:pPr>
      <w:r>
        <w:rPr>
          <w:rStyle w:val="FootnoteReference"/>
        </w:rPr>
        <w:footnoteRef/>
      </w:r>
      <w:r>
        <w:t xml:space="preserve"> </w:t>
      </w:r>
      <w:r>
        <w:fldChar w:fldCharType="begin"/>
      </w:r>
      <w:r>
        <w:instrText xml:space="preserve"> ADDIN ZOTERO_ITEM CSL_CITATION {"citationID":"UnRUEPSF","properties":{"formattedCitation":"Kip Williams, {\\i{}Image of Item CCM 175.96, from the Side}, 2025.","plainCitation":"Kip Williams, Image of Item CCM 175.96, from the Side, 2025.","noteIndex":3},"citationItems":[{"id":19,"uris":["http://zotero.org/users/18703416/items/W4Y47AFF"],"itemData":{"id":19,"type":"graphic","title":"Image of item CCM 175.96, from the side","author":[{"family":"Williams","given":"Kip"}],"issued":{"date-parts":[["2025"]]}}}],"schema":"https://github.com/citation-style-language/schema/raw/master/csl-citation.json"} </w:instrText>
      </w:r>
      <w:r>
        <w:fldChar w:fldCharType="separate"/>
      </w:r>
      <w:r w:rsidRPr="00225AC6">
        <w:rPr>
          <w:rFonts w:cs="Calibri"/>
        </w:rPr>
        <w:t xml:space="preserve">Kip Williams, </w:t>
      </w:r>
      <w:r w:rsidRPr="00225AC6">
        <w:rPr>
          <w:rFonts w:cs="Calibri"/>
          <w:i/>
          <w:iCs/>
        </w:rPr>
        <w:t>Image of Item CCM 175.96, from the Side</w:t>
      </w:r>
      <w:r w:rsidRPr="00225AC6">
        <w:rPr>
          <w:rFonts w:cs="Calibri"/>
        </w:rPr>
        <w:t>, 2025.</w:t>
      </w:r>
      <w:r>
        <w:fldChar w:fldCharType="end"/>
      </w:r>
    </w:p>
  </w:footnote>
  <w:footnote w:id="4">
    <w:p w14:paraId="51EC2CCC" w14:textId="2206495D" w:rsidR="00FC122B" w:rsidRPr="00FC122B" w:rsidRDefault="00FC122B">
      <w:pPr>
        <w:pStyle w:val="FootnoteText"/>
        <w:rPr>
          <w:lang w:val="en-GB"/>
        </w:rPr>
      </w:pPr>
      <w:r>
        <w:rPr>
          <w:rStyle w:val="FootnoteReference"/>
        </w:rPr>
        <w:footnoteRef/>
      </w:r>
      <w:r>
        <w:t xml:space="preserve"> </w:t>
      </w:r>
      <w:r>
        <w:fldChar w:fldCharType="begin"/>
      </w:r>
      <w:r w:rsidR="00225AC6">
        <w:instrText xml:space="preserve"> ADDIN ZOTERO_ITEM CSL_CITATION {"citationID":"wHvfI7WN","properties":{"formattedCitation":"Garstang, {\\i{}Burial Customs of Ancient Egypt} (University of Liverpool, 1907).","plainCitation":"Garstang, Burial Customs of Ancient Egypt (University of Liverpool, 1907).","noteIndex":4},"citationItems":[{"id":14,"uris":["http://zotero.org/users/local/z4CyoNDV/items/NGBQUTR7","http://zotero.org/users/18703416/items/NGBQUTR7"],"itemData":{"id":14,"type":"book","publisher":"University of Liverpool","title":"Burial Customs of Ancient Egypt","author":[{"family":"Garstang","given":""}],"issued":{"date-parts":[["1907"]]}}}],"schema":"https://github.com/citation-style-language/schema/raw/master/csl-citation.json"} </w:instrText>
      </w:r>
      <w:r>
        <w:fldChar w:fldCharType="separate"/>
      </w:r>
      <w:r w:rsidRPr="00FC122B">
        <w:rPr>
          <w:rFonts w:cs="Calibri"/>
        </w:rPr>
        <w:t xml:space="preserve">Garstang, </w:t>
      </w:r>
      <w:r w:rsidRPr="00FC122B">
        <w:rPr>
          <w:rFonts w:cs="Calibri"/>
          <w:i/>
          <w:iCs/>
        </w:rPr>
        <w:t>Burial Customs of Ancient Egypt</w:t>
      </w:r>
      <w:r w:rsidRPr="00FC122B">
        <w:rPr>
          <w:rFonts w:cs="Calibri"/>
        </w:rPr>
        <w:t xml:space="preserve"> (University of Liverpool, 1907).</w:t>
      </w:r>
      <w:r>
        <w:fldChar w:fldCharType="end"/>
      </w:r>
    </w:p>
  </w:footnote>
  <w:footnote w:id="5">
    <w:p w14:paraId="23A7C1C4" w14:textId="71FDB78C" w:rsidR="00FC122B" w:rsidRPr="00FC122B" w:rsidRDefault="00FC122B">
      <w:pPr>
        <w:pStyle w:val="FootnoteText"/>
        <w:rPr>
          <w:lang w:val="en-GB"/>
        </w:rPr>
      </w:pPr>
      <w:r>
        <w:rPr>
          <w:rStyle w:val="FootnoteReference"/>
        </w:rPr>
        <w:footnoteRef/>
      </w:r>
      <w:r>
        <w:t xml:space="preserve"> </w:t>
      </w:r>
      <w:r>
        <w:fldChar w:fldCharType="begin"/>
      </w:r>
      <w:r w:rsidR="00225AC6">
        <w:instrText xml:space="preserve"> ADDIN ZOTERO_ITEM CSL_CITATION {"citationID":"UyLbVQoW","properties":{"formattedCitation":"Yolanda De La Torre Robles and others, {\\i{}A Decade of Excavations in Qubbet El-Hawa: The Results of the University of Ja\\uc0\\u233{}n\\uc0\\u8239{}: Catalogue of the Exhibition}, 2022 &lt;https://investigacion.ujaen.es/documentos/6644fb311728a37d32cc9b23?lang=en&gt;.","plainCitation":"Yolanda De La Torre Robles and others, A Decade of Excavations in Qubbet El-Hawa: The Results of the University of Jaén : Catalogue of the Exhibition, 2022 &lt;https://investigacion.ujaen.es/documentos/6644fb311728a37d32cc9b23?lang=en&gt;.","noteIndex":5},"citationItems":[{"id":8,"uris":["http://zotero.org/users/local/z4CyoNDV/items/A8XGHJ3T","http://zotero.org/users/18703416/items/A8XGHJ3T"],"itemData":{"id":8,"type":"article-journal","ISSN":"978-84-9159-483-3","title":"A Decade of Excavations in Qubbet El-Hawa: The Results of the University of Jaén : Catalogue of the Exhibition","URL":"https://investigacion.ujaen.es/documentos/6644fb311728a37d32cc9b23?lang=en","author":[{"family":"De La Torre Robles","given":"Yolanda"},{"family":"Serrano","given":"Alejandro Jiménez"},{"family":"Mahmoued","given":"Hany Salah"},{"family":"Din","given":"Osama Amer Mohi El"},{"family":"Riudavets","given":"Patricia Mora"}],"issued":{"date-parts":[["2022"]]}}}],"schema":"https://github.com/citation-style-language/schema/raw/master/csl-citation.json"} </w:instrText>
      </w:r>
      <w:r>
        <w:fldChar w:fldCharType="separate"/>
      </w:r>
      <w:r w:rsidRPr="00FC122B">
        <w:rPr>
          <w:rFonts w:cs="Calibri"/>
        </w:rPr>
        <w:t xml:space="preserve">Yolanda De La Torre Robles and others, </w:t>
      </w:r>
      <w:r w:rsidRPr="00FC122B">
        <w:rPr>
          <w:rFonts w:cs="Calibri"/>
          <w:i/>
          <w:iCs/>
        </w:rPr>
        <w:t xml:space="preserve">A Decade of Excavations in Qubbet El-Hawa: The Results of the University of </w:t>
      </w:r>
      <w:proofErr w:type="gramStart"/>
      <w:r w:rsidRPr="00FC122B">
        <w:rPr>
          <w:rFonts w:cs="Calibri"/>
          <w:i/>
          <w:iCs/>
        </w:rPr>
        <w:t>Jaén :</w:t>
      </w:r>
      <w:proofErr w:type="gramEnd"/>
      <w:r w:rsidRPr="00FC122B">
        <w:rPr>
          <w:rFonts w:cs="Calibri"/>
          <w:i/>
          <w:iCs/>
        </w:rPr>
        <w:t xml:space="preserve"> Catalogue of the Exhibition</w:t>
      </w:r>
      <w:r w:rsidRPr="00FC122B">
        <w:rPr>
          <w:rFonts w:cs="Calibri"/>
        </w:rPr>
        <w:t>, 2022 &lt;https://investigacion.ujaen.es/documentos/6644fb311728a37d32cc9b23?lang=en&gt;.</w:t>
      </w:r>
      <w:r>
        <w:fldChar w:fldCharType="end"/>
      </w:r>
    </w:p>
  </w:footnote>
  <w:footnote w:id="6">
    <w:p w14:paraId="62B7ECCE" w14:textId="04362A80" w:rsidR="00FC122B" w:rsidRPr="00FC122B" w:rsidRDefault="00FC122B">
      <w:pPr>
        <w:pStyle w:val="FootnoteText"/>
        <w:rPr>
          <w:lang w:val="en-GB"/>
        </w:rPr>
      </w:pPr>
      <w:r>
        <w:rPr>
          <w:rStyle w:val="FootnoteReference"/>
        </w:rPr>
        <w:footnoteRef/>
      </w:r>
      <w:r>
        <w:t xml:space="preserve"> </w:t>
      </w:r>
      <w:r>
        <w:fldChar w:fldCharType="begin"/>
      </w:r>
      <w:r w:rsidR="00225AC6">
        <w:instrText xml:space="preserve"> ADDIN ZOTERO_ITEM CSL_CITATION {"citationID":"3i7TJIhA","properties":{"formattedCitation":"Garstang, {\\i{}Burial Customs of Ancient Egypt}.","plainCitation":"Garstang, Burial Customs of Ancient Egypt.","noteIndex":6},"citationItems":[{"id":14,"uris":["http://zotero.org/users/local/z4CyoNDV/items/NGBQUTR7","http://zotero.org/users/18703416/items/NGBQUTR7"],"itemData":{"id":14,"type":"book","publisher":"University of Liverpool","title":"Burial Customs of Ancient Egypt","author":[{"family":"Garstang","given":""}],"issued":{"date-parts":[["1907"]]}}}],"schema":"https://github.com/citation-style-language/schema/raw/master/csl-citation.json"} </w:instrText>
      </w:r>
      <w:r>
        <w:fldChar w:fldCharType="separate"/>
      </w:r>
      <w:r w:rsidRPr="00FC122B">
        <w:rPr>
          <w:rFonts w:cs="Calibri"/>
        </w:rPr>
        <w:t xml:space="preserve">Garstang, </w:t>
      </w:r>
      <w:r w:rsidRPr="00FC122B">
        <w:rPr>
          <w:rFonts w:cs="Calibri"/>
          <w:i/>
          <w:iCs/>
        </w:rPr>
        <w:t>Burial Customs of Ancient Egypt</w:t>
      </w:r>
      <w:r w:rsidRPr="00FC122B">
        <w:rPr>
          <w:rFonts w:cs="Calibri"/>
        </w:rPr>
        <w:t>.</w:t>
      </w:r>
      <w:r>
        <w:fldChar w:fldCharType="end"/>
      </w:r>
    </w:p>
  </w:footnote>
  <w:footnote w:id="7">
    <w:p w14:paraId="4DFD6872" w14:textId="132ECEF0" w:rsidR="00D353B8" w:rsidRPr="00D353B8" w:rsidRDefault="00D353B8">
      <w:pPr>
        <w:pStyle w:val="FootnoteText"/>
        <w:rPr>
          <w:lang w:val="en-GB"/>
        </w:rPr>
      </w:pPr>
      <w:r>
        <w:rPr>
          <w:rStyle w:val="FootnoteReference"/>
        </w:rPr>
        <w:footnoteRef/>
      </w:r>
      <w:r>
        <w:t xml:space="preserve"> </w:t>
      </w:r>
      <w:r>
        <w:fldChar w:fldCharType="begin"/>
      </w:r>
      <w:r w:rsidR="00225AC6">
        <w:instrText xml:space="preserve"> ADDIN ZOTERO_ITEM CSL_CITATION {"citationID":"Hv8VEFxW","properties":{"formattedCitation":"Aidan Dodson, \\uc0\\u8216{}A Funerary Mask in Durham and Mummy Adornment in the Late Second Intermediate Period and Early Eighteenth Dynasty\\uc0\\u8217{}, {\\i{}The Journal of Egyptian Archaeology}, 84 (1998), p. 93, doi:10.2307/3822207.","plainCitation":"Aidan Dodson, ‘A Funerary Mask in Durham and Mummy Adornment in the Late Second Intermediate Period and Early Eighteenth Dynasty’, The Journal of Egyptian Archaeology, 84 (1998), p. 93, doi:10.2307/3822207.","noteIndex":7},"citationItems":[{"id":11,"uris":["http://zotero.org/users/local/z4CyoNDV/items/QJ46S476","http://zotero.org/users/18703416/items/QJ46S476"],"itemData":{"id":11,"type":"article-journal","container-title":"The Journal of Egyptian Archaeology","DOI":"10.2307/3822207","ISSN":"03075133","journalAbbreviation":"The Journal of Egyptian Archaeology","page":"93","source":"DOI.org (Crossref)","title":"A Funerary Mask in Durham and Mummy Adornment in the Late Second Intermediate Period and Early Eighteenth Dynasty","volume":"84","author":[{"family":"Dodson","given":"Aidan"}],"issued":{"date-parts":[["1998"]]}}}],"schema":"https://github.com/citation-style-language/schema/raw/master/csl-citation.json"} </w:instrText>
      </w:r>
      <w:r>
        <w:fldChar w:fldCharType="separate"/>
      </w:r>
      <w:r w:rsidRPr="00D353B8">
        <w:rPr>
          <w:rFonts w:cs="Calibri"/>
        </w:rPr>
        <w:t>Aidan Dodson, ‘A Funerary Mask in Durham and Mummy Adornment in the Late Second Intermediate Period and Early Eighteenth Dynasty</w:t>
      </w:r>
      <w:proofErr w:type="gramStart"/>
      <w:r w:rsidRPr="00D353B8">
        <w:rPr>
          <w:rFonts w:cs="Calibri"/>
        </w:rPr>
        <w:t>’,</w:t>
      </w:r>
      <w:proofErr w:type="gramEnd"/>
      <w:r w:rsidRPr="00D353B8">
        <w:rPr>
          <w:rFonts w:cs="Calibri"/>
        </w:rPr>
        <w:t xml:space="preserve"> </w:t>
      </w:r>
      <w:r w:rsidRPr="00D353B8">
        <w:rPr>
          <w:rFonts w:cs="Calibri"/>
          <w:i/>
          <w:iCs/>
        </w:rPr>
        <w:t>The Journal of Egyptian Archaeology</w:t>
      </w:r>
      <w:r w:rsidRPr="00D353B8">
        <w:rPr>
          <w:rFonts w:cs="Calibri"/>
        </w:rPr>
        <w:t>, 84 (1998), p. 93, doi:10.2307/3822207.</w:t>
      </w:r>
      <w:r>
        <w:fldChar w:fldCharType="end"/>
      </w:r>
    </w:p>
  </w:footnote>
  <w:footnote w:id="8">
    <w:p w14:paraId="71CE3186" w14:textId="7D1B03FD" w:rsidR="00D353B8" w:rsidRPr="00D353B8" w:rsidRDefault="00D353B8">
      <w:pPr>
        <w:pStyle w:val="FootnoteText"/>
        <w:rPr>
          <w:lang w:val="en-GB"/>
        </w:rPr>
      </w:pPr>
      <w:r>
        <w:rPr>
          <w:rStyle w:val="FootnoteReference"/>
        </w:rPr>
        <w:footnoteRef/>
      </w:r>
      <w:r>
        <w:t xml:space="preserve"> </w:t>
      </w:r>
      <w:r>
        <w:fldChar w:fldCharType="begin"/>
      </w:r>
      <w:r w:rsidR="008E2429">
        <w:instrText xml:space="preserve"> ADDIN ZOTERO_ITEM CSL_CITATION {"citationID":"sxMQ1Yji","properties":{"formattedCitation":"Gianluca Minaci, \\uc0\\u8216{}The Iconography of the Rishi Coffins and the Legacy of the Late Middle Kingdom\\uc0\\u8217{}, {\\i{}Journal of the American Research Center in Egypt 46}, 2010 &lt;http://www.jstor.org/stable/41431569&gt;.","plainCitation":"Gianluca Minaci, ‘The Iconography of the Rishi Coffins and the Legacy of the Late Middle Kingdom’, Journal of the American Research Center in Egypt 46, 2010 &lt;http://www.jstor.org/stable/41431569&gt;.","noteIndex":5},"citationItems":[{"id":12,"uris":["http://zotero.org/users/local/z4CyoNDV/items/QAIXEVIZ","http://zotero.org/users/18703416/items/QAIXEVIZ"],"itemData":{"id":12,"type":"article-journal","container-title":"Journal of the American Research Center in Egypt 46","title":"The Iconography of the Rishi Coffins and the Legacy of the Late Middle Kingdom","URL":"http://www.jstor.org/stable/41431569","author":[{"family":"Minaci","given":"Gianluca"}],"issued":{"date-parts":[["2010"]]}}}],"schema":"https://github.com/citation-style-language/schema/raw/master/csl-citation.json"} </w:instrText>
      </w:r>
      <w:r>
        <w:fldChar w:fldCharType="separate"/>
      </w:r>
      <w:r w:rsidRPr="00D353B8">
        <w:rPr>
          <w:rFonts w:cs="Calibri"/>
        </w:rPr>
        <w:t>Gianluca Minaci, ‘The Iconography of the Rishi Coffins and the Legacy of the Late Middle Kingdom</w:t>
      </w:r>
      <w:proofErr w:type="gramStart"/>
      <w:r w:rsidRPr="00D353B8">
        <w:rPr>
          <w:rFonts w:cs="Calibri"/>
        </w:rPr>
        <w:t>’,</w:t>
      </w:r>
      <w:proofErr w:type="gramEnd"/>
      <w:r w:rsidRPr="00D353B8">
        <w:rPr>
          <w:rFonts w:cs="Calibri"/>
        </w:rPr>
        <w:t xml:space="preserve"> </w:t>
      </w:r>
      <w:r w:rsidRPr="00D353B8">
        <w:rPr>
          <w:rFonts w:cs="Calibri"/>
          <w:i/>
          <w:iCs/>
        </w:rPr>
        <w:t>Journal of the American Research Center in Egypt 46</w:t>
      </w:r>
      <w:r w:rsidRPr="00D353B8">
        <w:rPr>
          <w:rFonts w:cs="Calibri"/>
        </w:rPr>
        <w:t>, 2010 &lt;http://www.jstor.org/stable/41431569&gt;.</w:t>
      </w:r>
      <w:r>
        <w:fldChar w:fldCharType="end"/>
      </w:r>
    </w:p>
  </w:footnote>
  <w:footnote w:id="9">
    <w:p w14:paraId="1E919424" w14:textId="189E5DF5" w:rsidR="00D353B8" w:rsidRPr="00D353B8" w:rsidRDefault="00D353B8">
      <w:pPr>
        <w:pStyle w:val="FootnoteText"/>
        <w:rPr>
          <w:lang w:val="en-GB"/>
        </w:rPr>
      </w:pPr>
      <w:r>
        <w:rPr>
          <w:rStyle w:val="FootnoteReference"/>
        </w:rPr>
        <w:footnoteRef/>
      </w:r>
      <w:r>
        <w:t xml:space="preserve"> </w:t>
      </w:r>
      <w:r>
        <w:fldChar w:fldCharType="begin"/>
      </w:r>
      <w:r w:rsidR="008E2429">
        <w:instrText xml:space="preserve"> ADDIN ZOTERO_ITEM CSL_CITATION {"citationID":"grUnp5yt","properties":{"formattedCitation":"Teodozja Rzeuska, {\\i{}Grain, Water and Wine. Remarks on the Marl A3 Transport-Storage Jars from Middle Kingdom Elephantine}, 2012 &lt;https://www.academia.edu/1512978/Grain_water_and_wine_Remarks_on_the_Marl_A3_Transport_Storage_Jars_from_Middle_Kingdom_Elephantine?source=swp_share&gt;.","plainCitation":"Teodozja Rzeuska, Grain, Water and Wine. Remarks on the Marl A3 Transport-Storage Jars from Middle Kingdom Elephantine, 2012 &lt;https://www.academia.edu/1512978/Grain_water_and_wine_Remarks_on_the_Marl_A3_Transport_Storage_Jars_from_Middle_Kingdom_Elephantine?source=swp_share&gt;.","noteIndex":6},"citationItems":[{"id":13,"uris":["http://zotero.org/users/local/z4CyoNDV/items/EFUFDPVG","http://zotero.org/users/18703416/items/EFUFDPVG"],"itemData":{"id":13,"type":"article-journal","title":"Grain, Water and Wine. Remarks on the Marl A3 Transport-Storage Jars from Middle Kingdom Elephantine","URL":"https://www.academia.edu/1512978/Grain_water_and_wine_Remarks_on_the_Marl_A3_Transport_Storage_Jars_from_Middle_Kingdom_Elephantine?source=swp_share","author":[{"family":"Rzeuska","given":"Teodozja"}],"issued":{"date-parts":[["2012"]]}}}],"schema":"https://github.com/citation-style-language/schema/raw/master/csl-citation.json"} </w:instrText>
      </w:r>
      <w:r>
        <w:fldChar w:fldCharType="separate"/>
      </w:r>
      <w:r w:rsidRPr="00D353B8">
        <w:rPr>
          <w:rFonts w:cs="Calibri"/>
        </w:rPr>
        <w:t xml:space="preserve">Teodozja Rzeuska, </w:t>
      </w:r>
      <w:r w:rsidRPr="00D353B8">
        <w:rPr>
          <w:rFonts w:cs="Calibri"/>
          <w:i/>
          <w:iCs/>
        </w:rPr>
        <w:t>Grain, Water and Wine. Remarks on the Marl A3 Transport-Storage Jars from Middle Kingdom Elephantine</w:t>
      </w:r>
      <w:r w:rsidRPr="00D353B8">
        <w:rPr>
          <w:rFonts w:cs="Calibri"/>
        </w:rPr>
        <w:t>, 2012 &lt;https://www.academia.edu/1512978/Grain_water_and_wine_Remarks_on_the_Marl_A3_Transport_Storage_Jars_from_Middle_Kingdom_Elephantine?source=swp_share&gt;.</w:t>
      </w:r>
      <w:r>
        <w:fldChar w:fldCharType="end"/>
      </w:r>
    </w:p>
  </w:footnote>
  <w:footnote w:id="10">
    <w:p w14:paraId="289FADE3" w14:textId="61A4E8D1" w:rsidR="00983E8A" w:rsidRPr="00983E8A" w:rsidRDefault="00983E8A">
      <w:pPr>
        <w:pStyle w:val="FootnoteText"/>
        <w:rPr>
          <w:lang w:val="en-GB"/>
        </w:rPr>
      </w:pPr>
      <w:r>
        <w:rPr>
          <w:rStyle w:val="FootnoteReference"/>
        </w:rPr>
        <w:footnoteRef/>
      </w:r>
      <w:r>
        <w:t xml:space="preserve"> </w:t>
      </w:r>
      <w:r>
        <w:fldChar w:fldCharType="begin"/>
      </w:r>
      <w:r w:rsidR="008E2429">
        <w:instrText xml:space="preserve"> ADDIN ZOTERO_ITEM CSL_CITATION {"citationID":"VgIKbfR7","properties":{"formattedCitation":"Janine Bourriau, {\\i{}Introduction Ancient Egyptian Pottery (2)} (1993) &lt;https://www.academia.edu/84542579/Janine_Bourriau_introduction_ancient_Egyptian_Pottery_2_&gt;.","plainCitation":"Janine Bourriau, Introduction Ancient Egyptian Pottery (2) (1993) &lt;https://www.academia.edu/84542579/Janine_Bourriau_introduction_ancient_Egyptian_Pottery_2_&gt;.","noteIndex":7},"citationItems":[{"id":7,"uris":["http://zotero.org/users/local/z4CyoNDV/items/335XZ37I","http://zotero.org/users/18703416/items/335XZ37I"],"itemData":{"id":7,"type":"book","title":"Introduction Ancient Egyptian Pottery (2)","URL":"https://www.academia.edu/84542579/Janine_Bourriau_introduction_ancient_Egyptian_Pottery_2_","author":[{"family":"Bourriau","given":"Janine"}],"issued":{"date-parts":[["1993"]]}}}],"schema":"https://github.com/citation-style-language/schema/raw/master/csl-citation.json"} </w:instrText>
      </w:r>
      <w:r>
        <w:fldChar w:fldCharType="separate"/>
      </w:r>
      <w:r w:rsidRPr="00983E8A">
        <w:rPr>
          <w:rFonts w:cs="Calibri"/>
        </w:rPr>
        <w:t xml:space="preserve">Janine Bourriau, </w:t>
      </w:r>
      <w:r w:rsidRPr="00983E8A">
        <w:rPr>
          <w:rFonts w:cs="Calibri"/>
          <w:i/>
          <w:iCs/>
        </w:rPr>
        <w:t>Introduction Ancient Egyptian Pottery (2)</w:t>
      </w:r>
      <w:r w:rsidRPr="00983E8A">
        <w:rPr>
          <w:rFonts w:cs="Calibri"/>
        </w:rPr>
        <w:t xml:space="preserve"> (1993) &lt;https://www.academia.edu/84542579/Janine_Bourriau_introduction_ancient_Egyptian_Pottery_2_&gt;.</w:t>
      </w:r>
      <w:r>
        <w:fldChar w:fldCharType="end"/>
      </w:r>
    </w:p>
  </w:footnote>
  <w:footnote w:id="11">
    <w:p w14:paraId="6FA7F2B4" w14:textId="705EBA74" w:rsidR="00D353B8" w:rsidRPr="00D353B8" w:rsidRDefault="00D353B8">
      <w:pPr>
        <w:pStyle w:val="FootnoteText"/>
        <w:rPr>
          <w:lang w:val="en-GB"/>
        </w:rPr>
      </w:pPr>
      <w:r>
        <w:rPr>
          <w:rStyle w:val="FootnoteReference"/>
        </w:rPr>
        <w:footnoteRef/>
      </w:r>
      <w:r>
        <w:t xml:space="preserve"> </w:t>
      </w:r>
      <w:r>
        <w:fldChar w:fldCharType="begin"/>
      </w:r>
      <w:r w:rsidR="00225AC6">
        <w:instrText xml:space="preserve"> ADDIN ZOTERO_ITEM CSL_CITATION {"citationID":"tHKftxX4","properties":{"formattedCitation":"Dodson, \\uc0\\u8216{}A Funerary Mask in Durham and Mummy Adornment in the Late Second Intermediate Period and Early Eighteenth Dynasty\\uc0\\u8217{}.","plainCitation":"Dodson, ‘A Funerary Mask in Durham and Mummy Adornment in the Late Second Intermediate Period and Early Eighteenth Dynasty’.","noteIndex":11},"citationItems":[{"id":11,"uris":["http://zotero.org/users/local/z4CyoNDV/items/QJ46S476","http://zotero.org/users/18703416/items/QJ46S476"],"itemData":{"id":11,"type":"article-journal","container-title":"The Journal of Egyptian Archaeology","DOI":"10.2307/3822207","ISSN":"03075133","journalAbbreviation":"The Journal of Egyptian Archaeology","page":"93","source":"DOI.org (Crossref)","title":"A Funerary Mask in Durham and Mummy Adornment in the Late Second Intermediate Period and Early Eighteenth Dynasty","volume":"84","author":[{"family":"Dodson","given":"Aidan"}],"issued":{"date-parts":[["1998"]]}}}],"schema":"https://github.com/citation-style-language/schema/raw/master/csl-citation.json"} </w:instrText>
      </w:r>
      <w:r>
        <w:fldChar w:fldCharType="separate"/>
      </w:r>
      <w:r w:rsidRPr="00D353B8">
        <w:rPr>
          <w:rFonts w:cs="Calibri"/>
        </w:rPr>
        <w:t>Dodson, ‘A Funerary Mask in Durham and Mummy Adornment in the Late Second Intermediate Period and Early Eighteenth Dynasty</w:t>
      </w:r>
      <w:proofErr w:type="gramStart"/>
      <w:r w:rsidRPr="00D353B8">
        <w:rPr>
          <w:rFonts w:cs="Calibri"/>
        </w:rPr>
        <w:t>’.</w:t>
      </w:r>
      <w:proofErr w:type="gramEnd"/>
      <w:r>
        <w:fldChar w:fldCharType="end"/>
      </w:r>
    </w:p>
  </w:footnote>
  <w:footnote w:id="12">
    <w:p w14:paraId="3EE1CBB4" w14:textId="539070E3" w:rsidR="00A32E36" w:rsidRPr="00A32E36" w:rsidRDefault="00A32E36">
      <w:pPr>
        <w:pStyle w:val="FootnoteText"/>
        <w:rPr>
          <w:lang w:val="en-GB"/>
        </w:rPr>
      </w:pPr>
      <w:r>
        <w:rPr>
          <w:rStyle w:val="FootnoteReference"/>
        </w:rPr>
        <w:footnoteRef/>
      </w:r>
      <w:r>
        <w:t xml:space="preserve"> </w:t>
      </w:r>
      <w:r>
        <w:fldChar w:fldCharType="begin"/>
      </w:r>
      <w:r w:rsidR="00225AC6">
        <w:instrText xml:space="preserve"> ADDIN ZOTERO_ITEM CSL_CITATION {"citationID":"4BHqXisQ","properties":{"formattedCitation":"De La Torre Robles and others, {\\i{}A Decade of Excavations in Qubbet El-Hawa: The Results of the University of Ja\\uc0\\u233{}n\\uc0\\u8239{}: Catalogue of the Exhibition}; Dodson, \\uc0\\u8216{}A Funerary Mask in Durham and Mummy Adornment in the Late Second Intermediate Period and Early Eighteenth Dynasty\\uc0\\u8217{}.","plainCitation":"De La Torre Robles and others, A Decade of Excavations in Qubbet El-Hawa: The Results of the University of Jaén : Catalogue of the Exhibition; Dodson, ‘A Funerary Mask in Durham and Mummy Adornment in the Late Second Intermediate Period and Early Eighteenth Dynasty’.","noteIndex":12},"citationItems":[{"id":8,"uris":["http://zotero.org/users/local/z4CyoNDV/items/A8XGHJ3T","http://zotero.org/users/18703416/items/A8XGHJ3T"],"itemData":{"id":8,"type":"article-journal","ISSN":"978-84-9159-483-3","title":"A Decade of Excavations in Qubbet El-Hawa: The Results of the University of Jaén : Catalogue of the Exhibition","URL":"https://investigacion.ujaen.es/documentos/6644fb311728a37d32cc9b23?lang=en","author":[{"family":"De La Torre Robles","given":"Yolanda"},{"family":"Serrano","given":"Alejandro Jiménez"},{"family":"Mahmoued","given":"Hany Salah"},{"family":"Din","given":"Osama Amer Mohi El"},{"family":"Riudavets","given":"Patricia Mora"}],"issued":{"date-parts":[["2022"]]}}},{"id":11,"uris":["http://zotero.org/users/local/z4CyoNDV/items/QJ46S476","http://zotero.org/users/18703416/items/QJ46S476"],"itemData":{"id":11,"type":"article-journal","container-title":"The Journal of Egyptian Archaeology","DOI":"10.2307/3822207","ISSN":"03075133","journalAbbreviation":"The Journal of Egyptian Archaeology","page":"93","source":"DOI.org (Crossref)","title":"A Funerary Mask in Durham and Mummy Adornment in the Late Second Intermediate Period and Early Eighteenth Dynasty","volume":"84","author":[{"family":"Dodson","given":"Aidan"}],"issued":{"date-parts":[["1998"]]}}}],"schema":"https://github.com/citation-style-language/schema/raw/master/csl-citation.json"} </w:instrText>
      </w:r>
      <w:r>
        <w:fldChar w:fldCharType="separate"/>
      </w:r>
      <w:r w:rsidRPr="00A32E36">
        <w:rPr>
          <w:rFonts w:cs="Calibri"/>
        </w:rPr>
        <w:t xml:space="preserve">De La Torre Robles and others, </w:t>
      </w:r>
      <w:r w:rsidRPr="00A32E36">
        <w:rPr>
          <w:rFonts w:cs="Calibri"/>
          <w:i/>
          <w:iCs/>
        </w:rPr>
        <w:t xml:space="preserve">A Decade of Excavations in Qubbet El-Hawa: The Results of the University of </w:t>
      </w:r>
      <w:proofErr w:type="gramStart"/>
      <w:r w:rsidRPr="00A32E36">
        <w:rPr>
          <w:rFonts w:cs="Calibri"/>
          <w:i/>
          <w:iCs/>
        </w:rPr>
        <w:t>Jaén :</w:t>
      </w:r>
      <w:proofErr w:type="gramEnd"/>
      <w:r w:rsidRPr="00A32E36">
        <w:rPr>
          <w:rFonts w:cs="Calibri"/>
          <w:i/>
          <w:iCs/>
        </w:rPr>
        <w:t xml:space="preserve"> Catalogue of the Exhibition</w:t>
      </w:r>
      <w:r w:rsidRPr="00A32E36">
        <w:rPr>
          <w:rFonts w:cs="Calibri"/>
        </w:rPr>
        <w:t>; Dodson, ‘A Funerary Mask in Durham and Mummy Adornment in the Late Second Intermediate Period and Early Eighteenth Dynasty</w:t>
      </w:r>
      <w:proofErr w:type="gramStart"/>
      <w:r w:rsidRPr="00A32E36">
        <w:rPr>
          <w:rFonts w:cs="Calibri"/>
        </w:rPr>
        <w:t>’.</w:t>
      </w:r>
      <w:proofErr w:type="gramEnd"/>
      <w:r>
        <w:fldChar w:fldCharType="end"/>
      </w:r>
    </w:p>
  </w:footnote>
  <w:footnote w:id="13">
    <w:p w14:paraId="4FE00C6A" w14:textId="3ABF9EF9" w:rsidR="00683BCF" w:rsidRPr="00683BCF" w:rsidRDefault="00683BCF">
      <w:pPr>
        <w:pStyle w:val="FootnoteText"/>
        <w:rPr>
          <w:lang w:val="en-GB"/>
        </w:rPr>
      </w:pPr>
      <w:r>
        <w:rPr>
          <w:rStyle w:val="FootnoteReference"/>
        </w:rPr>
        <w:footnoteRef/>
      </w:r>
      <w:r>
        <w:t xml:space="preserve"> </w:t>
      </w:r>
      <w:r>
        <w:fldChar w:fldCharType="begin"/>
      </w:r>
      <w:r w:rsidR="00225AC6">
        <w:instrText xml:space="preserve"> ADDIN ZOTERO_ITEM CSL_CITATION {"citationID":"qABKMr5u","properties":{"formattedCitation":"Nicola Harrington, {\\i{}Living with the Dead: Ancestor Worship and Mortuary Ritual in Ancient Egypt} (Oxbow Books, 2013), {\\scaps vi} &lt;https://doi.org/10.2307/j.ctvh1ds21&gt;.","plainCitation":"Nicola Harrington, Living with the Dead: Ancestor Worship and Mortuary Ritual in Ancient Egypt (Oxbow Books, 2013), vi &lt;https://doi.org/10.2307/j.ctvh1ds21&gt;.","noteIndex":13},"citationItems":[{"id":17,"uris":["http://zotero.org/users/local/z4CyoNDV/items/V7FVVTVD","http://zotero.org/users/18703416/items/V7FVVTVD"],"itemData":{"id":17,"type":"book","publisher":"Oxbow Books","title":"Living with the Dead: Ancestor Worship and Mortuary Ritual in Ancient Egypt","URL":"https://doi.org/10.2307/j.ctvh1ds21","volume":"6","author":[{"family":"Harrington","given":"Nicola"}],"issued":{"date-parts":[["2013"]]}}}],"schema":"https://github.com/citation-style-language/schema/raw/master/csl-citation.json"} </w:instrText>
      </w:r>
      <w:r>
        <w:fldChar w:fldCharType="separate"/>
      </w:r>
      <w:r w:rsidRPr="00683BCF">
        <w:rPr>
          <w:rFonts w:cs="Calibri"/>
        </w:rPr>
        <w:t xml:space="preserve">Nicola Harrington, </w:t>
      </w:r>
      <w:r w:rsidRPr="00683BCF">
        <w:rPr>
          <w:rFonts w:cs="Calibri"/>
          <w:i/>
          <w:iCs/>
        </w:rPr>
        <w:t>Living with the Dead: Ancestor Worship and Mortuary Ritual in Ancient Egypt</w:t>
      </w:r>
      <w:r w:rsidRPr="00683BCF">
        <w:rPr>
          <w:rFonts w:cs="Calibri"/>
        </w:rPr>
        <w:t xml:space="preserve"> (Oxbow Books, 2013), </w:t>
      </w:r>
      <w:r w:rsidRPr="00683BCF">
        <w:rPr>
          <w:rFonts w:cs="Calibri"/>
          <w:smallCaps/>
        </w:rPr>
        <w:t>vi</w:t>
      </w:r>
      <w:r w:rsidRPr="00683BCF">
        <w:rPr>
          <w:rFonts w:cs="Calibri"/>
        </w:rPr>
        <w:t xml:space="preserve"> &lt;https://doi.org/10.2307/j.ctvh1ds21&gt;.</w:t>
      </w:r>
      <w:r>
        <w:fldChar w:fldCharType="end"/>
      </w:r>
    </w:p>
  </w:footnote>
  <w:footnote w:id="14">
    <w:p w14:paraId="14F689CD" w14:textId="74005AE2" w:rsidR="00683BCF" w:rsidRPr="00683BCF" w:rsidRDefault="00683BCF">
      <w:pPr>
        <w:pStyle w:val="FootnoteText"/>
        <w:rPr>
          <w:lang w:val="en-GB"/>
        </w:rPr>
      </w:pPr>
      <w:r>
        <w:rPr>
          <w:rStyle w:val="FootnoteReference"/>
        </w:rPr>
        <w:footnoteRef/>
      </w:r>
      <w:r>
        <w:t xml:space="preserve"> </w:t>
      </w:r>
      <w:r>
        <w:fldChar w:fldCharType="begin"/>
      </w:r>
      <w:r w:rsidR="00225AC6">
        <w:instrText xml:space="preserve"> ADDIN ZOTERO_ITEM CSL_CITATION {"citationID":"FR4XcB5K","properties":{"formattedCitation":"Harrington, {\\i{}Living with the Dead: Ancestor Worship and Mortuary Ritual in Ancient Egypt}, {\\scaps vi}.","plainCitation":"Harrington, Living with the Dead: Ancestor Worship and Mortuary Ritual in Ancient Egypt, vi.","noteIndex":14},"citationItems":[{"id":17,"uris":["http://zotero.org/users/local/z4CyoNDV/items/V7FVVTVD","http://zotero.org/users/18703416/items/V7FVVTVD"],"itemData":{"id":17,"type":"book","publisher":"Oxbow Books","title":"Living with the Dead: Ancestor Worship and Mortuary Ritual in Ancient Egypt","URL":"https://doi.org/10.2307/j.ctvh1ds21","volume":"6","author":[{"family":"Harrington","given":"Nicola"}],"issued":{"date-parts":[["2013"]]}}}],"schema":"https://github.com/citation-style-language/schema/raw/master/csl-citation.json"} </w:instrText>
      </w:r>
      <w:r>
        <w:fldChar w:fldCharType="separate"/>
      </w:r>
      <w:r w:rsidRPr="00683BCF">
        <w:rPr>
          <w:rFonts w:cs="Calibri"/>
        </w:rPr>
        <w:t xml:space="preserve">Harrington, </w:t>
      </w:r>
      <w:r w:rsidRPr="00683BCF">
        <w:rPr>
          <w:rFonts w:cs="Calibri"/>
          <w:i/>
          <w:iCs/>
        </w:rPr>
        <w:t>Living with the Dead: Ancestor Worship and Mortuary Ritual in Ancient Egypt</w:t>
      </w:r>
      <w:r w:rsidRPr="00683BCF">
        <w:rPr>
          <w:rFonts w:cs="Calibri"/>
        </w:rPr>
        <w:t xml:space="preserve">, </w:t>
      </w:r>
      <w:r w:rsidRPr="00683BCF">
        <w:rPr>
          <w:rFonts w:cs="Calibri"/>
          <w:smallCaps/>
        </w:rPr>
        <w:t>vi</w:t>
      </w:r>
      <w:r w:rsidRPr="00683BCF">
        <w:rPr>
          <w:rFonts w:cs="Calibri"/>
        </w:rPr>
        <w:t>.</w:t>
      </w:r>
      <w:r>
        <w:fldChar w:fldCharType="end"/>
      </w:r>
    </w:p>
  </w:footnote>
  <w:footnote w:id="15">
    <w:p w14:paraId="3E2CF576" w14:textId="186CC943" w:rsidR="00683BCF" w:rsidRPr="00683BCF" w:rsidRDefault="00683BCF">
      <w:pPr>
        <w:pStyle w:val="FootnoteText"/>
        <w:rPr>
          <w:lang w:val="en-GB"/>
        </w:rPr>
      </w:pPr>
      <w:r>
        <w:rPr>
          <w:rStyle w:val="FootnoteReference"/>
        </w:rPr>
        <w:footnoteRef/>
      </w:r>
      <w:r>
        <w:t xml:space="preserve"> </w:t>
      </w:r>
      <w:r>
        <w:fldChar w:fldCharType="begin"/>
      </w:r>
      <w:r w:rsidR="00225AC6">
        <w:instrText xml:space="preserve"> ADDIN ZOTERO_ITEM CSL_CITATION {"citationID":"iiGaTRi6","properties":{"formattedCitation":"Dodson, \\uc0\\u8216{}A Funerary Mask in Durham and Mummy Adornment in the Late Second Intermediate Period and Early Eighteenth Dynasty\\uc0\\u8217{}.","plainCitation":"Dodson, ‘A Funerary Mask in Durham and Mummy Adornment in the Late Second Intermediate Period and Early Eighteenth Dynasty’.","noteIndex":15},"citationItems":[{"id":11,"uris":["http://zotero.org/users/local/z4CyoNDV/items/QJ46S476","http://zotero.org/users/18703416/items/QJ46S476"],"itemData":{"id":11,"type":"article-journal","container-title":"The Journal of Egyptian Archaeology","DOI":"10.2307/3822207","ISSN":"03075133","journalAbbreviation":"The Journal of Egyptian Archaeology","page":"93","source":"DOI.org (Crossref)","title":"A Funerary Mask in Durham and Mummy Adornment in the Late Second Intermediate Period and Early Eighteenth Dynasty","volume":"84","author":[{"family":"Dodson","given":"Aidan"}],"issued":{"date-parts":[["1998"]]}}}],"schema":"https://github.com/citation-style-language/schema/raw/master/csl-citation.json"} </w:instrText>
      </w:r>
      <w:r>
        <w:fldChar w:fldCharType="separate"/>
      </w:r>
      <w:r w:rsidRPr="00683BCF">
        <w:rPr>
          <w:rFonts w:cs="Calibri"/>
        </w:rPr>
        <w:t>Dodson, ‘A Funerary Mask in Durham and Mummy Adornment in the Late Second Intermediate Period and Early Eighteenth Dynasty</w:t>
      </w:r>
      <w:proofErr w:type="gramStart"/>
      <w:r w:rsidRPr="00683BCF">
        <w:rPr>
          <w:rFonts w:cs="Calibri"/>
        </w:rPr>
        <w:t>’.</w:t>
      </w:r>
      <w:proofErr w:type="gramEnd"/>
      <w:r>
        <w:fldChar w:fldCharType="end"/>
      </w:r>
    </w:p>
  </w:footnote>
  <w:footnote w:id="16">
    <w:p w14:paraId="18396D34" w14:textId="468B209E" w:rsidR="00683BCF" w:rsidRPr="00683BCF" w:rsidRDefault="00683BCF">
      <w:pPr>
        <w:pStyle w:val="FootnoteText"/>
        <w:rPr>
          <w:lang w:val="en-GB"/>
        </w:rPr>
      </w:pPr>
      <w:r>
        <w:rPr>
          <w:rStyle w:val="FootnoteReference"/>
        </w:rPr>
        <w:footnoteRef/>
      </w:r>
      <w:r>
        <w:t xml:space="preserve"> </w:t>
      </w:r>
      <w:r>
        <w:fldChar w:fldCharType="begin"/>
      </w:r>
      <w:r w:rsidR="00225AC6">
        <w:instrText xml:space="preserve"> ADDIN ZOTERO_ITEM CSL_CITATION {"citationID":"epcBqXhA","properties":{"formattedCitation":"Harrington, {\\i{}Living with the Dead: Ancestor Worship and Mortuary Ritual in Ancient Egypt}, {\\scaps vi}.","plainCitation":"Harrington, Living with the Dead: Ancestor Worship and Mortuary Ritual in Ancient Egypt, vi.","noteIndex":16},"citationItems":[{"id":17,"uris":["http://zotero.org/users/local/z4CyoNDV/items/V7FVVTVD","http://zotero.org/users/18703416/items/V7FVVTVD"],"itemData":{"id":17,"type":"book","publisher":"Oxbow Books","title":"Living with the Dead: Ancestor Worship and Mortuary Ritual in Ancient Egypt","URL":"https://doi.org/10.2307/j.ctvh1ds21","volume":"6","author":[{"family":"Harrington","given":"Nicola"}],"issued":{"date-parts":[["2013"]]}}}],"schema":"https://github.com/citation-style-language/schema/raw/master/csl-citation.json"} </w:instrText>
      </w:r>
      <w:r>
        <w:fldChar w:fldCharType="separate"/>
      </w:r>
      <w:r w:rsidRPr="00683BCF">
        <w:rPr>
          <w:rFonts w:cs="Calibri"/>
        </w:rPr>
        <w:t xml:space="preserve">Harrington, </w:t>
      </w:r>
      <w:r w:rsidRPr="00683BCF">
        <w:rPr>
          <w:rFonts w:cs="Calibri"/>
          <w:i/>
          <w:iCs/>
        </w:rPr>
        <w:t>Living with the Dead: Ancestor Worship and Mortuary Ritual in Ancient Egypt</w:t>
      </w:r>
      <w:r w:rsidRPr="00683BCF">
        <w:rPr>
          <w:rFonts w:cs="Calibri"/>
        </w:rPr>
        <w:t xml:space="preserve">, </w:t>
      </w:r>
      <w:r w:rsidRPr="00683BCF">
        <w:rPr>
          <w:rFonts w:cs="Calibri"/>
          <w:smallCaps/>
        </w:rPr>
        <w:t>vi</w:t>
      </w:r>
      <w:r w:rsidRPr="00683BCF">
        <w:rPr>
          <w:rFonts w:cs="Calibri"/>
        </w:rPr>
        <w:t>.</w:t>
      </w:r>
      <w:r>
        <w:fldChar w:fldCharType="end"/>
      </w:r>
    </w:p>
  </w:footnote>
  <w:footnote w:id="17">
    <w:p w14:paraId="773D9EF4" w14:textId="15C70280" w:rsidR="00683BCF" w:rsidRPr="00683BCF" w:rsidRDefault="00683BCF">
      <w:pPr>
        <w:pStyle w:val="FootnoteText"/>
        <w:rPr>
          <w:lang w:val="en-GB"/>
        </w:rPr>
      </w:pPr>
      <w:r>
        <w:rPr>
          <w:rStyle w:val="FootnoteReference"/>
        </w:rPr>
        <w:footnoteRef/>
      </w:r>
      <w:r>
        <w:t xml:space="preserve"> </w:t>
      </w:r>
      <w:r>
        <w:fldChar w:fldCharType="begin"/>
      </w:r>
      <w:r w:rsidR="00225AC6">
        <w:instrText xml:space="preserve"> ADDIN ZOTERO_ITEM CSL_CITATION {"citationID":"rDYjBOPR","properties":{"formattedCitation":"De La Torre Robles and others, {\\i{}A Decade of Excavations in Qubbet El-Hawa: The Results of the University of Ja\\uc0\\u233{}n\\uc0\\u8239{}: Catalogue of the Exhibition}.","plainCitation":"De La Torre Robles and others, A Decade of Excavations in Qubbet El-Hawa: The Results of the University of Jaén : Catalogue of the Exhibition.","noteIndex":17},"citationItems":[{"id":8,"uris":["http://zotero.org/users/local/z4CyoNDV/items/A8XGHJ3T","http://zotero.org/users/18703416/items/A8XGHJ3T"],"itemData":{"id":8,"type":"article-journal","ISSN":"978-84-9159-483-3","title":"A Decade of Excavations in Qubbet El-Hawa: The Results of the University of Jaén : Catalogue of the Exhibition","URL":"https://investigacion.ujaen.es/documentos/6644fb311728a37d32cc9b23?lang=en","author":[{"family":"De La Torre Robles","given":"Yolanda"},{"family":"Serrano","given":"Alejandro Jiménez"},{"family":"Mahmoued","given":"Hany Salah"},{"family":"Din","given":"Osama Amer Mohi El"},{"family":"Riudavets","given":"Patricia Mora"}],"issued":{"date-parts":[["2022"]]}}}],"schema":"https://github.com/citation-style-language/schema/raw/master/csl-citation.json"} </w:instrText>
      </w:r>
      <w:r>
        <w:fldChar w:fldCharType="separate"/>
      </w:r>
      <w:r w:rsidRPr="00683BCF">
        <w:rPr>
          <w:rFonts w:cs="Calibri"/>
        </w:rPr>
        <w:t xml:space="preserve">De La Torre Robles and others, </w:t>
      </w:r>
      <w:r w:rsidRPr="00683BCF">
        <w:rPr>
          <w:rFonts w:cs="Calibri"/>
          <w:i/>
          <w:iCs/>
        </w:rPr>
        <w:t xml:space="preserve">A Decade of Excavations in Qubbet El-Hawa: The Results of the University of </w:t>
      </w:r>
      <w:proofErr w:type="gramStart"/>
      <w:r w:rsidRPr="00683BCF">
        <w:rPr>
          <w:rFonts w:cs="Calibri"/>
          <w:i/>
          <w:iCs/>
        </w:rPr>
        <w:t>Jaén :</w:t>
      </w:r>
      <w:proofErr w:type="gramEnd"/>
      <w:r w:rsidRPr="00683BCF">
        <w:rPr>
          <w:rFonts w:cs="Calibri"/>
          <w:i/>
          <w:iCs/>
        </w:rPr>
        <w:t xml:space="preserve"> Catalogue of the Exhibition</w:t>
      </w:r>
      <w:r w:rsidRPr="00683BCF">
        <w:rPr>
          <w:rFonts w:cs="Calibri"/>
        </w:rPr>
        <w:t>.</w:t>
      </w:r>
      <w:r>
        <w:fldChar w:fldCharType="end"/>
      </w:r>
    </w:p>
  </w:footnote>
  <w:footnote w:id="18">
    <w:p w14:paraId="5E61EE9D" w14:textId="446CE50F" w:rsidR="00683BCF" w:rsidRPr="00683BCF" w:rsidRDefault="00683BCF">
      <w:pPr>
        <w:pStyle w:val="FootnoteText"/>
        <w:rPr>
          <w:lang w:val="en-GB"/>
        </w:rPr>
      </w:pPr>
      <w:r>
        <w:rPr>
          <w:rStyle w:val="FootnoteReference"/>
        </w:rPr>
        <w:footnoteRef/>
      </w:r>
      <w:r>
        <w:t xml:space="preserve"> </w:t>
      </w:r>
      <w:r>
        <w:fldChar w:fldCharType="begin"/>
      </w:r>
      <w:r w:rsidR="00225AC6">
        <w:instrText xml:space="preserve"> ADDIN ZOTERO_ITEM CSL_CITATION {"citationID":"OBUOBc5R","properties":{"formattedCitation":"Garstang, {\\i{}Burial Customs of Ancient Egypt}.","plainCitation":"Garstang, Burial Customs of Ancient Egypt.","noteIndex":18},"citationItems":[{"id":14,"uris":["http://zotero.org/users/local/z4CyoNDV/items/NGBQUTR7","http://zotero.org/users/18703416/items/NGBQUTR7"],"itemData":{"id":14,"type":"book","publisher":"University of Liverpool","title":"Burial Customs of Ancient Egypt","author":[{"family":"Garstang","given":""}],"issued":{"date-parts":[["1907"]]}}}],"schema":"https://github.com/citation-style-language/schema/raw/master/csl-citation.json"} </w:instrText>
      </w:r>
      <w:r>
        <w:fldChar w:fldCharType="separate"/>
      </w:r>
      <w:r w:rsidRPr="00683BCF">
        <w:rPr>
          <w:rFonts w:cs="Calibri"/>
        </w:rPr>
        <w:t xml:space="preserve">Garstang, </w:t>
      </w:r>
      <w:r w:rsidRPr="00683BCF">
        <w:rPr>
          <w:rFonts w:cs="Calibri"/>
          <w:i/>
          <w:iCs/>
        </w:rPr>
        <w:t>Burial Customs of Ancient Egypt</w:t>
      </w:r>
      <w:r w:rsidRPr="00683BCF">
        <w:rPr>
          <w:rFonts w:cs="Calibri"/>
        </w:rPr>
        <w:t>.</w:t>
      </w:r>
      <w:r>
        <w:fldChar w:fldCharType="end"/>
      </w:r>
    </w:p>
  </w:footnote>
  <w:footnote w:id="19">
    <w:p w14:paraId="2AB33F61" w14:textId="42B71A78" w:rsidR="00683BCF" w:rsidRPr="00683BCF" w:rsidRDefault="00683BCF">
      <w:pPr>
        <w:pStyle w:val="FootnoteText"/>
        <w:rPr>
          <w:lang w:val="en-GB"/>
        </w:rPr>
      </w:pPr>
      <w:r>
        <w:rPr>
          <w:rStyle w:val="FootnoteReference"/>
        </w:rPr>
        <w:footnoteRef/>
      </w:r>
      <w:r>
        <w:t xml:space="preserve"> </w:t>
      </w:r>
      <w:r>
        <w:fldChar w:fldCharType="begin"/>
      </w:r>
      <w:r w:rsidR="008E2429">
        <w:instrText xml:space="preserve"> ADDIN ZOTERO_ITEM CSL_CITATION {"citationID":"IQ3Betws","properties":{"formattedCitation":"Kara Cooney, \\uc0\\u8216{}When Is It OK to Recycle a Coffin? The Rules of the Reuse Game in Ancient Egypt - the Ancient Near East Today\\uc0\\u8217{}, {\\i{}The Ancient Near East Today - Current News About the Ancient Past}, 19 March 2025 &lt;https://anetoday.org/recycle-coffin-egypt/&gt;.","plainCitation":"Kara Cooney, ‘When Is It OK to Recycle a Coffin? The Rules of the Reuse Game in Ancient Egypt - the Ancient Near East Today’, The Ancient Near East Today - Current News About the Ancient Past, 19 March 2025 &lt;https://anetoday.org/recycle-coffin-egypt/&gt;.","noteIndex":16},"citationItems":[{"id":10,"uris":["http://zotero.org/users/local/z4CyoNDV/items/WTDNASZ2","http://zotero.org/users/18703416/items/WTDNASZ2"],"itemData":{"id":10,"type":"article-magazine","container-title":"The Ancient Near East Today - Current News About the Ancient Past","title":"When Is It OK to Recycle a Coffin? The Rules of the Reuse Game in Ancient Egypt - the Ancient Near East Today","URL":"https://anetoday.org/recycle-coffin-egypt/","author":[{"family":"Cooney","given":"Kara"}],"issued":{"date-parts":[["2025",3,19]]}}}],"schema":"https://github.com/citation-style-language/schema/raw/master/csl-citation.json"} </w:instrText>
      </w:r>
      <w:r>
        <w:fldChar w:fldCharType="separate"/>
      </w:r>
      <w:r w:rsidRPr="00683BCF">
        <w:rPr>
          <w:rFonts w:cs="Calibri"/>
        </w:rPr>
        <w:t>Kara Cooney, ‘When Is It OK to Recycle a Coffin? The Rules of the Reuse Game in Ancient Egypt - the Ancient Near East Today</w:t>
      </w:r>
      <w:proofErr w:type="gramStart"/>
      <w:r w:rsidRPr="00683BCF">
        <w:rPr>
          <w:rFonts w:cs="Calibri"/>
        </w:rPr>
        <w:t>’,</w:t>
      </w:r>
      <w:proofErr w:type="gramEnd"/>
      <w:r w:rsidRPr="00683BCF">
        <w:rPr>
          <w:rFonts w:cs="Calibri"/>
        </w:rPr>
        <w:t xml:space="preserve"> </w:t>
      </w:r>
      <w:r w:rsidRPr="00683BCF">
        <w:rPr>
          <w:rFonts w:cs="Calibri"/>
          <w:i/>
          <w:iCs/>
        </w:rPr>
        <w:t>The Ancient Near East Today - Current News About the Ancient Past</w:t>
      </w:r>
      <w:r w:rsidRPr="00683BCF">
        <w:rPr>
          <w:rFonts w:cs="Calibri"/>
        </w:rPr>
        <w:t>, 19 March 2025 &lt;https://anetoday.org/recycle-coffin-egypt/&gt;.</w:t>
      </w:r>
      <w:r>
        <w:fldChar w:fldCharType="end"/>
      </w:r>
    </w:p>
  </w:footnote>
  <w:footnote w:id="20">
    <w:p w14:paraId="7E935649" w14:textId="4AF29060" w:rsidR="00AB3CEE" w:rsidRPr="00AB3CEE" w:rsidRDefault="00AB3CEE">
      <w:pPr>
        <w:pStyle w:val="FootnoteText"/>
        <w:rPr>
          <w:lang w:val="en-GB"/>
        </w:rPr>
      </w:pPr>
      <w:r>
        <w:rPr>
          <w:rStyle w:val="FootnoteReference"/>
        </w:rPr>
        <w:footnoteRef/>
      </w:r>
      <w:r>
        <w:t xml:space="preserve"> </w:t>
      </w:r>
      <w:r>
        <w:fldChar w:fldCharType="begin"/>
      </w:r>
      <w:r w:rsidR="008E2429">
        <w:instrText xml:space="preserve"> ADDIN ZOTERO_ITEM CSL_CITATION {"citationID":"Nu1SEiIb","properties":{"formattedCitation":"Engy El-Kilany and Enas Raoof, \\uc0\\u8216{}Facial Cosmetics in Ancient Egypt\\uc0\\u8217{}, {\\i{}Egyptian Journal of Tourism Studies}, 16 (2017) &lt;https://www.academia.edu/33510332/Facial_Cosmetics_in_Ancient_Egypt_By&gt;.","plainCitation":"Engy El-Kilany and Enas Raoof, ‘Facial Cosmetics in Ancient Egypt’, Egyptian Journal of Tourism Studies, 16 (2017) &lt;https://www.academia.edu/33510332/Facial_Cosmetics_in_Ancient_Egypt_By&gt;.","noteIndex":17},"citationItems":[{"id":16,"uris":["http://zotero.org/users/local/z4CyoNDV/items/IJN49XQ8","http://zotero.org/users/18703416/items/IJN49XQ8"],"itemData":{"id":16,"type":"article-journal","container-title":"Egyptian Journal of Tourism Studies","title":"Facial cosmetics in Ancient Egypt","URL":"https://www.academia.edu/33510332/Facial_Cosmetics_in_Ancient_Egypt_By","volume":"16","author":[{"family":"El-Kilany","given":"Engy"},{"family":"Raoof","given":"Enas"}],"issued":{"date-parts":[["2017"]]}}}],"schema":"https://github.com/citation-style-language/schema/raw/master/csl-citation.json"} </w:instrText>
      </w:r>
      <w:r>
        <w:fldChar w:fldCharType="separate"/>
      </w:r>
      <w:r w:rsidRPr="00AB3CEE">
        <w:rPr>
          <w:rFonts w:cs="Calibri"/>
        </w:rPr>
        <w:t>Engy El-</w:t>
      </w:r>
      <w:proofErr w:type="spellStart"/>
      <w:r w:rsidRPr="00AB3CEE">
        <w:rPr>
          <w:rFonts w:cs="Calibri"/>
        </w:rPr>
        <w:t>Kilany</w:t>
      </w:r>
      <w:proofErr w:type="spellEnd"/>
      <w:r w:rsidRPr="00AB3CEE">
        <w:rPr>
          <w:rFonts w:cs="Calibri"/>
        </w:rPr>
        <w:t xml:space="preserve"> and </w:t>
      </w:r>
      <w:proofErr w:type="spellStart"/>
      <w:r w:rsidRPr="00AB3CEE">
        <w:rPr>
          <w:rFonts w:cs="Calibri"/>
        </w:rPr>
        <w:t>Enas</w:t>
      </w:r>
      <w:proofErr w:type="spellEnd"/>
      <w:r w:rsidRPr="00AB3CEE">
        <w:rPr>
          <w:rFonts w:cs="Calibri"/>
        </w:rPr>
        <w:t xml:space="preserve"> Raoof, ‘Facial Cosmetics in Ancient Egypt</w:t>
      </w:r>
      <w:proofErr w:type="gramStart"/>
      <w:r w:rsidRPr="00AB3CEE">
        <w:rPr>
          <w:rFonts w:cs="Calibri"/>
        </w:rPr>
        <w:t>’,</w:t>
      </w:r>
      <w:proofErr w:type="gramEnd"/>
      <w:r w:rsidRPr="00AB3CEE">
        <w:rPr>
          <w:rFonts w:cs="Calibri"/>
        </w:rPr>
        <w:t xml:space="preserve"> </w:t>
      </w:r>
      <w:r w:rsidRPr="00AB3CEE">
        <w:rPr>
          <w:rFonts w:cs="Calibri"/>
          <w:i/>
          <w:iCs/>
        </w:rPr>
        <w:t>Egyptian Journal of Tourism Studies</w:t>
      </w:r>
      <w:r w:rsidRPr="00AB3CEE">
        <w:rPr>
          <w:rFonts w:cs="Calibri"/>
        </w:rPr>
        <w:t>, 16 (2017) &lt;https://www.academia.edu/33510332/Facial_Cosmetics_in_Ancient_Egypt_By&gt;.</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8135E"/>
    <w:multiLevelType w:val="hybridMultilevel"/>
    <w:tmpl w:val="020E1934"/>
    <w:lvl w:ilvl="0" w:tplc="04090001">
      <w:start w:val="1"/>
      <w:numFmt w:val="bullet"/>
      <w:lvlText w:val=""/>
      <w:lvlJc w:val="left"/>
      <w:pPr>
        <w:ind w:left="405" w:hanging="360"/>
      </w:pPr>
      <w:rPr>
        <w:rFonts w:ascii="Symbol" w:hAnsi="Symbol" w:hint="default"/>
      </w:rPr>
    </w:lvl>
    <w:lvl w:ilvl="1" w:tplc="04090003" w:tentative="1">
      <w:start w:val="1"/>
      <w:numFmt w:val="bullet"/>
      <w:lvlText w:val="o"/>
      <w:lvlJc w:val="left"/>
      <w:pPr>
        <w:ind w:left="1125" w:hanging="360"/>
      </w:pPr>
      <w:rPr>
        <w:rFonts w:ascii="Courier New" w:hAnsi="Courier New" w:cs="Courier New" w:hint="default"/>
      </w:rPr>
    </w:lvl>
    <w:lvl w:ilvl="2" w:tplc="04090005" w:tentative="1">
      <w:start w:val="1"/>
      <w:numFmt w:val="bullet"/>
      <w:lvlText w:val=""/>
      <w:lvlJc w:val="left"/>
      <w:pPr>
        <w:ind w:left="1845" w:hanging="360"/>
      </w:pPr>
      <w:rPr>
        <w:rFonts w:ascii="Wingdings" w:hAnsi="Wingdings" w:hint="default"/>
      </w:rPr>
    </w:lvl>
    <w:lvl w:ilvl="3" w:tplc="04090001" w:tentative="1">
      <w:start w:val="1"/>
      <w:numFmt w:val="bullet"/>
      <w:lvlText w:val=""/>
      <w:lvlJc w:val="left"/>
      <w:pPr>
        <w:ind w:left="2565" w:hanging="360"/>
      </w:pPr>
      <w:rPr>
        <w:rFonts w:ascii="Symbol" w:hAnsi="Symbol" w:hint="default"/>
      </w:rPr>
    </w:lvl>
    <w:lvl w:ilvl="4" w:tplc="04090003" w:tentative="1">
      <w:start w:val="1"/>
      <w:numFmt w:val="bullet"/>
      <w:lvlText w:val="o"/>
      <w:lvlJc w:val="left"/>
      <w:pPr>
        <w:ind w:left="3285" w:hanging="360"/>
      </w:pPr>
      <w:rPr>
        <w:rFonts w:ascii="Courier New" w:hAnsi="Courier New" w:cs="Courier New" w:hint="default"/>
      </w:rPr>
    </w:lvl>
    <w:lvl w:ilvl="5" w:tplc="04090005" w:tentative="1">
      <w:start w:val="1"/>
      <w:numFmt w:val="bullet"/>
      <w:lvlText w:val=""/>
      <w:lvlJc w:val="left"/>
      <w:pPr>
        <w:ind w:left="4005" w:hanging="360"/>
      </w:pPr>
      <w:rPr>
        <w:rFonts w:ascii="Wingdings" w:hAnsi="Wingdings" w:hint="default"/>
      </w:rPr>
    </w:lvl>
    <w:lvl w:ilvl="6" w:tplc="04090001" w:tentative="1">
      <w:start w:val="1"/>
      <w:numFmt w:val="bullet"/>
      <w:lvlText w:val=""/>
      <w:lvlJc w:val="left"/>
      <w:pPr>
        <w:ind w:left="4725" w:hanging="360"/>
      </w:pPr>
      <w:rPr>
        <w:rFonts w:ascii="Symbol" w:hAnsi="Symbol" w:hint="default"/>
      </w:rPr>
    </w:lvl>
    <w:lvl w:ilvl="7" w:tplc="04090003" w:tentative="1">
      <w:start w:val="1"/>
      <w:numFmt w:val="bullet"/>
      <w:lvlText w:val="o"/>
      <w:lvlJc w:val="left"/>
      <w:pPr>
        <w:ind w:left="5445" w:hanging="360"/>
      </w:pPr>
      <w:rPr>
        <w:rFonts w:ascii="Courier New" w:hAnsi="Courier New" w:cs="Courier New" w:hint="default"/>
      </w:rPr>
    </w:lvl>
    <w:lvl w:ilvl="8" w:tplc="04090005" w:tentative="1">
      <w:start w:val="1"/>
      <w:numFmt w:val="bullet"/>
      <w:lvlText w:val=""/>
      <w:lvlJc w:val="left"/>
      <w:pPr>
        <w:ind w:left="6165" w:hanging="360"/>
      </w:pPr>
      <w:rPr>
        <w:rFonts w:ascii="Wingdings" w:hAnsi="Wingdings" w:hint="default"/>
      </w:rPr>
    </w:lvl>
  </w:abstractNum>
  <w:abstractNum w:abstractNumId="1" w15:restartNumberingAfterBreak="0">
    <w:nsid w:val="148272FF"/>
    <w:multiLevelType w:val="hybridMultilevel"/>
    <w:tmpl w:val="DC7ADD0C"/>
    <w:lvl w:ilvl="0" w:tplc="13BEBAC6">
      <w:numFmt w:val="bullet"/>
      <w:lvlText w:val=""/>
      <w:lvlJc w:val="left"/>
      <w:pPr>
        <w:ind w:left="720" w:hanging="360"/>
      </w:pPr>
      <w:rPr>
        <w:rFonts w:ascii="Wingdings" w:eastAsia="Times New Roman" w:hAnsi="Wingdings" w:hint="default"/>
      </w:rPr>
    </w:lvl>
    <w:lvl w:ilvl="1" w:tplc="08090003">
      <w:start w:val="1"/>
      <w:numFmt w:val="decimal"/>
      <w:lvlText w:val="%2."/>
      <w:lvlJc w:val="left"/>
      <w:pPr>
        <w:tabs>
          <w:tab w:val="num" w:pos="1440"/>
        </w:tabs>
        <w:ind w:left="1440" w:hanging="360"/>
      </w:pPr>
      <w:rPr>
        <w:rFonts w:cs="Times New Roman"/>
      </w:rPr>
    </w:lvl>
    <w:lvl w:ilvl="2" w:tplc="08090005">
      <w:start w:val="1"/>
      <w:numFmt w:val="decimal"/>
      <w:lvlText w:val="%3."/>
      <w:lvlJc w:val="left"/>
      <w:pPr>
        <w:tabs>
          <w:tab w:val="num" w:pos="2160"/>
        </w:tabs>
        <w:ind w:left="2160" w:hanging="360"/>
      </w:pPr>
      <w:rPr>
        <w:rFonts w:cs="Times New Roman"/>
      </w:rPr>
    </w:lvl>
    <w:lvl w:ilvl="3" w:tplc="08090001">
      <w:start w:val="1"/>
      <w:numFmt w:val="decimal"/>
      <w:lvlText w:val="%4."/>
      <w:lvlJc w:val="left"/>
      <w:pPr>
        <w:tabs>
          <w:tab w:val="num" w:pos="2880"/>
        </w:tabs>
        <w:ind w:left="2880" w:hanging="360"/>
      </w:pPr>
      <w:rPr>
        <w:rFonts w:cs="Times New Roman"/>
      </w:rPr>
    </w:lvl>
    <w:lvl w:ilvl="4" w:tplc="08090003">
      <w:start w:val="1"/>
      <w:numFmt w:val="decimal"/>
      <w:lvlText w:val="%5."/>
      <w:lvlJc w:val="left"/>
      <w:pPr>
        <w:tabs>
          <w:tab w:val="num" w:pos="3600"/>
        </w:tabs>
        <w:ind w:left="3600" w:hanging="360"/>
      </w:pPr>
      <w:rPr>
        <w:rFonts w:cs="Times New Roman"/>
      </w:rPr>
    </w:lvl>
    <w:lvl w:ilvl="5" w:tplc="08090005">
      <w:start w:val="1"/>
      <w:numFmt w:val="decimal"/>
      <w:lvlText w:val="%6."/>
      <w:lvlJc w:val="left"/>
      <w:pPr>
        <w:tabs>
          <w:tab w:val="num" w:pos="4320"/>
        </w:tabs>
        <w:ind w:left="4320" w:hanging="360"/>
      </w:pPr>
      <w:rPr>
        <w:rFonts w:cs="Times New Roman"/>
      </w:rPr>
    </w:lvl>
    <w:lvl w:ilvl="6" w:tplc="08090001">
      <w:start w:val="1"/>
      <w:numFmt w:val="decimal"/>
      <w:lvlText w:val="%7."/>
      <w:lvlJc w:val="left"/>
      <w:pPr>
        <w:tabs>
          <w:tab w:val="num" w:pos="5040"/>
        </w:tabs>
        <w:ind w:left="5040" w:hanging="360"/>
      </w:pPr>
      <w:rPr>
        <w:rFonts w:cs="Times New Roman"/>
      </w:rPr>
    </w:lvl>
    <w:lvl w:ilvl="7" w:tplc="08090003">
      <w:start w:val="1"/>
      <w:numFmt w:val="decimal"/>
      <w:lvlText w:val="%8."/>
      <w:lvlJc w:val="left"/>
      <w:pPr>
        <w:tabs>
          <w:tab w:val="num" w:pos="5760"/>
        </w:tabs>
        <w:ind w:left="5760" w:hanging="360"/>
      </w:pPr>
      <w:rPr>
        <w:rFonts w:cs="Times New Roman"/>
      </w:rPr>
    </w:lvl>
    <w:lvl w:ilvl="8" w:tplc="08090005">
      <w:start w:val="1"/>
      <w:numFmt w:val="decimal"/>
      <w:lvlText w:val="%9."/>
      <w:lvlJc w:val="left"/>
      <w:pPr>
        <w:tabs>
          <w:tab w:val="num" w:pos="6480"/>
        </w:tabs>
        <w:ind w:left="6480" w:hanging="360"/>
      </w:pPr>
      <w:rPr>
        <w:rFonts w:cs="Times New Roman"/>
      </w:rPr>
    </w:lvl>
  </w:abstractNum>
  <w:abstractNum w:abstractNumId="2" w15:restartNumberingAfterBreak="0">
    <w:nsid w:val="18594975"/>
    <w:multiLevelType w:val="hybridMultilevel"/>
    <w:tmpl w:val="9F80601A"/>
    <w:lvl w:ilvl="0" w:tplc="03E0E512">
      <w:numFmt w:val="bullet"/>
      <w:lvlText w:val=""/>
      <w:lvlJc w:val="left"/>
      <w:pPr>
        <w:ind w:left="720" w:hanging="360"/>
      </w:pPr>
      <w:rPr>
        <w:rFonts w:ascii="Wingdings" w:eastAsia="Times New Roman"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ED1D5F"/>
    <w:multiLevelType w:val="hybridMultilevel"/>
    <w:tmpl w:val="35F459F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A500D3"/>
    <w:multiLevelType w:val="hybridMultilevel"/>
    <w:tmpl w:val="9B383A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5D87BA5"/>
    <w:multiLevelType w:val="multilevel"/>
    <w:tmpl w:val="E8F6D696"/>
    <w:lvl w:ilvl="0">
      <w:start w:val="2"/>
      <w:numFmt w:val="decimal"/>
      <w:lvlText w:val="%1."/>
      <w:lvlJc w:val="left"/>
      <w:pPr>
        <w:tabs>
          <w:tab w:val="num" w:pos="1494"/>
        </w:tabs>
        <w:ind w:left="1494" w:hanging="360"/>
      </w:pPr>
      <w:rPr>
        <w:rFonts w:hint="default"/>
      </w:rPr>
    </w:lvl>
    <w:lvl w:ilvl="1">
      <w:start w:val="1"/>
      <w:numFmt w:val="decimal"/>
      <w:lvlText w:val="%2."/>
      <w:lvlJc w:val="left"/>
      <w:pPr>
        <w:tabs>
          <w:tab w:val="num" w:pos="2214"/>
        </w:tabs>
        <w:ind w:left="2214" w:hanging="360"/>
      </w:pPr>
      <w:rPr>
        <w:rFonts w:hint="default"/>
      </w:rPr>
    </w:lvl>
    <w:lvl w:ilvl="2">
      <w:start w:val="1"/>
      <w:numFmt w:val="decimal"/>
      <w:lvlText w:val="%3."/>
      <w:lvlJc w:val="left"/>
      <w:pPr>
        <w:tabs>
          <w:tab w:val="num" w:pos="2934"/>
        </w:tabs>
        <w:ind w:left="2934" w:hanging="360"/>
      </w:pPr>
      <w:rPr>
        <w:rFonts w:hint="default"/>
      </w:rPr>
    </w:lvl>
    <w:lvl w:ilvl="3">
      <w:start w:val="1"/>
      <w:numFmt w:val="decimal"/>
      <w:lvlText w:val="%4."/>
      <w:lvlJc w:val="left"/>
      <w:pPr>
        <w:tabs>
          <w:tab w:val="num" w:pos="3654"/>
        </w:tabs>
        <w:ind w:left="3654" w:hanging="360"/>
      </w:pPr>
      <w:rPr>
        <w:rFonts w:hint="default"/>
      </w:rPr>
    </w:lvl>
    <w:lvl w:ilvl="4">
      <w:start w:val="1"/>
      <w:numFmt w:val="decimal"/>
      <w:lvlText w:val="%5."/>
      <w:lvlJc w:val="left"/>
      <w:pPr>
        <w:tabs>
          <w:tab w:val="num" w:pos="4374"/>
        </w:tabs>
        <w:ind w:left="4374" w:hanging="360"/>
      </w:pPr>
      <w:rPr>
        <w:rFonts w:hint="default"/>
      </w:rPr>
    </w:lvl>
    <w:lvl w:ilvl="5">
      <w:start w:val="1"/>
      <w:numFmt w:val="decimal"/>
      <w:lvlText w:val="%6."/>
      <w:lvlJc w:val="left"/>
      <w:pPr>
        <w:tabs>
          <w:tab w:val="num" w:pos="5094"/>
        </w:tabs>
        <w:ind w:left="5094" w:hanging="360"/>
      </w:pPr>
      <w:rPr>
        <w:rFonts w:hint="default"/>
      </w:rPr>
    </w:lvl>
    <w:lvl w:ilvl="6">
      <w:start w:val="1"/>
      <w:numFmt w:val="decimal"/>
      <w:lvlText w:val="%7."/>
      <w:lvlJc w:val="left"/>
      <w:pPr>
        <w:tabs>
          <w:tab w:val="num" w:pos="5814"/>
        </w:tabs>
        <w:ind w:left="5814" w:hanging="360"/>
      </w:pPr>
      <w:rPr>
        <w:rFonts w:hint="default"/>
      </w:rPr>
    </w:lvl>
    <w:lvl w:ilvl="7">
      <w:start w:val="1"/>
      <w:numFmt w:val="decimal"/>
      <w:lvlText w:val="%8."/>
      <w:lvlJc w:val="left"/>
      <w:pPr>
        <w:tabs>
          <w:tab w:val="num" w:pos="6534"/>
        </w:tabs>
        <w:ind w:left="6534" w:hanging="360"/>
      </w:pPr>
      <w:rPr>
        <w:rFonts w:hint="default"/>
      </w:rPr>
    </w:lvl>
    <w:lvl w:ilvl="8">
      <w:start w:val="1"/>
      <w:numFmt w:val="decimal"/>
      <w:lvlText w:val="%9."/>
      <w:lvlJc w:val="left"/>
      <w:pPr>
        <w:tabs>
          <w:tab w:val="num" w:pos="7254"/>
        </w:tabs>
        <w:ind w:left="7254" w:hanging="360"/>
      </w:pPr>
      <w:rPr>
        <w:rFonts w:hint="default"/>
      </w:rPr>
    </w:lvl>
  </w:abstractNum>
  <w:abstractNum w:abstractNumId="6" w15:restartNumberingAfterBreak="0">
    <w:nsid w:val="29D2253C"/>
    <w:multiLevelType w:val="hybridMultilevel"/>
    <w:tmpl w:val="6D6C531E"/>
    <w:lvl w:ilvl="0" w:tplc="0409000F">
      <w:start w:val="1"/>
      <w:numFmt w:val="decimal"/>
      <w:lvlText w:val="%1."/>
      <w:lvlJc w:val="left"/>
      <w:pPr>
        <w:ind w:left="720" w:hanging="360"/>
      </w:pPr>
      <w:rPr>
        <w:rFonts w:cs="Times New Roman"/>
      </w:rPr>
    </w:lvl>
    <w:lvl w:ilvl="1" w:tplc="04090019">
      <w:start w:val="1"/>
      <w:numFmt w:val="decimal"/>
      <w:lvlText w:val="%2."/>
      <w:lvlJc w:val="left"/>
      <w:pPr>
        <w:tabs>
          <w:tab w:val="num" w:pos="1440"/>
        </w:tabs>
        <w:ind w:left="1440" w:hanging="360"/>
      </w:pPr>
      <w:rPr>
        <w:rFonts w:cs="Times New Roman"/>
      </w:rPr>
    </w:lvl>
    <w:lvl w:ilvl="2" w:tplc="0409001B">
      <w:start w:val="1"/>
      <w:numFmt w:val="decimal"/>
      <w:lvlText w:val="%3."/>
      <w:lvlJc w:val="left"/>
      <w:pPr>
        <w:tabs>
          <w:tab w:val="num" w:pos="2160"/>
        </w:tabs>
        <w:ind w:left="2160" w:hanging="36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decimal"/>
      <w:lvlText w:val="%5."/>
      <w:lvlJc w:val="left"/>
      <w:pPr>
        <w:tabs>
          <w:tab w:val="num" w:pos="3600"/>
        </w:tabs>
        <w:ind w:left="3600" w:hanging="360"/>
      </w:pPr>
      <w:rPr>
        <w:rFonts w:cs="Times New Roman"/>
      </w:rPr>
    </w:lvl>
    <w:lvl w:ilvl="5" w:tplc="0409001B">
      <w:start w:val="1"/>
      <w:numFmt w:val="decimal"/>
      <w:lvlText w:val="%6."/>
      <w:lvlJc w:val="left"/>
      <w:pPr>
        <w:tabs>
          <w:tab w:val="num" w:pos="4320"/>
        </w:tabs>
        <w:ind w:left="4320" w:hanging="36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decimal"/>
      <w:lvlText w:val="%8."/>
      <w:lvlJc w:val="left"/>
      <w:pPr>
        <w:tabs>
          <w:tab w:val="num" w:pos="5760"/>
        </w:tabs>
        <w:ind w:left="5760" w:hanging="360"/>
      </w:pPr>
      <w:rPr>
        <w:rFonts w:cs="Times New Roman"/>
      </w:rPr>
    </w:lvl>
    <w:lvl w:ilvl="8" w:tplc="0409001B">
      <w:start w:val="1"/>
      <w:numFmt w:val="decimal"/>
      <w:lvlText w:val="%9."/>
      <w:lvlJc w:val="left"/>
      <w:pPr>
        <w:tabs>
          <w:tab w:val="num" w:pos="6480"/>
        </w:tabs>
        <w:ind w:left="6480" w:hanging="360"/>
      </w:pPr>
      <w:rPr>
        <w:rFonts w:cs="Times New Roman"/>
      </w:rPr>
    </w:lvl>
  </w:abstractNum>
  <w:abstractNum w:abstractNumId="7" w15:restartNumberingAfterBreak="0">
    <w:nsid w:val="338707D1"/>
    <w:multiLevelType w:val="hybridMultilevel"/>
    <w:tmpl w:val="172E7CE2"/>
    <w:lvl w:ilvl="0" w:tplc="0409000F">
      <w:start w:val="1"/>
      <w:numFmt w:val="decimal"/>
      <w:lvlText w:val="%1."/>
      <w:lvlJc w:val="left"/>
      <w:pPr>
        <w:ind w:left="993" w:hanging="360"/>
      </w:pPr>
      <w:rPr>
        <w:rFonts w:cs="Times New Roman"/>
      </w:rPr>
    </w:lvl>
    <w:lvl w:ilvl="1" w:tplc="04090019">
      <w:start w:val="1"/>
      <w:numFmt w:val="lowerLetter"/>
      <w:lvlText w:val="%2."/>
      <w:lvlJc w:val="left"/>
      <w:pPr>
        <w:ind w:left="1713" w:hanging="360"/>
      </w:pPr>
      <w:rPr>
        <w:rFonts w:cs="Times New Roman"/>
      </w:rPr>
    </w:lvl>
    <w:lvl w:ilvl="2" w:tplc="0409001B" w:tentative="1">
      <w:start w:val="1"/>
      <w:numFmt w:val="lowerRoman"/>
      <w:lvlText w:val="%3."/>
      <w:lvlJc w:val="right"/>
      <w:pPr>
        <w:ind w:left="2433" w:hanging="180"/>
      </w:pPr>
      <w:rPr>
        <w:rFonts w:cs="Times New Roman"/>
      </w:rPr>
    </w:lvl>
    <w:lvl w:ilvl="3" w:tplc="0409000F" w:tentative="1">
      <w:start w:val="1"/>
      <w:numFmt w:val="decimal"/>
      <w:lvlText w:val="%4."/>
      <w:lvlJc w:val="left"/>
      <w:pPr>
        <w:ind w:left="3153" w:hanging="360"/>
      </w:pPr>
      <w:rPr>
        <w:rFonts w:cs="Times New Roman"/>
      </w:rPr>
    </w:lvl>
    <w:lvl w:ilvl="4" w:tplc="04090019" w:tentative="1">
      <w:start w:val="1"/>
      <w:numFmt w:val="lowerLetter"/>
      <w:lvlText w:val="%5."/>
      <w:lvlJc w:val="left"/>
      <w:pPr>
        <w:ind w:left="3873" w:hanging="360"/>
      </w:pPr>
      <w:rPr>
        <w:rFonts w:cs="Times New Roman"/>
      </w:rPr>
    </w:lvl>
    <w:lvl w:ilvl="5" w:tplc="0409001B" w:tentative="1">
      <w:start w:val="1"/>
      <w:numFmt w:val="lowerRoman"/>
      <w:lvlText w:val="%6."/>
      <w:lvlJc w:val="right"/>
      <w:pPr>
        <w:ind w:left="4593" w:hanging="180"/>
      </w:pPr>
      <w:rPr>
        <w:rFonts w:cs="Times New Roman"/>
      </w:rPr>
    </w:lvl>
    <w:lvl w:ilvl="6" w:tplc="0409000F" w:tentative="1">
      <w:start w:val="1"/>
      <w:numFmt w:val="decimal"/>
      <w:lvlText w:val="%7."/>
      <w:lvlJc w:val="left"/>
      <w:pPr>
        <w:ind w:left="5313" w:hanging="360"/>
      </w:pPr>
      <w:rPr>
        <w:rFonts w:cs="Times New Roman"/>
      </w:rPr>
    </w:lvl>
    <w:lvl w:ilvl="7" w:tplc="04090019" w:tentative="1">
      <w:start w:val="1"/>
      <w:numFmt w:val="lowerLetter"/>
      <w:lvlText w:val="%8."/>
      <w:lvlJc w:val="left"/>
      <w:pPr>
        <w:ind w:left="6033" w:hanging="360"/>
      </w:pPr>
      <w:rPr>
        <w:rFonts w:cs="Times New Roman"/>
      </w:rPr>
    </w:lvl>
    <w:lvl w:ilvl="8" w:tplc="0409001B" w:tentative="1">
      <w:start w:val="1"/>
      <w:numFmt w:val="lowerRoman"/>
      <w:lvlText w:val="%9."/>
      <w:lvlJc w:val="right"/>
      <w:pPr>
        <w:ind w:left="6753" w:hanging="180"/>
      </w:pPr>
      <w:rPr>
        <w:rFonts w:cs="Times New Roman"/>
      </w:rPr>
    </w:lvl>
  </w:abstractNum>
  <w:abstractNum w:abstractNumId="8" w15:restartNumberingAfterBreak="0">
    <w:nsid w:val="343102C7"/>
    <w:multiLevelType w:val="hybridMultilevel"/>
    <w:tmpl w:val="CEE84992"/>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9" w15:restartNumberingAfterBreak="0">
    <w:nsid w:val="45B57AD4"/>
    <w:multiLevelType w:val="hybridMultilevel"/>
    <w:tmpl w:val="D2DA88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80933CF"/>
    <w:multiLevelType w:val="hybridMultilevel"/>
    <w:tmpl w:val="CEE84992"/>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1" w15:restartNumberingAfterBreak="0">
    <w:nsid w:val="54BD2444"/>
    <w:multiLevelType w:val="hybridMultilevel"/>
    <w:tmpl w:val="32427232"/>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2" w15:restartNumberingAfterBreak="0">
    <w:nsid w:val="70344216"/>
    <w:multiLevelType w:val="multilevel"/>
    <w:tmpl w:val="0FA0F18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2C3012B"/>
    <w:multiLevelType w:val="hybridMultilevel"/>
    <w:tmpl w:val="F9AA92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B734ECB"/>
    <w:multiLevelType w:val="hybridMultilevel"/>
    <w:tmpl w:val="4B7C2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172935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80709426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08091132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428695029">
    <w:abstractNumId w:val="2"/>
  </w:num>
  <w:num w:numId="5" w16cid:durableId="1348169644">
    <w:abstractNumId w:val="1"/>
  </w:num>
  <w:num w:numId="6" w16cid:durableId="1997568567">
    <w:abstractNumId w:val="11"/>
  </w:num>
  <w:num w:numId="7" w16cid:durableId="10298528">
    <w:abstractNumId w:val="4"/>
  </w:num>
  <w:num w:numId="8" w16cid:durableId="1082333424">
    <w:abstractNumId w:val="9"/>
  </w:num>
  <w:num w:numId="9" w16cid:durableId="1272130972">
    <w:abstractNumId w:val="13"/>
  </w:num>
  <w:num w:numId="10" w16cid:durableId="1741439977">
    <w:abstractNumId w:val="8"/>
  </w:num>
  <w:num w:numId="11" w16cid:durableId="1748461181">
    <w:abstractNumId w:val="10"/>
  </w:num>
  <w:num w:numId="12" w16cid:durableId="1149177231">
    <w:abstractNumId w:val="0"/>
  </w:num>
  <w:num w:numId="13" w16cid:durableId="629436201">
    <w:abstractNumId w:val="14"/>
  </w:num>
  <w:num w:numId="14" w16cid:durableId="1442458730">
    <w:abstractNumId w:val="3"/>
  </w:num>
  <w:num w:numId="15" w16cid:durableId="1807353489">
    <w:abstractNumId w:val="12"/>
  </w:num>
  <w:num w:numId="16" w16cid:durableId="150682098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349E"/>
    <w:rsid w:val="00032829"/>
    <w:rsid w:val="00037EE3"/>
    <w:rsid w:val="00054480"/>
    <w:rsid w:val="000662E9"/>
    <w:rsid w:val="000A7384"/>
    <w:rsid w:val="000B6F4A"/>
    <w:rsid w:val="000D19FB"/>
    <w:rsid w:val="000F73A6"/>
    <w:rsid w:val="0010789C"/>
    <w:rsid w:val="00123074"/>
    <w:rsid w:val="0017475A"/>
    <w:rsid w:val="001942A5"/>
    <w:rsid w:val="001A3CA5"/>
    <w:rsid w:val="001A5EF2"/>
    <w:rsid w:val="001B2376"/>
    <w:rsid w:val="001D2CC0"/>
    <w:rsid w:val="001F3941"/>
    <w:rsid w:val="00202E81"/>
    <w:rsid w:val="00203D40"/>
    <w:rsid w:val="00225AC6"/>
    <w:rsid w:val="0024155A"/>
    <w:rsid w:val="00242F36"/>
    <w:rsid w:val="0024441F"/>
    <w:rsid w:val="00244AC1"/>
    <w:rsid w:val="00245058"/>
    <w:rsid w:val="002B4CA1"/>
    <w:rsid w:val="002B7FB8"/>
    <w:rsid w:val="002C4ECA"/>
    <w:rsid w:val="002D630C"/>
    <w:rsid w:val="002E7CF0"/>
    <w:rsid w:val="002F20A1"/>
    <w:rsid w:val="003033D6"/>
    <w:rsid w:val="00346781"/>
    <w:rsid w:val="0035045F"/>
    <w:rsid w:val="00386F17"/>
    <w:rsid w:val="00387DA3"/>
    <w:rsid w:val="00392CC7"/>
    <w:rsid w:val="003A01FF"/>
    <w:rsid w:val="003C7BB2"/>
    <w:rsid w:val="003F183F"/>
    <w:rsid w:val="0040054F"/>
    <w:rsid w:val="00421257"/>
    <w:rsid w:val="0042349E"/>
    <w:rsid w:val="00440431"/>
    <w:rsid w:val="004538B1"/>
    <w:rsid w:val="0046562C"/>
    <w:rsid w:val="00474268"/>
    <w:rsid w:val="00474D84"/>
    <w:rsid w:val="00480A92"/>
    <w:rsid w:val="004A4050"/>
    <w:rsid w:val="004A5E0B"/>
    <w:rsid w:val="004B39CF"/>
    <w:rsid w:val="004D537B"/>
    <w:rsid w:val="004E7C54"/>
    <w:rsid w:val="004F7F20"/>
    <w:rsid w:val="00501625"/>
    <w:rsid w:val="00501954"/>
    <w:rsid w:val="0053520B"/>
    <w:rsid w:val="00540B11"/>
    <w:rsid w:val="005512B9"/>
    <w:rsid w:val="00554F45"/>
    <w:rsid w:val="005574E9"/>
    <w:rsid w:val="005965FC"/>
    <w:rsid w:val="005B15D7"/>
    <w:rsid w:val="005B5C5F"/>
    <w:rsid w:val="005C6B32"/>
    <w:rsid w:val="005D7A08"/>
    <w:rsid w:val="005D7E2B"/>
    <w:rsid w:val="005E798E"/>
    <w:rsid w:val="005F0008"/>
    <w:rsid w:val="006303CB"/>
    <w:rsid w:val="0065066D"/>
    <w:rsid w:val="006630B3"/>
    <w:rsid w:val="00683BCF"/>
    <w:rsid w:val="006B50E5"/>
    <w:rsid w:val="006B5FFB"/>
    <w:rsid w:val="006C2959"/>
    <w:rsid w:val="006D6188"/>
    <w:rsid w:val="006E48FB"/>
    <w:rsid w:val="006F6DD6"/>
    <w:rsid w:val="006F78A3"/>
    <w:rsid w:val="00707A4E"/>
    <w:rsid w:val="0071497A"/>
    <w:rsid w:val="007263E0"/>
    <w:rsid w:val="00737FE6"/>
    <w:rsid w:val="007421FD"/>
    <w:rsid w:val="00782192"/>
    <w:rsid w:val="00786047"/>
    <w:rsid w:val="0078726A"/>
    <w:rsid w:val="00791BA2"/>
    <w:rsid w:val="007B390E"/>
    <w:rsid w:val="007B6A17"/>
    <w:rsid w:val="007C1CB0"/>
    <w:rsid w:val="007C7A94"/>
    <w:rsid w:val="007D330C"/>
    <w:rsid w:val="007F5603"/>
    <w:rsid w:val="007F6253"/>
    <w:rsid w:val="0083422B"/>
    <w:rsid w:val="0083537B"/>
    <w:rsid w:val="008475E4"/>
    <w:rsid w:val="008548E3"/>
    <w:rsid w:val="0085500C"/>
    <w:rsid w:val="008626D8"/>
    <w:rsid w:val="00865590"/>
    <w:rsid w:val="00867CC4"/>
    <w:rsid w:val="0087120C"/>
    <w:rsid w:val="00885B73"/>
    <w:rsid w:val="00897458"/>
    <w:rsid w:val="008A5209"/>
    <w:rsid w:val="008B176D"/>
    <w:rsid w:val="008C6772"/>
    <w:rsid w:val="008E2429"/>
    <w:rsid w:val="008F1809"/>
    <w:rsid w:val="008F7673"/>
    <w:rsid w:val="008F77D1"/>
    <w:rsid w:val="00902FC6"/>
    <w:rsid w:val="009245AD"/>
    <w:rsid w:val="00937F5D"/>
    <w:rsid w:val="00947B27"/>
    <w:rsid w:val="00977F16"/>
    <w:rsid w:val="009809EB"/>
    <w:rsid w:val="00983E8A"/>
    <w:rsid w:val="009927ED"/>
    <w:rsid w:val="009939F7"/>
    <w:rsid w:val="009B1D7F"/>
    <w:rsid w:val="009C09E0"/>
    <w:rsid w:val="009D60E1"/>
    <w:rsid w:val="00A32E36"/>
    <w:rsid w:val="00A621B6"/>
    <w:rsid w:val="00A6580F"/>
    <w:rsid w:val="00A66B3C"/>
    <w:rsid w:val="00A9000E"/>
    <w:rsid w:val="00A958B5"/>
    <w:rsid w:val="00AB3CEE"/>
    <w:rsid w:val="00AD681C"/>
    <w:rsid w:val="00B62943"/>
    <w:rsid w:val="00B81D53"/>
    <w:rsid w:val="00B901C4"/>
    <w:rsid w:val="00BA649B"/>
    <w:rsid w:val="00BC4C90"/>
    <w:rsid w:val="00BE2B63"/>
    <w:rsid w:val="00BE482A"/>
    <w:rsid w:val="00BE7908"/>
    <w:rsid w:val="00BF59C9"/>
    <w:rsid w:val="00C05101"/>
    <w:rsid w:val="00C352B5"/>
    <w:rsid w:val="00C413EC"/>
    <w:rsid w:val="00C43A3A"/>
    <w:rsid w:val="00C623FF"/>
    <w:rsid w:val="00C81EF0"/>
    <w:rsid w:val="00C83303"/>
    <w:rsid w:val="00CA0AAA"/>
    <w:rsid w:val="00CC0486"/>
    <w:rsid w:val="00CC0797"/>
    <w:rsid w:val="00CC4553"/>
    <w:rsid w:val="00CD155C"/>
    <w:rsid w:val="00D034D4"/>
    <w:rsid w:val="00D11B43"/>
    <w:rsid w:val="00D1657B"/>
    <w:rsid w:val="00D353B8"/>
    <w:rsid w:val="00D4545F"/>
    <w:rsid w:val="00D467D7"/>
    <w:rsid w:val="00D57F01"/>
    <w:rsid w:val="00D72D8B"/>
    <w:rsid w:val="00D77701"/>
    <w:rsid w:val="00D81B3A"/>
    <w:rsid w:val="00D914F9"/>
    <w:rsid w:val="00D96050"/>
    <w:rsid w:val="00D9706E"/>
    <w:rsid w:val="00D971BB"/>
    <w:rsid w:val="00DA0C10"/>
    <w:rsid w:val="00DA5865"/>
    <w:rsid w:val="00DA61A8"/>
    <w:rsid w:val="00DB2A60"/>
    <w:rsid w:val="00DC167B"/>
    <w:rsid w:val="00DE1244"/>
    <w:rsid w:val="00DE1BD7"/>
    <w:rsid w:val="00DF6473"/>
    <w:rsid w:val="00E2058F"/>
    <w:rsid w:val="00E6756F"/>
    <w:rsid w:val="00E811AC"/>
    <w:rsid w:val="00EB5ECA"/>
    <w:rsid w:val="00EE0DB0"/>
    <w:rsid w:val="00EF1395"/>
    <w:rsid w:val="00F03596"/>
    <w:rsid w:val="00F21B84"/>
    <w:rsid w:val="00F24890"/>
    <w:rsid w:val="00F4709F"/>
    <w:rsid w:val="00F7411A"/>
    <w:rsid w:val="00F85BFA"/>
    <w:rsid w:val="00F90E66"/>
    <w:rsid w:val="00FA3FEB"/>
    <w:rsid w:val="00FC122B"/>
    <w:rsid w:val="00FC622A"/>
    <w:rsid w:val="00FE7C7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FDBCB87"/>
  <w15:docId w15:val="{D9A51D26-A67B-4B3F-AE70-CE6F9F6EE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15D7"/>
    <w:pPr>
      <w:spacing w:after="200" w:line="276" w:lineRule="auto"/>
    </w:pPr>
    <w:rPr>
      <w:sz w:val="22"/>
      <w:szCs w:val="22"/>
      <w:lang w:val="en-US" w:eastAsia="en-US"/>
    </w:rPr>
  </w:style>
  <w:style w:type="paragraph" w:styleId="Heading1">
    <w:name w:val="heading 1"/>
    <w:basedOn w:val="Normal"/>
    <w:next w:val="Normal"/>
    <w:link w:val="Heading1Char"/>
    <w:uiPriority w:val="9"/>
    <w:qFormat/>
    <w:rsid w:val="0042349E"/>
    <w:pPr>
      <w:keepNext/>
      <w:keepLines/>
      <w:spacing w:before="480" w:after="0"/>
      <w:outlineLvl w:val="0"/>
    </w:pPr>
    <w:rPr>
      <w:rFonts w:ascii="Cambria" w:hAnsi="Cambria"/>
      <w:b/>
      <w:bCs/>
      <w:color w:val="365F91"/>
      <w:sz w:val="28"/>
      <w:szCs w:val="28"/>
    </w:rPr>
  </w:style>
  <w:style w:type="paragraph" w:styleId="Heading2">
    <w:name w:val="heading 2"/>
    <w:basedOn w:val="Normal"/>
    <w:next w:val="Normal"/>
    <w:link w:val="Heading2Char"/>
    <w:uiPriority w:val="9"/>
    <w:unhideWhenUsed/>
    <w:qFormat/>
    <w:rsid w:val="00C413E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0662E9"/>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locked/>
    <w:rsid w:val="0042349E"/>
    <w:rPr>
      <w:rFonts w:ascii="Cambria" w:hAnsi="Cambria" w:cs="Times New Roman"/>
      <w:b/>
      <w:bCs/>
      <w:color w:val="365F91"/>
      <w:sz w:val="28"/>
      <w:szCs w:val="28"/>
    </w:rPr>
  </w:style>
  <w:style w:type="paragraph" w:styleId="ListParagraph">
    <w:name w:val="List Paragraph"/>
    <w:basedOn w:val="Normal"/>
    <w:uiPriority w:val="34"/>
    <w:qFormat/>
    <w:rsid w:val="0042349E"/>
    <w:pPr>
      <w:ind w:left="720"/>
      <w:contextualSpacing/>
    </w:pPr>
  </w:style>
  <w:style w:type="paragraph" w:customStyle="1" w:styleId="heading">
    <w:name w:val="heading"/>
    <w:basedOn w:val="Normal"/>
    <w:rsid w:val="0042349E"/>
    <w:pPr>
      <w:tabs>
        <w:tab w:val="left" w:pos="720"/>
        <w:tab w:val="left" w:pos="1440"/>
        <w:tab w:val="left" w:pos="2160"/>
        <w:tab w:val="left" w:pos="2880"/>
      </w:tabs>
      <w:spacing w:before="240" w:after="120" w:line="240" w:lineRule="auto"/>
      <w:ind w:left="3600" w:hanging="3600"/>
    </w:pPr>
    <w:rPr>
      <w:rFonts w:ascii="Times New Roman" w:hAnsi="Times New Roman"/>
      <w:b/>
      <w:sz w:val="24"/>
      <w:szCs w:val="20"/>
      <w:lang w:val="en-GB" w:eastAsia="en-GB"/>
    </w:rPr>
  </w:style>
  <w:style w:type="character" w:styleId="Hyperlink">
    <w:name w:val="Hyperlink"/>
    <w:basedOn w:val="DefaultParagraphFont"/>
    <w:uiPriority w:val="99"/>
    <w:rsid w:val="00480A92"/>
    <w:rPr>
      <w:rFonts w:cs="Times New Roman"/>
      <w:color w:val="0000FF"/>
      <w:u w:val="single"/>
    </w:rPr>
  </w:style>
  <w:style w:type="paragraph" w:styleId="BalloonText">
    <w:name w:val="Balloon Text"/>
    <w:basedOn w:val="Normal"/>
    <w:link w:val="BalloonTextChar"/>
    <w:uiPriority w:val="99"/>
    <w:semiHidden/>
    <w:unhideWhenUsed/>
    <w:rsid w:val="00C352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C352B5"/>
    <w:rPr>
      <w:rFonts w:ascii="Tahoma" w:hAnsi="Tahoma" w:cs="Tahoma"/>
      <w:sz w:val="16"/>
      <w:szCs w:val="16"/>
    </w:rPr>
  </w:style>
  <w:style w:type="character" w:styleId="CommentReference">
    <w:name w:val="annotation reference"/>
    <w:basedOn w:val="DefaultParagraphFont"/>
    <w:uiPriority w:val="99"/>
    <w:semiHidden/>
    <w:unhideWhenUsed/>
    <w:rsid w:val="00B62943"/>
    <w:rPr>
      <w:sz w:val="16"/>
      <w:szCs w:val="16"/>
    </w:rPr>
  </w:style>
  <w:style w:type="paragraph" w:styleId="CommentText">
    <w:name w:val="annotation text"/>
    <w:basedOn w:val="Normal"/>
    <w:link w:val="CommentTextChar"/>
    <w:uiPriority w:val="99"/>
    <w:semiHidden/>
    <w:unhideWhenUsed/>
    <w:rsid w:val="00B62943"/>
    <w:rPr>
      <w:sz w:val="20"/>
      <w:szCs w:val="20"/>
    </w:rPr>
  </w:style>
  <w:style w:type="character" w:customStyle="1" w:styleId="CommentTextChar">
    <w:name w:val="Comment Text Char"/>
    <w:basedOn w:val="DefaultParagraphFont"/>
    <w:link w:val="CommentText"/>
    <w:uiPriority w:val="99"/>
    <w:semiHidden/>
    <w:rsid w:val="00B62943"/>
    <w:rPr>
      <w:lang w:val="en-US" w:eastAsia="en-US"/>
    </w:rPr>
  </w:style>
  <w:style w:type="paragraph" w:styleId="CommentSubject">
    <w:name w:val="annotation subject"/>
    <w:basedOn w:val="CommentText"/>
    <w:next w:val="CommentText"/>
    <w:link w:val="CommentSubjectChar"/>
    <w:uiPriority w:val="99"/>
    <w:semiHidden/>
    <w:unhideWhenUsed/>
    <w:rsid w:val="00B62943"/>
    <w:rPr>
      <w:b/>
      <w:bCs/>
    </w:rPr>
  </w:style>
  <w:style w:type="character" w:customStyle="1" w:styleId="CommentSubjectChar">
    <w:name w:val="Comment Subject Char"/>
    <w:basedOn w:val="CommentTextChar"/>
    <w:link w:val="CommentSubject"/>
    <w:uiPriority w:val="99"/>
    <w:semiHidden/>
    <w:rsid w:val="00B62943"/>
    <w:rPr>
      <w:b/>
      <w:bCs/>
      <w:lang w:val="en-US" w:eastAsia="en-US"/>
    </w:rPr>
  </w:style>
  <w:style w:type="character" w:customStyle="1" w:styleId="Heading4Char">
    <w:name w:val="Heading 4 Char"/>
    <w:basedOn w:val="DefaultParagraphFont"/>
    <w:link w:val="Heading4"/>
    <w:uiPriority w:val="9"/>
    <w:semiHidden/>
    <w:rsid w:val="000662E9"/>
    <w:rPr>
      <w:rFonts w:asciiTheme="majorHAnsi" w:eastAsiaTheme="majorEastAsia" w:hAnsiTheme="majorHAnsi" w:cstheme="majorBidi"/>
      <w:i/>
      <w:iCs/>
      <w:color w:val="365F91" w:themeColor="accent1" w:themeShade="BF"/>
      <w:sz w:val="22"/>
      <w:szCs w:val="22"/>
      <w:lang w:val="en-US" w:eastAsia="en-US"/>
    </w:rPr>
  </w:style>
  <w:style w:type="character" w:customStyle="1" w:styleId="Heading2Char">
    <w:name w:val="Heading 2 Char"/>
    <w:basedOn w:val="DefaultParagraphFont"/>
    <w:link w:val="Heading2"/>
    <w:uiPriority w:val="9"/>
    <w:rsid w:val="00C413EC"/>
    <w:rPr>
      <w:rFonts w:asciiTheme="majorHAnsi" w:eastAsiaTheme="majorEastAsia" w:hAnsiTheme="majorHAnsi" w:cstheme="majorBidi"/>
      <w:color w:val="365F91" w:themeColor="accent1" w:themeShade="BF"/>
      <w:sz w:val="26"/>
      <w:szCs w:val="26"/>
      <w:lang w:val="en-US" w:eastAsia="en-US"/>
    </w:rPr>
  </w:style>
  <w:style w:type="character" w:styleId="FollowedHyperlink">
    <w:name w:val="FollowedHyperlink"/>
    <w:basedOn w:val="DefaultParagraphFont"/>
    <w:uiPriority w:val="99"/>
    <w:semiHidden/>
    <w:unhideWhenUsed/>
    <w:rsid w:val="00BF59C9"/>
    <w:rPr>
      <w:color w:val="800080" w:themeColor="followedHyperlink"/>
      <w:u w:val="single"/>
    </w:rPr>
  </w:style>
  <w:style w:type="paragraph" w:styleId="FootnoteText">
    <w:name w:val="footnote text"/>
    <w:basedOn w:val="Normal"/>
    <w:link w:val="FootnoteTextChar"/>
    <w:uiPriority w:val="99"/>
    <w:semiHidden/>
    <w:unhideWhenUsed/>
    <w:rsid w:val="00FC122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C122B"/>
    <w:rPr>
      <w:lang w:val="en-US" w:eastAsia="en-US"/>
    </w:rPr>
  </w:style>
  <w:style w:type="character" w:styleId="FootnoteReference">
    <w:name w:val="footnote reference"/>
    <w:basedOn w:val="DefaultParagraphFont"/>
    <w:uiPriority w:val="99"/>
    <w:semiHidden/>
    <w:unhideWhenUsed/>
    <w:rsid w:val="00FC122B"/>
    <w:rPr>
      <w:vertAlign w:val="superscript"/>
    </w:rPr>
  </w:style>
  <w:style w:type="paragraph" w:styleId="Bibliography">
    <w:name w:val="Bibliography"/>
    <w:basedOn w:val="Normal"/>
    <w:next w:val="Normal"/>
    <w:uiPriority w:val="37"/>
    <w:unhideWhenUsed/>
    <w:rsid w:val="000F73A6"/>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064912">
      <w:bodyDiv w:val="1"/>
      <w:marLeft w:val="0"/>
      <w:marRight w:val="0"/>
      <w:marTop w:val="0"/>
      <w:marBottom w:val="0"/>
      <w:divBdr>
        <w:top w:val="none" w:sz="0" w:space="0" w:color="auto"/>
        <w:left w:val="none" w:sz="0" w:space="0" w:color="auto"/>
        <w:bottom w:val="none" w:sz="0" w:space="0" w:color="auto"/>
        <w:right w:val="none" w:sz="0" w:space="0" w:color="auto"/>
      </w:divBdr>
    </w:div>
    <w:div w:id="71465029">
      <w:bodyDiv w:val="1"/>
      <w:marLeft w:val="0"/>
      <w:marRight w:val="0"/>
      <w:marTop w:val="0"/>
      <w:marBottom w:val="0"/>
      <w:divBdr>
        <w:top w:val="none" w:sz="0" w:space="0" w:color="auto"/>
        <w:left w:val="none" w:sz="0" w:space="0" w:color="auto"/>
        <w:bottom w:val="none" w:sz="0" w:space="0" w:color="auto"/>
        <w:right w:val="none" w:sz="0" w:space="0" w:color="auto"/>
      </w:divBdr>
    </w:div>
    <w:div w:id="1930578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cc2a01c6ad976220a35ac2fc43ecf680">
  <xsd:schema xmlns:xsd="http://www.w3.org/2001/XMLSchema" xmlns:xs="http://www.w3.org/2001/XMLSchema" xmlns:p="http://schemas.microsoft.com/office/2006/metadata/properties" xmlns:ns3="0085e1a2-9cbf-4b92-866b-21f3c89040b6" targetNamespace="http://schemas.microsoft.com/office/2006/metadata/properties" ma:root="true" ma:fieldsID="50fae878355eb6df3fe3beaec547e7e3"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46112253-510B-4634-9782-EAF48233F4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841791-5BE3-4902-B55A-B3213F048AAF}">
  <ds:schemaRefs>
    <ds:schemaRef ds:uri="http://schemas.microsoft.com/sharepoint/v3/contenttype/forms"/>
  </ds:schemaRefs>
</ds:datastoreItem>
</file>

<file path=customXml/itemProps3.xml><?xml version="1.0" encoding="utf-8"?>
<ds:datastoreItem xmlns:ds="http://schemas.openxmlformats.org/officeDocument/2006/customXml" ds:itemID="{85B40C59-A347-4CB0-8549-D9CD44BD4528}">
  <ds:schemaRefs>
    <ds:schemaRef ds:uri="http://schemas.microsoft.com/office/2006/metadata/properties"/>
    <ds:schemaRef ds:uri="http://purl.org/dc/elements/1.1/"/>
    <ds:schemaRef ds:uri="http://schemas.microsoft.com/office/infopath/2007/PartnerControls"/>
    <ds:schemaRef ds:uri="http://purl.org/dc/terms/"/>
    <ds:schemaRef ds:uri="http://schemas.microsoft.com/office/2006/documentManagement/types"/>
    <ds:schemaRef ds:uri="0085e1a2-9cbf-4b92-866b-21f3c89040b6"/>
    <ds:schemaRef ds:uri="http://purl.org/dc/dcmitype/"/>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1129</Words>
  <Characters>6439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Katharina</dc:creator>
  <cp:lastModifiedBy>Kip Williams (2400515)</cp:lastModifiedBy>
  <cp:revision>2</cp:revision>
  <dcterms:created xsi:type="dcterms:W3CDTF">2025-11-02T23:12:00Z</dcterms:created>
  <dcterms:modified xsi:type="dcterms:W3CDTF">2025-11-02T23:12:00Z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y fmtid="{D5CDD505-2E9C-101B-9397-08002B2CF9AE}" pid="3" name="ZOTERO_PREF_1">
    <vt:lpwstr>&lt;data data-version="3" zotero-version="7.0.27"&gt;&lt;session id="NJUOjhpO"/&gt;&lt;style id="http://www.zotero.org/styles/modern-humanities-research-association-notes" hasBibliography="1" bibliographyStyleHasBeenSet="1"/&gt;&lt;prefs&gt;&lt;pref name="fieldType" value="Field"/&gt;</vt:lpwstr>
  </property>
  <property fmtid="{D5CDD505-2E9C-101B-9397-08002B2CF9AE}" pid="4" name="ZOTERO_PREF_2">
    <vt:lpwstr>&lt;pref name="automaticJournalAbbreviations" value="true"/&gt;&lt;pref name="noteType" value="1"/&gt;&lt;/prefs&gt;&lt;/data&gt;</vt:lpwstr>
  </property>
</Properties>
</file>