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7489658"/>
        <w:docPartObj>
          <w:docPartGallery w:val="Cover Pages"/>
          <w:docPartUnique/>
        </w:docPartObj>
      </w:sdtPr>
      <w:sdtEndPr/>
      <w:sdtContent>
        <w:p w14:paraId="4EB548EE" w14:textId="59DE693F" w:rsidR="0011499A" w:rsidRDefault="0011499A"/>
        <w:p w14:paraId="1345AE48" w14:textId="4DE07CE8" w:rsidR="0011499A" w:rsidRDefault="0011499A">
          <w:r>
            <w:rPr>
              <w:noProof/>
            </w:rPr>
            <mc:AlternateContent>
              <mc:Choice Requires="wpg">
                <w:drawing>
                  <wp:anchor distT="0" distB="0" distL="114300" distR="114300" simplePos="0" relativeHeight="251659264" behindDoc="1" locked="0" layoutInCell="1" allowOverlap="1" wp14:anchorId="0BB681AA" wp14:editId="7398FFB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93F060" w14:textId="04E51A3D" w:rsidR="0011499A" w:rsidRDefault="00CA3CAB">
                                  <w:pPr>
                                    <w:rPr>
                                      <w:color w:val="FFFFFF" w:themeColor="background1"/>
                                      <w:sz w:val="72"/>
                                      <w:szCs w:val="72"/>
                                    </w:rPr>
                                  </w:pPr>
                                  <w:r>
                                    <w:rPr>
                                      <w:color w:val="FFFFFF" w:themeColor="background1"/>
                                      <w:sz w:val="72"/>
                                      <w:szCs w:val="72"/>
                                    </w:rPr>
                                    <w:t>Research and Skills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BB681AA"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93F060" w14:textId="04E51A3D" w:rsidR="0011499A" w:rsidRDefault="00CA3CAB">
                            <w:pPr>
                              <w:rPr>
                                <w:color w:val="FFFFFF" w:themeColor="background1"/>
                                <w:sz w:val="72"/>
                                <w:szCs w:val="72"/>
                              </w:rPr>
                            </w:pPr>
                            <w:r>
                              <w:rPr>
                                <w:color w:val="FFFFFF" w:themeColor="background1"/>
                                <w:sz w:val="72"/>
                                <w:szCs w:val="72"/>
                              </w:rPr>
                              <w:t>Research and Skills</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F980393" wp14:editId="15CDF97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254D9" w14:textId="2595C3E6" w:rsidR="0011499A" w:rsidRDefault="00855C1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03E3E">
                                      <w:rPr>
                                        <w:caps/>
                                        <w:color w:val="7F7F7F" w:themeColor="text1" w:themeTint="80"/>
                                        <w:sz w:val="18"/>
                                        <w:szCs w:val="18"/>
                                      </w:rPr>
                                      <w:t>Peter taylor</w:t>
                                    </w:r>
                                  </w:sdtContent>
                                </w:sdt>
                                <w:r w:rsidR="0011499A">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F98039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BC254D9" w14:textId="2595C3E6" w:rsidR="0011499A" w:rsidRDefault="00855C1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03E3E">
                                <w:rPr>
                                  <w:caps/>
                                  <w:color w:val="7F7F7F" w:themeColor="text1" w:themeTint="80"/>
                                  <w:sz w:val="18"/>
                                  <w:szCs w:val="18"/>
                                </w:rPr>
                                <w:t>Peter taylor</w:t>
                              </w:r>
                            </w:sdtContent>
                          </w:sdt>
                          <w:r w:rsidR="0011499A">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9E73221" wp14:editId="557AD9C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9892BA4" w14:textId="15889F2F" w:rsidR="0011499A" w:rsidRDefault="0011499A">
                                    <w:pPr>
                                      <w:pStyle w:val="NoSpacing"/>
                                      <w:spacing w:before="40" w:after="40"/>
                                      <w:rPr>
                                        <w:caps/>
                                        <w:color w:val="4472C4" w:themeColor="accent1"/>
                                        <w:sz w:val="28"/>
                                        <w:szCs w:val="28"/>
                                      </w:rPr>
                                    </w:pPr>
                                    <w:r>
                                      <w:rPr>
                                        <w:caps/>
                                        <w:color w:val="4472C4" w:themeColor="accent1"/>
                                        <w:sz w:val="28"/>
                                        <w:szCs w:val="28"/>
                                      </w:rPr>
                                      <w:t xml:space="preserve">HNC Electrical and electronic engineering </w:t>
                                    </w:r>
                                    <w:r w:rsidR="00003E3E">
                                      <w:rPr>
                                        <w:caps/>
                                        <w:color w:val="4472C4" w:themeColor="accent1"/>
                                        <w:sz w:val="28"/>
                                        <w:szCs w:val="28"/>
                                      </w:rPr>
                                      <w:t>–</w:t>
                                    </w:r>
                                    <w:r>
                                      <w:rPr>
                                        <w:caps/>
                                        <w:color w:val="4472C4" w:themeColor="accent1"/>
                                        <w:sz w:val="28"/>
                                        <w:szCs w:val="28"/>
                                      </w:rPr>
                                      <w:t xml:space="preserve"> </w:t>
                                    </w:r>
                                    <w:r w:rsidR="00003E3E">
                                      <w:rPr>
                                        <w:caps/>
                                        <w:color w:val="4472C4" w:themeColor="accent1"/>
                                        <w:sz w:val="28"/>
                                        <w:szCs w:val="28"/>
                                      </w:rPr>
                                      <w:t>Research, study and presentation skills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5BEEF8" w14:textId="1829807E" w:rsidR="0011499A" w:rsidRDefault="00003E3E">
                                    <w:pPr>
                                      <w:pStyle w:val="NoSpacing"/>
                                      <w:spacing w:before="40" w:after="40"/>
                                      <w:rPr>
                                        <w:caps/>
                                        <w:color w:val="5B9BD5" w:themeColor="accent5"/>
                                        <w:sz w:val="24"/>
                                        <w:szCs w:val="24"/>
                                      </w:rPr>
                                    </w:pPr>
                                    <w:r>
                                      <w:rPr>
                                        <w:caps/>
                                        <w:color w:val="5B9BD5" w:themeColor="accent5"/>
                                        <w:sz w:val="24"/>
                                        <w:szCs w:val="24"/>
                                      </w:rPr>
                                      <w:t>Chloe Price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9E7322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9892BA4" w14:textId="15889F2F" w:rsidR="0011499A" w:rsidRDefault="0011499A">
                              <w:pPr>
                                <w:pStyle w:val="NoSpacing"/>
                                <w:spacing w:before="40" w:after="40"/>
                                <w:rPr>
                                  <w:caps/>
                                  <w:color w:val="4472C4" w:themeColor="accent1"/>
                                  <w:sz w:val="28"/>
                                  <w:szCs w:val="28"/>
                                </w:rPr>
                              </w:pPr>
                              <w:r>
                                <w:rPr>
                                  <w:caps/>
                                  <w:color w:val="4472C4" w:themeColor="accent1"/>
                                  <w:sz w:val="28"/>
                                  <w:szCs w:val="28"/>
                                </w:rPr>
                                <w:t xml:space="preserve">HNC Electrical and electronic engineering </w:t>
                              </w:r>
                              <w:r w:rsidR="00003E3E">
                                <w:rPr>
                                  <w:caps/>
                                  <w:color w:val="4472C4" w:themeColor="accent1"/>
                                  <w:sz w:val="28"/>
                                  <w:szCs w:val="28"/>
                                </w:rPr>
                                <w:t>–</w:t>
                              </w:r>
                              <w:r>
                                <w:rPr>
                                  <w:caps/>
                                  <w:color w:val="4472C4" w:themeColor="accent1"/>
                                  <w:sz w:val="28"/>
                                  <w:szCs w:val="28"/>
                                </w:rPr>
                                <w:t xml:space="preserve"> </w:t>
                              </w:r>
                              <w:r w:rsidR="00003E3E">
                                <w:rPr>
                                  <w:caps/>
                                  <w:color w:val="4472C4" w:themeColor="accent1"/>
                                  <w:sz w:val="28"/>
                                  <w:szCs w:val="28"/>
                                </w:rPr>
                                <w:t>Research, study and presentation skills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5BEEF8" w14:textId="1829807E" w:rsidR="0011499A" w:rsidRDefault="00003E3E">
                              <w:pPr>
                                <w:pStyle w:val="NoSpacing"/>
                                <w:spacing w:before="40" w:after="40"/>
                                <w:rPr>
                                  <w:caps/>
                                  <w:color w:val="5B9BD5" w:themeColor="accent5"/>
                                  <w:sz w:val="24"/>
                                  <w:szCs w:val="24"/>
                                </w:rPr>
                              </w:pPr>
                              <w:r>
                                <w:rPr>
                                  <w:caps/>
                                  <w:color w:val="5B9BD5" w:themeColor="accent5"/>
                                  <w:sz w:val="24"/>
                                  <w:szCs w:val="24"/>
                                </w:rPr>
                                <w:t>Chloe Price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502880E" wp14:editId="2D2A613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201BCEF" w14:textId="5BE165C3" w:rsidR="0011499A" w:rsidRDefault="0011499A">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502880E"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201BCEF" w14:textId="5BE165C3" w:rsidR="0011499A" w:rsidRDefault="0011499A">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302525869"/>
        <w:docPartObj>
          <w:docPartGallery w:val="Table of Contents"/>
          <w:docPartUnique/>
        </w:docPartObj>
      </w:sdtPr>
      <w:sdtEndPr>
        <w:rPr>
          <w:rFonts w:ascii="Arial" w:eastAsia="Times New Roman" w:hAnsi="Arial" w:cs="Arial"/>
          <w:b/>
          <w:bCs/>
          <w:noProof/>
          <w:sz w:val="24"/>
          <w:szCs w:val="24"/>
        </w:rPr>
      </w:sdtEndPr>
      <w:sdtContent>
        <w:p w14:paraId="6A96E33F" w14:textId="17EC2409" w:rsidR="0011499A" w:rsidRDefault="0011499A" w:rsidP="00367ECF">
          <w:pPr>
            <w:pStyle w:val="TOCHeading"/>
            <w:spacing w:line="360" w:lineRule="auto"/>
          </w:pPr>
          <w:r>
            <w:t>Contents</w:t>
          </w:r>
        </w:p>
        <w:p w14:paraId="5E01AB28" w14:textId="54A27D6B" w:rsidR="00176A27" w:rsidRPr="00176A27" w:rsidRDefault="0011499A">
          <w:pPr>
            <w:pStyle w:val="TOC1"/>
            <w:tabs>
              <w:tab w:val="right" w:leader="dot" w:pos="9016"/>
            </w:tabs>
            <w:rPr>
              <w:rFonts w:ascii="Arial" w:eastAsiaTheme="minorEastAsia" w:hAnsi="Arial" w:cs="Arial"/>
              <w:noProof/>
              <w:sz w:val="22"/>
              <w:szCs w:val="22"/>
            </w:rPr>
          </w:pPr>
          <w:r w:rsidRPr="00A44D7C">
            <w:rPr>
              <w:rFonts w:ascii="Arial" w:hAnsi="Arial" w:cs="Arial"/>
            </w:rPr>
            <w:fldChar w:fldCharType="begin"/>
          </w:r>
          <w:r w:rsidRPr="00A44D7C">
            <w:rPr>
              <w:rFonts w:ascii="Arial" w:hAnsi="Arial" w:cs="Arial"/>
            </w:rPr>
            <w:instrText xml:space="preserve"> TOC \o "1-3" \h \z \u </w:instrText>
          </w:r>
          <w:r w:rsidRPr="00A44D7C">
            <w:rPr>
              <w:rFonts w:ascii="Arial" w:hAnsi="Arial" w:cs="Arial"/>
            </w:rPr>
            <w:fldChar w:fldCharType="separate"/>
          </w:r>
          <w:hyperlink w:anchor="_Toc102059519" w:history="1">
            <w:r w:rsidR="00176A27" w:rsidRPr="00176A27">
              <w:rPr>
                <w:rStyle w:val="Hyperlink"/>
                <w:rFonts w:ascii="Arial" w:hAnsi="Arial" w:cs="Arial"/>
                <w:noProof/>
              </w:rPr>
              <w:t>Introduction</w:t>
            </w:r>
            <w:r w:rsidR="00176A27" w:rsidRPr="00176A27">
              <w:rPr>
                <w:rFonts w:ascii="Arial" w:hAnsi="Arial" w:cs="Arial"/>
                <w:noProof/>
                <w:webHidden/>
              </w:rPr>
              <w:tab/>
            </w:r>
            <w:r w:rsidR="00176A27" w:rsidRPr="00176A27">
              <w:rPr>
                <w:rFonts w:ascii="Arial" w:hAnsi="Arial" w:cs="Arial"/>
                <w:noProof/>
                <w:webHidden/>
              </w:rPr>
              <w:fldChar w:fldCharType="begin"/>
            </w:r>
            <w:r w:rsidR="00176A27" w:rsidRPr="00176A27">
              <w:rPr>
                <w:rFonts w:ascii="Arial" w:hAnsi="Arial" w:cs="Arial"/>
                <w:noProof/>
                <w:webHidden/>
              </w:rPr>
              <w:instrText xml:space="preserve"> PAGEREF _Toc102059519 \h </w:instrText>
            </w:r>
            <w:r w:rsidR="00176A27" w:rsidRPr="00176A27">
              <w:rPr>
                <w:rFonts w:ascii="Arial" w:hAnsi="Arial" w:cs="Arial"/>
                <w:noProof/>
                <w:webHidden/>
              </w:rPr>
            </w:r>
            <w:r w:rsidR="00176A27" w:rsidRPr="00176A27">
              <w:rPr>
                <w:rFonts w:ascii="Arial" w:hAnsi="Arial" w:cs="Arial"/>
                <w:noProof/>
                <w:webHidden/>
              </w:rPr>
              <w:fldChar w:fldCharType="separate"/>
            </w:r>
            <w:r w:rsidR="00176A27" w:rsidRPr="00176A27">
              <w:rPr>
                <w:rFonts w:ascii="Arial" w:hAnsi="Arial" w:cs="Arial"/>
                <w:noProof/>
                <w:webHidden/>
              </w:rPr>
              <w:t>2</w:t>
            </w:r>
            <w:r w:rsidR="00176A27" w:rsidRPr="00176A27">
              <w:rPr>
                <w:rFonts w:ascii="Arial" w:hAnsi="Arial" w:cs="Arial"/>
                <w:noProof/>
                <w:webHidden/>
              </w:rPr>
              <w:fldChar w:fldCharType="end"/>
            </w:r>
          </w:hyperlink>
        </w:p>
        <w:p w14:paraId="5F662898" w14:textId="458DE645" w:rsidR="00176A27" w:rsidRPr="00176A27" w:rsidRDefault="00855C16" w:rsidP="00176A27">
          <w:pPr>
            <w:pStyle w:val="TOC1"/>
            <w:tabs>
              <w:tab w:val="right" w:leader="dot" w:pos="9016"/>
            </w:tabs>
            <w:rPr>
              <w:rFonts w:ascii="Arial" w:hAnsi="Arial" w:cs="Arial"/>
              <w:noProof/>
            </w:rPr>
          </w:pPr>
          <w:hyperlink w:anchor="_Toc102059520" w:history="1">
            <w:r w:rsidR="00176A27" w:rsidRPr="00176A27">
              <w:rPr>
                <w:rStyle w:val="Hyperlink"/>
                <w:rFonts w:ascii="Arial" w:hAnsi="Arial" w:cs="Arial"/>
                <w:noProof/>
              </w:rPr>
              <w:t>Task 1 – Kerosene Fuel Tank</w:t>
            </w:r>
            <w:r w:rsidR="00176A27" w:rsidRPr="00176A27">
              <w:rPr>
                <w:rFonts w:ascii="Arial" w:hAnsi="Arial" w:cs="Arial"/>
                <w:noProof/>
                <w:webHidden/>
              </w:rPr>
              <w:tab/>
            </w:r>
            <w:r w:rsidR="00176A27" w:rsidRPr="00176A27">
              <w:rPr>
                <w:rFonts w:ascii="Arial" w:hAnsi="Arial" w:cs="Arial"/>
                <w:noProof/>
                <w:webHidden/>
              </w:rPr>
              <w:fldChar w:fldCharType="begin"/>
            </w:r>
            <w:r w:rsidR="00176A27" w:rsidRPr="00176A27">
              <w:rPr>
                <w:rFonts w:ascii="Arial" w:hAnsi="Arial" w:cs="Arial"/>
                <w:noProof/>
                <w:webHidden/>
              </w:rPr>
              <w:instrText xml:space="preserve"> PAGEREF _Toc102059520 \h </w:instrText>
            </w:r>
            <w:r w:rsidR="00176A27" w:rsidRPr="00176A27">
              <w:rPr>
                <w:rFonts w:ascii="Arial" w:hAnsi="Arial" w:cs="Arial"/>
                <w:noProof/>
                <w:webHidden/>
              </w:rPr>
            </w:r>
            <w:r w:rsidR="00176A27" w:rsidRPr="00176A27">
              <w:rPr>
                <w:rFonts w:ascii="Arial" w:hAnsi="Arial" w:cs="Arial"/>
                <w:noProof/>
                <w:webHidden/>
              </w:rPr>
              <w:fldChar w:fldCharType="separate"/>
            </w:r>
            <w:r w:rsidR="00176A27" w:rsidRPr="00176A27">
              <w:rPr>
                <w:rFonts w:ascii="Arial" w:hAnsi="Arial" w:cs="Arial"/>
                <w:noProof/>
                <w:webHidden/>
              </w:rPr>
              <w:t>3</w:t>
            </w:r>
            <w:r w:rsidR="00176A27" w:rsidRPr="00176A27">
              <w:rPr>
                <w:rFonts w:ascii="Arial" w:hAnsi="Arial" w:cs="Arial"/>
                <w:noProof/>
                <w:webHidden/>
              </w:rPr>
              <w:fldChar w:fldCharType="end"/>
            </w:r>
          </w:hyperlink>
        </w:p>
        <w:p w14:paraId="6D3025E9" w14:textId="1B60030E" w:rsidR="00176A27" w:rsidRPr="00176A27" w:rsidRDefault="00855C16">
          <w:pPr>
            <w:pStyle w:val="TOC1"/>
            <w:tabs>
              <w:tab w:val="right" w:leader="dot" w:pos="9016"/>
            </w:tabs>
            <w:rPr>
              <w:rFonts w:ascii="Arial" w:eastAsiaTheme="minorEastAsia" w:hAnsi="Arial" w:cs="Arial"/>
              <w:noProof/>
              <w:sz w:val="22"/>
              <w:szCs w:val="22"/>
            </w:rPr>
          </w:pPr>
          <w:hyperlink w:anchor="_Toc102059522" w:history="1">
            <w:r w:rsidR="00176A27" w:rsidRPr="00176A27">
              <w:rPr>
                <w:rStyle w:val="Hyperlink"/>
                <w:rFonts w:ascii="Arial" w:hAnsi="Arial" w:cs="Arial"/>
                <w:noProof/>
              </w:rPr>
              <w:t>Task 2 – Circuit Breakers</w:t>
            </w:r>
            <w:r w:rsidR="00176A27" w:rsidRPr="00176A27">
              <w:rPr>
                <w:rFonts w:ascii="Arial" w:hAnsi="Arial" w:cs="Arial"/>
                <w:noProof/>
                <w:webHidden/>
              </w:rPr>
              <w:tab/>
            </w:r>
            <w:r w:rsidR="00176A27" w:rsidRPr="00176A27">
              <w:rPr>
                <w:rFonts w:ascii="Arial" w:hAnsi="Arial" w:cs="Arial"/>
                <w:noProof/>
                <w:webHidden/>
              </w:rPr>
              <w:fldChar w:fldCharType="begin"/>
            </w:r>
            <w:r w:rsidR="00176A27" w:rsidRPr="00176A27">
              <w:rPr>
                <w:rFonts w:ascii="Arial" w:hAnsi="Arial" w:cs="Arial"/>
                <w:noProof/>
                <w:webHidden/>
              </w:rPr>
              <w:instrText xml:space="preserve"> PAGEREF _Toc102059522 \h </w:instrText>
            </w:r>
            <w:r w:rsidR="00176A27" w:rsidRPr="00176A27">
              <w:rPr>
                <w:rFonts w:ascii="Arial" w:hAnsi="Arial" w:cs="Arial"/>
                <w:noProof/>
                <w:webHidden/>
              </w:rPr>
            </w:r>
            <w:r w:rsidR="00176A27" w:rsidRPr="00176A27">
              <w:rPr>
                <w:rFonts w:ascii="Arial" w:hAnsi="Arial" w:cs="Arial"/>
                <w:noProof/>
                <w:webHidden/>
              </w:rPr>
              <w:fldChar w:fldCharType="separate"/>
            </w:r>
            <w:r w:rsidR="00176A27" w:rsidRPr="00176A27">
              <w:rPr>
                <w:rFonts w:ascii="Arial" w:hAnsi="Arial" w:cs="Arial"/>
                <w:noProof/>
                <w:webHidden/>
              </w:rPr>
              <w:t>7</w:t>
            </w:r>
            <w:r w:rsidR="00176A27" w:rsidRPr="00176A27">
              <w:rPr>
                <w:rFonts w:ascii="Arial" w:hAnsi="Arial" w:cs="Arial"/>
                <w:noProof/>
                <w:webHidden/>
              </w:rPr>
              <w:fldChar w:fldCharType="end"/>
            </w:r>
          </w:hyperlink>
        </w:p>
        <w:p w14:paraId="6B2B4704" w14:textId="0D970085" w:rsidR="00176A27" w:rsidRPr="00176A27" w:rsidRDefault="00855C16">
          <w:pPr>
            <w:pStyle w:val="TOC1"/>
            <w:tabs>
              <w:tab w:val="right" w:leader="dot" w:pos="9016"/>
            </w:tabs>
            <w:rPr>
              <w:rFonts w:ascii="Arial" w:eastAsiaTheme="minorEastAsia" w:hAnsi="Arial" w:cs="Arial"/>
              <w:noProof/>
              <w:sz w:val="22"/>
              <w:szCs w:val="22"/>
            </w:rPr>
          </w:pPr>
          <w:hyperlink w:anchor="_Toc102059523" w:history="1">
            <w:r w:rsidR="00176A27" w:rsidRPr="00176A27">
              <w:rPr>
                <w:rStyle w:val="Hyperlink"/>
                <w:rFonts w:ascii="Arial" w:hAnsi="Arial" w:cs="Arial"/>
                <w:noProof/>
              </w:rPr>
              <w:t>Task 3 – Presentation</w:t>
            </w:r>
            <w:r w:rsidR="00176A27" w:rsidRPr="00176A27">
              <w:rPr>
                <w:rFonts w:ascii="Arial" w:hAnsi="Arial" w:cs="Arial"/>
                <w:noProof/>
                <w:webHidden/>
              </w:rPr>
              <w:tab/>
            </w:r>
            <w:r w:rsidR="00176A27" w:rsidRPr="00176A27">
              <w:rPr>
                <w:rFonts w:ascii="Arial" w:hAnsi="Arial" w:cs="Arial"/>
                <w:noProof/>
                <w:webHidden/>
              </w:rPr>
              <w:fldChar w:fldCharType="begin"/>
            </w:r>
            <w:r w:rsidR="00176A27" w:rsidRPr="00176A27">
              <w:rPr>
                <w:rFonts w:ascii="Arial" w:hAnsi="Arial" w:cs="Arial"/>
                <w:noProof/>
                <w:webHidden/>
              </w:rPr>
              <w:instrText xml:space="preserve"> PAGEREF _Toc102059523 \h </w:instrText>
            </w:r>
            <w:r w:rsidR="00176A27" w:rsidRPr="00176A27">
              <w:rPr>
                <w:rFonts w:ascii="Arial" w:hAnsi="Arial" w:cs="Arial"/>
                <w:noProof/>
                <w:webHidden/>
              </w:rPr>
            </w:r>
            <w:r w:rsidR="00176A27" w:rsidRPr="00176A27">
              <w:rPr>
                <w:rFonts w:ascii="Arial" w:hAnsi="Arial" w:cs="Arial"/>
                <w:noProof/>
                <w:webHidden/>
              </w:rPr>
              <w:fldChar w:fldCharType="separate"/>
            </w:r>
            <w:r w:rsidR="00176A27" w:rsidRPr="00176A27">
              <w:rPr>
                <w:rFonts w:ascii="Arial" w:hAnsi="Arial" w:cs="Arial"/>
                <w:noProof/>
                <w:webHidden/>
              </w:rPr>
              <w:t>11</w:t>
            </w:r>
            <w:r w:rsidR="00176A27" w:rsidRPr="00176A27">
              <w:rPr>
                <w:rFonts w:ascii="Arial" w:hAnsi="Arial" w:cs="Arial"/>
                <w:noProof/>
                <w:webHidden/>
              </w:rPr>
              <w:fldChar w:fldCharType="end"/>
            </w:r>
          </w:hyperlink>
        </w:p>
        <w:p w14:paraId="76504987" w14:textId="67DC9975" w:rsidR="00176A27" w:rsidRPr="00176A27" w:rsidRDefault="00855C16">
          <w:pPr>
            <w:pStyle w:val="TOC1"/>
            <w:tabs>
              <w:tab w:val="right" w:leader="dot" w:pos="9016"/>
            </w:tabs>
            <w:rPr>
              <w:rFonts w:ascii="Arial" w:eastAsiaTheme="minorEastAsia" w:hAnsi="Arial" w:cs="Arial"/>
              <w:noProof/>
              <w:sz w:val="22"/>
              <w:szCs w:val="22"/>
            </w:rPr>
          </w:pPr>
          <w:hyperlink w:anchor="_Toc102059524" w:history="1">
            <w:r w:rsidR="00176A27" w:rsidRPr="00176A27">
              <w:rPr>
                <w:rStyle w:val="Hyperlink"/>
                <w:rFonts w:ascii="Arial" w:hAnsi="Arial" w:cs="Arial"/>
                <w:noProof/>
              </w:rPr>
              <w:t>References</w:t>
            </w:r>
            <w:r w:rsidR="00176A27" w:rsidRPr="00176A27">
              <w:rPr>
                <w:rFonts w:ascii="Arial" w:hAnsi="Arial" w:cs="Arial"/>
                <w:noProof/>
                <w:webHidden/>
              </w:rPr>
              <w:tab/>
            </w:r>
            <w:r w:rsidR="00176A27" w:rsidRPr="00176A27">
              <w:rPr>
                <w:rFonts w:ascii="Arial" w:hAnsi="Arial" w:cs="Arial"/>
                <w:noProof/>
                <w:webHidden/>
              </w:rPr>
              <w:fldChar w:fldCharType="begin"/>
            </w:r>
            <w:r w:rsidR="00176A27" w:rsidRPr="00176A27">
              <w:rPr>
                <w:rFonts w:ascii="Arial" w:hAnsi="Arial" w:cs="Arial"/>
                <w:noProof/>
                <w:webHidden/>
              </w:rPr>
              <w:instrText xml:space="preserve"> PAGEREF _Toc102059524 \h </w:instrText>
            </w:r>
            <w:r w:rsidR="00176A27" w:rsidRPr="00176A27">
              <w:rPr>
                <w:rFonts w:ascii="Arial" w:hAnsi="Arial" w:cs="Arial"/>
                <w:noProof/>
                <w:webHidden/>
              </w:rPr>
            </w:r>
            <w:r w:rsidR="00176A27" w:rsidRPr="00176A27">
              <w:rPr>
                <w:rFonts w:ascii="Arial" w:hAnsi="Arial" w:cs="Arial"/>
                <w:noProof/>
                <w:webHidden/>
              </w:rPr>
              <w:fldChar w:fldCharType="separate"/>
            </w:r>
            <w:r w:rsidR="00176A27" w:rsidRPr="00176A27">
              <w:rPr>
                <w:rFonts w:ascii="Arial" w:hAnsi="Arial" w:cs="Arial"/>
                <w:noProof/>
                <w:webHidden/>
              </w:rPr>
              <w:t>20</w:t>
            </w:r>
            <w:r w:rsidR="00176A27" w:rsidRPr="00176A27">
              <w:rPr>
                <w:rFonts w:ascii="Arial" w:hAnsi="Arial" w:cs="Arial"/>
                <w:noProof/>
                <w:webHidden/>
              </w:rPr>
              <w:fldChar w:fldCharType="end"/>
            </w:r>
          </w:hyperlink>
        </w:p>
        <w:p w14:paraId="0121C199" w14:textId="1265F075" w:rsidR="00176A27" w:rsidRPr="00176A27" w:rsidRDefault="00855C16">
          <w:pPr>
            <w:pStyle w:val="TOC1"/>
            <w:tabs>
              <w:tab w:val="right" w:leader="dot" w:pos="9016"/>
            </w:tabs>
            <w:rPr>
              <w:rFonts w:ascii="Arial" w:eastAsiaTheme="minorEastAsia" w:hAnsi="Arial" w:cs="Arial"/>
              <w:noProof/>
              <w:sz w:val="22"/>
              <w:szCs w:val="22"/>
            </w:rPr>
          </w:pPr>
          <w:hyperlink w:anchor="_Toc102059525" w:history="1">
            <w:r w:rsidR="00176A27" w:rsidRPr="00176A27">
              <w:rPr>
                <w:rStyle w:val="Hyperlink"/>
                <w:rFonts w:ascii="Arial" w:hAnsi="Arial" w:cs="Arial"/>
                <w:noProof/>
              </w:rPr>
              <w:t>Bibliography</w:t>
            </w:r>
            <w:r w:rsidR="00176A27" w:rsidRPr="00176A27">
              <w:rPr>
                <w:rFonts w:ascii="Arial" w:hAnsi="Arial" w:cs="Arial"/>
                <w:noProof/>
                <w:webHidden/>
              </w:rPr>
              <w:tab/>
            </w:r>
            <w:r w:rsidR="00176A27" w:rsidRPr="00176A27">
              <w:rPr>
                <w:rFonts w:ascii="Arial" w:hAnsi="Arial" w:cs="Arial"/>
                <w:noProof/>
                <w:webHidden/>
              </w:rPr>
              <w:fldChar w:fldCharType="begin"/>
            </w:r>
            <w:r w:rsidR="00176A27" w:rsidRPr="00176A27">
              <w:rPr>
                <w:rFonts w:ascii="Arial" w:hAnsi="Arial" w:cs="Arial"/>
                <w:noProof/>
                <w:webHidden/>
              </w:rPr>
              <w:instrText xml:space="preserve"> PAGEREF _Toc102059525 \h </w:instrText>
            </w:r>
            <w:r w:rsidR="00176A27" w:rsidRPr="00176A27">
              <w:rPr>
                <w:rFonts w:ascii="Arial" w:hAnsi="Arial" w:cs="Arial"/>
                <w:noProof/>
                <w:webHidden/>
              </w:rPr>
            </w:r>
            <w:r w:rsidR="00176A27" w:rsidRPr="00176A27">
              <w:rPr>
                <w:rFonts w:ascii="Arial" w:hAnsi="Arial" w:cs="Arial"/>
                <w:noProof/>
                <w:webHidden/>
              </w:rPr>
              <w:fldChar w:fldCharType="separate"/>
            </w:r>
            <w:r w:rsidR="00176A27" w:rsidRPr="00176A27">
              <w:rPr>
                <w:rFonts w:ascii="Arial" w:hAnsi="Arial" w:cs="Arial"/>
                <w:noProof/>
                <w:webHidden/>
              </w:rPr>
              <w:t>21</w:t>
            </w:r>
            <w:r w:rsidR="00176A27" w:rsidRPr="00176A27">
              <w:rPr>
                <w:rFonts w:ascii="Arial" w:hAnsi="Arial" w:cs="Arial"/>
                <w:noProof/>
                <w:webHidden/>
              </w:rPr>
              <w:fldChar w:fldCharType="end"/>
            </w:r>
          </w:hyperlink>
        </w:p>
        <w:p w14:paraId="3998CE77" w14:textId="070CC04F" w:rsidR="0011499A" w:rsidRPr="00A44D7C" w:rsidRDefault="0011499A" w:rsidP="00367ECF">
          <w:pPr>
            <w:spacing w:line="360" w:lineRule="auto"/>
            <w:rPr>
              <w:rFonts w:ascii="Arial" w:hAnsi="Arial" w:cs="Arial"/>
            </w:rPr>
          </w:pPr>
          <w:r w:rsidRPr="00A44D7C">
            <w:rPr>
              <w:rFonts w:ascii="Arial" w:hAnsi="Arial" w:cs="Arial"/>
              <w:b/>
              <w:bCs/>
              <w:noProof/>
            </w:rPr>
            <w:fldChar w:fldCharType="end"/>
          </w:r>
        </w:p>
      </w:sdtContent>
    </w:sdt>
    <w:p w14:paraId="2B685607" w14:textId="55BB7D9A" w:rsidR="00AD6363" w:rsidRDefault="00AD6363" w:rsidP="00367ECF">
      <w:pPr>
        <w:spacing w:line="360" w:lineRule="auto"/>
      </w:pPr>
    </w:p>
    <w:p w14:paraId="14CE61F4" w14:textId="4C907B6C" w:rsidR="0011499A" w:rsidRDefault="0011499A"/>
    <w:p w14:paraId="5DDBB766" w14:textId="5117A3BD" w:rsidR="0011499A" w:rsidRDefault="0011499A"/>
    <w:p w14:paraId="12F161C7" w14:textId="5140DA25" w:rsidR="0011499A" w:rsidRDefault="0011499A">
      <w:r>
        <w:br w:type="page"/>
      </w:r>
    </w:p>
    <w:p w14:paraId="3FFDA8E4" w14:textId="366FD684" w:rsidR="0011499A" w:rsidRPr="00196BE2" w:rsidRDefault="0011499A" w:rsidP="00196BE2">
      <w:pPr>
        <w:pStyle w:val="Heading1"/>
        <w:spacing w:line="360" w:lineRule="auto"/>
        <w:rPr>
          <w:rFonts w:ascii="Arial" w:hAnsi="Arial" w:cs="Arial"/>
        </w:rPr>
      </w:pPr>
      <w:bookmarkStart w:id="0" w:name="_Toc102059519"/>
      <w:r w:rsidRPr="00196BE2">
        <w:rPr>
          <w:rFonts w:ascii="Arial" w:hAnsi="Arial" w:cs="Arial"/>
        </w:rPr>
        <w:lastRenderedPageBreak/>
        <w:t>Introduction</w:t>
      </w:r>
      <w:bookmarkEnd w:id="0"/>
      <w:r w:rsidRPr="00196BE2">
        <w:rPr>
          <w:rFonts w:ascii="Arial" w:hAnsi="Arial" w:cs="Arial"/>
        </w:rPr>
        <w:t xml:space="preserve"> </w:t>
      </w:r>
      <w:bookmarkStart w:id="1" w:name="_GoBack"/>
      <w:bookmarkEnd w:id="1"/>
    </w:p>
    <w:p w14:paraId="7B856136" w14:textId="55C8E239" w:rsidR="0011499A" w:rsidRPr="00196BE2" w:rsidRDefault="0011499A" w:rsidP="00196BE2">
      <w:pPr>
        <w:spacing w:line="360" w:lineRule="auto"/>
        <w:rPr>
          <w:rFonts w:ascii="Arial" w:hAnsi="Arial" w:cs="Arial"/>
          <w:color w:val="FF0000"/>
        </w:rPr>
      </w:pPr>
      <w:r w:rsidRPr="00196BE2">
        <w:rPr>
          <w:rFonts w:ascii="Arial" w:hAnsi="Arial" w:cs="Arial"/>
        </w:rPr>
        <w:t xml:space="preserve">Within this </w:t>
      </w:r>
      <w:commentRangeStart w:id="2"/>
      <w:r w:rsidRPr="00196BE2">
        <w:rPr>
          <w:rFonts w:ascii="Arial" w:hAnsi="Arial" w:cs="Arial"/>
        </w:rPr>
        <w:t xml:space="preserve">assignment I will demonstrate </w:t>
      </w:r>
      <w:commentRangeEnd w:id="2"/>
      <w:r w:rsidR="00BA7CDA">
        <w:rPr>
          <w:rStyle w:val="CommentReference"/>
        </w:rPr>
        <w:commentReference w:id="2"/>
      </w:r>
      <w:r w:rsidRPr="00196BE2">
        <w:rPr>
          <w:rFonts w:ascii="Arial" w:hAnsi="Arial" w:cs="Arial"/>
        </w:rPr>
        <w:t xml:space="preserve">an understanding of </w:t>
      </w:r>
      <w:r w:rsidR="008046E8" w:rsidRPr="00196BE2">
        <w:rPr>
          <w:rFonts w:ascii="Arial" w:hAnsi="Arial" w:cs="Arial"/>
        </w:rPr>
        <w:t>researching and searching for technical information through different sources</w:t>
      </w:r>
      <w:r w:rsidRPr="00196BE2">
        <w:rPr>
          <w:rFonts w:ascii="Arial" w:hAnsi="Arial" w:cs="Arial"/>
        </w:rPr>
        <w:t>. Furthermore, I will</w:t>
      </w:r>
      <w:r w:rsidR="008046E8" w:rsidRPr="00196BE2">
        <w:rPr>
          <w:rFonts w:ascii="Arial" w:hAnsi="Arial" w:cs="Arial"/>
        </w:rPr>
        <w:t xml:space="preserve"> be </w:t>
      </w:r>
      <w:r w:rsidR="00196BE2" w:rsidRPr="00196BE2">
        <w:rPr>
          <w:rFonts w:ascii="Arial" w:hAnsi="Arial" w:cs="Arial"/>
        </w:rPr>
        <w:t xml:space="preserve">reporting the data and information I collect in a technical report. </w:t>
      </w:r>
    </w:p>
    <w:p w14:paraId="422B58A5" w14:textId="18413D6C" w:rsidR="00775033" w:rsidRDefault="00775033">
      <w:r>
        <w:br w:type="page"/>
      </w:r>
    </w:p>
    <w:p w14:paraId="19DE135B" w14:textId="6DE8EEF5" w:rsidR="0011499A" w:rsidRDefault="00775033" w:rsidP="00196BE2">
      <w:pPr>
        <w:pStyle w:val="Heading1"/>
        <w:spacing w:line="360" w:lineRule="auto"/>
      </w:pPr>
      <w:bookmarkStart w:id="3" w:name="_Toc102059520"/>
      <w:r>
        <w:lastRenderedPageBreak/>
        <w:t xml:space="preserve">Task 1 – </w:t>
      </w:r>
      <w:r w:rsidR="00196BE2">
        <w:t>Kerosene Fuel Tank</w:t>
      </w:r>
      <w:bookmarkEnd w:id="3"/>
    </w:p>
    <w:p w14:paraId="48384AC4" w14:textId="4875A448" w:rsidR="00F21524" w:rsidRDefault="00F21524" w:rsidP="00F21524">
      <w:pPr>
        <w:pStyle w:val="Body1"/>
        <w:spacing w:line="360" w:lineRule="auto"/>
        <w:rPr>
          <w:rFonts w:ascii="Arial" w:hAnsi="Arial" w:cs="Arial"/>
          <w:color w:val="0B0C0C"/>
        </w:rPr>
      </w:pPr>
      <w:r w:rsidRPr="00F21524">
        <w:rPr>
          <w:rFonts w:ascii="Arial" w:hAnsi="Arial" w:cs="Arial"/>
        </w:rPr>
        <w:t>Installing a tank involves adhering to a number of different regulations. In addition, there are standards for how fuel tanks are made, how they are stored, and how they are installed. For a tank filled with kerosene for your business, firstly the design of the container must meet the fixed tanks British standard 5410, or Oil Firing Technical Association (OFTEC) standard OSTT100 if the container is made of plastic or if it is made from metal then it must meet the OFTEC standard OFS T200 or British Standard 799-5. You need to position your container in a way that minimises the risk of damage, and make sure that any impact will not damage the container or generator. As the tank will be filled remotely, it must have a drip tray to catch any oil that may leak during the delivery in order to comply with regulations. In this case, the container is filled from a secondary containment (the bund or drip tray designed to catch leaks from the container). From the fill point, the tank might not be visible during a remote fill. Secondary containment is either a drip tray beneath the container or a bund, an outer case that holds the container. Since this is a fixed tank, it must be bunded. A secondary containment system does not include: double-skinned tanks where the tank is surrounded by a second outer skin for additional strength. Since a bund will be used, it must hold 110% of the capacity of the container. Therefore, as the container has a capacity of 25,000 litres, then the bund will need to be able to contain 27,750 litres. Design standards for bunds are usually incorporated into the tank system as a subsystem, which is known as a</w:t>
      </w:r>
      <w:r>
        <w:rPr>
          <w:rFonts w:ascii="Arial" w:hAnsi="Arial" w:cs="Arial"/>
        </w:rPr>
        <w:t>n</w:t>
      </w:r>
      <w:r w:rsidRPr="00F21524">
        <w:rPr>
          <w:rFonts w:ascii="Arial" w:hAnsi="Arial" w:cs="Arial"/>
        </w:rPr>
        <w:t xml:space="preserve"> "integrated bunded" tank, or they may be built from concrete or masonry. Further requirements for fixed tanks include the following: Sight gauges must have a bracket or brackets that fix the tube to the tank so the tube cannot be knocked over and be fitted with a valve that automatically closes when not in use.</w:t>
      </w:r>
      <w:r>
        <w:rPr>
          <w:rFonts w:ascii="Arial" w:hAnsi="Arial" w:cs="Arial"/>
        </w:rPr>
        <w:t xml:space="preserve"> </w:t>
      </w:r>
      <w:r>
        <w:rPr>
          <w:rFonts w:ascii="Arial" w:hAnsi="Arial" w:cs="Arial"/>
          <w:color w:val="0B0C0C"/>
        </w:rPr>
        <w:t xml:space="preserve">Ideally, the piping, fill pipes, draw-off pipes and overflow pipes should be placed in an area that minimizes the risk of damage by impact, such as away from driveways, tanker turning circles and forklift truck routes. It is also important to ensure that they will not be damaged by any impact, for example, by placing barriers or bollards around them. Pipes which are above the ground must be well supported, such as with brackets attached to the nearest wall. Whenever you have a fixed tank with a flexible pipe permanently attached to dispensing oil, the flexible pipe must be contained within a cabinet that is locked shut when not in use or has a drip tray. Alternately, all of the following must </w:t>
      </w:r>
      <w:r>
        <w:rPr>
          <w:rFonts w:ascii="Arial" w:hAnsi="Arial" w:cs="Arial"/>
          <w:color w:val="0B0C0C"/>
        </w:rPr>
        <w:lastRenderedPageBreak/>
        <w:t>be followed: the pipe must be kept inside of the bund, there must be a lockable valve at the point where the pipe leaves the oil tank, and this valve must be locked when the pipe is not in use. Regardless of whether the pipe is stored in a secure cabinet or within the bund, the delivery end of the pipe must also be equipped with a valve that automatically shuts off when it is not in use. This tap or valve must not be able to be fixed open unless it also has an automatic cut off mechanism.</w:t>
      </w:r>
    </w:p>
    <w:p w14:paraId="07AE736C" w14:textId="2AF305F5" w:rsidR="002F6CED" w:rsidRPr="00F21524" w:rsidRDefault="002F6CED" w:rsidP="00F21524">
      <w:pPr>
        <w:pStyle w:val="Body1"/>
        <w:spacing w:line="360" w:lineRule="auto"/>
        <w:rPr>
          <w:rFonts w:ascii="Arial" w:hAnsi="Arial" w:cs="Arial"/>
          <w:sz w:val="22"/>
          <w:szCs w:val="22"/>
        </w:rPr>
      </w:pPr>
      <w:r w:rsidRPr="002F6CED">
        <w:rPr>
          <w:rFonts w:ascii="Arial" w:hAnsi="Arial" w:cs="Arial"/>
          <w:color w:val="0B0C0C"/>
        </w:rPr>
        <w:t>If your fixed tank has a pump, the pump must:</w:t>
      </w:r>
    </w:p>
    <w:p w14:paraId="4A8EB77F" w14:textId="77777777" w:rsidR="002F6CED" w:rsidRPr="002F6CED" w:rsidRDefault="002F6CED" w:rsidP="002F6CED">
      <w:pPr>
        <w:numPr>
          <w:ilvl w:val="0"/>
          <w:numId w:val="10"/>
        </w:numPr>
        <w:shd w:val="clear" w:color="auto" w:fill="FFFFFF"/>
        <w:spacing w:after="75" w:line="360" w:lineRule="auto"/>
        <w:ind w:left="1020"/>
        <w:rPr>
          <w:rFonts w:ascii="Arial" w:hAnsi="Arial" w:cs="Arial"/>
          <w:color w:val="0B0C0C"/>
        </w:rPr>
      </w:pPr>
      <w:r w:rsidRPr="002F6CED">
        <w:rPr>
          <w:rFonts w:ascii="Arial" w:hAnsi="Arial" w:cs="Arial"/>
          <w:color w:val="0B0C0C"/>
        </w:rPr>
        <w:t>have a valve in its feed line that prevents the tank contents emptying if there’s damage to the pump or feed line</w:t>
      </w:r>
    </w:p>
    <w:p w14:paraId="602264FE" w14:textId="77777777" w:rsidR="002F6CED" w:rsidRPr="002F6CED" w:rsidRDefault="002F6CED" w:rsidP="002F6CED">
      <w:pPr>
        <w:numPr>
          <w:ilvl w:val="0"/>
          <w:numId w:val="10"/>
        </w:numPr>
        <w:shd w:val="clear" w:color="auto" w:fill="FFFFFF"/>
        <w:spacing w:after="75" w:line="360" w:lineRule="auto"/>
        <w:ind w:left="1020"/>
        <w:rPr>
          <w:rFonts w:ascii="Arial" w:hAnsi="Arial" w:cs="Arial"/>
          <w:color w:val="0B0C0C"/>
        </w:rPr>
      </w:pPr>
      <w:r w:rsidRPr="002F6CED">
        <w:rPr>
          <w:rFonts w:ascii="Arial" w:hAnsi="Arial" w:cs="Arial"/>
          <w:color w:val="0B0C0C"/>
        </w:rPr>
        <w:t>be positioned to minimise the risk of damage by impact, for example away from driveways, tanker turning circles, and fork lift truck routes, or protected by bollards or barriers</w:t>
      </w:r>
    </w:p>
    <w:p w14:paraId="07686178" w14:textId="65EBC9C3" w:rsidR="002F6CED" w:rsidRPr="00F21524" w:rsidRDefault="002F6CED" w:rsidP="00F21524">
      <w:pPr>
        <w:numPr>
          <w:ilvl w:val="0"/>
          <w:numId w:val="10"/>
        </w:numPr>
        <w:shd w:val="clear" w:color="auto" w:fill="FFFFFF"/>
        <w:spacing w:after="75" w:line="360" w:lineRule="auto"/>
        <w:ind w:left="1020"/>
        <w:rPr>
          <w:rFonts w:ascii="Arial" w:hAnsi="Arial" w:cs="Arial"/>
          <w:color w:val="0B0C0C"/>
        </w:rPr>
      </w:pPr>
      <w:r w:rsidRPr="002F6CED">
        <w:rPr>
          <w:rFonts w:ascii="Arial" w:hAnsi="Arial" w:cs="Arial"/>
          <w:color w:val="0B0C0C"/>
        </w:rPr>
        <w:t>be secured to prevent theft of the oil, for example by locking the pump shut when it’s not in use, or cutting the supply of electricity to the pump so it cannot function when not in use, or enclosing the pump in a lockable cage</w:t>
      </w:r>
    </w:p>
    <w:p w14:paraId="4A6FE22E" w14:textId="77777777" w:rsidR="002F6CED" w:rsidRPr="002F6CED" w:rsidRDefault="002F6CED" w:rsidP="002F6CED">
      <w:pPr>
        <w:pStyle w:val="NormalWeb"/>
        <w:shd w:val="clear" w:color="auto" w:fill="FFFFFF"/>
        <w:spacing w:before="300" w:beforeAutospacing="0" w:after="300" w:afterAutospacing="0" w:line="360" w:lineRule="auto"/>
        <w:rPr>
          <w:rFonts w:ascii="Arial" w:hAnsi="Arial" w:cs="Arial"/>
          <w:color w:val="0B0C0C"/>
        </w:rPr>
      </w:pPr>
      <w:r w:rsidRPr="002F6CED">
        <w:rPr>
          <w:rFonts w:ascii="Arial" w:hAnsi="Arial" w:cs="Arial"/>
          <w:color w:val="0B0C0C"/>
        </w:rPr>
        <w:t>If your fixed tank has any permanently attached vent pipes, taps or valves that oil can leave the tank through, all pipes, taps and valves must:</w:t>
      </w:r>
    </w:p>
    <w:p w14:paraId="4144D148" w14:textId="77777777" w:rsidR="002F6CED" w:rsidRPr="002F6CED" w:rsidRDefault="002F6CED" w:rsidP="002F6CED">
      <w:pPr>
        <w:numPr>
          <w:ilvl w:val="0"/>
          <w:numId w:val="11"/>
        </w:numPr>
        <w:shd w:val="clear" w:color="auto" w:fill="FFFFFF"/>
        <w:spacing w:after="75" w:line="360" w:lineRule="auto"/>
        <w:ind w:left="1020"/>
        <w:rPr>
          <w:rFonts w:ascii="Arial" w:hAnsi="Arial" w:cs="Arial"/>
          <w:color w:val="0B0C0C"/>
        </w:rPr>
      </w:pPr>
      <w:r w:rsidRPr="002F6CED">
        <w:rPr>
          <w:rFonts w:ascii="Arial" w:hAnsi="Arial" w:cs="Arial"/>
          <w:color w:val="0B0C0C"/>
        </w:rPr>
        <w:t>be within the bund</w:t>
      </w:r>
    </w:p>
    <w:p w14:paraId="081D9771" w14:textId="77777777" w:rsidR="002F6CED" w:rsidRPr="002F6CED" w:rsidRDefault="002F6CED" w:rsidP="002F6CED">
      <w:pPr>
        <w:numPr>
          <w:ilvl w:val="0"/>
          <w:numId w:val="11"/>
        </w:numPr>
        <w:shd w:val="clear" w:color="auto" w:fill="FFFFFF"/>
        <w:spacing w:after="75" w:line="360" w:lineRule="auto"/>
        <w:ind w:left="1020"/>
        <w:rPr>
          <w:rFonts w:ascii="Arial" w:hAnsi="Arial" w:cs="Arial"/>
          <w:color w:val="0B0C0C"/>
        </w:rPr>
      </w:pPr>
      <w:r w:rsidRPr="002F6CED">
        <w:rPr>
          <w:rFonts w:ascii="Arial" w:hAnsi="Arial" w:cs="Arial"/>
          <w:color w:val="0B0C0C"/>
        </w:rPr>
        <w:t>be arranged so any oil coming out of them will go vertically down into the bund</w:t>
      </w:r>
    </w:p>
    <w:p w14:paraId="72478D2F" w14:textId="77777777" w:rsidR="002F6CED" w:rsidRPr="002F6CED" w:rsidRDefault="002F6CED" w:rsidP="002F6CED">
      <w:pPr>
        <w:numPr>
          <w:ilvl w:val="0"/>
          <w:numId w:val="11"/>
        </w:numPr>
        <w:shd w:val="clear" w:color="auto" w:fill="FFFFFF"/>
        <w:spacing w:after="75" w:line="360" w:lineRule="auto"/>
        <w:ind w:left="1020"/>
        <w:rPr>
          <w:rFonts w:ascii="Arial" w:hAnsi="Arial" w:cs="Arial"/>
          <w:color w:val="0B0C0C"/>
        </w:rPr>
      </w:pPr>
      <w:r w:rsidRPr="002F6CED">
        <w:rPr>
          <w:rFonts w:ascii="Arial" w:hAnsi="Arial" w:cs="Arial"/>
          <w:color w:val="0B0C0C"/>
        </w:rPr>
        <w:t>have a lock and be locked shut when not in use – this only applies to taps and valves, not vent pipes</w:t>
      </w:r>
    </w:p>
    <w:p w14:paraId="3E003AB0" w14:textId="77777777" w:rsidR="002F6CED" w:rsidRPr="002F6CED" w:rsidRDefault="002F6CED" w:rsidP="002F6CED">
      <w:pPr>
        <w:pStyle w:val="NormalWeb"/>
        <w:shd w:val="clear" w:color="auto" w:fill="FFFFFF"/>
        <w:spacing w:before="300" w:beforeAutospacing="0" w:after="300" w:afterAutospacing="0" w:line="360" w:lineRule="auto"/>
        <w:rPr>
          <w:rFonts w:ascii="Arial" w:hAnsi="Arial" w:cs="Arial"/>
          <w:color w:val="0B0C0C"/>
        </w:rPr>
      </w:pPr>
      <w:r w:rsidRPr="002F6CED">
        <w:rPr>
          <w:rFonts w:ascii="Arial" w:hAnsi="Arial" w:cs="Arial"/>
          <w:color w:val="0B0C0C"/>
        </w:rPr>
        <w:t xml:space="preserve">We consider that an isolating valve or filter on a fixed draw-off pipe, fitted outside an integrally bunded tank, is ancillary to the downstream equipment, not to the container. </w:t>
      </w:r>
      <w:proofErr w:type="gramStart"/>
      <w:r w:rsidRPr="002F6CED">
        <w:rPr>
          <w:rFonts w:ascii="Arial" w:hAnsi="Arial" w:cs="Arial"/>
          <w:color w:val="0B0C0C"/>
        </w:rPr>
        <w:t>Therefore</w:t>
      </w:r>
      <w:proofErr w:type="gramEnd"/>
      <w:r w:rsidRPr="002F6CED">
        <w:rPr>
          <w:rFonts w:ascii="Arial" w:hAnsi="Arial" w:cs="Arial"/>
          <w:color w:val="0B0C0C"/>
        </w:rPr>
        <w:t xml:space="preserve"> it can be outside the secondary containment. You must make sure the valve and filter are accessible for routine maintenance and emergencies.</w:t>
      </w:r>
    </w:p>
    <w:p w14:paraId="5BA77ED5" w14:textId="77777777" w:rsidR="00F21524" w:rsidRDefault="00F21524" w:rsidP="002F6CED">
      <w:pPr>
        <w:pStyle w:val="Heading3"/>
        <w:shd w:val="clear" w:color="auto" w:fill="FFFFFF"/>
        <w:spacing w:before="525" w:line="360" w:lineRule="auto"/>
        <w:rPr>
          <w:rFonts w:ascii="Arial" w:hAnsi="Arial" w:cs="Arial"/>
          <w:color w:val="0B0C0C"/>
          <w:shd w:val="clear" w:color="auto" w:fill="FFFFFF"/>
        </w:rPr>
      </w:pPr>
      <w:bookmarkStart w:id="4" w:name="_Toc102059521"/>
      <w:r>
        <w:rPr>
          <w:rFonts w:ascii="Arial" w:hAnsi="Arial" w:cs="Arial"/>
          <w:color w:val="0B0C0C"/>
          <w:shd w:val="clear" w:color="auto" w:fill="FFFFFF"/>
        </w:rPr>
        <w:lastRenderedPageBreak/>
        <w:t>In a constructed secondary containment system, the isolating valve on a single-walled, twin-walled, or double-walled tank must be located within the secondary containment.</w:t>
      </w:r>
      <w:bookmarkEnd w:id="4"/>
    </w:p>
    <w:p w14:paraId="242958ED" w14:textId="77777777" w:rsidR="002F6CED" w:rsidRPr="002F6CED" w:rsidRDefault="002F6CED" w:rsidP="002F6CED">
      <w:pPr>
        <w:pStyle w:val="NormalWeb"/>
        <w:shd w:val="clear" w:color="auto" w:fill="FFFFFF"/>
        <w:spacing w:before="300" w:beforeAutospacing="0" w:after="300" w:afterAutospacing="0" w:line="360" w:lineRule="auto"/>
        <w:rPr>
          <w:rFonts w:ascii="Arial" w:hAnsi="Arial" w:cs="Arial"/>
          <w:color w:val="0B0C0C"/>
        </w:rPr>
      </w:pPr>
      <w:r w:rsidRPr="002F6CED">
        <w:rPr>
          <w:rFonts w:ascii="Arial" w:hAnsi="Arial" w:cs="Arial"/>
          <w:color w:val="0B0C0C"/>
        </w:rPr>
        <w:t>If the vent pipe of a fixed tank, and the tank itself, cannot be seen from where the tank is filled you must fit an automatic overfill prevention device to the tank. This could be something that cuts off the flow of oil to the tank when it’s full, or an alarm or fixed tank probe that sends a signal to alert the person filling the tank when the tank is full.</w:t>
      </w:r>
    </w:p>
    <w:p w14:paraId="4D1AF657" w14:textId="74E5BAB4" w:rsidR="002F6CED" w:rsidRPr="004342C5" w:rsidRDefault="002F6CED" w:rsidP="004342C5">
      <w:pPr>
        <w:pStyle w:val="NormalWeb"/>
        <w:shd w:val="clear" w:color="auto" w:fill="FFFFFF"/>
        <w:spacing w:before="300" w:beforeAutospacing="0" w:after="300" w:afterAutospacing="0" w:line="360" w:lineRule="auto"/>
        <w:rPr>
          <w:rFonts w:ascii="Arial" w:hAnsi="Arial" w:cs="Arial"/>
          <w:color w:val="0B0C0C"/>
        </w:rPr>
      </w:pPr>
      <w:r w:rsidRPr="002F6CED">
        <w:rPr>
          <w:rFonts w:ascii="Arial" w:hAnsi="Arial" w:cs="Arial"/>
          <w:color w:val="0B0C0C"/>
        </w:rPr>
        <w:t xml:space="preserve">If the fill point of your fixed tank has a screw fitting or fixed coupling, it must be used when having </w:t>
      </w:r>
      <w:r w:rsidR="004342C5">
        <w:rPr>
          <w:rFonts w:ascii="Arial" w:hAnsi="Arial" w:cs="Arial"/>
          <w:color w:val="0B0C0C"/>
        </w:rPr>
        <w:t>the</w:t>
      </w:r>
      <w:r w:rsidRPr="002F6CED">
        <w:rPr>
          <w:rFonts w:ascii="Arial" w:hAnsi="Arial" w:cs="Arial"/>
          <w:color w:val="0B0C0C"/>
        </w:rPr>
        <w:t xml:space="preserve"> tank filled.</w:t>
      </w:r>
      <w:r w:rsidR="004342C5">
        <w:rPr>
          <w:rFonts w:ascii="Arial" w:hAnsi="Arial" w:cs="Arial"/>
          <w:color w:val="0B0C0C"/>
        </w:rPr>
        <w:t xml:space="preserve"> The </w:t>
      </w:r>
      <w:r w:rsidRPr="002F6CED">
        <w:rPr>
          <w:rFonts w:ascii="Arial" w:hAnsi="Arial" w:cs="Arial"/>
          <w:color w:val="0B0C0C"/>
        </w:rPr>
        <w:t>screw fitting or fixed coupling must be kept in good working order.</w:t>
      </w:r>
      <w:r w:rsidR="004342C5">
        <w:rPr>
          <w:rFonts w:ascii="Arial" w:hAnsi="Arial" w:cs="Arial"/>
          <w:color w:val="0B0C0C"/>
        </w:rPr>
        <w:t xml:space="preserve"> </w:t>
      </w:r>
      <w:r w:rsidRPr="002F6CED">
        <w:rPr>
          <w:rFonts w:ascii="Arial" w:hAnsi="Arial" w:cs="Arial"/>
          <w:color w:val="0B0C0C"/>
        </w:rPr>
        <w:t>Each time you get your tank filled, make sure the screw fitting or fixed coupling is not becoming corroded and that debris is not getting trapped in it.</w:t>
      </w:r>
    </w:p>
    <w:p w14:paraId="114A2739" w14:textId="64CF6E47" w:rsidR="002F6CED" w:rsidRDefault="00F42B66" w:rsidP="00E610CF">
      <w:pPr>
        <w:spacing w:line="360" w:lineRule="auto"/>
        <w:rPr>
          <w:rFonts w:ascii="Arial" w:hAnsi="Arial" w:cs="Arial"/>
        </w:rPr>
      </w:pPr>
      <w:r w:rsidRPr="00DF5149">
        <w:rPr>
          <w:rFonts w:ascii="Arial" w:hAnsi="Arial" w:cs="Arial"/>
        </w:rPr>
        <w:t>Within the Welsh Governments Guidance on the Water Resources (Control of Pollution)</w:t>
      </w:r>
      <w:r>
        <w:rPr>
          <w:rFonts w:ascii="Arial" w:hAnsi="Arial" w:cs="Arial"/>
        </w:rPr>
        <w:t xml:space="preserve"> </w:t>
      </w:r>
      <w:r w:rsidRPr="00DF5149">
        <w:rPr>
          <w:rFonts w:ascii="Arial" w:hAnsi="Arial" w:cs="Arial"/>
        </w:rPr>
        <w:t>(Oil Storage)</w:t>
      </w:r>
      <w:r>
        <w:rPr>
          <w:rFonts w:ascii="Arial" w:hAnsi="Arial" w:cs="Arial"/>
        </w:rPr>
        <w:t xml:space="preserve"> </w:t>
      </w:r>
      <w:r w:rsidRPr="00DF5149">
        <w:rPr>
          <w:rFonts w:ascii="Arial" w:hAnsi="Arial" w:cs="Arial"/>
        </w:rPr>
        <w:t>(Wales) Regulations 2016 it states that the standard for oil containers is as follows: “The Regulations set minimum standards for new and existing above ground oil storage facilities, affecting all sectors, including industrial, commercial, agricultural and institutional sectors, as well as new domestic installations.”</w:t>
      </w:r>
    </w:p>
    <w:p w14:paraId="26EBF354" w14:textId="24A027C5" w:rsidR="008253A8" w:rsidRPr="00DF5149" w:rsidRDefault="008253A8" w:rsidP="00E610CF">
      <w:pPr>
        <w:spacing w:line="360" w:lineRule="auto"/>
        <w:rPr>
          <w:rFonts w:ascii="Arial" w:hAnsi="Arial" w:cs="Arial"/>
        </w:rPr>
      </w:pPr>
      <w:r w:rsidRPr="00DF5149">
        <w:rPr>
          <w:rFonts w:ascii="Arial" w:hAnsi="Arial" w:cs="Arial"/>
        </w:rPr>
        <w:t>It also states that:</w:t>
      </w:r>
      <w:r w:rsidR="00767136" w:rsidRPr="00DF5149">
        <w:rPr>
          <w:rFonts w:ascii="Arial" w:hAnsi="Arial" w:cs="Arial"/>
        </w:rPr>
        <w:t xml:space="preserve"> </w:t>
      </w:r>
    </w:p>
    <w:p w14:paraId="71922C5E" w14:textId="73848E2D"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All tanks, drums or other containers over 200 litres </w:t>
      </w:r>
      <w:r w:rsidRPr="00A36880">
        <w:rPr>
          <w:rFonts w:ascii="Arial" w:hAnsi="Arial" w:cs="Arial"/>
          <w:b/>
          <w:bCs/>
        </w:rPr>
        <w:t xml:space="preserve">must </w:t>
      </w:r>
      <w:r w:rsidRPr="00A36880">
        <w:rPr>
          <w:rFonts w:ascii="Arial" w:hAnsi="Arial" w:cs="Arial"/>
        </w:rPr>
        <w:t xml:space="preserve">be strong enough to hold the oil without leaking or bursting. A standard oil drum has a capacity of 205 litres and must comply with the Regulations. </w:t>
      </w:r>
    </w:p>
    <w:p w14:paraId="5CD440CC" w14:textId="77777777"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If possible, the oil container </w:t>
      </w:r>
      <w:r w:rsidRPr="00A36880">
        <w:rPr>
          <w:rFonts w:ascii="Arial" w:hAnsi="Arial" w:cs="Arial"/>
          <w:b/>
          <w:bCs/>
        </w:rPr>
        <w:t xml:space="preserve">must </w:t>
      </w:r>
      <w:r w:rsidRPr="00A36880">
        <w:rPr>
          <w:rFonts w:ascii="Arial" w:hAnsi="Arial" w:cs="Arial"/>
        </w:rPr>
        <w:t xml:space="preserve">be either positioned to avoid damage (e.g. impact from any vehicular traffic) or suitably protected by physical means. </w:t>
      </w:r>
    </w:p>
    <w:p w14:paraId="54827E2C" w14:textId="5C5D36E7"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A secondary containment system (e.g. bund or drip tray) </w:t>
      </w:r>
      <w:r w:rsidRPr="00A36880">
        <w:rPr>
          <w:rFonts w:ascii="Arial" w:hAnsi="Arial" w:cs="Arial"/>
          <w:b/>
          <w:bCs/>
        </w:rPr>
        <w:t xml:space="preserve">must </w:t>
      </w:r>
      <w:r w:rsidRPr="00A36880">
        <w:rPr>
          <w:rFonts w:ascii="Arial" w:hAnsi="Arial" w:cs="Arial"/>
        </w:rPr>
        <w:t>be provided to catch any oil leaking from the container or its related pipework and equipment.</w:t>
      </w:r>
    </w:p>
    <w:p w14:paraId="07980EE7" w14:textId="0F18050B"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The secondary containment system for a tank, IBC or mobile bowser </w:t>
      </w:r>
      <w:r w:rsidRPr="00A36880">
        <w:rPr>
          <w:rFonts w:ascii="Arial" w:hAnsi="Arial" w:cs="Arial"/>
          <w:b/>
          <w:bCs/>
        </w:rPr>
        <w:t xml:space="preserve">must </w:t>
      </w:r>
      <w:r w:rsidRPr="00A36880">
        <w:rPr>
          <w:rFonts w:ascii="Arial" w:hAnsi="Arial" w:cs="Arial"/>
        </w:rPr>
        <w:t xml:space="preserve">be sufficient capacity to contain at least 110% of the maximum contents of 6he oil container. Where more than one container is stored the bund </w:t>
      </w:r>
      <w:r w:rsidRPr="00A36880">
        <w:rPr>
          <w:rFonts w:ascii="Arial" w:hAnsi="Arial" w:cs="Arial"/>
          <w:b/>
          <w:bCs/>
        </w:rPr>
        <w:t xml:space="preserve">must </w:t>
      </w:r>
      <w:r w:rsidRPr="00A36880">
        <w:rPr>
          <w:rFonts w:ascii="Arial" w:hAnsi="Arial" w:cs="Arial"/>
        </w:rPr>
        <w:t xml:space="preserve">be capable of storing at least 110% of the largest tank (or of one tank if they are </w:t>
      </w:r>
      <w:r w:rsidRPr="00A36880">
        <w:rPr>
          <w:rFonts w:ascii="Arial" w:hAnsi="Arial" w:cs="Arial"/>
        </w:rPr>
        <w:lastRenderedPageBreak/>
        <w:t xml:space="preserve">the same size), or at least 25% of the total storage capacity, whichever is the greater. </w:t>
      </w:r>
    </w:p>
    <w:p w14:paraId="6F805FAC" w14:textId="1B2081A2"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The secondary containment system for drums, (which may be a drip tray or bund), </w:t>
      </w:r>
      <w:r w:rsidRPr="00A36880">
        <w:rPr>
          <w:rFonts w:ascii="Arial" w:hAnsi="Arial" w:cs="Arial"/>
          <w:b/>
          <w:bCs/>
        </w:rPr>
        <w:t xml:space="preserve">must </w:t>
      </w:r>
      <w:r w:rsidRPr="00A36880">
        <w:rPr>
          <w:rFonts w:ascii="Arial" w:hAnsi="Arial" w:cs="Arial"/>
        </w:rPr>
        <w:t xml:space="preserve">be of sufficient capacity to contain at least 25% of total storage capacity. </w:t>
      </w:r>
    </w:p>
    <w:p w14:paraId="6D01B182" w14:textId="71D2E988"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Special attention should be paid where containers are hydraulically linked to ensure the containment system meets these requirements. </w:t>
      </w:r>
    </w:p>
    <w:p w14:paraId="7503C38E" w14:textId="77FBF964"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The bund base and walls </w:t>
      </w:r>
      <w:r w:rsidRPr="00A36880">
        <w:rPr>
          <w:rFonts w:ascii="Arial" w:hAnsi="Arial" w:cs="Arial"/>
          <w:b/>
          <w:bCs/>
        </w:rPr>
        <w:t xml:space="preserve">must </w:t>
      </w:r>
      <w:r w:rsidRPr="00A36880">
        <w:rPr>
          <w:rFonts w:ascii="Arial" w:hAnsi="Arial" w:cs="Arial"/>
        </w:rPr>
        <w:t xml:space="preserve">be impermeable to water and oil and checked regularly for leaks. </w:t>
      </w:r>
    </w:p>
    <w:p w14:paraId="2C721E31" w14:textId="0A867FE4"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Any valve, filter, sight gauge, vent pipe or other ancillary equipment </w:t>
      </w:r>
      <w:r w:rsidRPr="00A36880">
        <w:rPr>
          <w:rFonts w:ascii="Arial" w:hAnsi="Arial" w:cs="Arial"/>
          <w:b/>
          <w:bCs/>
        </w:rPr>
        <w:t xml:space="preserve">must </w:t>
      </w:r>
      <w:r w:rsidRPr="00A36880">
        <w:rPr>
          <w:rFonts w:ascii="Arial" w:hAnsi="Arial" w:cs="Arial"/>
        </w:rPr>
        <w:t xml:space="preserve">be kept within the bund when not in use. </w:t>
      </w:r>
    </w:p>
    <w:p w14:paraId="30FCFE2A" w14:textId="00CE11BB" w:rsidR="008253A8" w:rsidRPr="00A36880" w:rsidRDefault="008253A8" w:rsidP="00A36880">
      <w:pPr>
        <w:pStyle w:val="ListParagraph"/>
        <w:numPr>
          <w:ilvl w:val="0"/>
          <w:numId w:val="6"/>
        </w:numPr>
        <w:spacing w:line="360" w:lineRule="auto"/>
        <w:rPr>
          <w:rFonts w:ascii="Arial" w:hAnsi="Arial" w:cs="Arial"/>
        </w:rPr>
      </w:pPr>
      <w:r w:rsidRPr="00A36880">
        <w:rPr>
          <w:rFonts w:ascii="Arial" w:hAnsi="Arial" w:cs="Arial"/>
        </w:rPr>
        <w:t xml:space="preserve">Above ground pipework must be properly supported (e.g. using brackets to attach the pipe to a wall). </w:t>
      </w:r>
    </w:p>
    <w:p w14:paraId="0264E055" w14:textId="69311B54" w:rsidR="00D261D1" w:rsidRPr="00DF5149" w:rsidRDefault="008F3085" w:rsidP="00E610CF">
      <w:pPr>
        <w:spacing w:line="360" w:lineRule="auto"/>
        <w:rPr>
          <w:rFonts w:ascii="Arial" w:hAnsi="Arial" w:cs="Arial"/>
        </w:rPr>
      </w:pPr>
      <w:r w:rsidRPr="00DF5149">
        <w:rPr>
          <w:rFonts w:ascii="Arial" w:hAnsi="Arial" w:cs="Arial"/>
        </w:rPr>
        <w:t>Therefore,</w:t>
      </w:r>
      <w:r w:rsidR="00D261D1" w:rsidRPr="00DF5149">
        <w:rPr>
          <w:rFonts w:ascii="Arial" w:hAnsi="Arial" w:cs="Arial"/>
        </w:rPr>
        <w:t xml:space="preserve"> this </w:t>
      </w:r>
      <w:r w:rsidRPr="00DF5149">
        <w:rPr>
          <w:rFonts w:ascii="Arial" w:hAnsi="Arial" w:cs="Arial"/>
        </w:rPr>
        <w:t>type of storage for kerosene comes</w:t>
      </w:r>
      <w:r w:rsidR="00D261D1" w:rsidRPr="00DF5149">
        <w:rPr>
          <w:rFonts w:ascii="Arial" w:hAnsi="Arial" w:cs="Arial"/>
        </w:rPr>
        <w:t xml:space="preserve"> under the Safety and Environmental Standards for Fuel Storage Sites regulations which was published in 2009 by the HSE. Under this regulation it states that </w:t>
      </w:r>
      <w:r w:rsidRPr="00DF5149">
        <w:rPr>
          <w:rFonts w:ascii="Arial" w:hAnsi="Arial" w:cs="Arial"/>
        </w:rPr>
        <w:t xml:space="preserve">there should be overfill protection systems in place for storage tanks this includes taking into consideration the design, installation, operation, maintenance, equipment, redundancy level, diversity, fail safe, proof test, and common causes of failure. </w:t>
      </w:r>
    </w:p>
    <w:p w14:paraId="35E17352" w14:textId="755CFC97" w:rsidR="00282380" w:rsidRDefault="00282380">
      <w:r>
        <w:br w:type="page"/>
      </w:r>
    </w:p>
    <w:p w14:paraId="149E222C" w14:textId="3B4F9BE6" w:rsidR="0011499A" w:rsidRDefault="00282380" w:rsidP="00282380">
      <w:pPr>
        <w:pStyle w:val="Heading1"/>
      </w:pPr>
      <w:bookmarkStart w:id="5" w:name="_Toc102059522"/>
      <w:r>
        <w:lastRenderedPageBreak/>
        <w:t xml:space="preserve">Task 2 – </w:t>
      </w:r>
      <w:r w:rsidR="75E4CA70">
        <w:t>Circuit Breakers</w:t>
      </w:r>
      <w:bookmarkEnd w:id="5"/>
      <w:r>
        <w:t xml:space="preserve"> </w:t>
      </w:r>
    </w:p>
    <w:p w14:paraId="74F03514" w14:textId="77777777" w:rsidR="004342C5" w:rsidRDefault="00093C28" w:rsidP="004342C5">
      <w:pPr>
        <w:spacing w:line="360" w:lineRule="auto"/>
        <w:rPr>
          <w:rFonts w:ascii="Arial" w:hAnsi="Arial" w:cs="Arial"/>
          <w:lang w:val="en-US"/>
        </w:rPr>
      </w:pPr>
      <w:r w:rsidRPr="00C76AC3">
        <w:rPr>
          <w:rFonts w:ascii="Arial" w:eastAsiaTheme="minorEastAsia" w:hAnsi="Arial" w:cs="Arial"/>
          <w:lang w:val="en-US"/>
        </w:rPr>
        <w:t xml:space="preserve">A circuit breaker is as it name states it is a device </w:t>
      </w:r>
      <w:proofErr w:type="gramStart"/>
      <w:r w:rsidRPr="00C76AC3">
        <w:rPr>
          <w:rFonts w:ascii="Arial" w:eastAsiaTheme="minorEastAsia" w:hAnsi="Arial" w:cs="Arial"/>
          <w:lang w:val="en-US"/>
        </w:rPr>
        <w:t>that  protects</w:t>
      </w:r>
      <w:proofErr w:type="gramEnd"/>
      <w:r w:rsidRPr="00C76AC3">
        <w:rPr>
          <w:rFonts w:ascii="Arial" w:eastAsiaTheme="minorEastAsia" w:hAnsi="Arial" w:cs="Arial"/>
          <w:lang w:val="en-US"/>
        </w:rPr>
        <w:t xml:space="preserve"> an electrical circuit from damage caused by overcurrent/overload or also known as a short circuit.</w:t>
      </w:r>
      <w:r w:rsidR="004342C5" w:rsidRPr="00C76AC3">
        <w:rPr>
          <w:rFonts w:ascii="Arial" w:hAnsi="Arial" w:cs="Arial"/>
        </w:rPr>
        <w:t xml:space="preserve"> </w:t>
      </w:r>
      <w:r w:rsidRPr="00C76AC3">
        <w:rPr>
          <w:rFonts w:ascii="Arial" w:eastAsiaTheme="minorEastAsia" w:hAnsi="Arial" w:cs="Arial"/>
          <w:lang w:val="en-US"/>
        </w:rPr>
        <w:t>There are many different types of Circuit breakers these include: GFCI, AFCI, Single-Pole, and Double-Pole.</w:t>
      </w:r>
    </w:p>
    <w:p w14:paraId="3E312AD0" w14:textId="77777777" w:rsidR="004342C5" w:rsidRPr="004A2A37" w:rsidRDefault="004342C5" w:rsidP="004342C5">
      <w:pPr>
        <w:shd w:val="clear" w:color="auto" w:fill="FFFFFF"/>
        <w:spacing w:before="100" w:beforeAutospacing="1" w:after="100" w:afterAutospacing="1" w:line="360" w:lineRule="auto"/>
        <w:rPr>
          <w:rFonts w:ascii="Arial" w:hAnsi="Arial" w:cs="Arial"/>
          <w:color w:val="000000"/>
        </w:rPr>
      </w:pPr>
      <w:r w:rsidRPr="004A2A37">
        <w:rPr>
          <w:rFonts w:ascii="Arial" w:hAnsi="Arial" w:cs="Arial"/>
          <w:color w:val="000000"/>
          <w:lang w:val="en-US"/>
        </w:rPr>
        <w:t>Circuit interrupters (GFCI) handle line-to-ground faults by preventing electricity from reaching the ground. These are common in ‘wet rooms’ such as kitchens, bathrooms, pool decks and back porches. For safety, they are now required to be installed in any room that has running water.</w:t>
      </w:r>
    </w:p>
    <w:p w14:paraId="7F4452C9" w14:textId="77777777" w:rsidR="004342C5" w:rsidRPr="004A2A37" w:rsidRDefault="004342C5" w:rsidP="004342C5">
      <w:pPr>
        <w:shd w:val="clear" w:color="auto" w:fill="FFFFFF"/>
        <w:spacing w:before="100" w:beforeAutospacing="1" w:after="100" w:afterAutospacing="1" w:line="360" w:lineRule="auto"/>
        <w:rPr>
          <w:rFonts w:ascii="Arial" w:hAnsi="Arial" w:cs="Arial"/>
          <w:color w:val="000000"/>
        </w:rPr>
      </w:pPr>
      <w:r w:rsidRPr="004A2A37">
        <w:rPr>
          <w:rFonts w:ascii="Arial" w:hAnsi="Arial" w:cs="Arial"/>
          <w:color w:val="000000"/>
          <w:lang w:val="en-US"/>
        </w:rPr>
        <w:t>Electricity is protected against electrical arcs by AFCIs (Arc Fault Circuit Interrupters). Wood, insulation, and other materials can easily burn in the arcs, which can get so hot they can burn them. Modern homes require them. It is so dangerous to have an arc fault because the electricity can jump out of the circuit and travel to other areas. When arcing is detected in the electrical wiring, these will trip.</w:t>
      </w:r>
    </w:p>
    <w:p w14:paraId="7B28F86E" w14:textId="77777777" w:rsidR="004342C5" w:rsidRPr="004A2A37" w:rsidRDefault="004342C5" w:rsidP="004342C5">
      <w:pPr>
        <w:shd w:val="clear" w:color="auto" w:fill="FFFFFF"/>
        <w:spacing w:before="100" w:beforeAutospacing="1" w:after="100" w:afterAutospacing="1" w:line="360" w:lineRule="auto"/>
        <w:rPr>
          <w:rFonts w:ascii="Arial" w:hAnsi="Arial" w:cs="Arial"/>
          <w:color w:val="000000"/>
        </w:rPr>
      </w:pPr>
      <w:r w:rsidRPr="004A2A37">
        <w:rPr>
          <w:rFonts w:ascii="Arial" w:hAnsi="Arial" w:cs="Arial"/>
          <w:color w:val="000000"/>
          <w:lang w:val="en-US"/>
        </w:rPr>
        <w:t>The circuit breaker used in today's breaker boxes is a single-pole breaker. You'll find these in the electrical panel of your home. They are the narrowest circuit breaker switches. These circuits are referred to as single-pole because they monitor the current of a single wire and trip in the event of a short, surge or overload. Single-pole circuit breakers typically have one live wire and one neutral wire, and are designed to handle anywhere from 15-30 amps.</w:t>
      </w:r>
    </w:p>
    <w:p w14:paraId="6DCF8746" w14:textId="77777777" w:rsidR="004342C5" w:rsidRPr="004A2A37" w:rsidRDefault="004342C5" w:rsidP="004342C5">
      <w:pPr>
        <w:shd w:val="clear" w:color="auto" w:fill="FFFFFF"/>
        <w:spacing w:before="100" w:beforeAutospacing="1" w:after="100" w:afterAutospacing="1" w:line="360" w:lineRule="auto"/>
        <w:rPr>
          <w:rFonts w:ascii="Arial" w:hAnsi="Arial" w:cs="Arial"/>
          <w:color w:val="000000"/>
        </w:rPr>
      </w:pPr>
      <w:r w:rsidRPr="004A2A37">
        <w:rPr>
          <w:rFonts w:ascii="Arial" w:hAnsi="Arial" w:cs="Arial"/>
          <w:color w:val="000000"/>
          <w:lang w:val="en-US"/>
        </w:rPr>
        <w:t>Two wires are monitored simultaneously by double-pole circuit breakers, not just one. Double-pole circuit breakers have two connected switches that operate as one. Breakers of this type will trip if both or one of the wires are overloaded or shorted out. A double-pole circuit breaker is designed to supply much more power to demanding appliances than single-pole circuit breakers, providing 120/240 volts and accommodating between 15-200 amps.</w:t>
      </w:r>
    </w:p>
    <w:p w14:paraId="4D857740" w14:textId="77777777" w:rsidR="004342C5" w:rsidRDefault="004342C5" w:rsidP="004342C5">
      <w:pPr>
        <w:spacing w:line="360" w:lineRule="auto"/>
        <w:rPr>
          <w:rFonts w:ascii="Arial" w:eastAsia="Arial" w:hAnsi="Arial" w:cs="Arial"/>
          <w:color w:val="000000" w:themeColor="text1"/>
        </w:rPr>
      </w:pPr>
      <w:r>
        <w:rPr>
          <w:noProof/>
        </w:rPr>
        <w:lastRenderedPageBreak/>
        <w:drawing>
          <wp:anchor distT="0" distB="0" distL="114300" distR="114300" simplePos="0" relativeHeight="251665408" behindDoc="0" locked="0" layoutInCell="1" allowOverlap="1" wp14:anchorId="1C657FEE" wp14:editId="7CE98907">
            <wp:simplePos x="0" y="0"/>
            <wp:positionH relativeFrom="margin">
              <wp:align>left</wp:align>
            </wp:positionH>
            <wp:positionV relativeFrom="paragraph">
              <wp:posOffset>474980</wp:posOffset>
            </wp:positionV>
            <wp:extent cx="2677795" cy="2571750"/>
            <wp:effectExtent l="0" t="0" r="8255" b="0"/>
            <wp:wrapSquare wrapText="bothSides"/>
            <wp:docPr id="1483816592" name="Picture 1483816592" descr="No photo description availabl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816592" name="Picture 1483816592" descr="No photo description available.">
                      <a:hlinkClick r:id="rId14"/>
                    </pic:cNvP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77795" cy="25717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263ABAE5" wp14:editId="3620A5A7">
            <wp:simplePos x="0" y="0"/>
            <wp:positionH relativeFrom="column">
              <wp:posOffset>3429000</wp:posOffset>
            </wp:positionH>
            <wp:positionV relativeFrom="paragraph">
              <wp:posOffset>6342380</wp:posOffset>
            </wp:positionV>
            <wp:extent cx="2247900" cy="2247900"/>
            <wp:effectExtent l="0" t="0" r="0" b="0"/>
            <wp:wrapSquare wrapText="bothSides"/>
            <wp:docPr id="1" name="Picture 1" descr="Protek Single Pole MCB 10kA Type B 32A SP">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otek Single Pole MCB 10kA Type B 32A SP">
                      <a:hlinkClick r:id="rId16"/>
                    </pic:cNvPr>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47900" cy="2247900"/>
                    </a:xfrm>
                    <a:prstGeom prst="rect">
                      <a:avLst/>
                    </a:prstGeom>
                  </pic:spPr>
                </pic:pic>
              </a:graphicData>
            </a:graphic>
          </wp:anchor>
        </w:drawing>
      </w:r>
      <w:r>
        <w:rPr>
          <w:rFonts w:ascii="Arial" w:hAnsi="Arial" w:cs="Arial"/>
        </w:rPr>
        <w:t>Most common type of circuit breaker is a MCB</w:t>
      </w:r>
      <w:r w:rsidRPr="6A9339D7">
        <w:rPr>
          <w:rFonts w:ascii="Arial" w:eastAsia="Arial" w:hAnsi="Arial" w:cs="Arial"/>
          <w:color w:val="000000" w:themeColor="text1"/>
        </w:rPr>
        <w:t xml:space="preserve"> </w:t>
      </w:r>
      <w:r>
        <w:rPr>
          <w:rFonts w:ascii="Arial" w:eastAsia="Arial" w:hAnsi="Arial" w:cs="Arial"/>
          <w:color w:val="000000" w:themeColor="text1"/>
        </w:rPr>
        <w:t>(</w:t>
      </w:r>
      <w:r w:rsidRPr="6A9339D7">
        <w:rPr>
          <w:rFonts w:ascii="Arial" w:eastAsia="Arial" w:hAnsi="Arial" w:cs="Arial"/>
          <w:color w:val="000000" w:themeColor="text1"/>
        </w:rPr>
        <w:t>miniature circuit breaker</w:t>
      </w:r>
      <w:r>
        <w:rPr>
          <w:rFonts w:ascii="Arial" w:eastAsia="Arial" w:hAnsi="Arial" w:cs="Arial"/>
          <w:color w:val="000000" w:themeColor="text1"/>
        </w:rPr>
        <w:t xml:space="preserve">) which </w:t>
      </w:r>
      <w:r w:rsidRPr="6A9339D7">
        <w:rPr>
          <w:rFonts w:ascii="Arial" w:eastAsia="Arial" w:hAnsi="Arial" w:cs="Arial"/>
          <w:color w:val="000000" w:themeColor="text1"/>
        </w:rPr>
        <w:t xml:space="preserve">automatically switches off the electrical circuit when overload or unusual condition occurs in the circuit as well as a faulty one. </w:t>
      </w:r>
      <w:proofErr w:type="gramStart"/>
      <w:r w:rsidRPr="6A9339D7">
        <w:rPr>
          <w:rFonts w:ascii="Arial" w:eastAsia="Arial" w:hAnsi="Arial" w:cs="Arial"/>
          <w:color w:val="000000" w:themeColor="text1"/>
        </w:rPr>
        <w:t>A</w:t>
      </w:r>
      <w:proofErr w:type="gramEnd"/>
      <w:r w:rsidRPr="6A9339D7">
        <w:rPr>
          <w:rFonts w:ascii="Arial" w:eastAsia="Arial" w:hAnsi="Arial" w:cs="Arial"/>
          <w:color w:val="000000" w:themeColor="text1"/>
        </w:rPr>
        <w:t xml:space="preserve"> MCB is a electrotechnical device which protects a circuit from over-current. Unlike a fuse when overloaded it ‘blows’ a MCB can be switched on or off as it can act like a switch. The MCB does not get destroyed during an over-current, so they are </w:t>
      </w:r>
      <w:r w:rsidRPr="008B1365">
        <w:rPr>
          <w:rFonts w:ascii="Arial" w:eastAsia="Arial" w:hAnsi="Arial" w:cs="Arial"/>
          <w:color w:val="000000" w:themeColor="text1"/>
        </w:rPr>
        <w:t xml:space="preserve">reusable and do not have to be replaced. </w:t>
      </w:r>
      <w:r w:rsidRPr="008B1365">
        <w:rPr>
          <w:rFonts w:ascii="Arial" w:hAnsi="Arial" w:cs="Arial"/>
          <w:color w:val="222222"/>
          <w:shd w:val="clear" w:color="auto" w:fill="FFFFFF"/>
        </w:rPr>
        <w:t>MCBs are typically single-pole designs for use in single-phase circuits. It is made of flame-retardant high strength plastic and is housed within a plastic moulding. As a result, it has a high melting point, high dielectric strength, low water absorption at saturation, a low coefficient of linear thermal expansion, and a high deflection temperature under load.</w:t>
      </w:r>
      <w:r w:rsidRPr="008B1365">
        <w:rPr>
          <w:rFonts w:ascii="Arial" w:hAnsi="Arial" w:cs="Arial"/>
          <w:color w:val="000000"/>
          <w:shd w:val="clear" w:color="auto" w:fill="FFFFFF"/>
        </w:rPr>
        <w:t> An MCB is equipped with an arc chute stack that consists of various arc chutes (metal plates) which are held in place with an insulating material.</w:t>
      </w:r>
      <w:r w:rsidRPr="008B1365">
        <w:rPr>
          <w:rFonts w:ascii="Arial" w:hAnsi="Arial" w:cs="Arial"/>
          <w:color w:val="222222"/>
          <w:shd w:val="clear" w:color="auto" w:fill="FFFFFF"/>
        </w:rPr>
        <w:t> Since arc chute stacks do not necessarily surround the contacts, some designs include arc runners to move the arc into the chutes.</w:t>
      </w:r>
      <w:r w:rsidRPr="6A9339D7">
        <w:rPr>
          <w:rFonts w:ascii="Arial" w:eastAsia="Arial" w:hAnsi="Arial" w:cs="Arial"/>
          <w:color w:val="000000" w:themeColor="text1"/>
        </w:rPr>
        <w:t xml:space="preserve"> The MCB are much easier to use as they offer an ‘on/off’ switch for circuit isolation and the conductor is housed within a plastic bag, they are safer to use and operate. Even though they are safe they do not however protect humans from electrical shock caused by ‘earth leakage.’ An MCB has three principal characters this includes Amperes, Kilo Amperes and Tripping curve. Overload current rating</w:t>
      </w:r>
      <w:r>
        <w:rPr>
          <w:rFonts w:ascii="Arial" w:eastAsia="Arial" w:hAnsi="Arial" w:cs="Arial"/>
          <w:color w:val="000000" w:themeColor="text1"/>
        </w:rPr>
        <w:t xml:space="preserve"> is the </w:t>
      </w:r>
      <w:r w:rsidRPr="6A9339D7">
        <w:rPr>
          <w:rFonts w:ascii="Arial" w:eastAsia="Arial" w:hAnsi="Arial" w:cs="Arial"/>
          <w:color w:val="000000" w:themeColor="text1"/>
        </w:rPr>
        <w:t xml:space="preserve">amperes </w:t>
      </w:r>
      <w:r>
        <w:rPr>
          <w:rFonts w:ascii="Arial" w:eastAsia="Arial" w:hAnsi="Arial" w:cs="Arial"/>
          <w:color w:val="000000" w:themeColor="text1"/>
        </w:rPr>
        <w:t>exceeding the load</w:t>
      </w:r>
      <w:r w:rsidRPr="6A9339D7">
        <w:rPr>
          <w:rFonts w:ascii="Arial" w:eastAsia="Arial" w:hAnsi="Arial" w:cs="Arial"/>
          <w:color w:val="000000" w:themeColor="text1"/>
        </w:rPr>
        <w:t xml:space="preserve"> when too many appliances are plugged into one circuit that is not designed to take that amount of electrical current. For example, the TV, Console, Sky box, surround sound, and electric fire are all in use at the same time. Th</w:t>
      </w:r>
      <w:r>
        <w:rPr>
          <w:rFonts w:ascii="Arial" w:eastAsia="Arial" w:hAnsi="Arial" w:cs="Arial"/>
          <w:color w:val="000000" w:themeColor="text1"/>
        </w:rPr>
        <w:t>is will cause the</w:t>
      </w:r>
      <w:r w:rsidRPr="6A9339D7">
        <w:rPr>
          <w:rFonts w:ascii="Arial" w:eastAsia="Arial" w:hAnsi="Arial" w:cs="Arial"/>
          <w:color w:val="000000" w:themeColor="text1"/>
        </w:rPr>
        <w:t xml:space="preserve"> MCB </w:t>
      </w:r>
      <w:r>
        <w:rPr>
          <w:rFonts w:ascii="Arial" w:eastAsia="Arial" w:hAnsi="Arial" w:cs="Arial"/>
          <w:color w:val="000000" w:themeColor="text1"/>
        </w:rPr>
        <w:t>to</w:t>
      </w:r>
      <w:r w:rsidRPr="6A9339D7">
        <w:rPr>
          <w:rFonts w:ascii="Arial" w:eastAsia="Arial" w:hAnsi="Arial" w:cs="Arial"/>
          <w:color w:val="000000" w:themeColor="text1"/>
        </w:rPr>
        <w:t xml:space="preserve"> cut the power which prevents overheating and fire in the cable and terminals. Short circuit rating</w:t>
      </w:r>
      <w:r>
        <w:rPr>
          <w:rFonts w:ascii="Arial" w:eastAsia="Arial" w:hAnsi="Arial" w:cs="Arial"/>
          <w:color w:val="000000" w:themeColor="text1"/>
        </w:rPr>
        <w:t xml:space="preserve"> </w:t>
      </w:r>
      <w:r w:rsidRPr="6A9339D7">
        <w:rPr>
          <w:rFonts w:ascii="Arial" w:eastAsia="Arial" w:hAnsi="Arial" w:cs="Arial"/>
          <w:color w:val="000000" w:themeColor="text1"/>
        </w:rPr>
        <w:t>is the result of a fault somewhere in the electrical circuit or a</w:t>
      </w:r>
      <w:r>
        <w:rPr>
          <w:rFonts w:ascii="Arial" w:eastAsia="Arial" w:hAnsi="Arial" w:cs="Arial"/>
          <w:color w:val="000000" w:themeColor="text1"/>
        </w:rPr>
        <w:t>n</w:t>
      </w:r>
      <w:r w:rsidRPr="6A9339D7">
        <w:rPr>
          <w:rFonts w:ascii="Arial" w:eastAsia="Arial" w:hAnsi="Arial" w:cs="Arial"/>
          <w:color w:val="000000" w:themeColor="text1"/>
        </w:rPr>
        <w:t xml:space="preserve"> appliance this can potentially be much more dangerous than an overload in the </w:t>
      </w:r>
      <w:r w:rsidRPr="6A9339D7">
        <w:rPr>
          <w:rFonts w:ascii="Arial" w:eastAsia="Arial" w:hAnsi="Arial" w:cs="Arial"/>
          <w:color w:val="000000" w:themeColor="text1"/>
        </w:rPr>
        <w:lastRenderedPageBreak/>
        <w:t>circuit as the scale and speed of over current is in a different order of magnitude</w:t>
      </w:r>
      <w:r>
        <w:rPr>
          <w:rFonts w:ascii="Arial" w:eastAsia="Arial" w:hAnsi="Arial" w:cs="Arial"/>
          <w:color w:val="000000" w:themeColor="text1"/>
        </w:rPr>
        <w:t>, t</w:t>
      </w:r>
      <w:r w:rsidRPr="6A9339D7">
        <w:rPr>
          <w:rFonts w:ascii="Arial" w:eastAsia="Arial" w:hAnsi="Arial" w:cs="Arial"/>
          <w:color w:val="000000" w:themeColor="text1"/>
        </w:rPr>
        <w:t>his occurs when the live and neutrals conductors connect.</w:t>
      </w:r>
      <w:r w:rsidRPr="00CE2BBB">
        <w:rPr>
          <w:noProof/>
        </w:rPr>
        <w:t xml:space="preserve"> </w:t>
      </w:r>
      <w:r w:rsidRPr="6A9339D7">
        <w:rPr>
          <w:rFonts w:ascii="Arial" w:eastAsia="Arial" w:hAnsi="Arial" w:cs="Arial"/>
          <w:color w:val="000000" w:themeColor="text1"/>
        </w:rPr>
        <w:t xml:space="preserve">MCBs used in domestic installations are rated at 6kA. The normal voltage for a house is 230v </w:t>
      </w:r>
      <w:r>
        <w:rPr>
          <w:rFonts w:ascii="Arial" w:eastAsia="Arial" w:hAnsi="Arial" w:cs="Arial"/>
          <w:color w:val="000000" w:themeColor="text1"/>
        </w:rPr>
        <w:t>t</w:t>
      </w:r>
      <w:r w:rsidRPr="6A9339D7">
        <w:rPr>
          <w:rFonts w:ascii="Arial" w:eastAsia="Arial" w:hAnsi="Arial" w:cs="Arial"/>
          <w:color w:val="000000" w:themeColor="text1"/>
        </w:rPr>
        <w:t>herefore the power ratings caused by short circuit should not exceed 600</w:t>
      </w:r>
      <w:r>
        <w:rPr>
          <w:rFonts w:ascii="Arial" w:eastAsia="Arial" w:hAnsi="Arial" w:cs="Arial"/>
          <w:color w:val="000000" w:themeColor="text1"/>
        </w:rPr>
        <w:t>Amps</w:t>
      </w:r>
      <w:r w:rsidRPr="6A9339D7">
        <w:rPr>
          <w:rFonts w:ascii="Arial" w:eastAsia="Arial" w:hAnsi="Arial" w:cs="Arial"/>
          <w:color w:val="000000" w:themeColor="text1"/>
        </w:rPr>
        <w:t xml:space="preserve">. In industrial situations much bigger ratings should be using 415v and large machinery. There it is necessary to use 10kA rated MCBs. Overload protection is provided by the Bi-metal thermo element. During ‘slow’ continuous over-current, the bi-metal thermo is heated by the electrical charge and thus bends which releases he mechanical latch, from there the latch opens and breaks the circuit as it is connected to the operating mechanism. During short circuit, </w:t>
      </w:r>
      <w:r>
        <w:rPr>
          <w:noProof/>
        </w:rPr>
        <w:drawing>
          <wp:anchor distT="0" distB="0" distL="114300" distR="114300" simplePos="0" relativeHeight="251667456" behindDoc="1" locked="0" layoutInCell="1" allowOverlap="1" wp14:anchorId="1D7FD5EE" wp14:editId="4C3ED245">
            <wp:simplePos x="0" y="0"/>
            <wp:positionH relativeFrom="margin">
              <wp:align>left</wp:align>
            </wp:positionH>
            <wp:positionV relativeFrom="paragraph">
              <wp:posOffset>771525</wp:posOffset>
            </wp:positionV>
            <wp:extent cx="3892550" cy="2278380"/>
            <wp:effectExtent l="0" t="0" r="0" b="7620"/>
            <wp:wrapSquare wrapText="bothSides"/>
            <wp:docPr id="5" name="Picture 5" descr="Type B Miniature Circuit Breaker ( Type B MCB)">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ype B Miniature Circuit Breaker ( Type B MCB)">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92550" cy="2278380"/>
                    </a:xfrm>
                    <a:prstGeom prst="rect">
                      <a:avLst/>
                    </a:prstGeom>
                    <a:noFill/>
                    <a:ln>
                      <a:noFill/>
                    </a:ln>
                  </pic:spPr>
                </pic:pic>
              </a:graphicData>
            </a:graphic>
          </wp:anchor>
        </w:drawing>
      </w:r>
      <w:r w:rsidRPr="6A9339D7">
        <w:rPr>
          <w:rFonts w:ascii="Arial" w:eastAsia="Arial" w:hAnsi="Arial" w:cs="Arial"/>
          <w:color w:val="000000" w:themeColor="text1"/>
        </w:rPr>
        <w:t xml:space="preserve">the dramatic rise of electric current causes the plunger inside to displace from the coil assembly. </w:t>
      </w:r>
      <w:r>
        <w:rPr>
          <w:rFonts w:ascii="Arial" w:eastAsia="Arial" w:hAnsi="Arial" w:cs="Arial"/>
          <w:color w:val="000000" w:themeColor="text1"/>
        </w:rPr>
        <w:t>Which is shown in figure three, t</w:t>
      </w:r>
      <w:r w:rsidRPr="6A9339D7">
        <w:rPr>
          <w:rFonts w:ascii="Arial" w:eastAsia="Arial" w:hAnsi="Arial" w:cs="Arial"/>
          <w:color w:val="000000" w:themeColor="text1"/>
        </w:rPr>
        <w:t xml:space="preserve">he trip lever strikes when this occurs, and this causes immediate release the latch and breaks the circuit. </w:t>
      </w:r>
      <w:r>
        <w:rPr>
          <w:rFonts w:ascii="Arial" w:eastAsia="Arial" w:hAnsi="Arial" w:cs="Arial"/>
          <w:color w:val="000000" w:themeColor="text1"/>
        </w:rPr>
        <w:t xml:space="preserve">An MCB </w:t>
      </w:r>
      <w:r w:rsidRPr="6A9339D7">
        <w:rPr>
          <w:rFonts w:ascii="Arial" w:eastAsia="Arial" w:hAnsi="Arial" w:cs="Arial"/>
          <w:color w:val="000000" w:themeColor="text1"/>
        </w:rPr>
        <w:t>Tripping Curve</w:t>
      </w:r>
      <w:r>
        <w:rPr>
          <w:rFonts w:ascii="Arial" w:eastAsia="Arial" w:hAnsi="Arial" w:cs="Arial"/>
          <w:color w:val="000000" w:themeColor="text1"/>
        </w:rPr>
        <w:t xml:space="preserve"> </w:t>
      </w:r>
      <w:r w:rsidRPr="6A9339D7">
        <w:rPr>
          <w:rFonts w:ascii="Arial" w:eastAsia="Arial" w:hAnsi="Arial" w:cs="Arial"/>
          <w:color w:val="000000" w:themeColor="text1"/>
        </w:rPr>
        <w:t xml:space="preserve">allows for </w:t>
      </w:r>
      <w:r>
        <w:rPr>
          <w:rFonts w:ascii="Arial" w:eastAsia="Arial" w:hAnsi="Arial" w:cs="Arial"/>
          <w:color w:val="000000" w:themeColor="text1"/>
        </w:rPr>
        <w:t xml:space="preserve">certain </w:t>
      </w:r>
      <w:r w:rsidRPr="6A9339D7">
        <w:rPr>
          <w:rFonts w:ascii="Arial" w:eastAsia="Arial" w:hAnsi="Arial" w:cs="Arial"/>
          <w:color w:val="000000" w:themeColor="text1"/>
        </w:rPr>
        <w:t xml:space="preserve">surges in power. Large machines usually </w:t>
      </w:r>
      <w:r>
        <w:rPr>
          <w:rFonts w:ascii="Arial" w:eastAsia="Arial" w:hAnsi="Arial" w:cs="Arial"/>
          <w:color w:val="000000" w:themeColor="text1"/>
        </w:rPr>
        <w:t>need</w:t>
      </w:r>
      <w:r w:rsidRPr="6A9339D7">
        <w:rPr>
          <w:rFonts w:ascii="Arial" w:eastAsia="Arial" w:hAnsi="Arial" w:cs="Arial"/>
          <w:color w:val="000000" w:themeColor="text1"/>
        </w:rPr>
        <w:t xml:space="preserve"> an initial surge of power </w:t>
      </w:r>
      <w:r>
        <w:rPr>
          <w:rFonts w:ascii="Arial" w:eastAsia="Arial" w:hAnsi="Arial" w:cs="Arial"/>
          <w:color w:val="000000" w:themeColor="text1"/>
        </w:rPr>
        <w:t>higher than</w:t>
      </w:r>
      <w:r w:rsidRPr="6A9339D7">
        <w:rPr>
          <w:rFonts w:ascii="Arial" w:eastAsia="Arial" w:hAnsi="Arial" w:cs="Arial"/>
          <w:color w:val="000000" w:themeColor="text1"/>
        </w:rPr>
        <w:t xml:space="preserve"> their normal running current to overcome </w:t>
      </w:r>
      <w:r>
        <w:rPr>
          <w:rFonts w:ascii="Arial" w:eastAsia="Arial" w:hAnsi="Arial" w:cs="Arial"/>
          <w:color w:val="000000" w:themeColor="text1"/>
        </w:rPr>
        <w:t>t</w:t>
      </w:r>
      <w:r w:rsidRPr="6A9339D7">
        <w:rPr>
          <w:rFonts w:ascii="Arial" w:eastAsia="Arial" w:hAnsi="Arial" w:cs="Arial"/>
          <w:color w:val="000000" w:themeColor="text1"/>
        </w:rPr>
        <w:t xml:space="preserve">he </w:t>
      </w:r>
      <w:r>
        <w:rPr>
          <w:rFonts w:ascii="Arial" w:eastAsia="Arial" w:hAnsi="Arial" w:cs="Arial"/>
          <w:color w:val="000000" w:themeColor="text1"/>
        </w:rPr>
        <w:t>inertness</w:t>
      </w:r>
      <w:r w:rsidRPr="6A9339D7">
        <w:rPr>
          <w:rFonts w:ascii="Arial" w:eastAsia="Arial" w:hAnsi="Arial" w:cs="Arial"/>
          <w:color w:val="000000" w:themeColor="text1"/>
        </w:rPr>
        <w:t xml:space="preserve"> of large motors. This surge </w:t>
      </w:r>
      <w:r>
        <w:rPr>
          <w:rFonts w:ascii="Arial" w:eastAsia="Arial" w:hAnsi="Arial" w:cs="Arial"/>
          <w:color w:val="000000" w:themeColor="text1"/>
        </w:rPr>
        <w:t>of power is allowed by the MCB for a brief period of time.</w:t>
      </w:r>
      <w:r w:rsidRPr="6A9339D7">
        <w:rPr>
          <w:rFonts w:ascii="Arial" w:eastAsia="Arial" w:hAnsi="Arial" w:cs="Arial"/>
          <w:color w:val="000000" w:themeColor="text1"/>
        </w:rPr>
        <w:t xml:space="preserve"> There are three principal</w:t>
      </w:r>
      <w:r>
        <w:rPr>
          <w:rFonts w:ascii="Arial" w:eastAsia="Arial" w:hAnsi="Arial" w:cs="Arial"/>
          <w:color w:val="000000" w:themeColor="text1"/>
        </w:rPr>
        <w:t xml:space="preserve"> </w:t>
      </w:r>
      <w:r w:rsidRPr="6A9339D7">
        <w:rPr>
          <w:rFonts w:ascii="Arial" w:eastAsia="Arial" w:hAnsi="Arial" w:cs="Arial"/>
          <w:color w:val="000000" w:themeColor="text1"/>
        </w:rPr>
        <w:t xml:space="preserve">curve types </w:t>
      </w:r>
      <w:r w:rsidRPr="000C61BD">
        <w:rPr>
          <w:rFonts w:ascii="Arial" w:eastAsia="Arial" w:hAnsi="Arial" w:cs="Arial"/>
          <w:color w:val="000000" w:themeColor="text1"/>
        </w:rPr>
        <w:t xml:space="preserve">Type B, </w:t>
      </w:r>
      <w:r>
        <w:rPr>
          <w:noProof/>
        </w:rPr>
        <w:drawing>
          <wp:anchor distT="0" distB="0" distL="114300" distR="114300" simplePos="0" relativeHeight="251668480" behindDoc="1" locked="0" layoutInCell="1" allowOverlap="1" wp14:anchorId="21156D7F" wp14:editId="4E165F1A">
            <wp:simplePos x="0" y="0"/>
            <wp:positionH relativeFrom="margin">
              <wp:align>left</wp:align>
            </wp:positionH>
            <wp:positionV relativeFrom="paragraph">
              <wp:posOffset>6240780</wp:posOffset>
            </wp:positionV>
            <wp:extent cx="5429250" cy="2028825"/>
            <wp:effectExtent l="0" t="0" r="0" b="9525"/>
            <wp:wrapSquare wrapText="bothSides"/>
            <wp:docPr id="4" name="Picture 4" descr="What is an MCB and how does it work? Miniature Circuit Breakers Explained">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hat is an MCB and how does it work? Miniature Circuit Breakers Explained">
                      <a:hlinkClick r:id="rId20"/>
                    </pic:cNvPr>
                    <pic:cNvPicPr/>
                  </pic:nvPicPr>
                  <pic:blipFill>
                    <a:blip r:embed="rId21">
                      <a:extLst>
                        <a:ext uri="{28A0092B-C50C-407E-A947-70E740481C1C}">
                          <a14:useLocalDpi xmlns:a14="http://schemas.microsoft.com/office/drawing/2010/main" val="0"/>
                        </a:ext>
                      </a:extLst>
                    </a:blip>
                    <a:stretch>
                      <a:fillRect/>
                    </a:stretch>
                  </pic:blipFill>
                  <pic:spPr>
                    <a:xfrm>
                      <a:off x="0" y="0"/>
                      <a:ext cx="5429250" cy="2028825"/>
                    </a:xfrm>
                    <a:prstGeom prst="rect">
                      <a:avLst/>
                    </a:prstGeom>
                  </pic:spPr>
                </pic:pic>
              </a:graphicData>
            </a:graphic>
          </wp:anchor>
        </w:drawing>
      </w:r>
      <w:r w:rsidRPr="000C61BD">
        <w:rPr>
          <w:rFonts w:ascii="Arial" w:eastAsia="Arial" w:hAnsi="Arial" w:cs="Arial"/>
          <w:color w:val="000000" w:themeColor="text1"/>
        </w:rPr>
        <w:t xml:space="preserve">Type C, and Type D. </w:t>
      </w:r>
    </w:p>
    <w:p w14:paraId="143C9E9B" w14:textId="77777777" w:rsidR="004342C5" w:rsidRPr="000E6945" w:rsidRDefault="004342C5" w:rsidP="004342C5">
      <w:pPr>
        <w:spacing w:line="360" w:lineRule="auto"/>
      </w:pPr>
      <w:r w:rsidRPr="6A9339D7">
        <w:rPr>
          <w:rFonts w:ascii="Arial" w:eastAsia="Arial" w:hAnsi="Arial" w:cs="Arial"/>
          <w:color w:val="000000" w:themeColor="text1"/>
        </w:rPr>
        <w:t>As seen in Figure 3 all three types of MCBs provide tripping protection within one tenth of a second. Once the overload has exceeded the MCB tris within 0.1seconds</w:t>
      </w:r>
      <w:r>
        <w:rPr>
          <w:rFonts w:ascii="Arial" w:eastAsia="Arial" w:hAnsi="Arial" w:cs="Arial"/>
          <w:color w:val="000000" w:themeColor="text1"/>
        </w:rPr>
        <w:t>.</w:t>
      </w:r>
    </w:p>
    <w:p w14:paraId="749D574E" w14:textId="77777777" w:rsidR="004342C5" w:rsidRPr="000C61BD" w:rsidRDefault="004342C5" w:rsidP="004342C5">
      <w:pPr>
        <w:spacing w:line="360" w:lineRule="auto"/>
        <w:rPr>
          <w:rFonts w:ascii="Arial" w:eastAsia="Arial" w:hAnsi="Arial" w:cs="Arial"/>
          <w:color w:val="000000" w:themeColor="text1"/>
          <w:sz w:val="28"/>
          <w:szCs w:val="28"/>
        </w:rPr>
      </w:pPr>
      <w:r w:rsidRPr="000C61BD">
        <w:rPr>
          <w:rFonts w:ascii="Arial" w:eastAsia="Arial" w:hAnsi="Arial" w:cs="Arial"/>
          <w:b/>
          <w:bCs/>
          <w:color w:val="000000" w:themeColor="text1"/>
        </w:rPr>
        <w:lastRenderedPageBreak/>
        <w:t>Type B MC</w:t>
      </w:r>
      <w:r>
        <w:rPr>
          <w:rFonts w:ascii="Arial" w:eastAsia="Arial" w:hAnsi="Arial" w:cs="Arial"/>
          <w:b/>
          <w:bCs/>
          <w:color w:val="000000" w:themeColor="text1"/>
        </w:rPr>
        <w:t xml:space="preserve">Bs </w:t>
      </w:r>
      <w:r w:rsidRPr="000C61BD">
        <w:rPr>
          <w:rFonts w:ascii="Arial" w:eastAsia="Arial" w:hAnsi="Arial" w:cs="Arial"/>
          <w:color w:val="000000" w:themeColor="text1"/>
        </w:rPr>
        <w:t>trip between 3 and 5 times</w:t>
      </w:r>
      <w:r>
        <w:rPr>
          <w:rFonts w:ascii="Arial" w:eastAsia="Arial" w:hAnsi="Arial" w:cs="Arial"/>
          <w:color w:val="000000" w:themeColor="text1"/>
        </w:rPr>
        <w:t xml:space="preserve"> the</w:t>
      </w:r>
      <w:r w:rsidRPr="000C61BD">
        <w:rPr>
          <w:rFonts w:ascii="Arial" w:eastAsia="Arial" w:hAnsi="Arial" w:cs="Arial"/>
          <w:color w:val="000000" w:themeColor="text1"/>
        </w:rPr>
        <w:t xml:space="preserve"> full load current,</w:t>
      </w:r>
      <w:r>
        <w:rPr>
          <w:rFonts w:ascii="Arial" w:eastAsia="Arial" w:hAnsi="Arial" w:cs="Arial"/>
          <w:color w:val="000000" w:themeColor="text1"/>
        </w:rPr>
        <w:t xml:space="preserve"> so a 10A Type B MCB it will magnetically trip between 30A-50A. Which is shown in figure 4.</w:t>
      </w:r>
      <w:r w:rsidRPr="000C61BD">
        <w:rPr>
          <w:rFonts w:ascii="Arial" w:eastAsia="Arial" w:hAnsi="Arial" w:cs="Arial"/>
          <w:color w:val="000000" w:themeColor="text1"/>
        </w:rPr>
        <w:t xml:space="preserve"> </w:t>
      </w:r>
      <w:r>
        <w:rPr>
          <w:rFonts w:ascii="Arial" w:eastAsia="Arial" w:hAnsi="Arial" w:cs="Arial"/>
          <w:color w:val="000000" w:themeColor="text1"/>
        </w:rPr>
        <w:t>Because of this,</w:t>
      </w:r>
      <w:r w:rsidRPr="000C61BD">
        <w:rPr>
          <w:rFonts w:ascii="Arial" w:eastAsia="Arial" w:hAnsi="Arial" w:cs="Arial"/>
          <w:color w:val="000000" w:themeColor="text1"/>
        </w:rPr>
        <w:t xml:space="preserve"> this type of MCB is </w:t>
      </w:r>
      <w:r>
        <w:rPr>
          <w:rFonts w:ascii="Arial" w:eastAsia="Arial" w:hAnsi="Arial" w:cs="Arial"/>
          <w:color w:val="000000" w:themeColor="text1"/>
        </w:rPr>
        <w:t>widely used</w:t>
      </w:r>
      <w:r w:rsidRPr="000C61BD">
        <w:rPr>
          <w:rFonts w:ascii="Arial" w:eastAsia="Arial" w:hAnsi="Arial" w:cs="Arial"/>
          <w:color w:val="000000" w:themeColor="text1"/>
        </w:rPr>
        <w:t xml:space="preserve"> in </w:t>
      </w:r>
      <w:r>
        <w:rPr>
          <w:rFonts w:ascii="Arial" w:eastAsia="Arial" w:hAnsi="Arial" w:cs="Arial"/>
          <w:color w:val="000000" w:themeColor="text1"/>
        </w:rPr>
        <w:t>low power circuits</w:t>
      </w:r>
      <w:r w:rsidRPr="000C61BD">
        <w:rPr>
          <w:rFonts w:ascii="Arial" w:eastAsia="Arial" w:hAnsi="Arial" w:cs="Arial"/>
          <w:color w:val="000000" w:themeColor="text1"/>
        </w:rPr>
        <w:t xml:space="preserve"> where the loads are primarily lighting fixtures. </w:t>
      </w:r>
      <w:r>
        <w:rPr>
          <w:rFonts w:ascii="Arial" w:eastAsia="Arial" w:hAnsi="Arial" w:cs="Arial"/>
          <w:color w:val="000000" w:themeColor="text1"/>
        </w:rPr>
        <w:t xml:space="preserve">In </w:t>
      </w:r>
      <w:r w:rsidRPr="00ED7A52">
        <w:rPr>
          <w:rFonts w:ascii="Arial" w:eastAsia="Arial" w:hAnsi="Arial" w:cs="Arial"/>
          <w:color w:val="000000" w:themeColor="text1"/>
        </w:rPr>
        <w:t xml:space="preserve">computers and electronic equipment with low inrush loads, Type Bs are also used. </w:t>
      </w:r>
      <w:r w:rsidRPr="00ED7A52">
        <w:rPr>
          <w:rFonts w:ascii="Arial" w:hAnsi="Arial" w:cs="Arial"/>
          <w:color w:val="000000"/>
          <w:shd w:val="clear" w:color="auto" w:fill="FFFFFF"/>
        </w:rPr>
        <w:t>The circuits are protected and controlled against overloads and sorted.</w:t>
      </w:r>
      <w:r>
        <w:rPr>
          <w:rFonts w:ascii="Arial" w:hAnsi="Arial" w:cs="Arial"/>
          <w:color w:val="000000"/>
          <w:shd w:val="clear" w:color="auto" w:fill="FFFFFF"/>
        </w:rPr>
        <w:t xml:space="preserve"> </w:t>
      </w:r>
    </w:p>
    <w:p w14:paraId="532B319D" w14:textId="77777777" w:rsidR="004342C5" w:rsidRDefault="004342C5" w:rsidP="004342C5">
      <w:pPr>
        <w:spacing w:line="360" w:lineRule="auto"/>
        <w:rPr>
          <w:rFonts w:ascii="Arial" w:eastAsia="Arial" w:hAnsi="Arial" w:cs="Arial"/>
          <w:color w:val="000000" w:themeColor="text1"/>
        </w:rPr>
      </w:pPr>
      <w:r w:rsidRPr="008F0A3E">
        <w:rPr>
          <w:rFonts w:ascii="Arial" w:eastAsia="Arial" w:hAnsi="Arial" w:cs="Arial"/>
          <w:color w:val="000000" w:themeColor="text1"/>
        </w:rPr>
        <w:t xml:space="preserve">A </w:t>
      </w:r>
      <w:r w:rsidRPr="008F0A3E">
        <w:rPr>
          <w:rFonts w:ascii="Arial" w:eastAsia="Arial" w:hAnsi="Arial" w:cs="Arial"/>
          <w:b/>
          <w:bCs/>
          <w:color w:val="000000" w:themeColor="text1"/>
        </w:rPr>
        <w:t xml:space="preserve">Type C MCBs </w:t>
      </w:r>
      <w:r w:rsidRPr="008F0A3E">
        <w:rPr>
          <w:rFonts w:ascii="Arial" w:eastAsia="Arial" w:hAnsi="Arial" w:cs="Arial"/>
          <w:color w:val="000000" w:themeColor="text1"/>
        </w:rPr>
        <w:t xml:space="preserve">will trip between 5 and 10 times the full load current, so a 10A Type C MCB will magnetically trip between 50A -100A. </w:t>
      </w:r>
      <w:r>
        <w:rPr>
          <w:rFonts w:ascii="Arial" w:eastAsia="Arial" w:hAnsi="Arial" w:cs="Arial"/>
          <w:color w:val="000000" w:themeColor="text1"/>
        </w:rPr>
        <w:t xml:space="preserve">Which is shown in figure 4. </w:t>
      </w:r>
      <w:r w:rsidRPr="008F0A3E">
        <w:rPr>
          <w:rFonts w:ascii="Arial" w:eastAsia="Arial" w:hAnsi="Arial" w:cs="Arial"/>
          <w:color w:val="000000" w:themeColor="text1"/>
        </w:rPr>
        <w:t xml:space="preserve">Because of this, this type of MCB is used for industrial type of applications. </w:t>
      </w:r>
      <w:r>
        <w:rPr>
          <w:rFonts w:ascii="Arial" w:eastAsia="Arial" w:hAnsi="Arial" w:cs="Arial"/>
          <w:color w:val="000000" w:themeColor="text1"/>
        </w:rPr>
        <w:t>In industrial circuits there are</w:t>
      </w:r>
      <w:r w:rsidRPr="00081FAE">
        <w:rPr>
          <w:rFonts w:ascii="Arial" w:eastAsia="Arial" w:hAnsi="Arial" w:cs="Arial"/>
          <w:color w:val="000000" w:themeColor="text1"/>
        </w:rPr>
        <w:t xml:space="preserve"> higher values of short circuit currents in the circuit</w:t>
      </w:r>
      <w:r>
        <w:rPr>
          <w:rFonts w:ascii="Arial" w:eastAsia="Arial" w:hAnsi="Arial" w:cs="Arial"/>
          <w:color w:val="000000" w:themeColor="text1"/>
        </w:rPr>
        <w:t>, therefore a Type C MCB is used to protect the circuit.</w:t>
      </w:r>
      <w:r w:rsidRPr="00081FAE">
        <w:rPr>
          <w:rFonts w:ascii="Arial" w:eastAsia="Arial" w:hAnsi="Arial" w:cs="Arial"/>
          <w:color w:val="000000" w:themeColor="text1"/>
        </w:rPr>
        <w:t xml:space="preserve"> </w:t>
      </w:r>
      <w:r w:rsidRPr="00081FAE">
        <w:rPr>
          <w:rFonts w:ascii="Arial" w:hAnsi="Arial" w:cs="Arial"/>
          <w:color w:val="000000"/>
          <w:shd w:val="clear" w:color="auto" w:fill="FFFFFF"/>
        </w:rPr>
        <w:t>Small transformers, control circuits, and coils are among the applications of connected loads. As with Type B, the circuits are protected against overloads and sorted, with a low inrush current.</w:t>
      </w:r>
    </w:p>
    <w:p w14:paraId="3B1B2BA1" w14:textId="77777777" w:rsidR="004342C5" w:rsidRPr="00444492" w:rsidRDefault="004342C5" w:rsidP="004342C5">
      <w:pPr>
        <w:spacing w:line="360" w:lineRule="auto"/>
        <w:rPr>
          <w:rFonts w:ascii="Calibri" w:hAnsi="Calibri" w:cs="Calibri"/>
        </w:rPr>
      </w:pPr>
      <w:r w:rsidRPr="00710571">
        <w:rPr>
          <w:rFonts w:ascii="Arial" w:hAnsi="Arial" w:cs="Arial"/>
          <w:color w:val="000000"/>
        </w:rPr>
        <w:t xml:space="preserve">The </w:t>
      </w:r>
      <w:r w:rsidRPr="00710571">
        <w:rPr>
          <w:rFonts w:ascii="Arial" w:hAnsi="Arial" w:cs="Arial"/>
          <w:b/>
          <w:bCs/>
          <w:color w:val="000000"/>
        </w:rPr>
        <w:t>Type D MCB</w:t>
      </w:r>
      <w:r>
        <w:rPr>
          <w:rFonts w:ascii="Arial" w:hAnsi="Arial" w:cs="Arial"/>
          <w:b/>
          <w:bCs/>
          <w:color w:val="000000"/>
        </w:rPr>
        <w:t>s</w:t>
      </w:r>
      <w:r w:rsidRPr="00710571">
        <w:rPr>
          <w:rFonts w:ascii="Arial" w:hAnsi="Arial" w:cs="Arial"/>
          <w:b/>
          <w:bCs/>
          <w:color w:val="000000"/>
        </w:rPr>
        <w:t xml:space="preserve"> </w:t>
      </w:r>
      <w:r w:rsidRPr="00710571">
        <w:rPr>
          <w:rFonts w:ascii="Arial" w:hAnsi="Arial" w:cs="Arial"/>
          <w:color w:val="000000"/>
        </w:rPr>
        <w:t>trip between 10 and 20 times the full load current,</w:t>
      </w:r>
      <w:r>
        <w:rPr>
          <w:rFonts w:ascii="Arial" w:hAnsi="Arial" w:cs="Arial"/>
          <w:color w:val="000000"/>
        </w:rPr>
        <w:t xml:space="preserve"> so a 10A Type D MCB will magnetically trip between 100A-200A.</w:t>
      </w:r>
      <w:r w:rsidRPr="00710571">
        <w:rPr>
          <w:rFonts w:ascii="Arial" w:hAnsi="Arial" w:cs="Arial"/>
          <w:color w:val="000000"/>
        </w:rPr>
        <w:t xml:space="preserve"> </w:t>
      </w:r>
      <w:r>
        <w:rPr>
          <w:rFonts w:ascii="Arial" w:hAnsi="Arial" w:cs="Arial"/>
          <w:color w:val="000000"/>
        </w:rPr>
        <w:t>W</w:t>
      </w:r>
      <w:r w:rsidRPr="00710571">
        <w:rPr>
          <w:rFonts w:ascii="Arial" w:hAnsi="Arial" w:cs="Arial"/>
          <w:color w:val="000000"/>
        </w:rPr>
        <w:t>hich is why it is used in specialty industrial and commercial applications where high current inrushes can occur. Examples include X-ray machines and large winding motors. In high inductive applications, such as motors and transformers, the high magnetic trip point prevents nuisance tripping. As with Type C, they protect and control circuits against overloads and sort circuits, but with a higher inrush current. </w:t>
      </w:r>
    </w:p>
    <w:p w14:paraId="5E5B704D" w14:textId="77777777" w:rsidR="004342C5" w:rsidRDefault="004342C5">
      <w:pPr>
        <w:spacing w:after="160" w:line="259" w:lineRule="auto"/>
        <w:rPr>
          <w:noProof/>
        </w:rPr>
      </w:pPr>
      <w:r>
        <w:rPr>
          <w:noProof/>
        </w:rPr>
        <w:br w:type="page"/>
      </w:r>
    </w:p>
    <w:p w14:paraId="546A021F" w14:textId="1E135117" w:rsidR="00282380" w:rsidRDefault="00282380" w:rsidP="00282380">
      <w:pPr>
        <w:pStyle w:val="Heading1"/>
      </w:pPr>
      <w:bookmarkStart w:id="6" w:name="_Toc102059523"/>
      <w:r>
        <w:lastRenderedPageBreak/>
        <w:t xml:space="preserve">Task 3 – </w:t>
      </w:r>
      <w:r w:rsidR="0009026B">
        <w:t>Presentation</w:t>
      </w:r>
      <w:bookmarkEnd w:id="6"/>
    </w:p>
    <w:p w14:paraId="56B6BCF0" w14:textId="3B7B274B" w:rsidR="00282380" w:rsidRDefault="00282380" w:rsidP="00282380"/>
    <w:p w14:paraId="1249D479" w14:textId="17A6096B" w:rsidR="00A46C5D" w:rsidRDefault="004342C5" w:rsidP="00A46C5D">
      <w:r>
        <w:rPr>
          <w:noProof/>
        </w:rPr>
        <w:drawing>
          <wp:inline distT="0" distB="0" distL="0" distR="0" wp14:anchorId="77856534" wp14:editId="7455B8F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7C40325" w14:textId="3901CEE1" w:rsidR="004342C5" w:rsidRDefault="004342C5" w:rsidP="00A46C5D">
      <w:r>
        <w:rPr>
          <w:noProof/>
        </w:rPr>
        <w:drawing>
          <wp:inline distT="0" distB="0" distL="0" distR="0" wp14:anchorId="7CF6FE21" wp14:editId="6820AAD0">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56A6987" w14:textId="46360B6E" w:rsidR="004342C5" w:rsidRDefault="004342C5" w:rsidP="00A46C5D">
      <w:r>
        <w:rPr>
          <w:noProof/>
        </w:rPr>
        <w:lastRenderedPageBreak/>
        <w:drawing>
          <wp:inline distT="0" distB="0" distL="0" distR="0" wp14:anchorId="1C140B1F" wp14:editId="5652EC09">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26165F6" w14:textId="2A1652DF" w:rsidR="004342C5" w:rsidRDefault="004342C5" w:rsidP="00A46C5D">
      <w:r>
        <w:rPr>
          <w:noProof/>
        </w:rPr>
        <w:drawing>
          <wp:inline distT="0" distB="0" distL="0" distR="0" wp14:anchorId="54A13D2E" wp14:editId="5B1E079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5760A22" w14:textId="113E5AFD" w:rsidR="004342C5" w:rsidRDefault="004342C5" w:rsidP="00A46C5D">
      <w:r>
        <w:rPr>
          <w:noProof/>
        </w:rPr>
        <w:lastRenderedPageBreak/>
        <w:drawing>
          <wp:inline distT="0" distB="0" distL="0" distR="0" wp14:anchorId="4A3BD2C1" wp14:editId="3E45A7AD">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03545CC" w14:textId="3073CA2A" w:rsidR="004342C5" w:rsidRDefault="004342C5" w:rsidP="00A46C5D">
      <w:r>
        <w:rPr>
          <w:noProof/>
        </w:rPr>
        <w:drawing>
          <wp:inline distT="0" distB="0" distL="0" distR="0" wp14:anchorId="08B14D54" wp14:editId="7EFFA54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51F8A64" w14:textId="601889A5" w:rsidR="004342C5" w:rsidRDefault="004342C5" w:rsidP="00A46C5D">
      <w:r>
        <w:rPr>
          <w:noProof/>
        </w:rPr>
        <w:lastRenderedPageBreak/>
        <w:drawing>
          <wp:inline distT="0" distB="0" distL="0" distR="0" wp14:anchorId="1679BB5D" wp14:editId="235C713C">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28655616" w14:textId="747F5DD5" w:rsidR="004342C5" w:rsidRDefault="004342C5" w:rsidP="00A46C5D">
      <w:r>
        <w:rPr>
          <w:noProof/>
        </w:rPr>
        <w:drawing>
          <wp:inline distT="0" distB="0" distL="0" distR="0" wp14:anchorId="1FA44500" wp14:editId="0B9A9AA1">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53F9842" w14:textId="22B00AE2" w:rsidR="00A23397" w:rsidRDefault="00A23397" w:rsidP="00A46C5D">
      <w:r>
        <w:rPr>
          <w:noProof/>
        </w:rPr>
        <w:lastRenderedPageBreak/>
        <w:drawing>
          <wp:inline distT="0" distB="0" distL="0" distR="0" wp14:anchorId="49B02B2E" wp14:editId="3BEA32EA">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69E4BB4" w14:textId="2F975A91" w:rsidR="00A23397" w:rsidRDefault="00A23397" w:rsidP="00A46C5D">
      <w:r>
        <w:rPr>
          <w:noProof/>
        </w:rPr>
        <w:drawing>
          <wp:inline distT="0" distB="0" distL="0" distR="0" wp14:anchorId="4C3E32B8" wp14:editId="6A85F1BA">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5C7A3907" w14:textId="6D509B21" w:rsidR="00A23397" w:rsidRDefault="00A23397" w:rsidP="00A46C5D">
      <w:r>
        <w:rPr>
          <w:noProof/>
        </w:rPr>
        <w:lastRenderedPageBreak/>
        <w:drawing>
          <wp:inline distT="0" distB="0" distL="0" distR="0" wp14:anchorId="05FEEDE0" wp14:editId="157CBC4D">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485C33EE" w14:textId="5933B01F" w:rsidR="00A23397" w:rsidRDefault="00A23397" w:rsidP="00A46C5D">
      <w:r>
        <w:rPr>
          <w:noProof/>
        </w:rPr>
        <w:drawing>
          <wp:inline distT="0" distB="0" distL="0" distR="0" wp14:anchorId="05AA99CD" wp14:editId="74220C02">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2EF877CB" w14:textId="28E797C9" w:rsidR="00A23397" w:rsidRDefault="00A23397" w:rsidP="00A46C5D">
      <w:r>
        <w:rPr>
          <w:noProof/>
        </w:rPr>
        <w:lastRenderedPageBreak/>
        <w:drawing>
          <wp:inline distT="0" distB="0" distL="0" distR="0" wp14:anchorId="42B2DF37" wp14:editId="7B167DDE">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57B6CC11" w14:textId="4BE0AD5D" w:rsidR="00A23397" w:rsidRDefault="00A23397" w:rsidP="00A46C5D">
      <w:r>
        <w:rPr>
          <w:noProof/>
        </w:rPr>
        <w:drawing>
          <wp:inline distT="0" distB="0" distL="0" distR="0" wp14:anchorId="4BE41E57" wp14:editId="47881D81">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056797EA" w14:textId="31674458" w:rsidR="00A23397" w:rsidRDefault="00A23397" w:rsidP="00A46C5D">
      <w:r>
        <w:rPr>
          <w:noProof/>
        </w:rPr>
        <w:lastRenderedPageBreak/>
        <w:drawing>
          <wp:inline distT="0" distB="0" distL="0" distR="0" wp14:anchorId="0E084096" wp14:editId="017CF247">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61B5A06F" w14:textId="4ACE0DC6" w:rsidR="00A23397" w:rsidRDefault="00A23397" w:rsidP="00A46C5D">
      <w:r>
        <w:rPr>
          <w:noProof/>
        </w:rPr>
        <w:drawing>
          <wp:inline distT="0" distB="0" distL="0" distR="0" wp14:anchorId="642B5C97" wp14:editId="22524FD9">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5DF34BE1" w14:textId="1217E257" w:rsidR="00A23397" w:rsidRDefault="00A23397" w:rsidP="00A46C5D">
      <w:r>
        <w:rPr>
          <w:noProof/>
        </w:rPr>
        <w:lastRenderedPageBreak/>
        <w:drawing>
          <wp:inline distT="0" distB="0" distL="0" distR="0" wp14:anchorId="457C3DE5" wp14:editId="08B13A57">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3952E911" w14:textId="33FC8407" w:rsidR="00A23397" w:rsidRDefault="00A23397" w:rsidP="00A46C5D">
      <w:r>
        <w:rPr>
          <w:noProof/>
        </w:rPr>
        <w:drawing>
          <wp:inline distT="0" distB="0" distL="0" distR="0" wp14:anchorId="7961E2EC" wp14:editId="2C905C7D">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7FF7CA4B" w14:textId="77777777" w:rsidR="004342C5" w:rsidRDefault="004342C5" w:rsidP="00A46C5D"/>
    <w:p w14:paraId="39F3B596" w14:textId="49E03298" w:rsidR="004342C5" w:rsidRDefault="004342C5" w:rsidP="00A46C5D"/>
    <w:p w14:paraId="59688D34" w14:textId="1AFDDC75" w:rsidR="00A46C5D" w:rsidRDefault="00A46C5D">
      <w:r>
        <w:br w:type="page"/>
      </w:r>
    </w:p>
    <w:p w14:paraId="2F4A5117" w14:textId="171CB416" w:rsidR="004322F0" w:rsidRDefault="00A46C5D" w:rsidP="00E02AE1">
      <w:pPr>
        <w:pStyle w:val="Heading1"/>
      </w:pPr>
      <w:bookmarkStart w:id="7" w:name="_Toc102059524"/>
      <w:r>
        <w:lastRenderedPageBreak/>
        <w:t>References</w:t>
      </w:r>
      <w:bookmarkEnd w:id="7"/>
    </w:p>
    <w:p w14:paraId="3370352A" w14:textId="77777777" w:rsidR="002F6CED" w:rsidRPr="002F6CED" w:rsidRDefault="002F6CED" w:rsidP="002F6CED">
      <w:r w:rsidRPr="002F6CED">
        <w:rPr>
          <w:rFonts w:ascii="Open Sans" w:hAnsi="Open Sans" w:cs="Open Sans"/>
          <w:color w:val="000000"/>
          <w:sz w:val="20"/>
          <w:szCs w:val="20"/>
          <w:shd w:val="clear" w:color="auto" w:fill="FFFFFF"/>
        </w:rPr>
        <w:t>Crown Oil. 2022. </w:t>
      </w:r>
      <w:r w:rsidRPr="002F6CED">
        <w:rPr>
          <w:rFonts w:ascii="Open Sans" w:hAnsi="Open Sans" w:cs="Open Sans"/>
          <w:i/>
          <w:iCs/>
          <w:color w:val="000000"/>
          <w:sz w:val="20"/>
          <w:szCs w:val="20"/>
          <w:shd w:val="clear" w:color="auto" w:fill="FFFFFF"/>
        </w:rPr>
        <w:t>Oil Tank Regulations - Fuel and Oil Storage Guide</w:t>
      </w:r>
      <w:r w:rsidRPr="002F6CED">
        <w:rPr>
          <w:rFonts w:ascii="Open Sans" w:hAnsi="Open Sans" w:cs="Open Sans"/>
          <w:color w:val="000000"/>
          <w:sz w:val="20"/>
          <w:szCs w:val="20"/>
          <w:shd w:val="clear" w:color="auto" w:fill="FFFFFF"/>
        </w:rPr>
        <w:t>. [online] Available at: &lt;https://www.crownoil.co.uk/guides/oil-storage-tank-regulations/&gt; [Accessed 26 April 2022].</w:t>
      </w:r>
    </w:p>
    <w:p w14:paraId="433575E7" w14:textId="68A0F33A" w:rsidR="002F6CED" w:rsidRDefault="002F6CED" w:rsidP="002F6CED"/>
    <w:p w14:paraId="4CE038BF" w14:textId="6907F5A7" w:rsidR="002F6CED" w:rsidRDefault="002F6CED" w:rsidP="002F6CED">
      <w:pPr>
        <w:rPr>
          <w:rFonts w:ascii="Open Sans" w:hAnsi="Open Sans" w:cs="Open Sans"/>
          <w:color w:val="000000"/>
          <w:sz w:val="20"/>
          <w:szCs w:val="20"/>
          <w:shd w:val="clear" w:color="auto" w:fill="FFFFFF"/>
        </w:rPr>
      </w:pPr>
      <w:r w:rsidRPr="002F6CED">
        <w:rPr>
          <w:rFonts w:ascii="Open Sans" w:hAnsi="Open Sans" w:cs="Open Sans"/>
          <w:color w:val="000000"/>
          <w:sz w:val="20"/>
          <w:szCs w:val="20"/>
          <w:shd w:val="clear" w:color="auto" w:fill="FFFFFF"/>
        </w:rPr>
        <w:t>2022. [online] Available at: &lt;https://electrical-engineering-portal.com/things-about-mcbs-that-every-low-voltage-electrician-should-know&gt; [Accessed 26 April 2022].</w:t>
      </w:r>
    </w:p>
    <w:p w14:paraId="7167FA15" w14:textId="6554B563" w:rsidR="002F6CED" w:rsidRDefault="002F6CED" w:rsidP="002F6CED">
      <w:pPr>
        <w:rPr>
          <w:rFonts w:ascii="Open Sans" w:hAnsi="Open Sans" w:cs="Open Sans"/>
          <w:color w:val="000000"/>
          <w:sz w:val="20"/>
          <w:szCs w:val="20"/>
          <w:shd w:val="clear" w:color="auto" w:fill="FFFFFF"/>
        </w:rPr>
      </w:pPr>
    </w:p>
    <w:p w14:paraId="390104C5" w14:textId="321FAA14" w:rsidR="002F6CED" w:rsidRDefault="002F6CED" w:rsidP="002F6CED">
      <w:pPr>
        <w:rPr>
          <w:rFonts w:ascii="Open Sans" w:hAnsi="Open Sans" w:cs="Open Sans"/>
          <w:color w:val="000000"/>
          <w:sz w:val="20"/>
          <w:szCs w:val="20"/>
          <w:shd w:val="clear" w:color="auto" w:fill="FFFFFF"/>
        </w:rPr>
      </w:pPr>
      <w:r w:rsidRPr="002F6CED">
        <w:rPr>
          <w:rFonts w:ascii="Open Sans" w:hAnsi="Open Sans" w:cs="Open Sans"/>
          <w:color w:val="000000"/>
          <w:sz w:val="20"/>
          <w:szCs w:val="20"/>
          <w:shd w:val="clear" w:color="auto" w:fill="FFFFFF"/>
        </w:rPr>
        <w:t>StudyElectrical.Com. 2022. </w:t>
      </w:r>
      <w:r w:rsidRPr="002F6CED">
        <w:rPr>
          <w:rFonts w:ascii="Open Sans" w:hAnsi="Open Sans" w:cs="Open Sans"/>
          <w:i/>
          <w:iCs/>
          <w:color w:val="000000"/>
          <w:sz w:val="20"/>
          <w:szCs w:val="20"/>
          <w:shd w:val="clear" w:color="auto" w:fill="FFFFFF"/>
        </w:rPr>
        <w:t xml:space="preserve">Type B Miniature Circuit Breaker </w:t>
      </w:r>
      <w:proofErr w:type="gramStart"/>
      <w:r w:rsidRPr="002F6CED">
        <w:rPr>
          <w:rFonts w:ascii="Open Sans" w:hAnsi="Open Sans" w:cs="Open Sans"/>
          <w:i/>
          <w:iCs/>
          <w:color w:val="000000"/>
          <w:sz w:val="20"/>
          <w:szCs w:val="20"/>
          <w:shd w:val="clear" w:color="auto" w:fill="FFFFFF"/>
        </w:rPr>
        <w:t>( Type</w:t>
      </w:r>
      <w:proofErr w:type="gramEnd"/>
      <w:r w:rsidRPr="002F6CED">
        <w:rPr>
          <w:rFonts w:ascii="Open Sans" w:hAnsi="Open Sans" w:cs="Open Sans"/>
          <w:i/>
          <w:iCs/>
          <w:color w:val="000000"/>
          <w:sz w:val="20"/>
          <w:szCs w:val="20"/>
          <w:shd w:val="clear" w:color="auto" w:fill="FFFFFF"/>
        </w:rPr>
        <w:t xml:space="preserve"> B MCB)</w:t>
      </w:r>
      <w:r w:rsidRPr="002F6CED">
        <w:rPr>
          <w:rFonts w:ascii="Open Sans" w:hAnsi="Open Sans" w:cs="Open Sans"/>
          <w:color w:val="000000"/>
          <w:sz w:val="20"/>
          <w:szCs w:val="20"/>
          <w:shd w:val="clear" w:color="auto" w:fill="FFFFFF"/>
        </w:rPr>
        <w:t>. [online] Available at: &lt;https://studyelectrical.com/2020/04/type-b-miniature-circuit-breaker-mcb-curves.html&gt; [Accessed 26 April 2022].</w:t>
      </w:r>
    </w:p>
    <w:p w14:paraId="38B1E953" w14:textId="1C50E1A8" w:rsidR="002F6CED" w:rsidRDefault="002F6CED" w:rsidP="002F6CED">
      <w:pPr>
        <w:rPr>
          <w:rFonts w:ascii="Open Sans" w:hAnsi="Open Sans" w:cs="Open Sans"/>
          <w:color w:val="000000"/>
          <w:sz w:val="20"/>
          <w:szCs w:val="20"/>
          <w:shd w:val="clear" w:color="auto" w:fill="FFFFFF"/>
        </w:rPr>
      </w:pPr>
    </w:p>
    <w:p w14:paraId="0E598834" w14:textId="55390B9A" w:rsidR="00A23397" w:rsidRDefault="002F6CE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&lt;https://www.electronicshub.org/miniature-circuit-breaker/&gt; [Accessed 26 April 2022].</w:t>
      </w:r>
    </w:p>
    <w:p w14:paraId="087EFDF2" w14:textId="77777777" w:rsidR="00A23397" w:rsidRDefault="00A23397">
      <w:pPr>
        <w:rPr>
          <w:rFonts w:ascii="Open Sans" w:hAnsi="Open Sans" w:cs="Open Sans"/>
          <w:color w:val="000000"/>
          <w:sz w:val="20"/>
          <w:szCs w:val="20"/>
          <w:shd w:val="clear" w:color="auto" w:fill="FFFFFF"/>
        </w:rPr>
      </w:pPr>
    </w:p>
    <w:p w14:paraId="7B078FED" w14:textId="3293A1F6" w:rsidR="00A23397" w:rsidRDefault="00A233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2022. </w:t>
      </w:r>
      <w:r>
        <w:rPr>
          <w:rFonts w:ascii="Open Sans" w:hAnsi="Open Sans" w:cs="Open Sans"/>
          <w:i/>
          <w:iCs/>
          <w:color w:val="000000"/>
          <w:sz w:val="20"/>
          <w:szCs w:val="20"/>
          <w:shd w:val="clear" w:color="auto" w:fill="FFFFFF"/>
        </w:rPr>
        <w:t>Oil storage regulations for businesses</w:t>
      </w:r>
      <w:r>
        <w:rPr>
          <w:rFonts w:ascii="Open Sans" w:hAnsi="Open Sans" w:cs="Open Sans"/>
          <w:color w:val="000000"/>
          <w:sz w:val="20"/>
          <w:szCs w:val="20"/>
          <w:shd w:val="clear" w:color="auto" w:fill="FFFFFF"/>
        </w:rPr>
        <w:t>. [online] Available at: &lt;https://www.gov.uk/guidance/storing-oil-at-a-home-or-business&gt; [Accessed 28 April 2022].</w:t>
      </w:r>
    </w:p>
    <w:p w14:paraId="724094A6" w14:textId="25D372B6" w:rsidR="00A23397" w:rsidRDefault="00A23397">
      <w:pPr>
        <w:rPr>
          <w:rFonts w:ascii="Open Sans" w:hAnsi="Open Sans" w:cs="Open Sans"/>
          <w:color w:val="000000"/>
          <w:sz w:val="20"/>
          <w:szCs w:val="20"/>
          <w:shd w:val="clear" w:color="auto" w:fill="FFFFFF"/>
        </w:rPr>
      </w:pPr>
    </w:p>
    <w:p w14:paraId="3BE47BDF" w14:textId="3E870F01" w:rsidR="00A23397" w:rsidRDefault="00A233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What is an MCB, A., 2022. </w:t>
      </w:r>
      <w:r>
        <w:rPr>
          <w:rFonts w:ascii="Open Sans" w:hAnsi="Open Sans" w:cs="Open Sans"/>
          <w:i/>
          <w:iCs/>
          <w:color w:val="000000"/>
          <w:sz w:val="20"/>
          <w:szCs w:val="20"/>
          <w:shd w:val="clear" w:color="auto" w:fill="FFFFFF"/>
        </w:rPr>
        <w:t xml:space="preserve">What is an MCB, AFCI, AFDD and </w:t>
      </w:r>
      <w:proofErr w:type="gramStart"/>
      <w:r>
        <w:rPr>
          <w:rFonts w:ascii="Open Sans" w:hAnsi="Open Sans" w:cs="Open Sans"/>
          <w:i/>
          <w:iCs/>
          <w:color w:val="000000"/>
          <w:sz w:val="20"/>
          <w:szCs w:val="20"/>
          <w:shd w:val="clear" w:color="auto" w:fill="FFFFFF"/>
        </w:rPr>
        <w:t>GFCI?</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Cycloflow.com. Available at: &lt;http://www.cycloflow.com/2014/03/what-is-mcb-afci-and-gfci.html&gt; [Accessed 28 April 2022].</w:t>
      </w:r>
    </w:p>
    <w:p w14:paraId="5E57784C" w14:textId="5CAEDAC4" w:rsidR="00A23397" w:rsidRDefault="00A23397">
      <w:pPr>
        <w:rPr>
          <w:rFonts w:ascii="Open Sans" w:hAnsi="Open Sans" w:cs="Open Sans"/>
          <w:color w:val="000000"/>
          <w:sz w:val="20"/>
          <w:szCs w:val="20"/>
          <w:shd w:val="clear" w:color="auto" w:fill="FFFFFF"/>
        </w:rPr>
      </w:pPr>
    </w:p>
    <w:p w14:paraId="3B0B8545" w14:textId="6F3EA334" w:rsidR="00A23397" w:rsidRDefault="00A233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ELECTRICAL TECHNOLOGY. 2022. </w:t>
      </w:r>
      <w:r>
        <w:rPr>
          <w:rFonts w:ascii="Open Sans" w:hAnsi="Open Sans" w:cs="Open Sans"/>
          <w:i/>
          <w:iCs/>
          <w:color w:val="000000"/>
          <w:sz w:val="20"/>
          <w:szCs w:val="20"/>
          <w:shd w:val="clear" w:color="auto" w:fill="FFFFFF"/>
        </w:rPr>
        <w:t>Types of Circuit Breakers - Working and Applications</w:t>
      </w:r>
      <w:r>
        <w:rPr>
          <w:rFonts w:ascii="Open Sans" w:hAnsi="Open Sans" w:cs="Open Sans"/>
          <w:color w:val="000000"/>
          <w:sz w:val="20"/>
          <w:szCs w:val="20"/>
          <w:shd w:val="clear" w:color="auto" w:fill="FFFFFF"/>
        </w:rPr>
        <w:t>. [online] Available at: &lt;https://www.electricaltechnology.org/2021/05/types-of-circuit-breakers.html&gt; [Accessed 28 April 2022].</w:t>
      </w:r>
    </w:p>
    <w:p w14:paraId="5107FA3A" w14:textId="3A17521F" w:rsidR="00A23397" w:rsidRDefault="00A23397">
      <w:pPr>
        <w:rPr>
          <w:rFonts w:ascii="Open Sans" w:hAnsi="Open Sans" w:cs="Open Sans"/>
          <w:color w:val="000000"/>
          <w:sz w:val="20"/>
          <w:szCs w:val="20"/>
          <w:shd w:val="clear" w:color="auto" w:fill="FFFFFF"/>
        </w:rPr>
      </w:pPr>
    </w:p>
    <w:p w14:paraId="2BB63AF1" w14:textId="621BDC36" w:rsidR="00A23397" w:rsidRDefault="00A2339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&lt;https://www.eaton.com/us/en-us/products/electrical-circuit-protection/circuit-breakers/circuit-breakers-fundamentals.html&gt; [Accessed 28 April 2022].</w:t>
      </w:r>
    </w:p>
    <w:p w14:paraId="61DBE1A7" w14:textId="4B6CB2F0" w:rsidR="00A23397" w:rsidRDefault="00A23397">
      <w:pPr>
        <w:rPr>
          <w:rFonts w:ascii="Open Sans" w:hAnsi="Open Sans" w:cs="Open Sans"/>
          <w:color w:val="000000"/>
          <w:sz w:val="20"/>
          <w:szCs w:val="20"/>
          <w:shd w:val="clear" w:color="auto" w:fill="FFFFFF"/>
        </w:rPr>
      </w:pPr>
    </w:p>
    <w:p w14:paraId="241970EA" w14:textId="263413BC" w:rsidR="00A23397" w:rsidRDefault="00176A2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CMC SERVICE EXPERTS. 2022. </w:t>
      </w:r>
      <w:r>
        <w:rPr>
          <w:rFonts w:ascii="Open Sans" w:hAnsi="Open Sans" w:cs="Open Sans"/>
          <w:i/>
          <w:iCs/>
          <w:color w:val="000000"/>
          <w:sz w:val="20"/>
          <w:szCs w:val="20"/>
          <w:shd w:val="clear" w:color="auto" w:fill="FFFFFF"/>
        </w:rPr>
        <w:t>Different Types of Circuit Breakers - CMC Service Experts</w:t>
      </w:r>
      <w:r>
        <w:rPr>
          <w:rFonts w:ascii="Open Sans" w:hAnsi="Open Sans" w:cs="Open Sans"/>
          <w:color w:val="000000"/>
          <w:sz w:val="20"/>
          <w:szCs w:val="20"/>
          <w:shd w:val="clear" w:color="auto" w:fill="FFFFFF"/>
        </w:rPr>
        <w:t>. [online] Available at: &lt;https://www.cmcserviceexperts.com/blog/2021/02/different-types-of-circuit-breakers/&gt; [Accessed 28 April 2022].</w:t>
      </w:r>
    </w:p>
    <w:p w14:paraId="527B8FBE" w14:textId="77777777" w:rsidR="00A23397" w:rsidRDefault="00A23397">
      <w:pPr>
        <w:rPr>
          <w:rFonts w:ascii="Open Sans" w:hAnsi="Open Sans" w:cs="Open Sans"/>
          <w:color w:val="000000"/>
          <w:sz w:val="20"/>
          <w:szCs w:val="20"/>
          <w:shd w:val="clear" w:color="auto" w:fill="FFFFFF"/>
        </w:rPr>
      </w:pPr>
    </w:p>
    <w:p w14:paraId="11DBAE88" w14:textId="1BCAE9E4" w:rsidR="00A46C5D" w:rsidRDefault="00A46C5D">
      <w:r>
        <w:br w:type="page"/>
      </w:r>
    </w:p>
    <w:p w14:paraId="75EFBFAB" w14:textId="77988D08" w:rsidR="001B25D3" w:rsidRDefault="00A46C5D" w:rsidP="00E02AE1">
      <w:pPr>
        <w:pStyle w:val="Heading1"/>
      </w:pPr>
      <w:bookmarkStart w:id="8" w:name="_Toc102059525"/>
      <w:r>
        <w:lastRenderedPageBreak/>
        <w:t>Bibliography</w:t>
      </w:r>
      <w:bookmarkEnd w:id="8"/>
      <w:r>
        <w:t xml:space="preserve"> </w:t>
      </w:r>
    </w:p>
    <w:p w14:paraId="3267545C" w14:textId="77777777" w:rsidR="00E02AE1" w:rsidRPr="00E02AE1" w:rsidRDefault="00E02AE1" w:rsidP="00E02AE1"/>
    <w:p w14:paraId="6A884987" w14:textId="77777777" w:rsidR="00E02AE1" w:rsidRPr="00E02AE1" w:rsidRDefault="00E02AE1" w:rsidP="00E02AE1">
      <w:r w:rsidRPr="00E02AE1">
        <w:rPr>
          <w:rFonts w:ascii="Open Sans" w:hAnsi="Open Sans" w:cs="Open Sans"/>
          <w:color w:val="000000"/>
          <w:sz w:val="20"/>
          <w:szCs w:val="20"/>
          <w:shd w:val="clear" w:color="auto" w:fill="FFFFFF"/>
        </w:rPr>
        <w:t>2009. </w:t>
      </w:r>
      <w:r w:rsidRPr="00E02AE1">
        <w:rPr>
          <w:rFonts w:ascii="Open Sans" w:hAnsi="Open Sans" w:cs="Open Sans"/>
          <w:i/>
          <w:iCs/>
          <w:color w:val="000000"/>
          <w:sz w:val="20"/>
          <w:szCs w:val="20"/>
          <w:shd w:val="clear" w:color="auto" w:fill="FFFFFF"/>
        </w:rPr>
        <w:t>Safety and Environmental Standards for Fuel Storage Site</w:t>
      </w:r>
      <w:r w:rsidRPr="00E02AE1">
        <w:rPr>
          <w:rFonts w:ascii="Open Sans" w:hAnsi="Open Sans" w:cs="Open Sans"/>
          <w:color w:val="000000"/>
          <w:sz w:val="20"/>
          <w:szCs w:val="20"/>
          <w:shd w:val="clear" w:color="auto" w:fill="FFFFFF"/>
        </w:rPr>
        <w:t>.</w:t>
      </w:r>
    </w:p>
    <w:p w14:paraId="4FF22EB6" w14:textId="77777777" w:rsidR="00256709" w:rsidRDefault="00256709" w:rsidP="00A46C5D"/>
    <w:p w14:paraId="60CA22BE" w14:textId="77777777" w:rsidR="00256709" w:rsidRPr="00A46C5D" w:rsidRDefault="00256709" w:rsidP="00A46C5D"/>
    <w:sectPr w:rsidR="00256709" w:rsidRPr="00A46C5D" w:rsidSect="0011499A">
      <w:footerReference w:type="default" r:id="rId5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Peter Taylor" w:date="2022-06-09T15:44:00Z" w:initials="PT">
    <w:p w14:paraId="7A38CC76" w14:textId="5DFAEF07" w:rsidR="00BA7CDA" w:rsidRDefault="00BA7CDA">
      <w:pPr>
        <w:pStyle w:val="CommentText"/>
      </w:pPr>
      <w:r>
        <w:rPr>
          <w:rStyle w:val="CommentReference"/>
        </w:rPr>
        <w:annotationRef/>
      </w:r>
      <w:r>
        <w:t>Should be written in third 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A38CC7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A38CC76" w16cid:durableId="264C93E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E0815" w14:textId="77777777" w:rsidR="00855C16" w:rsidRDefault="00855C16" w:rsidP="0011499A">
      <w:r>
        <w:separator/>
      </w:r>
    </w:p>
  </w:endnote>
  <w:endnote w:type="continuationSeparator" w:id="0">
    <w:p w14:paraId="1CE39867" w14:textId="77777777" w:rsidR="00855C16" w:rsidRDefault="00855C16" w:rsidP="001149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404478"/>
      <w:docPartObj>
        <w:docPartGallery w:val="Page Numbers (Bottom of Page)"/>
        <w:docPartUnique/>
      </w:docPartObj>
    </w:sdtPr>
    <w:sdtEndPr>
      <w:rPr>
        <w:color w:val="7F7F7F" w:themeColor="background1" w:themeShade="7F"/>
        <w:spacing w:val="60"/>
      </w:rPr>
    </w:sdtEndPr>
    <w:sdtContent>
      <w:p w14:paraId="068EBE02" w14:textId="2796F104" w:rsidR="0011499A" w:rsidRDefault="0011499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1BEAB67" w14:textId="77777777" w:rsidR="0011499A" w:rsidRDefault="00114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CB2E2" w14:textId="77777777" w:rsidR="00855C16" w:rsidRDefault="00855C16" w:rsidP="0011499A">
      <w:r>
        <w:separator/>
      </w:r>
    </w:p>
  </w:footnote>
  <w:footnote w:type="continuationSeparator" w:id="0">
    <w:p w14:paraId="76336464" w14:textId="77777777" w:rsidR="00855C16" w:rsidRDefault="00855C16" w:rsidP="001149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C377A"/>
    <w:multiLevelType w:val="multilevel"/>
    <w:tmpl w:val="123AA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052B61"/>
    <w:multiLevelType w:val="hybridMultilevel"/>
    <w:tmpl w:val="9420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421F67"/>
    <w:multiLevelType w:val="hybridMultilevel"/>
    <w:tmpl w:val="81AE680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ABA5477"/>
    <w:multiLevelType w:val="multilevel"/>
    <w:tmpl w:val="5E242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E454A3"/>
    <w:multiLevelType w:val="hybridMultilevel"/>
    <w:tmpl w:val="6FAED4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07448D"/>
    <w:multiLevelType w:val="multilevel"/>
    <w:tmpl w:val="37727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FF2D23"/>
    <w:multiLevelType w:val="multilevel"/>
    <w:tmpl w:val="AE441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187A65"/>
    <w:multiLevelType w:val="hybridMultilevel"/>
    <w:tmpl w:val="B27CE9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C13535"/>
    <w:multiLevelType w:val="hybridMultilevel"/>
    <w:tmpl w:val="4724C5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37F0D18"/>
    <w:multiLevelType w:val="multilevel"/>
    <w:tmpl w:val="0E726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99A491D"/>
    <w:multiLevelType w:val="hybridMultilevel"/>
    <w:tmpl w:val="A462E0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4"/>
  </w:num>
  <w:num w:numId="4">
    <w:abstractNumId w:val="2"/>
  </w:num>
  <w:num w:numId="5">
    <w:abstractNumId w:val="8"/>
  </w:num>
  <w:num w:numId="6">
    <w:abstractNumId w:val="1"/>
  </w:num>
  <w:num w:numId="7">
    <w:abstractNumId w:val="3"/>
  </w:num>
  <w:num w:numId="8">
    <w:abstractNumId w:val="9"/>
  </w:num>
  <w:num w:numId="9">
    <w:abstractNumId w:val="6"/>
  </w:num>
  <w:num w:numId="10">
    <w:abstractNumId w:val="5"/>
  </w:num>
  <w:num w:numId="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Taylor">
    <w15:presenceInfo w15:providerId="AD" w15:userId="S-1-5-21-1708537768-2139871995-725345543-406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99A"/>
    <w:rsid w:val="00003E3E"/>
    <w:rsid w:val="00003E81"/>
    <w:rsid w:val="000231B8"/>
    <w:rsid w:val="0003428D"/>
    <w:rsid w:val="00040489"/>
    <w:rsid w:val="00043FF9"/>
    <w:rsid w:val="000474CA"/>
    <w:rsid w:val="00081FAE"/>
    <w:rsid w:val="0009026B"/>
    <w:rsid w:val="00093C28"/>
    <w:rsid w:val="00096C95"/>
    <w:rsid w:val="000C1CD8"/>
    <w:rsid w:val="000C61BD"/>
    <w:rsid w:val="000D2DB7"/>
    <w:rsid w:val="000E6945"/>
    <w:rsid w:val="00106CF4"/>
    <w:rsid w:val="0011499A"/>
    <w:rsid w:val="00116D27"/>
    <w:rsid w:val="00152C51"/>
    <w:rsid w:val="0016473A"/>
    <w:rsid w:val="00172A18"/>
    <w:rsid w:val="00176A27"/>
    <w:rsid w:val="00195864"/>
    <w:rsid w:val="00196BE2"/>
    <w:rsid w:val="001A0BA8"/>
    <w:rsid w:val="001B25D3"/>
    <w:rsid w:val="001B3110"/>
    <w:rsid w:val="001B4081"/>
    <w:rsid w:val="001D2F45"/>
    <w:rsid w:val="001D505D"/>
    <w:rsid w:val="002056F8"/>
    <w:rsid w:val="00226EC9"/>
    <w:rsid w:val="00256709"/>
    <w:rsid w:val="002577C9"/>
    <w:rsid w:val="00282380"/>
    <w:rsid w:val="002B0A5F"/>
    <w:rsid w:val="002F021C"/>
    <w:rsid w:val="002F6CED"/>
    <w:rsid w:val="0030142E"/>
    <w:rsid w:val="00333797"/>
    <w:rsid w:val="0033727A"/>
    <w:rsid w:val="00365D7B"/>
    <w:rsid w:val="00367ECF"/>
    <w:rsid w:val="00373F4E"/>
    <w:rsid w:val="003A4ACE"/>
    <w:rsid w:val="003F47CC"/>
    <w:rsid w:val="00423398"/>
    <w:rsid w:val="0042529E"/>
    <w:rsid w:val="004322F0"/>
    <w:rsid w:val="004342C5"/>
    <w:rsid w:val="00444492"/>
    <w:rsid w:val="004849F9"/>
    <w:rsid w:val="00485484"/>
    <w:rsid w:val="004C1ED0"/>
    <w:rsid w:val="004D23F6"/>
    <w:rsid w:val="004E6618"/>
    <w:rsid w:val="005014F1"/>
    <w:rsid w:val="00503EB6"/>
    <w:rsid w:val="00553804"/>
    <w:rsid w:val="005625E5"/>
    <w:rsid w:val="00597E0B"/>
    <w:rsid w:val="005A6A3C"/>
    <w:rsid w:val="005D1343"/>
    <w:rsid w:val="005E44DA"/>
    <w:rsid w:val="0060173D"/>
    <w:rsid w:val="00602397"/>
    <w:rsid w:val="006143F4"/>
    <w:rsid w:val="00680E1F"/>
    <w:rsid w:val="006B4A96"/>
    <w:rsid w:val="006B7C6F"/>
    <w:rsid w:val="006C0F46"/>
    <w:rsid w:val="006C3A13"/>
    <w:rsid w:val="006C5C30"/>
    <w:rsid w:val="006D0887"/>
    <w:rsid w:val="006E52BE"/>
    <w:rsid w:val="00702F75"/>
    <w:rsid w:val="00710571"/>
    <w:rsid w:val="00717C4E"/>
    <w:rsid w:val="0073316F"/>
    <w:rsid w:val="00740CDE"/>
    <w:rsid w:val="007508DC"/>
    <w:rsid w:val="007670D5"/>
    <w:rsid w:val="00767136"/>
    <w:rsid w:val="00775033"/>
    <w:rsid w:val="007964F1"/>
    <w:rsid w:val="008046E8"/>
    <w:rsid w:val="008253A8"/>
    <w:rsid w:val="00855C16"/>
    <w:rsid w:val="008B1365"/>
    <w:rsid w:val="008D0DF5"/>
    <w:rsid w:val="008F0A3E"/>
    <w:rsid w:val="008F3085"/>
    <w:rsid w:val="0091085F"/>
    <w:rsid w:val="00911AF3"/>
    <w:rsid w:val="00921F98"/>
    <w:rsid w:val="00927CE8"/>
    <w:rsid w:val="00931CEF"/>
    <w:rsid w:val="00935F3E"/>
    <w:rsid w:val="009522A3"/>
    <w:rsid w:val="009769FE"/>
    <w:rsid w:val="009A75BB"/>
    <w:rsid w:val="009B010B"/>
    <w:rsid w:val="009B59E9"/>
    <w:rsid w:val="009D05BB"/>
    <w:rsid w:val="009F4520"/>
    <w:rsid w:val="00A15EE2"/>
    <w:rsid w:val="00A160FA"/>
    <w:rsid w:val="00A23397"/>
    <w:rsid w:val="00A36880"/>
    <w:rsid w:val="00A44D7C"/>
    <w:rsid w:val="00A46A19"/>
    <w:rsid w:val="00A46C5D"/>
    <w:rsid w:val="00A55CC6"/>
    <w:rsid w:val="00A95083"/>
    <w:rsid w:val="00AB3ABB"/>
    <w:rsid w:val="00AD3695"/>
    <w:rsid w:val="00AD3DB5"/>
    <w:rsid w:val="00AD6363"/>
    <w:rsid w:val="00AF1F07"/>
    <w:rsid w:val="00AF44CD"/>
    <w:rsid w:val="00B21EE6"/>
    <w:rsid w:val="00B24FC7"/>
    <w:rsid w:val="00B46A77"/>
    <w:rsid w:val="00B60402"/>
    <w:rsid w:val="00B82632"/>
    <w:rsid w:val="00B91856"/>
    <w:rsid w:val="00B9279E"/>
    <w:rsid w:val="00BA7CDA"/>
    <w:rsid w:val="00C02CE6"/>
    <w:rsid w:val="00C40069"/>
    <w:rsid w:val="00CA3CAB"/>
    <w:rsid w:val="00CC2DD7"/>
    <w:rsid w:val="00CE2BBB"/>
    <w:rsid w:val="00D003F0"/>
    <w:rsid w:val="00D261D1"/>
    <w:rsid w:val="00D34034"/>
    <w:rsid w:val="00D57BFD"/>
    <w:rsid w:val="00DB7343"/>
    <w:rsid w:val="00DD4B9C"/>
    <w:rsid w:val="00DD71BA"/>
    <w:rsid w:val="00DE71BC"/>
    <w:rsid w:val="00DF5149"/>
    <w:rsid w:val="00E02AE1"/>
    <w:rsid w:val="00E23C72"/>
    <w:rsid w:val="00E336DE"/>
    <w:rsid w:val="00E35226"/>
    <w:rsid w:val="00E5101E"/>
    <w:rsid w:val="00E51AAB"/>
    <w:rsid w:val="00E610CF"/>
    <w:rsid w:val="00E70FAE"/>
    <w:rsid w:val="00E84E6A"/>
    <w:rsid w:val="00EC3A35"/>
    <w:rsid w:val="00ED7A52"/>
    <w:rsid w:val="00F06436"/>
    <w:rsid w:val="00F21524"/>
    <w:rsid w:val="00F368E4"/>
    <w:rsid w:val="00F42B66"/>
    <w:rsid w:val="00F52BD0"/>
    <w:rsid w:val="00F635D4"/>
    <w:rsid w:val="00F63A96"/>
    <w:rsid w:val="00F81B8A"/>
    <w:rsid w:val="00F84047"/>
    <w:rsid w:val="2FE08C74"/>
    <w:rsid w:val="3FE2502B"/>
    <w:rsid w:val="440FDC02"/>
    <w:rsid w:val="4F7359F6"/>
    <w:rsid w:val="5B1C41FA"/>
    <w:rsid w:val="6537D40F"/>
    <w:rsid w:val="6A9339D7"/>
    <w:rsid w:val="75E4C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30AD5"/>
  <w15:chartTrackingRefBased/>
  <w15:docId w15:val="{54480BAA-141B-4376-AB06-A745A3B39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6CE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149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F6CE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49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499A"/>
    <w:rPr>
      <w:rFonts w:eastAsiaTheme="minorEastAsia"/>
      <w:lang w:val="en-US"/>
    </w:rPr>
  </w:style>
  <w:style w:type="paragraph" w:styleId="Header">
    <w:name w:val="header"/>
    <w:basedOn w:val="Normal"/>
    <w:link w:val="HeaderChar"/>
    <w:uiPriority w:val="99"/>
    <w:unhideWhenUsed/>
    <w:rsid w:val="0011499A"/>
    <w:pPr>
      <w:tabs>
        <w:tab w:val="center" w:pos="4513"/>
        <w:tab w:val="right" w:pos="9026"/>
      </w:tabs>
    </w:pPr>
  </w:style>
  <w:style w:type="character" w:customStyle="1" w:styleId="HeaderChar">
    <w:name w:val="Header Char"/>
    <w:basedOn w:val="DefaultParagraphFont"/>
    <w:link w:val="Header"/>
    <w:uiPriority w:val="99"/>
    <w:rsid w:val="0011499A"/>
  </w:style>
  <w:style w:type="paragraph" w:styleId="Footer">
    <w:name w:val="footer"/>
    <w:basedOn w:val="Normal"/>
    <w:link w:val="FooterChar"/>
    <w:uiPriority w:val="99"/>
    <w:unhideWhenUsed/>
    <w:rsid w:val="0011499A"/>
    <w:pPr>
      <w:tabs>
        <w:tab w:val="center" w:pos="4513"/>
        <w:tab w:val="right" w:pos="9026"/>
      </w:tabs>
    </w:pPr>
  </w:style>
  <w:style w:type="character" w:customStyle="1" w:styleId="FooterChar">
    <w:name w:val="Footer Char"/>
    <w:basedOn w:val="DefaultParagraphFont"/>
    <w:link w:val="Footer"/>
    <w:uiPriority w:val="99"/>
    <w:rsid w:val="0011499A"/>
  </w:style>
  <w:style w:type="character" w:customStyle="1" w:styleId="Heading1Char">
    <w:name w:val="Heading 1 Char"/>
    <w:basedOn w:val="DefaultParagraphFont"/>
    <w:link w:val="Heading1"/>
    <w:uiPriority w:val="9"/>
    <w:rsid w:val="001149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499A"/>
    <w:pPr>
      <w:outlineLvl w:val="9"/>
    </w:pPr>
    <w:rPr>
      <w:lang w:val="en-US"/>
    </w:rPr>
  </w:style>
  <w:style w:type="paragraph" w:styleId="ListParagraph">
    <w:name w:val="List Paragraph"/>
    <w:basedOn w:val="Normal"/>
    <w:uiPriority w:val="34"/>
    <w:qFormat/>
    <w:rsid w:val="00775033"/>
    <w:pPr>
      <w:ind w:left="720"/>
      <w:contextualSpacing/>
    </w:pPr>
  </w:style>
  <w:style w:type="character" w:styleId="PlaceholderText">
    <w:name w:val="Placeholder Text"/>
    <w:basedOn w:val="DefaultParagraphFont"/>
    <w:uiPriority w:val="99"/>
    <w:semiHidden/>
    <w:rsid w:val="000C1CD8"/>
    <w:rPr>
      <w:color w:val="808080"/>
    </w:rPr>
  </w:style>
  <w:style w:type="paragraph" w:styleId="TOC1">
    <w:name w:val="toc 1"/>
    <w:basedOn w:val="Normal"/>
    <w:next w:val="Normal"/>
    <w:autoRedefine/>
    <w:uiPriority w:val="39"/>
    <w:unhideWhenUsed/>
    <w:rsid w:val="00116D27"/>
    <w:pPr>
      <w:spacing w:after="100"/>
    </w:pPr>
  </w:style>
  <w:style w:type="character" w:styleId="Hyperlink">
    <w:name w:val="Hyperlink"/>
    <w:basedOn w:val="DefaultParagraphFont"/>
    <w:uiPriority w:val="99"/>
    <w:unhideWhenUsed/>
    <w:rsid w:val="00116D27"/>
    <w:rPr>
      <w:color w:val="0563C1" w:themeColor="hyperlink"/>
      <w:u w:val="single"/>
    </w:rPr>
  </w:style>
  <w:style w:type="character" w:styleId="UnresolvedMention">
    <w:name w:val="Unresolved Mention"/>
    <w:basedOn w:val="DefaultParagraphFont"/>
    <w:uiPriority w:val="99"/>
    <w:semiHidden/>
    <w:unhideWhenUsed/>
    <w:rsid w:val="00256709"/>
    <w:rPr>
      <w:color w:val="605E5C"/>
      <w:shd w:val="clear" w:color="auto" w:fill="E1DFDD"/>
    </w:rPr>
  </w:style>
  <w:style w:type="character" w:styleId="FollowedHyperlink">
    <w:name w:val="FollowedHyperlink"/>
    <w:basedOn w:val="DefaultParagraphFont"/>
    <w:uiPriority w:val="99"/>
    <w:semiHidden/>
    <w:unhideWhenUsed/>
    <w:rsid w:val="006C3A13"/>
    <w:rPr>
      <w:color w:val="954F72" w:themeColor="followedHyperlink"/>
      <w:u w:val="single"/>
    </w:rPr>
  </w:style>
  <w:style w:type="paragraph" w:customStyle="1" w:styleId="Body1">
    <w:name w:val="Body 1"/>
    <w:rsid w:val="00196BE2"/>
    <w:pPr>
      <w:spacing w:after="0" w:line="240" w:lineRule="auto"/>
    </w:pPr>
    <w:rPr>
      <w:rFonts w:ascii="Helvetica" w:eastAsia="Arial Unicode MS" w:hAnsi="Helvetica" w:cs="Times New Roman"/>
      <w:color w:val="000000"/>
      <w:sz w:val="24"/>
      <w:szCs w:val="20"/>
      <w:lang w:eastAsia="en-GB"/>
    </w:rPr>
  </w:style>
  <w:style w:type="paragraph" w:styleId="NormalWeb">
    <w:name w:val="Normal (Web)"/>
    <w:basedOn w:val="Normal"/>
    <w:uiPriority w:val="99"/>
    <w:unhideWhenUsed/>
    <w:rsid w:val="00AD3695"/>
    <w:pPr>
      <w:spacing w:before="100" w:beforeAutospacing="1" w:after="100" w:afterAutospacing="1"/>
    </w:pPr>
  </w:style>
  <w:style w:type="paragraph" w:customStyle="1" w:styleId="Default">
    <w:name w:val="Default"/>
    <w:rsid w:val="008253A8"/>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2F6CED"/>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176A27"/>
    <w:pPr>
      <w:spacing w:after="100"/>
      <w:ind w:left="480"/>
    </w:pPr>
  </w:style>
  <w:style w:type="character" w:styleId="CommentReference">
    <w:name w:val="annotation reference"/>
    <w:basedOn w:val="DefaultParagraphFont"/>
    <w:uiPriority w:val="99"/>
    <w:semiHidden/>
    <w:unhideWhenUsed/>
    <w:rsid w:val="00BA7CDA"/>
    <w:rPr>
      <w:sz w:val="16"/>
      <w:szCs w:val="16"/>
    </w:rPr>
  </w:style>
  <w:style w:type="paragraph" w:styleId="CommentText">
    <w:name w:val="annotation text"/>
    <w:basedOn w:val="Normal"/>
    <w:link w:val="CommentTextChar"/>
    <w:uiPriority w:val="99"/>
    <w:semiHidden/>
    <w:unhideWhenUsed/>
    <w:rsid w:val="00BA7CDA"/>
    <w:rPr>
      <w:sz w:val="20"/>
      <w:szCs w:val="20"/>
    </w:rPr>
  </w:style>
  <w:style w:type="character" w:customStyle="1" w:styleId="CommentTextChar">
    <w:name w:val="Comment Text Char"/>
    <w:basedOn w:val="DefaultParagraphFont"/>
    <w:link w:val="CommentText"/>
    <w:uiPriority w:val="99"/>
    <w:semiHidden/>
    <w:rsid w:val="00BA7CD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A7CDA"/>
    <w:rPr>
      <w:b/>
      <w:bCs/>
    </w:rPr>
  </w:style>
  <w:style w:type="character" w:customStyle="1" w:styleId="CommentSubjectChar">
    <w:name w:val="Comment Subject Char"/>
    <w:basedOn w:val="CommentTextChar"/>
    <w:link w:val="CommentSubject"/>
    <w:uiPriority w:val="99"/>
    <w:semiHidden/>
    <w:rsid w:val="00BA7CD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BA7CD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CDA"/>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97991">
      <w:bodyDiv w:val="1"/>
      <w:marLeft w:val="0"/>
      <w:marRight w:val="0"/>
      <w:marTop w:val="0"/>
      <w:marBottom w:val="0"/>
      <w:divBdr>
        <w:top w:val="none" w:sz="0" w:space="0" w:color="auto"/>
        <w:left w:val="none" w:sz="0" w:space="0" w:color="auto"/>
        <w:bottom w:val="none" w:sz="0" w:space="0" w:color="auto"/>
        <w:right w:val="none" w:sz="0" w:space="0" w:color="auto"/>
      </w:divBdr>
    </w:div>
    <w:div w:id="470096078">
      <w:bodyDiv w:val="1"/>
      <w:marLeft w:val="0"/>
      <w:marRight w:val="0"/>
      <w:marTop w:val="0"/>
      <w:marBottom w:val="0"/>
      <w:divBdr>
        <w:top w:val="none" w:sz="0" w:space="0" w:color="auto"/>
        <w:left w:val="none" w:sz="0" w:space="0" w:color="auto"/>
        <w:bottom w:val="none" w:sz="0" w:space="0" w:color="auto"/>
        <w:right w:val="none" w:sz="0" w:space="0" w:color="auto"/>
      </w:divBdr>
    </w:div>
    <w:div w:id="589972354">
      <w:bodyDiv w:val="1"/>
      <w:marLeft w:val="0"/>
      <w:marRight w:val="0"/>
      <w:marTop w:val="0"/>
      <w:marBottom w:val="0"/>
      <w:divBdr>
        <w:top w:val="none" w:sz="0" w:space="0" w:color="auto"/>
        <w:left w:val="none" w:sz="0" w:space="0" w:color="auto"/>
        <w:bottom w:val="none" w:sz="0" w:space="0" w:color="auto"/>
        <w:right w:val="none" w:sz="0" w:space="0" w:color="auto"/>
      </w:divBdr>
    </w:div>
    <w:div w:id="1057162655">
      <w:bodyDiv w:val="1"/>
      <w:marLeft w:val="0"/>
      <w:marRight w:val="0"/>
      <w:marTop w:val="0"/>
      <w:marBottom w:val="0"/>
      <w:divBdr>
        <w:top w:val="none" w:sz="0" w:space="0" w:color="auto"/>
        <w:left w:val="none" w:sz="0" w:space="0" w:color="auto"/>
        <w:bottom w:val="none" w:sz="0" w:space="0" w:color="auto"/>
        <w:right w:val="none" w:sz="0" w:space="0" w:color="auto"/>
      </w:divBdr>
    </w:div>
    <w:div w:id="1197962058">
      <w:bodyDiv w:val="1"/>
      <w:marLeft w:val="0"/>
      <w:marRight w:val="0"/>
      <w:marTop w:val="0"/>
      <w:marBottom w:val="0"/>
      <w:divBdr>
        <w:top w:val="none" w:sz="0" w:space="0" w:color="auto"/>
        <w:left w:val="none" w:sz="0" w:space="0" w:color="auto"/>
        <w:bottom w:val="none" w:sz="0" w:space="0" w:color="auto"/>
        <w:right w:val="none" w:sz="0" w:space="0" w:color="auto"/>
      </w:divBdr>
      <w:divsChild>
        <w:div w:id="487983430">
          <w:marLeft w:val="0"/>
          <w:marRight w:val="0"/>
          <w:marTop w:val="0"/>
          <w:marBottom w:val="0"/>
          <w:divBdr>
            <w:top w:val="none" w:sz="0" w:space="0" w:color="auto"/>
            <w:left w:val="none" w:sz="0" w:space="0" w:color="auto"/>
            <w:bottom w:val="none" w:sz="0" w:space="0" w:color="auto"/>
            <w:right w:val="none" w:sz="0" w:space="0" w:color="auto"/>
          </w:divBdr>
        </w:div>
      </w:divsChild>
    </w:div>
    <w:div w:id="1400135510">
      <w:bodyDiv w:val="1"/>
      <w:marLeft w:val="0"/>
      <w:marRight w:val="0"/>
      <w:marTop w:val="0"/>
      <w:marBottom w:val="0"/>
      <w:divBdr>
        <w:top w:val="none" w:sz="0" w:space="0" w:color="auto"/>
        <w:left w:val="none" w:sz="0" w:space="0" w:color="auto"/>
        <w:bottom w:val="none" w:sz="0" w:space="0" w:color="auto"/>
        <w:right w:val="none" w:sz="0" w:space="0" w:color="auto"/>
      </w:divBdr>
    </w:div>
    <w:div w:id="1517771835">
      <w:bodyDiv w:val="1"/>
      <w:marLeft w:val="0"/>
      <w:marRight w:val="0"/>
      <w:marTop w:val="0"/>
      <w:marBottom w:val="0"/>
      <w:divBdr>
        <w:top w:val="none" w:sz="0" w:space="0" w:color="auto"/>
        <w:left w:val="none" w:sz="0" w:space="0" w:color="auto"/>
        <w:bottom w:val="none" w:sz="0" w:space="0" w:color="auto"/>
        <w:right w:val="none" w:sz="0" w:space="0" w:color="auto"/>
      </w:divBdr>
    </w:div>
    <w:div w:id="1635326806">
      <w:bodyDiv w:val="1"/>
      <w:marLeft w:val="0"/>
      <w:marRight w:val="0"/>
      <w:marTop w:val="0"/>
      <w:marBottom w:val="0"/>
      <w:divBdr>
        <w:top w:val="none" w:sz="0" w:space="0" w:color="auto"/>
        <w:left w:val="none" w:sz="0" w:space="0" w:color="auto"/>
        <w:bottom w:val="none" w:sz="0" w:space="0" w:color="auto"/>
        <w:right w:val="none" w:sz="0" w:space="0" w:color="auto"/>
      </w:divBdr>
    </w:div>
    <w:div w:id="188123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studyelectrical.com/2020/04/type-b-miniature-circuit-breaker-mcb-curves.html" TargetMode="External"/><Relationship Id="rId26" Type="http://schemas.openxmlformats.org/officeDocument/2006/relationships/image" Target="media/image9.png"/><Relationship Id="rId39" Type="http://schemas.openxmlformats.org/officeDocument/2006/relationships/image" Target="media/image22.sv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svg"/><Relationship Id="rId50" Type="http://schemas.openxmlformats.org/officeDocument/2006/relationships/image" Target="media/image33.png"/><Relationship Id="rId55" Type="http://schemas.openxmlformats.org/officeDocument/2006/relationships/image" Target="media/image38.sv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oolstation.com/protek-single-pole-mcb-10ka-type-b/p89835" TargetMode="External"/><Relationship Id="rId20" Type="http://schemas.openxmlformats.org/officeDocument/2006/relationships/hyperlink" Target="https://studyelectrical.com/2014/07/miniature-circuit-breakers-mcb-types-characteristic-curves.html" TargetMode="External"/><Relationship Id="rId29" Type="http://schemas.openxmlformats.org/officeDocument/2006/relationships/image" Target="media/image12.svg"/><Relationship Id="rId41" Type="http://schemas.openxmlformats.org/officeDocument/2006/relationships/image" Target="media/image24.svg"/><Relationship Id="rId54"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svg"/><Relationship Id="rId40" Type="http://schemas.openxmlformats.org/officeDocument/2006/relationships/image" Target="media/image23.png"/><Relationship Id="rId45" Type="http://schemas.openxmlformats.org/officeDocument/2006/relationships/image" Target="media/image28.svg"/><Relationship Id="rId53" Type="http://schemas.openxmlformats.org/officeDocument/2006/relationships/image" Target="media/image36.svg"/><Relationship Id="rId58"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1.jpg"/><Relationship Id="rId23" Type="http://schemas.openxmlformats.org/officeDocument/2006/relationships/image" Target="media/image6.sv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svg"/><Relationship Id="rId57" Type="http://schemas.openxmlformats.org/officeDocument/2006/relationships/image" Target="media/image40.svg"/><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jpeg"/><Relationship Id="rId31" Type="http://schemas.openxmlformats.org/officeDocument/2006/relationships/image" Target="media/image14.svg"/><Relationship Id="rId44" Type="http://schemas.openxmlformats.org/officeDocument/2006/relationships/image" Target="media/image27.png"/><Relationship Id="rId52" Type="http://schemas.openxmlformats.org/officeDocument/2006/relationships/image" Target="media/image35.png"/><Relationship Id="rId60"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lectrical-engineering-portal.com/things-about-mcbs-that-every-low-voltage-electrician-should-know" TargetMode="External"/><Relationship Id="rId22" Type="http://schemas.openxmlformats.org/officeDocument/2006/relationships/image" Target="media/image5.png"/><Relationship Id="rId27" Type="http://schemas.openxmlformats.org/officeDocument/2006/relationships/image" Target="media/image10.svg"/><Relationship Id="rId30" Type="http://schemas.openxmlformats.org/officeDocument/2006/relationships/image" Target="media/image13.png"/><Relationship Id="rId35" Type="http://schemas.openxmlformats.org/officeDocument/2006/relationships/image" Target="media/image18.svg"/><Relationship Id="rId43" Type="http://schemas.openxmlformats.org/officeDocument/2006/relationships/image" Target="media/image26.svg"/><Relationship Id="rId48" Type="http://schemas.openxmlformats.org/officeDocument/2006/relationships/image" Target="media/image31.png"/><Relationship Id="rId56" Type="http://schemas.openxmlformats.org/officeDocument/2006/relationships/image" Target="media/image39.png"/><Relationship Id="rId8" Type="http://schemas.openxmlformats.org/officeDocument/2006/relationships/webSettings" Target="webSettings.xml"/><Relationship Id="rId51" Type="http://schemas.openxmlformats.org/officeDocument/2006/relationships/image" Target="media/image34.svg"/><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2.jpg"/><Relationship Id="rId25" Type="http://schemas.openxmlformats.org/officeDocument/2006/relationships/image" Target="media/image8.svg"/><Relationship Id="rId33" Type="http://schemas.openxmlformats.org/officeDocument/2006/relationships/image" Target="media/image16.sv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98C933EEB93374B995CF1450F2F50F5" ma:contentTypeVersion="10" ma:contentTypeDescription="Create a new document." ma:contentTypeScope="" ma:versionID="b7618f2f19ad7a764cf0a127c0c9a5f5">
  <xsd:schema xmlns:xsd="http://www.w3.org/2001/XMLSchema" xmlns:xs="http://www.w3.org/2001/XMLSchema" xmlns:p="http://schemas.microsoft.com/office/2006/metadata/properties" xmlns:ns3="bf4fe678-74a2-4b6c-8aa0-e13b65ddef60" xmlns:ns4="04b0034b-e063-4e00-89fb-43c6089a5e5b" targetNamespace="http://schemas.microsoft.com/office/2006/metadata/properties" ma:root="true" ma:fieldsID="928b877209e1564f27d75a43c9b3bcef" ns3:_="" ns4:_="">
    <xsd:import namespace="bf4fe678-74a2-4b6c-8aa0-e13b65ddef60"/>
    <xsd:import namespace="04b0034b-e063-4e00-89fb-43c6089a5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4fe678-74a2-4b6c-8aa0-e13b65ddef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4b0034b-e063-4e00-89fb-43c6089a5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BE9BE-367C-4689-8A7B-0F9E239069AE}">
  <ds:schemaRefs>
    <ds:schemaRef ds:uri="http://schemas.microsoft.com/sharepoint/v3/contenttype/forms"/>
  </ds:schemaRefs>
</ds:datastoreItem>
</file>

<file path=customXml/itemProps2.xml><?xml version="1.0" encoding="utf-8"?>
<ds:datastoreItem xmlns:ds="http://schemas.openxmlformats.org/officeDocument/2006/customXml" ds:itemID="{0549147F-F6D2-48D7-AC99-3964548B7D4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E043BB-FB88-450C-892A-DCFE6EF116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4fe678-74a2-4b6c-8aa0-e13b65ddef60"/>
    <ds:schemaRef ds:uri="04b0034b-e063-4e00-89fb-43c6089a5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D79D38-E4C0-467B-9C63-D5D5C958E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2599</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Level Gauges</vt:lpstr>
    </vt:vector>
  </TitlesOfParts>
  <Company>Peter taylor</Company>
  <LinksUpToDate>false</LinksUpToDate>
  <CharactersWithSpaces>17380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Gauges</dc:title>
  <dc:subject>HNC Electrical and electronic engineering – Research, study and presentation skills</dc:subject>
  <dc:creator>Chloe Price</dc:creator>
  <cp:keywords/>
  <dc:description/>
  <cp:lastModifiedBy>Peter Taylor</cp:lastModifiedBy>
  <cp:revision>4</cp:revision>
  <dcterms:created xsi:type="dcterms:W3CDTF">2022-06-09T13:40:00Z</dcterms:created>
  <dcterms:modified xsi:type="dcterms:W3CDTF">2022-06-09T14:59:00Z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0x010100A98C933EEB93374B995CF1450F2F50F5</vt:lpwstr>
  </property>
</Properties>
</file>