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A7E3A" w:rsidRDefault="00AA7E3A" w:rsidP="00AA7E3A">
      <w:pPr>
        <w:pStyle w:val="NormalWeb"/>
        <w:shd w:val="clear" w:color="auto" w:fill="EFF9FC"/>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“The benefits of hosting major sports events far outweigh the costs.”</w:t>
      </w:r>
    </w:p>
    <w:p w:rsidR="00AA7E3A" w:rsidRDefault="00AA7E3A" w:rsidP="00AA7E3A">
      <w:pPr>
        <w:pStyle w:val="NormalWeb"/>
        <w:shd w:val="clear" w:color="auto" w:fill="EFF9FC"/>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Critically evaluate the above statement by drawing on appropriate case studies, academic literature, and industry &amp; government publications.  Finish your answer by drawing your own evidence based conclusions, followed by recommendations for how the Welsh Government can best support the hosting of major sports events. </w:t>
      </w:r>
    </w:p>
    <w:p w:rsidR="00AA7E3A" w:rsidRDefault="00AA7E3A" w:rsidP="00AA7E3A">
      <w:pPr>
        <w:pStyle w:val="NormalWeb"/>
        <w:shd w:val="clear" w:color="auto" w:fill="EFF9FC"/>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Your answer should be underpinned with appropriate references to academic literature to validate your analysis. </w:t>
      </w:r>
    </w:p>
    <w:p w:rsidR="0097557A" w:rsidRDefault="0097557A"/>
    <w:p w:rsidR="00B5254E" w:rsidRPr="00B5254E" w:rsidRDefault="00B5254E" w:rsidP="00B5254E">
      <w:pPr>
        <w:spacing w:after="120" w:line="240" w:lineRule="auto"/>
        <w:rPr>
          <w:rFonts w:ascii="Segoe UI" w:eastAsia="Times New Roman" w:hAnsi="Segoe UI" w:cs="Segoe UI"/>
          <w:color w:val="12262C"/>
          <w:sz w:val="23"/>
          <w:szCs w:val="23"/>
          <w:lang w:eastAsia="en-GB"/>
        </w:rPr>
      </w:pPr>
      <w:r w:rsidRPr="00B5254E">
        <w:rPr>
          <w:rFonts w:ascii="Segoe UI" w:eastAsia="Times New Roman" w:hAnsi="Segoe UI" w:cs="Segoe UI"/>
          <w:color w:val="12262C"/>
          <w:sz w:val="23"/>
          <w:szCs w:val="23"/>
          <w:lang w:eastAsia="en-GB"/>
        </w:rPr>
        <w:t>In the last decade, the Welsh Government (2010) had created a vision to achieve by 2020 which was to make “Wales recognized as a consistently outstanding destination for major events.” This statement correlates with the question as it actively illustrates that the Welsh Government believe that the benefits far outweigh the costs.</w:t>
      </w:r>
    </w:p>
    <w:p w:rsidR="00B5254E" w:rsidRPr="00B5254E" w:rsidRDefault="00B5254E" w:rsidP="00B5254E">
      <w:pPr>
        <w:spacing w:after="120" w:line="240" w:lineRule="auto"/>
        <w:rPr>
          <w:rFonts w:ascii="Segoe UI" w:eastAsia="Times New Roman" w:hAnsi="Segoe UI" w:cs="Segoe UI"/>
          <w:color w:val="12262C"/>
          <w:sz w:val="23"/>
          <w:szCs w:val="23"/>
          <w:lang w:eastAsia="en-GB"/>
        </w:rPr>
      </w:pPr>
      <w:proofErr w:type="spellStart"/>
      <w:r w:rsidRPr="00B5254E">
        <w:rPr>
          <w:rFonts w:ascii="Segoe UI" w:eastAsia="Times New Roman" w:hAnsi="Segoe UI" w:cs="Segoe UI"/>
          <w:color w:val="12262C"/>
          <w:sz w:val="23"/>
          <w:szCs w:val="23"/>
          <w:lang w:eastAsia="en-GB"/>
        </w:rPr>
        <w:t>Masterman</w:t>
      </w:r>
      <w:proofErr w:type="spellEnd"/>
      <w:r w:rsidRPr="00B5254E">
        <w:rPr>
          <w:rFonts w:ascii="Segoe UI" w:eastAsia="Times New Roman" w:hAnsi="Segoe UI" w:cs="Segoe UI"/>
          <w:color w:val="12262C"/>
          <w:sz w:val="23"/>
          <w:szCs w:val="23"/>
          <w:lang w:eastAsia="en-GB"/>
        </w:rPr>
        <w:t xml:space="preserve"> (2014) proposes that when hosting an event, the objectives are crucial as it will identify what types of benefits the country/city will gain by hosting it. The author also goes on and suggests that there are 9 key benefits of hosting major sports events. These are Land regeneration, Facilities and services development, Social regeneration, Political development, Cultural development, Sports development, Environmental development, Economic development and Tourism. Furthermore, </w:t>
      </w:r>
      <w:proofErr w:type="spellStart"/>
      <w:r w:rsidRPr="00B5254E">
        <w:rPr>
          <w:rFonts w:ascii="Segoe UI" w:eastAsia="Times New Roman" w:hAnsi="Segoe UI" w:cs="Segoe UI"/>
          <w:color w:val="12262C"/>
          <w:sz w:val="23"/>
          <w:szCs w:val="23"/>
          <w:lang w:eastAsia="en-GB"/>
        </w:rPr>
        <w:t>Masterman</w:t>
      </w:r>
      <w:proofErr w:type="spellEnd"/>
      <w:r w:rsidRPr="00B5254E">
        <w:rPr>
          <w:rFonts w:ascii="Segoe UI" w:eastAsia="Times New Roman" w:hAnsi="Segoe UI" w:cs="Segoe UI"/>
          <w:color w:val="12262C"/>
          <w:sz w:val="23"/>
          <w:szCs w:val="23"/>
          <w:lang w:eastAsia="en-GB"/>
        </w:rPr>
        <w:t xml:space="preserve"> (2014,pp.99) also puts forward that these benefits have short, medium and long term impacts which have to be considered when considering that the benefits outweigh the cost.</w:t>
      </w:r>
    </w:p>
    <w:p w:rsidR="00B5254E" w:rsidRPr="00B5254E" w:rsidRDefault="00B5254E" w:rsidP="00B5254E">
      <w:pPr>
        <w:spacing w:after="120" w:line="240" w:lineRule="auto"/>
        <w:rPr>
          <w:rFonts w:ascii="Segoe UI" w:eastAsia="Times New Roman" w:hAnsi="Segoe UI" w:cs="Segoe UI"/>
          <w:color w:val="12262C"/>
          <w:sz w:val="23"/>
          <w:szCs w:val="23"/>
          <w:lang w:eastAsia="en-GB"/>
        </w:rPr>
      </w:pPr>
      <w:r w:rsidRPr="00B5254E">
        <w:rPr>
          <w:rFonts w:ascii="Segoe UI" w:eastAsia="Times New Roman" w:hAnsi="Segoe UI" w:cs="Segoe UI"/>
          <w:color w:val="12262C"/>
          <w:sz w:val="23"/>
          <w:szCs w:val="23"/>
          <w:lang w:eastAsia="en-GB"/>
        </w:rPr>
        <w:t xml:space="preserve">Depending on the event and the objectives of it can help decide if the benefits actually do outweigh the costs of hosting a major sports event. For example, the Olympic </w:t>
      </w:r>
      <w:proofErr w:type="gramStart"/>
      <w:r w:rsidRPr="00B5254E">
        <w:rPr>
          <w:rFonts w:ascii="Segoe UI" w:eastAsia="Times New Roman" w:hAnsi="Segoe UI" w:cs="Segoe UI"/>
          <w:color w:val="12262C"/>
          <w:sz w:val="23"/>
          <w:szCs w:val="23"/>
          <w:lang w:eastAsia="en-GB"/>
        </w:rPr>
        <w:t>games</w:t>
      </w:r>
      <w:proofErr w:type="gramEnd"/>
      <w:r w:rsidRPr="00B5254E">
        <w:rPr>
          <w:rFonts w:ascii="Segoe UI" w:eastAsia="Times New Roman" w:hAnsi="Segoe UI" w:cs="Segoe UI"/>
          <w:color w:val="12262C"/>
          <w:sz w:val="23"/>
          <w:szCs w:val="23"/>
          <w:lang w:eastAsia="en-GB"/>
        </w:rPr>
        <w:t xml:space="preserve">. According to Wilson (2006) and </w:t>
      </w:r>
      <w:proofErr w:type="spellStart"/>
      <w:r w:rsidRPr="00B5254E">
        <w:rPr>
          <w:rFonts w:ascii="Segoe UI" w:eastAsia="Times New Roman" w:hAnsi="Segoe UI" w:cs="Segoe UI"/>
          <w:color w:val="12262C"/>
          <w:sz w:val="23"/>
          <w:szCs w:val="23"/>
          <w:lang w:eastAsia="en-GB"/>
        </w:rPr>
        <w:t>Gratton</w:t>
      </w:r>
      <w:proofErr w:type="spellEnd"/>
      <w:r w:rsidRPr="00B5254E">
        <w:rPr>
          <w:rFonts w:ascii="Segoe UI" w:eastAsia="Times New Roman" w:hAnsi="Segoe UI" w:cs="Segoe UI"/>
          <w:color w:val="12262C"/>
          <w:sz w:val="23"/>
          <w:szCs w:val="23"/>
          <w:lang w:eastAsia="en-GB"/>
        </w:rPr>
        <w:t> </w:t>
      </w:r>
      <w:r w:rsidRPr="00B5254E">
        <w:rPr>
          <w:rFonts w:ascii="Segoe UI" w:eastAsia="Times New Roman" w:hAnsi="Segoe UI" w:cs="Segoe UI"/>
          <w:i/>
          <w:iCs/>
          <w:color w:val="12262C"/>
          <w:sz w:val="23"/>
          <w:szCs w:val="23"/>
          <w:lang w:eastAsia="en-GB"/>
        </w:rPr>
        <w:t>et al.</w:t>
      </w:r>
      <w:r w:rsidRPr="00B5254E">
        <w:rPr>
          <w:rFonts w:ascii="Segoe UI" w:eastAsia="Times New Roman" w:hAnsi="Segoe UI" w:cs="Segoe UI"/>
          <w:color w:val="12262C"/>
          <w:sz w:val="23"/>
          <w:szCs w:val="23"/>
          <w:lang w:eastAsia="en-GB"/>
        </w:rPr>
        <w:t xml:space="preserve"> (2010), this type of event (Olympic </w:t>
      </w:r>
      <w:proofErr w:type="gramStart"/>
      <w:r w:rsidRPr="00B5254E">
        <w:rPr>
          <w:rFonts w:ascii="Segoe UI" w:eastAsia="Times New Roman" w:hAnsi="Segoe UI" w:cs="Segoe UI"/>
          <w:color w:val="12262C"/>
          <w:sz w:val="23"/>
          <w:szCs w:val="23"/>
          <w:lang w:eastAsia="en-GB"/>
        </w:rPr>
        <w:t>games</w:t>
      </w:r>
      <w:proofErr w:type="gramEnd"/>
      <w:r w:rsidRPr="00B5254E">
        <w:rPr>
          <w:rFonts w:ascii="Segoe UI" w:eastAsia="Times New Roman" w:hAnsi="Segoe UI" w:cs="Segoe UI"/>
          <w:color w:val="12262C"/>
          <w:sz w:val="23"/>
          <w:szCs w:val="23"/>
          <w:lang w:eastAsia="en-GB"/>
        </w:rPr>
        <w:t xml:space="preserve">) would be an irregular, one-off, major international spectator /competitor event generating a limited opportunity for economic activity. With this in mind, the Athens 2004 Olympic </w:t>
      </w:r>
      <w:proofErr w:type="gramStart"/>
      <w:r w:rsidRPr="00B5254E">
        <w:rPr>
          <w:rFonts w:ascii="Segoe UI" w:eastAsia="Times New Roman" w:hAnsi="Segoe UI" w:cs="Segoe UI"/>
          <w:color w:val="12262C"/>
          <w:sz w:val="23"/>
          <w:szCs w:val="23"/>
          <w:lang w:eastAsia="en-GB"/>
        </w:rPr>
        <w:t>games</w:t>
      </w:r>
      <w:proofErr w:type="gramEnd"/>
      <w:r w:rsidRPr="00B5254E">
        <w:rPr>
          <w:rFonts w:ascii="Segoe UI" w:eastAsia="Times New Roman" w:hAnsi="Segoe UI" w:cs="Segoe UI"/>
          <w:color w:val="12262C"/>
          <w:sz w:val="23"/>
          <w:szCs w:val="23"/>
          <w:lang w:eastAsia="en-GB"/>
        </w:rPr>
        <w:t xml:space="preserve"> is a great example for considering the cost compared to the benefits. Athens main aim was to increase tourism, improve infrastructure, job creation, and to generate and create profit. In the short term the games were successful with tourism increasing, however </w:t>
      </w:r>
      <w:proofErr w:type="spellStart"/>
      <w:r w:rsidRPr="00B5254E">
        <w:rPr>
          <w:rFonts w:ascii="Segoe UI" w:eastAsia="Times New Roman" w:hAnsi="Segoe UI" w:cs="Segoe UI"/>
          <w:color w:val="12262C"/>
          <w:sz w:val="23"/>
          <w:szCs w:val="23"/>
          <w:lang w:eastAsia="en-GB"/>
        </w:rPr>
        <w:t>Flyvberg</w:t>
      </w:r>
      <w:proofErr w:type="spellEnd"/>
      <w:r w:rsidRPr="00B5254E">
        <w:rPr>
          <w:rFonts w:ascii="Segoe UI" w:eastAsia="Times New Roman" w:hAnsi="Segoe UI" w:cs="Segoe UI"/>
          <w:color w:val="12262C"/>
          <w:sz w:val="23"/>
          <w:szCs w:val="23"/>
          <w:lang w:eastAsia="en-GB"/>
        </w:rPr>
        <w:t xml:space="preserve"> et al. (2016, p.3) state that the “Cost overrun and associated debt from the Athens 2004 Games weakened the Greek economy and contributed to the country’s deep financial and economic crises.” Which overall does suggest that it the benefits in the short term does not outweigh the cost as they are in a worse situation than </w:t>
      </w:r>
      <w:proofErr w:type="gramStart"/>
      <w:r w:rsidRPr="00B5254E">
        <w:rPr>
          <w:rFonts w:ascii="Segoe UI" w:eastAsia="Times New Roman" w:hAnsi="Segoe UI" w:cs="Segoe UI"/>
          <w:color w:val="12262C"/>
          <w:sz w:val="23"/>
          <w:szCs w:val="23"/>
          <w:lang w:eastAsia="en-GB"/>
        </w:rPr>
        <w:t>before.</w:t>
      </w:r>
      <w:proofErr w:type="gramEnd"/>
      <w:r w:rsidRPr="00B5254E">
        <w:rPr>
          <w:rFonts w:ascii="Segoe UI" w:eastAsia="Times New Roman" w:hAnsi="Segoe UI" w:cs="Segoe UI"/>
          <w:color w:val="12262C"/>
          <w:sz w:val="23"/>
          <w:szCs w:val="23"/>
          <w:lang w:eastAsia="en-GB"/>
        </w:rPr>
        <w:t xml:space="preserve"> Furthermore, the long-term effects resulted in the stadiums that were built for the Olympics being abandoned. To reinforce this, Horne (2007) suggests that countries/cities underestimate the costs, underestimate environmental impacts, overestimate the revenues, and overestimate economic developments which can result in the costs outweighing the benefits. Additionally, </w:t>
      </w:r>
      <w:proofErr w:type="spellStart"/>
      <w:r w:rsidRPr="00B5254E">
        <w:rPr>
          <w:rFonts w:ascii="Segoe UI" w:eastAsia="Times New Roman" w:hAnsi="Segoe UI" w:cs="Segoe UI"/>
          <w:color w:val="12262C"/>
          <w:sz w:val="23"/>
          <w:szCs w:val="23"/>
          <w:lang w:eastAsia="en-GB"/>
        </w:rPr>
        <w:t>Gratton</w:t>
      </w:r>
      <w:proofErr w:type="spellEnd"/>
      <w:r w:rsidRPr="00B5254E">
        <w:rPr>
          <w:rFonts w:ascii="Segoe UI" w:eastAsia="Times New Roman" w:hAnsi="Segoe UI" w:cs="Segoe UI"/>
          <w:color w:val="12262C"/>
          <w:sz w:val="23"/>
          <w:szCs w:val="23"/>
          <w:lang w:eastAsia="en-GB"/>
        </w:rPr>
        <w:t xml:space="preserve"> et al. (2012, p.37) state that “Staging events often results in the host cities losing money” however, if the aim of the event is not to generate profit but to gain other benefits such land regeneration, tourism, cultural development or creating a legacy then the benefits could potentially outweigh the cost. An example of this would be the </w:t>
      </w:r>
      <w:proofErr w:type="spellStart"/>
      <w:r w:rsidRPr="00B5254E">
        <w:rPr>
          <w:rFonts w:ascii="Segoe UI" w:eastAsia="Times New Roman" w:hAnsi="Segoe UI" w:cs="Segoe UI"/>
          <w:color w:val="12262C"/>
          <w:sz w:val="23"/>
          <w:szCs w:val="23"/>
          <w:lang w:eastAsia="en-GB"/>
        </w:rPr>
        <w:t>Galsgow</w:t>
      </w:r>
      <w:proofErr w:type="spellEnd"/>
      <w:r w:rsidRPr="00B5254E">
        <w:rPr>
          <w:rFonts w:ascii="Segoe UI" w:eastAsia="Times New Roman" w:hAnsi="Segoe UI" w:cs="Segoe UI"/>
          <w:color w:val="12262C"/>
          <w:sz w:val="23"/>
          <w:szCs w:val="23"/>
          <w:lang w:eastAsia="en-GB"/>
        </w:rPr>
        <w:t xml:space="preserve"> commonwealth games 2014. According to the Scottish Government (2015) hosting the commonwealth games provided many benefits such as creating and supporting jobs, increased tourism, promoted physical activity, increased promotion/ awareness of Scotland, and lastly a positive legacy. These benefits far outweigh the costs because for this example the Scottish Government (2015) put forward that they did not go over budget. This is because Glasgow is a developed city in comparison to Athens or Rio as Glasgow already had great facilities and good infrastructure so they did not have to spend as much money in that aspect. On top of this the Barcelona 1992 Olympic games is a great example of the benefits far outweighing the costs as </w:t>
      </w:r>
      <w:proofErr w:type="spellStart"/>
      <w:r w:rsidRPr="00B5254E">
        <w:rPr>
          <w:rFonts w:ascii="Segoe UI" w:eastAsia="Times New Roman" w:hAnsi="Segoe UI" w:cs="Segoe UI"/>
          <w:color w:val="12262C"/>
          <w:sz w:val="23"/>
          <w:szCs w:val="23"/>
          <w:lang w:eastAsia="en-GB"/>
        </w:rPr>
        <w:t>Gratton</w:t>
      </w:r>
      <w:proofErr w:type="spellEnd"/>
      <w:r w:rsidRPr="00B5254E">
        <w:rPr>
          <w:rFonts w:ascii="Segoe UI" w:eastAsia="Times New Roman" w:hAnsi="Segoe UI" w:cs="Segoe UI"/>
          <w:color w:val="12262C"/>
          <w:sz w:val="23"/>
          <w:szCs w:val="23"/>
          <w:lang w:eastAsia="en-GB"/>
        </w:rPr>
        <w:t xml:space="preserve"> et al (2020, p.42) states that “Barcelona is generally regarded as the most successful Olympics ever in terms of the long-term legacy effects on the city.” This is because it is now considered one of the </w:t>
      </w:r>
      <w:proofErr w:type="spellStart"/>
      <w:r w:rsidRPr="00B5254E">
        <w:rPr>
          <w:rFonts w:ascii="Segoe UI" w:eastAsia="Times New Roman" w:hAnsi="Segoe UI" w:cs="Segoe UI"/>
          <w:color w:val="12262C"/>
          <w:sz w:val="23"/>
          <w:szCs w:val="23"/>
          <w:lang w:eastAsia="en-GB"/>
        </w:rPr>
        <w:t>worlds</w:t>
      </w:r>
      <w:proofErr w:type="spellEnd"/>
      <w:r w:rsidRPr="00B5254E">
        <w:rPr>
          <w:rFonts w:ascii="Segoe UI" w:eastAsia="Times New Roman" w:hAnsi="Segoe UI" w:cs="Segoe UI"/>
          <w:color w:val="12262C"/>
          <w:sz w:val="23"/>
          <w:szCs w:val="23"/>
          <w:lang w:eastAsia="en-GB"/>
        </w:rPr>
        <w:t xml:space="preserve"> best tourism hotspot with great culture and weather which stemmed from hosting the Olympic </w:t>
      </w:r>
      <w:proofErr w:type="gramStart"/>
      <w:r w:rsidRPr="00B5254E">
        <w:rPr>
          <w:rFonts w:ascii="Segoe UI" w:eastAsia="Times New Roman" w:hAnsi="Segoe UI" w:cs="Segoe UI"/>
          <w:color w:val="12262C"/>
          <w:sz w:val="23"/>
          <w:szCs w:val="23"/>
          <w:lang w:eastAsia="en-GB"/>
        </w:rPr>
        <w:t>games</w:t>
      </w:r>
      <w:proofErr w:type="gramEnd"/>
      <w:r w:rsidRPr="00B5254E">
        <w:rPr>
          <w:rFonts w:ascii="Segoe UI" w:eastAsia="Times New Roman" w:hAnsi="Segoe UI" w:cs="Segoe UI"/>
          <w:color w:val="12262C"/>
          <w:sz w:val="23"/>
          <w:szCs w:val="23"/>
          <w:lang w:eastAsia="en-GB"/>
        </w:rPr>
        <w:t xml:space="preserve"> and increasing the awareness of Barcelona to the world.</w:t>
      </w:r>
    </w:p>
    <w:p w:rsidR="00B5254E" w:rsidRPr="00B5254E" w:rsidRDefault="00B5254E" w:rsidP="00B5254E">
      <w:pPr>
        <w:spacing w:after="120" w:line="240" w:lineRule="auto"/>
        <w:rPr>
          <w:rFonts w:ascii="Segoe UI" w:eastAsia="Times New Roman" w:hAnsi="Segoe UI" w:cs="Segoe UI"/>
          <w:color w:val="12262C"/>
          <w:sz w:val="23"/>
          <w:szCs w:val="23"/>
          <w:lang w:eastAsia="en-GB"/>
        </w:rPr>
      </w:pPr>
      <w:r w:rsidRPr="00B5254E">
        <w:rPr>
          <w:rFonts w:ascii="Segoe UI" w:eastAsia="Times New Roman" w:hAnsi="Segoe UI" w:cs="Segoe UI"/>
          <w:color w:val="12262C"/>
          <w:sz w:val="23"/>
          <w:szCs w:val="23"/>
          <w:lang w:eastAsia="en-GB"/>
        </w:rPr>
        <w:t xml:space="preserve">In conclusion, depending on the event and previous case studies to learn from, the benefits of hosting major sports events can outweigh the costs if the country is developed and do not have to spend as much on creating new facilities/infrastructure to run the event. E.g. London Olympic games 2012 and Glasgow commonwealth games 2014, and the Barcelona 1992 Olympic </w:t>
      </w:r>
      <w:proofErr w:type="gramStart"/>
      <w:r w:rsidRPr="00B5254E">
        <w:rPr>
          <w:rFonts w:ascii="Segoe UI" w:eastAsia="Times New Roman" w:hAnsi="Segoe UI" w:cs="Segoe UI"/>
          <w:color w:val="12262C"/>
          <w:sz w:val="23"/>
          <w:szCs w:val="23"/>
          <w:lang w:eastAsia="en-GB"/>
        </w:rPr>
        <w:t>games</w:t>
      </w:r>
      <w:proofErr w:type="gramEnd"/>
      <w:r w:rsidRPr="00B5254E">
        <w:rPr>
          <w:rFonts w:ascii="Segoe UI" w:eastAsia="Times New Roman" w:hAnsi="Segoe UI" w:cs="Segoe UI"/>
          <w:color w:val="12262C"/>
          <w:sz w:val="23"/>
          <w:szCs w:val="23"/>
          <w:lang w:eastAsia="en-GB"/>
        </w:rPr>
        <w:t xml:space="preserve"> are great examples of the benefits outweighing the costs. However, the countries/cities that are not developed can argue that the costs far outweigh the benefits because the opportunity cost of hosting is higher for developing countries, and economic impact is not as great as it is for developed countries e.g. Rio Olympics 2016, and Athens Olympics 2014 are great examples of this. If Wales plan on hosting major sporting events I would recommend using the natural outdoors to their advantage so hosting the tour de France cycling event could potentially be looked at as it would have many benefits and would outweigh the cost in comparison.  </w:t>
      </w:r>
    </w:p>
    <w:p w:rsidR="00AB695D" w:rsidRPr="00AB695D" w:rsidRDefault="00AB695D" w:rsidP="00AB695D">
      <w:pPr>
        <w:spacing w:after="120" w:line="240" w:lineRule="auto"/>
        <w:rPr>
          <w:rFonts w:ascii="Segoe UI" w:eastAsia="Times New Roman" w:hAnsi="Segoe UI" w:cs="Segoe UI"/>
          <w:color w:val="12262C"/>
          <w:sz w:val="23"/>
          <w:szCs w:val="23"/>
          <w:lang w:eastAsia="en-GB"/>
        </w:rPr>
      </w:pPr>
      <w:r w:rsidRPr="00AB695D">
        <w:rPr>
          <w:rFonts w:ascii="Segoe UI" w:eastAsia="Times New Roman" w:hAnsi="Segoe UI" w:cs="Segoe UI"/>
          <w:color w:val="12262C"/>
          <w:sz w:val="23"/>
          <w:szCs w:val="23"/>
          <w:lang w:eastAsia="en-GB"/>
        </w:rPr>
        <w:t> </w:t>
      </w:r>
    </w:p>
    <w:p w:rsidR="00AA7E3A" w:rsidRDefault="00AB695D" w:rsidP="00AB695D">
      <w:pPr>
        <w:spacing w:after="120" w:line="240" w:lineRule="auto"/>
        <w:rPr>
          <w:rFonts w:ascii="Segoe UI" w:hAnsi="Segoe UI" w:cs="Segoe UI"/>
          <w:color w:val="12262C"/>
          <w:sz w:val="23"/>
          <w:szCs w:val="23"/>
        </w:rPr>
      </w:pPr>
      <w:r w:rsidRPr="00AB695D">
        <w:rPr>
          <w:rFonts w:ascii="Segoe UI" w:eastAsia="Times New Roman" w:hAnsi="Segoe UI" w:cs="Segoe UI"/>
          <w:color w:val="12262C"/>
          <w:sz w:val="23"/>
          <w:szCs w:val="23"/>
          <w:lang w:eastAsia="en-GB"/>
        </w:rPr>
        <w:t> </w:t>
      </w:r>
      <w:r w:rsidR="00AA7E3A">
        <w:rPr>
          <w:rFonts w:ascii="Segoe UI" w:hAnsi="Segoe UI" w:cs="Segoe UI"/>
          <w:color w:val="12262C"/>
          <w:sz w:val="23"/>
          <w:szCs w:val="23"/>
        </w:rPr>
        <w:t>Complete an environmental (PEST) and situational (SWOT) analysis of the City and County of Swansea as a host venue for major sport events.  Based on your findings identify a suitable sports event that Swansea could feasibly host and clarify the event’s concept and objectives.    </w:t>
      </w:r>
    </w:p>
    <w:p w:rsidR="00AA7E3A" w:rsidRDefault="00AA7E3A" w:rsidP="00AA7E3A">
      <w:pPr>
        <w:pStyle w:val="NormalWeb"/>
        <w:shd w:val="clear" w:color="auto" w:fill="EFF9FC"/>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Your answer should be underpinned with appropriate references to academic literature to validate your analysis and choice of event.</w:t>
      </w:r>
    </w:p>
    <w:p w:rsidR="00B5254E" w:rsidRDefault="00B5254E" w:rsidP="002C77AB">
      <w:pPr>
        <w:spacing w:after="120" w:line="240" w:lineRule="auto"/>
        <w:rPr>
          <w:rFonts w:ascii="Segoe UI" w:eastAsia="Times New Roman" w:hAnsi="Segoe UI" w:cs="Segoe UI"/>
          <w:color w:val="12262C"/>
          <w:sz w:val="23"/>
          <w:szCs w:val="23"/>
          <w:lang w:eastAsia="en-GB"/>
        </w:rPr>
      </w:pPr>
      <w:bookmarkStart w:id="0" w:name="_GoBack"/>
      <w:bookmarkEnd w:id="0"/>
    </w:p>
    <w:p w:rsidR="00B5254E" w:rsidRDefault="00B5254E" w:rsidP="00B5254E">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Strengths- There are many strengths of Swansea city such as a plethora of sports facilities around the Swansea area and good natural outdoors such as the beaches they possess. An additional strength is the great accessibility to get around the city and the whole of Swansea with buses, trains, taxis and renting bikes all available. Furthermore, there are many hotels in the city and surrounding area which is a great strength when hosting an event as tourists will have a place to stay. Lastly, a strength is the great Welsh culture that is embedded in Swansea.</w:t>
      </w:r>
    </w:p>
    <w:p w:rsidR="00B5254E" w:rsidRDefault="00B5254E" w:rsidP="00B5254E">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 xml:space="preserve">Weaknesses- The main weakness of Swansea is that there is no airport and as a result people must travel and spend money to get to the city where the event could be held. Another weakness is the budget of Swansea because compared to the big cities of the UK such as London, Manchester, or Glasgow Swansea does not have the same massive budget. The last weakness is the advertising and sponsorships because If the event is held in Swansea more advertising may need to be done to attract fans, sponsorships and </w:t>
      </w:r>
      <w:proofErr w:type="spellStart"/>
      <w:r>
        <w:rPr>
          <w:rFonts w:ascii="Segoe UI" w:hAnsi="Segoe UI" w:cs="Segoe UI"/>
          <w:color w:val="12262C"/>
          <w:sz w:val="23"/>
          <w:szCs w:val="23"/>
        </w:rPr>
        <w:t>tv</w:t>
      </w:r>
      <w:proofErr w:type="spellEnd"/>
      <w:r>
        <w:rPr>
          <w:rFonts w:ascii="Segoe UI" w:hAnsi="Segoe UI" w:cs="Segoe UI"/>
          <w:color w:val="12262C"/>
          <w:sz w:val="23"/>
          <w:szCs w:val="23"/>
        </w:rPr>
        <w:t xml:space="preserve"> coverage as it is much smaller than London so they might need more convincing to get behind the event.</w:t>
      </w:r>
    </w:p>
    <w:p w:rsidR="00B5254E" w:rsidRDefault="00B5254E" w:rsidP="00B5254E">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Opportunities-The main opportunity of hosting an event in Swansea would be the increased promotion/awareness internationally of Swansea to promote tourism.</w:t>
      </w:r>
    </w:p>
    <w:p w:rsidR="00B5254E" w:rsidRDefault="00B5254E" w:rsidP="00B5254E">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 xml:space="preserve">Threats- The main threat is the competition that Swansea faces. Swansea is a very small city and must compete against bigger cities such as London or Glasgow. This in result makes it much harder to sell the idea of coming to a smaller city with less in it. Another threat would be COVID, as travelling and selling tickets of an event may </w:t>
      </w:r>
      <w:proofErr w:type="spellStart"/>
      <w:r>
        <w:rPr>
          <w:rFonts w:ascii="Segoe UI" w:hAnsi="Segoe UI" w:cs="Segoe UI"/>
          <w:color w:val="12262C"/>
          <w:sz w:val="23"/>
          <w:szCs w:val="23"/>
        </w:rPr>
        <w:t>effect</w:t>
      </w:r>
      <w:proofErr w:type="spellEnd"/>
      <w:r>
        <w:rPr>
          <w:rFonts w:ascii="Segoe UI" w:hAnsi="Segoe UI" w:cs="Segoe UI"/>
          <w:color w:val="12262C"/>
          <w:sz w:val="23"/>
          <w:szCs w:val="23"/>
        </w:rPr>
        <w:t xml:space="preserve"> the sales and might cancel the event altogether. </w:t>
      </w:r>
    </w:p>
    <w:p w:rsidR="00B5254E" w:rsidRDefault="00B5254E" w:rsidP="00B5254E">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 xml:space="preserve">Political- Creating a strategic pandemic plan is crucial as hosting this event will have to include the audience to have a COVID pass alongside other Welsh </w:t>
      </w:r>
      <w:proofErr w:type="gramStart"/>
      <w:r>
        <w:rPr>
          <w:rFonts w:ascii="Segoe UI" w:hAnsi="Segoe UI" w:cs="Segoe UI"/>
          <w:color w:val="12262C"/>
          <w:sz w:val="23"/>
          <w:szCs w:val="23"/>
        </w:rPr>
        <w:t>governments</w:t>
      </w:r>
      <w:proofErr w:type="gramEnd"/>
      <w:r>
        <w:rPr>
          <w:rFonts w:ascii="Segoe UI" w:hAnsi="Segoe UI" w:cs="Segoe UI"/>
          <w:color w:val="12262C"/>
          <w:sz w:val="23"/>
          <w:szCs w:val="23"/>
        </w:rPr>
        <w:t xml:space="preserve"> guidelines such as distancing. Swansea council will have to provide in depth planning on how to keep people safe while hosting the event. On top of this, for Swansea to host an event it would need the Welsh Governments support, however linking back to question one, The Welsh government (2010) put forward that they want to strengthen </w:t>
      </w:r>
      <w:proofErr w:type="gramStart"/>
      <w:r>
        <w:rPr>
          <w:rFonts w:ascii="Segoe UI" w:hAnsi="Segoe UI" w:cs="Segoe UI"/>
          <w:color w:val="12262C"/>
          <w:sz w:val="23"/>
          <w:szCs w:val="23"/>
        </w:rPr>
        <w:t>Wales</w:t>
      </w:r>
      <w:proofErr w:type="gramEnd"/>
      <w:r>
        <w:rPr>
          <w:rFonts w:ascii="Segoe UI" w:hAnsi="Segoe UI" w:cs="Segoe UI"/>
          <w:color w:val="12262C"/>
          <w:sz w:val="23"/>
          <w:szCs w:val="23"/>
        </w:rPr>
        <w:t xml:space="preserve"> position as an events destination. This event would need to have the backing of the local council (Swansea) and Wales so they would both put money into getting this event and hosting it efficiently.</w:t>
      </w:r>
    </w:p>
    <w:p w:rsidR="00B5254E" w:rsidRDefault="00B5254E" w:rsidP="00B5254E">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Economic- The economic factors for Swansea include high unemployment and </w:t>
      </w:r>
      <w:proofErr w:type="spellStart"/>
      <w:r>
        <w:rPr>
          <w:rFonts w:ascii="Segoe UI" w:hAnsi="Segoe UI" w:cs="Segoe UI"/>
          <w:color w:val="12262C"/>
          <w:sz w:val="23"/>
          <w:szCs w:val="23"/>
        </w:rPr>
        <w:t>Masterman</w:t>
      </w:r>
      <w:proofErr w:type="spellEnd"/>
      <w:r>
        <w:rPr>
          <w:rFonts w:ascii="Segoe UI" w:hAnsi="Segoe UI" w:cs="Segoe UI"/>
          <w:color w:val="12262C"/>
          <w:sz w:val="23"/>
          <w:szCs w:val="23"/>
        </w:rPr>
        <w:t xml:space="preserve"> (2014) put forward that hosting an event could potentially create jobs for the local area.</w:t>
      </w:r>
    </w:p>
    <w:p w:rsidR="00B5254E" w:rsidRDefault="00B5254E" w:rsidP="00B5254E">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Social Factors- The social factors for Swansea is can be an active lifestyle and health consciousness because it is linked to the </w:t>
      </w:r>
      <w:proofErr w:type="spellStart"/>
      <w:r>
        <w:rPr>
          <w:rFonts w:ascii="Segoe UI" w:hAnsi="Segoe UI" w:cs="Segoe UI"/>
          <w:color w:val="12262C"/>
          <w:sz w:val="23"/>
          <w:szCs w:val="23"/>
        </w:rPr>
        <w:t>Futuregenerations.wales</w:t>
      </w:r>
      <w:proofErr w:type="spellEnd"/>
      <w:r>
        <w:rPr>
          <w:rFonts w:ascii="Segoe UI" w:hAnsi="Segoe UI" w:cs="Segoe UI"/>
          <w:color w:val="12262C"/>
          <w:sz w:val="23"/>
          <w:szCs w:val="23"/>
        </w:rPr>
        <w:t>. (2015) as it promotes a healthier Wales.</w:t>
      </w:r>
    </w:p>
    <w:p w:rsidR="00B5254E" w:rsidRDefault="00B5254E" w:rsidP="00B5254E">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 xml:space="preserve">Technological- Using technology is a crucial factor when hosting events. Promoting using social </w:t>
      </w:r>
      <w:proofErr w:type="gramStart"/>
      <w:r>
        <w:rPr>
          <w:rFonts w:ascii="Segoe UI" w:hAnsi="Segoe UI" w:cs="Segoe UI"/>
          <w:color w:val="12262C"/>
          <w:sz w:val="23"/>
          <w:szCs w:val="23"/>
        </w:rPr>
        <w:t>medias</w:t>
      </w:r>
      <w:proofErr w:type="gramEnd"/>
      <w:r>
        <w:rPr>
          <w:rFonts w:ascii="Segoe UI" w:hAnsi="Segoe UI" w:cs="Segoe UI"/>
          <w:color w:val="12262C"/>
          <w:sz w:val="23"/>
          <w:szCs w:val="23"/>
        </w:rPr>
        <w:t xml:space="preserve"> and using apps can help influence people to buy tickets and watch the events live. Using platforms such as </w:t>
      </w:r>
      <w:proofErr w:type="spellStart"/>
      <w:r>
        <w:rPr>
          <w:rFonts w:ascii="Segoe UI" w:hAnsi="Segoe UI" w:cs="Segoe UI"/>
          <w:color w:val="12262C"/>
          <w:sz w:val="23"/>
          <w:szCs w:val="23"/>
        </w:rPr>
        <w:t>youtube</w:t>
      </w:r>
      <w:proofErr w:type="spellEnd"/>
      <w:r>
        <w:rPr>
          <w:rFonts w:ascii="Segoe UI" w:hAnsi="Segoe UI" w:cs="Segoe UI"/>
          <w:color w:val="12262C"/>
          <w:sz w:val="23"/>
          <w:szCs w:val="23"/>
        </w:rPr>
        <w:t xml:space="preserve"> to livestream the event can also help.</w:t>
      </w:r>
    </w:p>
    <w:p w:rsidR="00B5254E" w:rsidRDefault="00B5254E" w:rsidP="00B5254E">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 </w:t>
      </w:r>
    </w:p>
    <w:p w:rsidR="00B5254E" w:rsidRDefault="00B5254E" w:rsidP="00B5254E">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 </w:t>
      </w:r>
    </w:p>
    <w:p w:rsidR="00B5254E" w:rsidRDefault="00B5254E" w:rsidP="00B5254E">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 </w:t>
      </w:r>
    </w:p>
    <w:p w:rsidR="00B5254E" w:rsidRDefault="00B5254E" w:rsidP="00B5254E">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 </w:t>
      </w:r>
    </w:p>
    <w:p w:rsidR="00B5254E" w:rsidRDefault="00B5254E" w:rsidP="00B5254E">
      <w:pPr>
        <w:pStyle w:val="NormalWeb"/>
        <w:spacing w:before="0" w:beforeAutospacing="0" w:after="120" w:afterAutospacing="0"/>
        <w:rPr>
          <w:rFonts w:ascii="Segoe UI" w:hAnsi="Segoe UI" w:cs="Segoe UI"/>
          <w:color w:val="12262C"/>
          <w:sz w:val="23"/>
          <w:szCs w:val="23"/>
        </w:rPr>
      </w:pPr>
      <w:r>
        <w:rPr>
          <w:rStyle w:val="Strong"/>
          <w:rFonts w:ascii="Segoe UI" w:hAnsi="Segoe UI" w:cs="Segoe UI"/>
          <w:color w:val="12262C"/>
          <w:sz w:val="23"/>
          <w:szCs w:val="23"/>
          <w:u w:val="single"/>
        </w:rPr>
        <w:t>Reference list:</w:t>
      </w:r>
    </w:p>
    <w:p w:rsidR="00B5254E" w:rsidRDefault="00B5254E" w:rsidP="00B5254E">
      <w:pPr>
        <w:pStyle w:val="NormalWeb"/>
        <w:spacing w:before="0" w:beforeAutospacing="0" w:after="120" w:afterAutospacing="0"/>
        <w:rPr>
          <w:rFonts w:ascii="Segoe UI" w:hAnsi="Segoe UI" w:cs="Segoe UI"/>
          <w:color w:val="12262C"/>
          <w:sz w:val="23"/>
          <w:szCs w:val="23"/>
        </w:rPr>
      </w:pPr>
      <w:proofErr w:type="spellStart"/>
      <w:r>
        <w:rPr>
          <w:rFonts w:ascii="Segoe UI" w:hAnsi="Segoe UI" w:cs="Segoe UI"/>
          <w:color w:val="12262C"/>
          <w:sz w:val="23"/>
          <w:szCs w:val="23"/>
        </w:rPr>
        <w:t>Flyvbjerg</w:t>
      </w:r>
      <w:proofErr w:type="spellEnd"/>
      <w:r>
        <w:rPr>
          <w:rFonts w:ascii="Segoe UI" w:hAnsi="Segoe UI" w:cs="Segoe UI"/>
          <w:color w:val="12262C"/>
          <w:sz w:val="23"/>
          <w:szCs w:val="23"/>
        </w:rPr>
        <w:t xml:space="preserve">, B., Stewart, A. and </w:t>
      </w:r>
      <w:proofErr w:type="spellStart"/>
      <w:r>
        <w:rPr>
          <w:rFonts w:ascii="Segoe UI" w:hAnsi="Segoe UI" w:cs="Segoe UI"/>
          <w:color w:val="12262C"/>
          <w:sz w:val="23"/>
          <w:szCs w:val="23"/>
        </w:rPr>
        <w:t>Budzier</w:t>
      </w:r>
      <w:proofErr w:type="spellEnd"/>
      <w:r>
        <w:rPr>
          <w:rFonts w:ascii="Segoe UI" w:hAnsi="Segoe UI" w:cs="Segoe UI"/>
          <w:color w:val="12262C"/>
          <w:sz w:val="23"/>
          <w:szCs w:val="23"/>
        </w:rPr>
        <w:t>, A., 2016. The Oxford Olympics Study 2016: Cost and cost overrun at the games, </w:t>
      </w:r>
      <w:r>
        <w:rPr>
          <w:rStyle w:val="Emphasis"/>
          <w:rFonts w:ascii="Segoe UI" w:hAnsi="Segoe UI" w:cs="Segoe UI"/>
          <w:color w:val="12262C"/>
          <w:sz w:val="23"/>
          <w:szCs w:val="23"/>
        </w:rPr>
        <w:t>pp.1-28.</w:t>
      </w:r>
    </w:p>
    <w:p w:rsidR="00B5254E" w:rsidRDefault="00B5254E" w:rsidP="00B5254E">
      <w:pPr>
        <w:pStyle w:val="NormalWeb"/>
        <w:spacing w:before="0" w:beforeAutospacing="0" w:after="120" w:afterAutospacing="0"/>
        <w:rPr>
          <w:rFonts w:ascii="Segoe UI" w:hAnsi="Segoe UI" w:cs="Segoe UI"/>
          <w:color w:val="12262C"/>
          <w:sz w:val="23"/>
          <w:szCs w:val="23"/>
        </w:rPr>
      </w:pPr>
      <w:proofErr w:type="spellStart"/>
      <w:r>
        <w:rPr>
          <w:rFonts w:ascii="Segoe UI" w:hAnsi="Segoe UI" w:cs="Segoe UI"/>
          <w:color w:val="12262C"/>
          <w:sz w:val="23"/>
          <w:szCs w:val="23"/>
        </w:rPr>
        <w:t>Futuregenerations.wales</w:t>
      </w:r>
      <w:proofErr w:type="spellEnd"/>
      <w:r>
        <w:rPr>
          <w:rFonts w:ascii="Segoe UI" w:hAnsi="Segoe UI" w:cs="Segoe UI"/>
          <w:color w:val="12262C"/>
          <w:sz w:val="23"/>
          <w:szCs w:val="23"/>
        </w:rPr>
        <w:t>. (2015). </w:t>
      </w:r>
      <w:r>
        <w:rPr>
          <w:rStyle w:val="Emphasis"/>
          <w:rFonts w:ascii="Segoe UI" w:hAnsi="Segoe UI" w:cs="Segoe UI"/>
          <w:color w:val="12262C"/>
          <w:sz w:val="23"/>
          <w:szCs w:val="23"/>
        </w:rPr>
        <w:t>Well-Being of Future Generations (Wales) Act 2015</w:t>
      </w:r>
      <w:r>
        <w:rPr>
          <w:rFonts w:ascii="Segoe UI" w:hAnsi="Segoe UI" w:cs="Segoe UI"/>
          <w:color w:val="12262C"/>
          <w:sz w:val="23"/>
          <w:szCs w:val="23"/>
        </w:rPr>
        <w:t>. [</w:t>
      </w:r>
      <w:proofErr w:type="gramStart"/>
      <w:r>
        <w:rPr>
          <w:rFonts w:ascii="Segoe UI" w:hAnsi="Segoe UI" w:cs="Segoe UI"/>
          <w:color w:val="12262C"/>
          <w:sz w:val="23"/>
          <w:szCs w:val="23"/>
        </w:rPr>
        <w:t>online</w:t>
      </w:r>
      <w:proofErr w:type="gramEnd"/>
      <w:r>
        <w:rPr>
          <w:rFonts w:ascii="Segoe UI" w:hAnsi="Segoe UI" w:cs="Segoe UI"/>
          <w:color w:val="12262C"/>
          <w:sz w:val="23"/>
          <w:szCs w:val="23"/>
        </w:rPr>
        <w:t>] Available at: </w:t>
      </w:r>
      <w:hyperlink r:id="rId5" w:history="1">
        <w:r>
          <w:rPr>
            <w:rStyle w:val="Hyperlink"/>
            <w:rFonts w:ascii="Segoe UI" w:hAnsi="Segoe UI" w:cs="Segoe UI"/>
            <w:color w:val="013E5B"/>
            <w:sz w:val="23"/>
            <w:szCs w:val="23"/>
          </w:rPr>
          <w:t>https://www.futuregenerations.wales/wp-content/uploads/2017/02/150623-guide-to-the-fg-act-en.pdf</w:t>
        </w:r>
      </w:hyperlink>
      <w:r>
        <w:rPr>
          <w:rFonts w:ascii="Segoe UI" w:hAnsi="Segoe UI" w:cs="Segoe UI"/>
          <w:color w:val="12262C"/>
          <w:sz w:val="23"/>
          <w:szCs w:val="23"/>
        </w:rPr>
        <w:t> </w:t>
      </w:r>
    </w:p>
    <w:p w:rsidR="00B5254E" w:rsidRDefault="00B5254E" w:rsidP="00B5254E">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[Accessed 13</w:t>
      </w:r>
      <w:r>
        <w:rPr>
          <w:rFonts w:ascii="Segoe UI" w:hAnsi="Segoe UI" w:cs="Segoe UI"/>
          <w:color w:val="12262C"/>
          <w:sz w:val="17"/>
          <w:szCs w:val="17"/>
          <w:vertAlign w:val="superscript"/>
        </w:rPr>
        <w:t>th</w:t>
      </w:r>
      <w:r>
        <w:rPr>
          <w:rFonts w:ascii="Segoe UI" w:hAnsi="Segoe UI" w:cs="Segoe UI"/>
          <w:color w:val="12262C"/>
          <w:sz w:val="23"/>
          <w:szCs w:val="23"/>
        </w:rPr>
        <w:t> January 2022].</w:t>
      </w:r>
    </w:p>
    <w:p w:rsidR="00B5254E" w:rsidRDefault="00B5254E" w:rsidP="00B5254E">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Gratton, C., Dobson, N., and Shibli, S. (2000). The economic importance of major sports events: a case study of six events.  Managing Leisure, (5), pp. 17‐28</w:t>
      </w:r>
    </w:p>
    <w:p w:rsidR="00B5254E" w:rsidRDefault="00B5254E" w:rsidP="00B5254E">
      <w:pPr>
        <w:pStyle w:val="NormalWeb"/>
        <w:spacing w:before="0" w:beforeAutospacing="0" w:after="120" w:afterAutospacing="0"/>
        <w:rPr>
          <w:rFonts w:ascii="Segoe UI" w:hAnsi="Segoe UI" w:cs="Segoe UI"/>
          <w:color w:val="12262C"/>
          <w:sz w:val="23"/>
          <w:szCs w:val="23"/>
        </w:rPr>
      </w:pPr>
      <w:proofErr w:type="spellStart"/>
      <w:r>
        <w:rPr>
          <w:rFonts w:ascii="Segoe UI" w:hAnsi="Segoe UI" w:cs="Segoe UI"/>
          <w:color w:val="12262C"/>
          <w:sz w:val="23"/>
          <w:szCs w:val="23"/>
        </w:rPr>
        <w:t>Gratton</w:t>
      </w:r>
      <w:proofErr w:type="spellEnd"/>
      <w:r>
        <w:rPr>
          <w:rFonts w:ascii="Segoe UI" w:hAnsi="Segoe UI" w:cs="Segoe UI"/>
          <w:color w:val="12262C"/>
          <w:sz w:val="23"/>
          <w:szCs w:val="23"/>
        </w:rPr>
        <w:t xml:space="preserve">, C., </w:t>
      </w:r>
      <w:proofErr w:type="spellStart"/>
      <w:r>
        <w:rPr>
          <w:rFonts w:ascii="Segoe UI" w:hAnsi="Segoe UI" w:cs="Segoe UI"/>
          <w:color w:val="12262C"/>
          <w:sz w:val="23"/>
          <w:szCs w:val="23"/>
        </w:rPr>
        <w:t>Dongfeng</w:t>
      </w:r>
      <w:proofErr w:type="spellEnd"/>
      <w:r>
        <w:rPr>
          <w:rFonts w:ascii="Segoe UI" w:hAnsi="Segoe UI" w:cs="Segoe UI"/>
          <w:color w:val="12262C"/>
          <w:sz w:val="23"/>
          <w:szCs w:val="23"/>
        </w:rPr>
        <w:t xml:space="preserve">, L., </w:t>
      </w:r>
      <w:proofErr w:type="spellStart"/>
      <w:r>
        <w:rPr>
          <w:rFonts w:ascii="Segoe UI" w:hAnsi="Segoe UI" w:cs="Segoe UI"/>
          <w:color w:val="12262C"/>
          <w:sz w:val="23"/>
          <w:szCs w:val="23"/>
        </w:rPr>
        <w:t>Ramchandani</w:t>
      </w:r>
      <w:proofErr w:type="spellEnd"/>
      <w:r>
        <w:rPr>
          <w:rFonts w:ascii="Segoe UI" w:hAnsi="Segoe UI" w:cs="Segoe UI"/>
          <w:color w:val="12262C"/>
          <w:sz w:val="23"/>
          <w:szCs w:val="23"/>
        </w:rPr>
        <w:t>, G., and Wilson, D. (2012). The Global Economics of Sport. Abingdon, Oxon: Routledge</w:t>
      </w:r>
    </w:p>
    <w:p w:rsidR="00B5254E" w:rsidRDefault="00B5254E" w:rsidP="00B5254E">
      <w:pPr>
        <w:pStyle w:val="NormalWeb"/>
        <w:spacing w:before="0" w:beforeAutospacing="0" w:after="120" w:afterAutospacing="0"/>
        <w:rPr>
          <w:rFonts w:ascii="Segoe UI" w:hAnsi="Segoe UI" w:cs="Segoe UI"/>
          <w:color w:val="12262C"/>
          <w:sz w:val="23"/>
          <w:szCs w:val="23"/>
        </w:rPr>
      </w:pPr>
      <w:proofErr w:type="spellStart"/>
      <w:r>
        <w:rPr>
          <w:rFonts w:ascii="Segoe UI" w:hAnsi="Segoe UI" w:cs="Segoe UI"/>
          <w:color w:val="12262C"/>
          <w:sz w:val="23"/>
          <w:szCs w:val="23"/>
        </w:rPr>
        <w:t>Gratton</w:t>
      </w:r>
      <w:proofErr w:type="spellEnd"/>
      <w:r>
        <w:rPr>
          <w:rFonts w:ascii="Segoe UI" w:hAnsi="Segoe UI" w:cs="Segoe UI"/>
          <w:color w:val="12262C"/>
          <w:sz w:val="23"/>
          <w:szCs w:val="23"/>
        </w:rPr>
        <w:t xml:space="preserve">, C., Liu, D., </w:t>
      </w:r>
      <w:proofErr w:type="spellStart"/>
      <w:r>
        <w:rPr>
          <w:rFonts w:ascii="Segoe UI" w:hAnsi="Segoe UI" w:cs="Segoe UI"/>
          <w:color w:val="12262C"/>
          <w:sz w:val="23"/>
          <w:szCs w:val="23"/>
        </w:rPr>
        <w:t>Ramchandani</w:t>
      </w:r>
      <w:proofErr w:type="spellEnd"/>
      <w:r>
        <w:rPr>
          <w:rFonts w:ascii="Segoe UI" w:hAnsi="Segoe UI" w:cs="Segoe UI"/>
          <w:color w:val="12262C"/>
          <w:sz w:val="23"/>
          <w:szCs w:val="23"/>
        </w:rPr>
        <w:t>, G. and Wilson, D., (2020) </w:t>
      </w:r>
      <w:proofErr w:type="gramStart"/>
      <w:r>
        <w:rPr>
          <w:rStyle w:val="Emphasis"/>
          <w:rFonts w:ascii="Segoe UI" w:hAnsi="Segoe UI" w:cs="Segoe UI"/>
          <w:color w:val="12262C"/>
          <w:sz w:val="23"/>
          <w:szCs w:val="23"/>
        </w:rPr>
        <w:t>The</w:t>
      </w:r>
      <w:proofErr w:type="gramEnd"/>
      <w:r>
        <w:rPr>
          <w:rStyle w:val="Emphasis"/>
          <w:rFonts w:ascii="Segoe UI" w:hAnsi="Segoe UI" w:cs="Segoe UI"/>
          <w:color w:val="12262C"/>
          <w:sz w:val="23"/>
          <w:szCs w:val="23"/>
        </w:rPr>
        <w:t xml:space="preserve"> global economics of sport</w:t>
      </w:r>
      <w:r>
        <w:rPr>
          <w:rFonts w:ascii="Segoe UI" w:hAnsi="Segoe UI" w:cs="Segoe UI"/>
          <w:color w:val="12262C"/>
          <w:sz w:val="23"/>
          <w:szCs w:val="23"/>
        </w:rPr>
        <w:t>. Milton Park, Abingdon, Oxon: Routledge, p.42.</w:t>
      </w:r>
    </w:p>
    <w:p w:rsidR="00B5254E" w:rsidRDefault="00B5254E" w:rsidP="00B5254E">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Horne, J., 2007. The four ‘knowns’ of sports mega‐events. </w:t>
      </w:r>
      <w:r>
        <w:rPr>
          <w:rStyle w:val="Emphasis"/>
          <w:rFonts w:ascii="Segoe UI" w:hAnsi="Segoe UI" w:cs="Segoe UI"/>
          <w:color w:val="12262C"/>
          <w:sz w:val="23"/>
          <w:szCs w:val="23"/>
        </w:rPr>
        <w:t>Leisure studies</w:t>
      </w:r>
      <w:r>
        <w:rPr>
          <w:rFonts w:ascii="Segoe UI" w:hAnsi="Segoe UI" w:cs="Segoe UI"/>
          <w:color w:val="12262C"/>
          <w:sz w:val="23"/>
          <w:szCs w:val="23"/>
        </w:rPr>
        <w:t>, </w:t>
      </w:r>
      <w:r>
        <w:rPr>
          <w:rStyle w:val="Emphasis"/>
          <w:rFonts w:ascii="Segoe UI" w:hAnsi="Segoe UI" w:cs="Segoe UI"/>
          <w:color w:val="12262C"/>
          <w:sz w:val="23"/>
          <w:szCs w:val="23"/>
        </w:rPr>
        <w:t>26</w:t>
      </w:r>
      <w:r>
        <w:rPr>
          <w:rFonts w:ascii="Segoe UI" w:hAnsi="Segoe UI" w:cs="Segoe UI"/>
          <w:color w:val="12262C"/>
          <w:sz w:val="23"/>
          <w:szCs w:val="23"/>
        </w:rPr>
        <w:t>(1), pp.81-96.</w:t>
      </w:r>
    </w:p>
    <w:p w:rsidR="00B5254E" w:rsidRDefault="00B5254E" w:rsidP="00B5254E">
      <w:pPr>
        <w:pStyle w:val="NormalWeb"/>
        <w:spacing w:before="0" w:beforeAutospacing="0" w:after="120" w:afterAutospacing="0"/>
        <w:rPr>
          <w:rFonts w:ascii="Segoe UI" w:hAnsi="Segoe UI" w:cs="Segoe UI"/>
          <w:color w:val="12262C"/>
          <w:sz w:val="23"/>
          <w:szCs w:val="23"/>
        </w:rPr>
      </w:pPr>
      <w:proofErr w:type="spellStart"/>
      <w:r>
        <w:rPr>
          <w:rFonts w:ascii="Segoe UI" w:hAnsi="Segoe UI" w:cs="Segoe UI"/>
          <w:color w:val="12262C"/>
          <w:sz w:val="23"/>
          <w:szCs w:val="23"/>
        </w:rPr>
        <w:t>Masterman</w:t>
      </w:r>
      <w:proofErr w:type="spellEnd"/>
      <w:r>
        <w:rPr>
          <w:rFonts w:ascii="Segoe UI" w:hAnsi="Segoe UI" w:cs="Segoe UI"/>
          <w:color w:val="12262C"/>
          <w:sz w:val="23"/>
          <w:szCs w:val="23"/>
        </w:rPr>
        <w:t>, G., (2014). Strategic Sports Event Management, Third Edition. London: Routledge.  </w:t>
      </w:r>
    </w:p>
    <w:p w:rsidR="00B5254E" w:rsidRDefault="00B5254E" w:rsidP="00B5254E">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Scottish Government (2015). Updated Review of the Evidence of Legacy of Major Sporting Events: July 2015. Edinburgh: Scottish Government. Available at: </w:t>
      </w:r>
      <w:hyperlink r:id="rId6" w:history="1">
        <w:r>
          <w:rPr>
            <w:rStyle w:val="Hyperlink"/>
            <w:rFonts w:ascii="Segoe UI" w:hAnsi="Segoe UI" w:cs="Segoe UI"/>
            <w:color w:val="013E5B"/>
            <w:sz w:val="23"/>
            <w:szCs w:val="23"/>
          </w:rPr>
          <w:t>http://www.gov.scot/Topics/ArtsCultureSport/Sport/MajorEvents/Glasgow-2014/Commonwealth-games/Indicators/Publications-Reviews</w:t>
        </w:r>
      </w:hyperlink>
      <w:r>
        <w:rPr>
          <w:rFonts w:ascii="Segoe UI" w:hAnsi="Segoe UI" w:cs="Segoe UI"/>
          <w:color w:val="12262C"/>
          <w:sz w:val="23"/>
          <w:szCs w:val="23"/>
        </w:rPr>
        <w:t>    </w:t>
      </w:r>
    </w:p>
    <w:p w:rsidR="00B5254E" w:rsidRDefault="00B5254E" w:rsidP="00B5254E">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[Accessed 13</w:t>
      </w:r>
      <w:r>
        <w:rPr>
          <w:rFonts w:ascii="Segoe UI" w:hAnsi="Segoe UI" w:cs="Segoe UI"/>
          <w:color w:val="12262C"/>
          <w:sz w:val="17"/>
          <w:szCs w:val="17"/>
          <w:vertAlign w:val="superscript"/>
        </w:rPr>
        <w:t>th</w:t>
      </w:r>
      <w:r>
        <w:rPr>
          <w:rFonts w:ascii="Segoe UI" w:hAnsi="Segoe UI" w:cs="Segoe UI"/>
          <w:color w:val="12262C"/>
          <w:sz w:val="23"/>
          <w:szCs w:val="23"/>
        </w:rPr>
        <w:t> January 2022]</w:t>
      </w:r>
    </w:p>
    <w:p w:rsidR="00B5254E" w:rsidRDefault="00B5254E" w:rsidP="00B5254E">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Welsh Government. (2010). </w:t>
      </w:r>
      <w:r>
        <w:rPr>
          <w:rStyle w:val="Emphasis"/>
          <w:rFonts w:ascii="Segoe UI" w:hAnsi="Segoe UI" w:cs="Segoe UI"/>
          <w:color w:val="12262C"/>
          <w:sz w:val="23"/>
          <w:szCs w:val="23"/>
        </w:rPr>
        <w:t>Event Wales: major events strategy 2010 to 2020.</w:t>
      </w:r>
    </w:p>
    <w:p w:rsidR="00B5254E" w:rsidRDefault="00B5254E" w:rsidP="00B5254E">
      <w:pPr>
        <w:pStyle w:val="NormalWeb"/>
        <w:spacing w:before="0" w:beforeAutospacing="0" w:after="120" w:afterAutospacing="0"/>
        <w:rPr>
          <w:rFonts w:ascii="Segoe UI" w:hAnsi="Segoe UI" w:cs="Segoe UI"/>
          <w:color w:val="12262C"/>
          <w:sz w:val="23"/>
          <w:szCs w:val="23"/>
        </w:rPr>
      </w:pPr>
      <w:r>
        <w:rPr>
          <w:rStyle w:val="Emphasis"/>
          <w:rFonts w:ascii="Segoe UI" w:hAnsi="Segoe UI" w:cs="Segoe UI"/>
          <w:color w:val="12262C"/>
          <w:sz w:val="23"/>
          <w:szCs w:val="23"/>
        </w:rPr>
        <w:t>GOV.WALES</w:t>
      </w:r>
      <w:r>
        <w:rPr>
          <w:rFonts w:ascii="Segoe UI" w:hAnsi="Segoe UI" w:cs="Segoe UI"/>
          <w:color w:val="12262C"/>
          <w:sz w:val="23"/>
          <w:szCs w:val="23"/>
        </w:rPr>
        <w:t>. [online] Available at: </w:t>
      </w:r>
      <w:hyperlink r:id="rId7" w:history="1">
        <w:r>
          <w:rPr>
            <w:rStyle w:val="Hyperlink"/>
            <w:rFonts w:ascii="Segoe UI" w:hAnsi="Segoe UI" w:cs="Segoe UI"/>
            <w:color w:val="013E5B"/>
            <w:sz w:val="23"/>
            <w:szCs w:val="23"/>
          </w:rPr>
          <w:t>https://gov.wales/event-wales-major-events-strategy-2010-2020</w:t>
        </w:r>
      </w:hyperlink>
      <w:r>
        <w:rPr>
          <w:rFonts w:ascii="Segoe UI" w:hAnsi="Segoe UI" w:cs="Segoe UI"/>
          <w:color w:val="12262C"/>
          <w:sz w:val="23"/>
          <w:szCs w:val="23"/>
        </w:rPr>
        <w:t> </w:t>
      </w:r>
    </w:p>
    <w:p w:rsidR="00B5254E" w:rsidRDefault="00B5254E" w:rsidP="00B5254E">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[Accessed 13th January 2022].</w:t>
      </w:r>
    </w:p>
    <w:p w:rsidR="00B5254E" w:rsidRDefault="00B5254E" w:rsidP="00B5254E">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Wilson, R., (2006). The Economic Impact of Local Sports Events -significant, limited or otherwise? A case study of four swimming events. Managing Leisure (11) pp. 57‐70</w:t>
      </w:r>
    </w:p>
    <w:p w:rsidR="00B5254E" w:rsidRDefault="00B5254E" w:rsidP="00B5254E">
      <w:pPr>
        <w:pStyle w:val="NormalWeb"/>
        <w:spacing w:before="0" w:beforeAutospacing="0" w:after="120" w:afterAutospacing="0"/>
        <w:rPr>
          <w:rFonts w:ascii="Segoe UI" w:hAnsi="Segoe UI" w:cs="Segoe UI"/>
          <w:color w:val="12262C"/>
          <w:sz w:val="23"/>
          <w:szCs w:val="23"/>
        </w:rPr>
      </w:pPr>
      <w:r>
        <w:rPr>
          <w:rFonts w:ascii="Segoe UI" w:hAnsi="Segoe UI" w:cs="Segoe UI"/>
          <w:color w:val="12262C"/>
          <w:sz w:val="23"/>
          <w:szCs w:val="23"/>
        </w:rPr>
        <w:t> </w:t>
      </w:r>
    </w:p>
    <w:p w:rsidR="00B5254E" w:rsidRDefault="00B5254E" w:rsidP="002C77AB">
      <w:pPr>
        <w:spacing w:after="120" w:line="240" w:lineRule="auto"/>
        <w:rPr>
          <w:rFonts w:ascii="Segoe UI" w:eastAsia="Times New Roman" w:hAnsi="Segoe UI" w:cs="Segoe UI"/>
          <w:color w:val="12262C"/>
          <w:sz w:val="23"/>
          <w:szCs w:val="23"/>
          <w:lang w:eastAsia="en-GB"/>
        </w:rPr>
      </w:pPr>
    </w:p>
    <w:sectPr w:rsidR="00B525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215BA6"/>
    <w:multiLevelType w:val="multilevel"/>
    <w:tmpl w:val="8056F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FA3A41"/>
    <w:multiLevelType w:val="multilevel"/>
    <w:tmpl w:val="0E1C9C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C56268"/>
    <w:multiLevelType w:val="multilevel"/>
    <w:tmpl w:val="1AF0E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F66D16"/>
    <w:multiLevelType w:val="multilevel"/>
    <w:tmpl w:val="64105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967A55"/>
    <w:multiLevelType w:val="multilevel"/>
    <w:tmpl w:val="DEEA7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66F4CEC"/>
    <w:multiLevelType w:val="multilevel"/>
    <w:tmpl w:val="A00089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A171033"/>
    <w:multiLevelType w:val="multilevel"/>
    <w:tmpl w:val="633C5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2"/>
  </w:num>
  <w:num w:numId="3">
    <w:abstractNumId w:val="3"/>
  </w:num>
  <w:num w:numId="4">
    <w:abstractNumId w:val="0"/>
  </w:num>
  <w:num w:numId="5">
    <w:abstractNumId w:val="4"/>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7E3A"/>
    <w:rsid w:val="0016639F"/>
    <w:rsid w:val="002C77AB"/>
    <w:rsid w:val="008E733E"/>
    <w:rsid w:val="00914476"/>
    <w:rsid w:val="0097557A"/>
    <w:rsid w:val="009D35FE"/>
    <w:rsid w:val="00AA7E3A"/>
    <w:rsid w:val="00AB695D"/>
    <w:rsid w:val="00B525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839CC"/>
  <w15:chartTrackingRefBased/>
  <w15:docId w15:val="{5C28AC24-44CE-4935-9E16-FD5C38876A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A7E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A7E3A"/>
    <w:rPr>
      <w:i/>
      <w:iCs/>
    </w:rPr>
  </w:style>
  <w:style w:type="character" w:styleId="Strong">
    <w:name w:val="Strong"/>
    <w:basedOn w:val="DefaultParagraphFont"/>
    <w:uiPriority w:val="22"/>
    <w:qFormat/>
    <w:rsid w:val="008E733E"/>
    <w:rPr>
      <w:b/>
      <w:bCs/>
    </w:rPr>
  </w:style>
  <w:style w:type="character" w:styleId="Hyperlink">
    <w:name w:val="Hyperlink"/>
    <w:basedOn w:val="DefaultParagraphFont"/>
    <w:uiPriority w:val="99"/>
    <w:semiHidden/>
    <w:unhideWhenUsed/>
    <w:rsid w:val="008E733E"/>
    <w:rPr>
      <w:color w:val="0000FF"/>
      <w:u w:val="single"/>
    </w:rPr>
  </w:style>
  <w:style w:type="paragraph" w:customStyle="1" w:styleId="paragraph">
    <w:name w:val="paragraph"/>
    <w:basedOn w:val="Normal"/>
    <w:rsid w:val="001663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16639F"/>
  </w:style>
  <w:style w:type="character" w:customStyle="1" w:styleId="normaltextrun">
    <w:name w:val="normaltextrun"/>
    <w:basedOn w:val="DefaultParagraphFont"/>
    <w:rsid w:val="0016639F"/>
  </w:style>
  <w:style w:type="character" w:customStyle="1" w:styleId="eop">
    <w:name w:val="eop"/>
    <w:basedOn w:val="DefaultParagraphFont"/>
    <w:rsid w:val="001663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317967">
      <w:bodyDiv w:val="1"/>
      <w:marLeft w:val="0"/>
      <w:marRight w:val="0"/>
      <w:marTop w:val="0"/>
      <w:marBottom w:val="0"/>
      <w:divBdr>
        <w:top w:val="none" w:sz="0" w:space="0" w:color="auto"/>
        <w:left w:val="none" w:sz="0" w:space="0" w:color="auto"/>
        <w:bottom w:val="none" w:sz="0" w:space="0" w:color="auto"/>
        <w:right w:val="none" w:sz="0" w:space="0" w:color="auto"/>
      </w:divBdr>
    </w:div>
    <w:div w:id="122047002">
      <w:bodyDiv w:val="1"/>
      <w:marLeft w:val="0"/>
      <w:marRight w:val="0"/>
      <w:marTop w:val="0"/>
      <w:marBottom w:val="0"/>
      <w:divBdr>
        <w:top w:val="none" w:sz="0" w:space="0" w:color="auto"/>
        <w:left w:val="none" w:sz="0" w:space="0" w:color="auto"/>
        <w:bottom w:val="none" w:sz="0" w:space="0" w:color="auto"/>
        <w:right w:val="none" w:sz="0" w:space="0" w:color="auto"/>
      </w:divBdr>
    </w:div>
    <w:div w:id="596328037">
      <w:bodyDiv w:val="1"/>
      <w:marLeft w:val="0"/>
      <w:marRight w:val="0"/>
      <w:marTop w:val="0"/>
      <w:marBottom w:val="0"/>
      <w:divBdr>
        <w:top w:val="none" w:sz="0" w:space="0" w:color="auto"/>
        <w:left w:val="none" w:sz="0" w:space="0" w:color="auto"/>
        <w:bottom w:val="none" w:sz="0" w:space="0" w:color="auto"/>
        <w:right w:val="none" w:sz="0" w:space="0" w:color="auto"/>
      </w:divBdr>
    </w:div>
    <w:div w:id="629750901">
      <w:bodyDiv w:val="1"/>
      <w:marLeft w:val="0"/>
      <w:marRight w:val="0"/>
      <w:marTop w:val="0"/>
      <w:marBottom w:val="0"/>
      <w:divBdr>
        <w:top w:val="none" w:sz="0" w:space="0" w:color="auto"/>
        <w:left w:val="none" w:sz="0" w:space="0" w:color="auto"/>
        <w:bottom w:val="none" w:sz="0" w:space="0" w:color="auto"/>
        <w:right w:val="none" w:sz="0" w:space="0" w:color="auto"/>
      </w:divBdr>
    </w:div>
    <w:div w:id="645745403">
      <w:bodyDiv w:val="1"/>
      <w:marLeft w:val="0"/>
      <w:marRight w:val="0"/>
      <w:marTop w:val="0"/>
      <w:marBottom w:val="0"/>
      <w:divBdr>
        <w:top w:val="none" w:sz="0" w:space="0" w:color="auto"/>
        <w:left w:val="none" w:sz="0" w:space="0" w:color="auto"/>
        <w:bottom w:val="none" w:sz="0" w:space="0" w:color="auto"/>
        <w:right w:val="none" w:sz="0" w:space="0" w:color="auto"/>
      </w:divBdr>
    </w:div>
    <w:div w:id="696084313">
      <w:bodyDiv w:val="1"/>
      <w:marLeft w:val="0"/>
      <w:marRight w:val="0"/>
      <w:marTop w:val="0"/>
      <w:marBottom w:val="0"/>
      <w:divBdr>
        <w:top w:val="none" w:sz="0" w:space="0" w:color="auto"/>
        <w:left w:val="none" w:sz="0" w:space="0" w:color="auto"/>
        <w:bottom w:val="none" w:sz="0" w:space="0" w:color="auto"/>
        <w:right w:val="none" w:sz="0" w:space="0" w:color="auto"/>
      </w:divBdr>
    </w:div>
    <w:div w:id="727996351">
      <w:bodyDiv w:val="1"/>
      <w:marLeft w:val="0"/>
      <w:marRight w:val="0"/>
      <w:marTop w:val="0"/>
      <w:marBottom w:val="0"/>
      <w:divBdr>
        <w:top w:val="none" w:sz="0" w:space="0" w:color="auto"/>
        <w:left w:val="none" w:sz="0" w:space="0" w:color="auto"/>
        <w:bottom w:val="none" w:sz="0" w:space="0" w:color="auto"/>
        <w:right w:val="none" w:sz="0" w:space="0" w:color="auto"/>
      </w:divBdr>
    </w:div>
    <w:div w:id="805049741">
      <w:bodyDiv w:val="1"/>
      <w:marLeft w:val="0"/>
      <w:marRight w:val="0"/>
      <w:marTop w:val="0"/>
      <w:marBottom w:val="0"/>
      <w:divBdr>
        <w:top w:val="none" w:sz="0" w:space="0" w:color="auto"/>
        <w:left w:val="none" w:sz="0" w:space="0" w:color="auto"/>
        <w:bottom w:val="none" w:sz="0" w:space="0" w:color="auto"/>
        <w:right w:val="none" w:sz="0" w:space="0" w:color="auto"/>
      </w:divBdr>
    </w:div>
    <w:div w:id="821629055">
      <w:bodyDiv w:val="1"/>
      <w:marLeft w:val="0"/>
      <w:marRight w:val="0"/>
      <w:marTop w:val="0"/>
      <w:marBottom w:val="0"/>
      <w:divBdr>
        <w:top w:val="none" w:sz="0" w:space="0" w:color="auto"/>
        <w:left w:val="none" w:sz="0" w:space="0" w:color="auto"/>
        <w:bottom w:val="none" w:sz="0" w:space="0" w:color="auto"/>
        <w:right w:val="none" w:sz="0" w:space="0" w:color="auto"/>
      </w:divBdr>
    </w:div>
    <w:div w:id="1028213843">
      <w:bodyDiv w:val="1"/>
      <w:marLeft w:val="0"/>
      <w:marRight w:val="0"/>
      <w:marTop w:val="0"/>
      <w:marBottom w:val="0"/>
      <w:divBdr>
        <w:top w:val="none" w:sz="0" w:space="0" w:color="auto"/>
        <w:left w:val="none" w:sz="0" w:space="0" w:color="auto"/>
        <w:bottom w:val="none" w:sz="0" w:space="0" w:color="auto"/>
        <w:right w:val="none" w:sz="0" w:space="0" w:color="auto"/>
      </w:divBdr>
    </w:div>
    <w:div w:id="1075474661">
      <w:bodyDiv w:val="1"/>
      <w:marLeft w:val="0"/>
      <w:marRight w:val="0"/>
      <w:marTop w:val="0"/>
      <w:marBottom w:val="0"/>
      <w:divBdr>
        <w:top w:val="none" w:sz="0" w:space="0" w:color="auto"/>
        <w:left w:val="none" w:sz="0" w:space="0" w:color="auto"/>
        <w:bottom w:val="none" w:sz="0" w:space="0" w:color="auto"/>
        <w:right w:val="none" w:sz="0" w:space="0" w:color="auto"/>
      </w:divBdr>
    </w:div>
    <w:div w:id="1286543065">
      <w:bodyDiv w:val="1"/>
      <w:marLeft w:val="0"/>
      <w:marRight w:val="0"/>
      <w:marTop w:val="0"/>
      <w:marBottom w:val="0"/>
      <w:divBdr>
        <w:top w:val="none" w:sz="0" w:space="0" w:color="auto"/>
        <w:left w:val="none" w:sz="0" w:space="0" w:color="auto"/>
        <w:bottom w:val="none" w:sz="0" w:space="0" w:color="auto"/>
        <w:right w:val="none" w:sz="0" w:space="0" w:color="auto"/>
      </w:divBdr>
    </w:div>
    <w:div w:id="1585145533">
      <w:bodyDiv w:val="1"/>
      <w:marLeft w:val="0"/>
      <w:marRight w:val="0"/>
      <w:marTop w:val="0"/>
      <w:marBottom w:val="0"/>
      <w:divBdr>
        <w:top w:val="none" w:sz="0" w:space="0" w:color="auto"/>
        <w:left w:val="none" w:sz="0" w:space="0" w:color="auto"/>
        <w:bottom w:val="none" w:sz="0" w:space="0" w:color="auto"/>
        <w:right w:val="none" w:sz="0" w:space="0" w:color="auto"/>
      </w:divBdr>
    </w:div>
    <w:div w:id="1624387608">
      <w:bodyDiv w:val="1"/>
      <w:marLeft w:val="0"/>
      <w:marRight w:val="0"/>
      <w:marTop w:val="0"/>
      <w:marBottom w:val="0"/>
      <w:divBdr>
        <w:top w:val="none" w:sz="0" w:space="0" w:color="auto"/>
        <w:left w:val="none" w:sz="0" w:space="0" w:color="auto"/>
        <w:bottom w:val="none" w:sz="0" w:space="0" w:color="auto"/>
        <w:right w:val="none" w:sz="0" w:space="0" w:color="auto"/>
      </w:divBdr>
    </w:div>
    <w:div w:id="1625383077">
      <w:bodyDiv w:val="1"/>
      <w:marLeft w:val="0"/>
      <w:marRight w:val="0"/>
      <w:marTop w:val="0"/>
      <w:marBottom w:val="0"/>
      <w:divBdr>
        <w:top w:val="none" w:sz="0" w:space="0" w:color="auto"/>
        <w:left w:val="none" w:sz="0" w:space="0" w:color="auto"/>
        <w:bottom w:val="none" w:sz="0" w:space="0" w:color="auto"/>
        <w:right w:val="none" w:sz="0" w:space="0" w:color="auto"/>
      </w:divBdr>
    </w:div>
    <w:div w:id="1700816546">
      <w:bodyDiv w:val="1"/>
      <w:marLeft w:val="0"/>
      <w:marRight w:val="0"/>
      <w:marTop w:val="0"/>
      <w:marBottom w:val="0"/>
      <w:divBdr>
        <w:top w:val="none" w:sz="0" w:space="0" w:color="auto"/>
        <w:left w:val="none" w:sz="0" w:space="0" w:color="auto"/>
        <w:bottom w:val="none" w:sz="0" w:space="0" w:color="auto"/>
        <w:right w:val="none" w:sz="0" w:space="0" w:color="auto"/>
      </w:divBdr>
    </w:div>
    <w:div w:id="1723559640">
      <w:bodyDiv w:val="1"/>
      <w:marLeft w:val="0"/>
      <w:marRight w:val="0"/>
      <w:marTop w:val="0"/>
      <w:marBottom w:val="0"/>
      <w:divBdr>
        <w:top w:val="none" w:sz="0" w:space="0" w:color="auto"/>
        <w:left w:val="none" w:sz="0" w:space="0" w:color="auto"/>
        <w:bottom w:val="none" w:sz="0" w:space="0" w:color="auto"/>
        <w:right w:val="none" w:sz="0" w:space="0" w:color="auto"/>
      </w:divBdr>
    </w:div>
    <w:div w:id="1844936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gov.wales/event-wales-major-events-strategy-2010-202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gov.scot/Topics/ArtsCultureSport/Sport/MajorEvents/Glasgow-2014/Commonwealth-games/Indicators/Publications-Reviews" TargetMode="External"/><Relationship Id="rId5" Type="http://schemas.openxmlformats.org/officeDocument/2006/relationships/hyperlink" Target="https://www.futuregenerations.wales/wp-content/uploads/2017/02/150623-guide-to-the-fg-act-en.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1627</Words>
  <Characters>9277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Matt</dc:creator>
  <cp:keywords/>
  <dc:description/>
  <cp:lastModifiedBy>James, Matt</cp:lastModifiedBy>
  <cp:revision>2</cp:revision>
  <dcterms:created xsi:type="dcterms:W3CDTF">2022-01-15T14:38:00Z</dcterms:created>
  <dcterms:modified xsi:type="dcterms:W3CDTF">2022-01-15T14:38:00Z</dcterms:modified>
</cp:coreProperties>
</file>