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95668514"/>
        <w:docPartObj>
          <w:docPartGallery w:val="Cover Pages"/>
          <w:docPartUnique/>
        </w:docPartObj>
      </w:sdtPr>
      <w:sdtEndPr/>
      <w:sdtContent>
        <w:p w14:paraId="56657126" w14:textId="24A3981F" w:rsidR="00F77D89" w:rsidRDefault="00F77D89">
          <w:r>
            <w:rPr>
              <w:noProof/>
            </w:rPr>
            <mc:AlternateContent>
              <mc:Choice Requires="wpg">
                <w:drawing>
                  <wp:anchor distT="0" distB="0" distL="114300" distR="114300" simplePos="0" relativeHeight="251662336" behindDoc="0" locked="0" layoutInCell="1" allowOverlap="1" wp14:anchorId="0CB29952" wp14:editId="3AB0A2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120F4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454E2B9" wp14:editId="739DD33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F4D6E6" w14:textId="0FBFC0D4" w:rsidR="00F77D89" w:rsidRDefault="00F77D89" w:rsidP="00F77D89">
                                <w:pPr>
                                  <w:pStyle w:val="NoSpacing"/>
                                  <w:rPr>
                                    <w:color w:val="156082" w:themeColor="accent1"/>
                                    <w:sz w:val="28"/>
                                    <w:szCs w:val="28"/>
                                  </w:rPr>
                                </w:pPr>
                                <w:r w:rsidRPr="00F77D89">
                                  <w:rPr>
                                    <w:sz w:val="32"/>
                                    <w:szCs w:val="32"/>
                                  </w:rPr>
                                  <w:t>Strategic Management for Business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BE4F073" w14:textId="1CB98266" w:rsidR="00F77D89" w:rsidRDefault="00F77D8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454E2B9"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0F4D6E6" w14:textId="0FBFC0D4" w:rsidR="00F77D89" w:rsidRDefault="00F77D89" w:rsidP="00F77D89">
                          <w:pPr>
                            <w:pStyle w:val="NoSpacing"/>
                            <w:rPr>
                              <w:color w:val="156082" w:themeColor="accent1"/>
                              <w:sz w:val="28"/>
                              <w:szCs w:val="28"/>
                            </w:rPr>
                          </w:pPr>
                          <w:r w:rsidRPr="00F77D89">
                            <w:rPr>
                              <w:sz w:val="32"/>
                              <w:szCs w:val="32"/>
                            </w:rPr>
                            <w:t>Strategic Management for Business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BE4F073" w14:textId="1CB98266" w:rsidR="00F77D89" w:rsidRDefault="00F77D8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BDC1D3" wp14:editId="64C1923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CD5F56" w14:textId="362881BC" w:rsidR="00F77D89" w:rsidRDefault="001C0E04">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77D89">
                                      <w:rPr>
                                        <w:caps/>
                                        <w:color w:val="156082"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FCF0CD5" w14:textId="3C74610D" w:rsidR="00F77D89" w:rsidRDefault="00F77D8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BDC1D3"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6CD5F56" w14:textId="362881BC" w:rsidR="00F77D89" w:rsidRDefault="001C0E04">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77D89">
                                <w:rPr>
                                  <w:caps/>
                                  <w:color w:val="156082"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FCF0CD5" w14:textId="3C74610D" w:rsidR="00F77D89" w:rsidRDefault="00F77D8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328E577" w14:textId="330F9622" w:rsidR="00F77D89" w:rsidRDefault="00F77D89">
          <w:r>
            <w:rPr>
              <w:noProof/>
            </w:rPr>
            <mc:AlternateContent>
              <mc:Choice Requires="wps">
                <w:drawing>
                  <wp:anchor distT="0" distB="0" distL="114300" distR="114300" simplePos="0" relativeHeight="251660288" behindDoc="0" locked="0" layoutInCell="1" allowOverlap="1" wp14:anchorId="2554F071" wp14:editId="365C4B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268095"/>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2681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79D98F" w14:textId="55E5FEA0"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Rosemary Olapeju Jordao</w:t>
                                    </w:r>
                                  </w:p>
                                </w:sdtContent>
                              </w:sdt>
                              <w:p w14:paraId="5B9C0556" w14:textId="40ADE9F4" w:rsidR="00F77D89" w:rsidRPr="00F77D89" w:rsidRDefault="001C0E04" w:rsidP="00F77D89">
                                <w:pPr>
                                  <w:pStyle w:val="NoSpacing"/>
                                  <w:rPr>
                                    <w:color w:val="595959" w:themeColor="text1" w:themeTint="A6"/>
                                    <w:sz w:val="24"/>
                                    <w:szCs w:val="24"/>
                                  </w:rPr>
                                </w:pPr>
                                <w:sdt>
                                  <w:sdtPr>
                                    <w:rPr>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77D89" w:rsidRPr="00F77D89">
                                      <w:rPr>
                                        <w:color w:val="595959" w:themeColor="text1" w:themeTint="A6"/>
                                        <w:sz w:val="24"/>
                                        <w:szCs w:val="24"/>
                                      </w:rPr>
                                      <w:t xml:space="preserve">     </w:t>
                                    </w:r>
                                  </w:sdtContent>
                                </w:sdt>
                              </w:p>
                              <w:p w14:paraId="0B858B8A" w14:textId="77777777"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LCLM 6001</w:t>
                                </w:r>
                              </w:p>
                              <w:p w14:paraId="1D46D1B3" w14:textId="77777777"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Dr Faizu Edu</w:t>
                                </w:r>
                              </w:p>
                              <w:p w14:paraId="40E78C14" w14:textId="77777777"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Individual Report – Strategic Growth Report</w:t>
                                </w:r>
                              </w:p>
                              <w:p w14:paraId="0DF5C31F" w14:textId="77777777"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Advising the Board on VodafoneThree’s Post Merger Growth Strategy</w:t>
                                </w:r>
                              </w:p>
                              <w:p w14:paraId="70C7F3AC" w14:textId="1B5E94A9" w:rsidR="00F77D89" w:rsidRDefault="00F77D8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554F071" id="Text Box 159" o:spid="_x0000_s1028" type="#_x0000_t202" style="position:absolute;margin-left:0;margin-top:0;width:8in;height:99.8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" filled="f" stroked="f" strokeweight=".5pt">
                    <v:textbox inset="126pt,0,54pt,0">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79D98F" w14:textId="55E5FEA0"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Rosemary Olapeju Jordao</w:t>
                              </w:r>
                            </w:p>
                          </w:sdtContent>
                        </w:sdt>
                        <w:p w14:paraId="5B9C0556" w14:textId="40ADE9F4" w:rsidR="00F77D89" w:rsidRPr="00F77D89" w:rsidRDefault="001C0E04" w:rsidP="00F77D89">
                          <w:pPr>
                            <w:pStyle w:val="NoSpacing"/>
                            <w:rPr>
                              <w:color w:val="595959" w:themeColor="text1" w:themeTint="A6"/>
                              <w:sz w:val="24"/>
                              <w:szCs w:val="24"/>
                            </w:rPr>
                          </w:pPr>
                          <w:sdt>
                            <w:sdtPr>
                              <w:rPr>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77D89" w:rsidRPr="00F77D89">
                                <w:rPr>
                                  <w:color w:val="595959" w:themeColor="text1" w:themeTint="A6"/>
                                  <w:sz w:val="24"/>
                                  <w:szCs w:val="24"/>
                                </w:rPr>
                                <w:t xml:space="preserve">     </w:t>
                              </w:r>
                            </w:sdtContent>
                          </w:sdt>
                        </w:p>
                        <w:p w14:paraId="0B858B8A" w14:textId="77777777"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LCLM 6001</w:t>
                          </w:r>
                        </w:p>
                        <w:p w14:paraId="1D46D1B3" w14:textId="77777777"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Dr Faizu Edu</w:t>
                          </w:r>
                        </w:p>
                        <w:p w14:paraId="40E78C14" w14:textId="77777777"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Individual Report – Strategic Growth Report</w:t>
                          </w:r>
                        </w:p>
                        <w:p w14:paraId="0DF5C31F" w14:textId="77777777" w:rsidR="00F77D89" w:rsidRPr="00F77D89" w:rsidRDefault="00F77D89" w:rsidP="00F77D89">
                          <w:pPr>
                            <w:pStyle w:val="NoSpacing"/>
                            <w:rPr>
                              <w:color w:val="595959" w:themeColor="text1" w:themeTint="A6"/>
                              <w:sz w:val="24"/>
                              <w:szCs w:val="24"/>
                            </w:rPr>
                          </w:pPr>
                          <w:r w:rsidRPr="00F77D89">
                            <w:rPr>
                              <w:color w:val="595959" w:themeColor="text1" w:themeTint="A6"/>
                              <w:sz w:val="24"/>
                              <w:szCs w:val="24"/>
                            </w:rPr>
                            <w:t>Advising the Board on VodafoneThree’s Post Merger Growth Strategy</w:t>
                          </w:r>
                        </w:p>
                        <w:p w14:paraId="70C7F3AC" w14:textId="1B5E94A9" w:rsidR="00F77D89" w:rsidRDefault="00F77D89">
                          <w:pPr>
                            <w:pStyle w:val="NoSpacing"/>
                            <w:jc w:val="right"/>
                            <w:rPr>
                              <w:color w:val="595959" w:themeColor="text1" w:themeTint="A6"/>
                              <w:sz w:val="18"/>
                              <w:szCs w:val="18"/>
                            </w:rPr>
                          </w:pP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60077924"/>
        <w:docPartObj>
          <w:docPartGallery w:val="Table of Contents"/>
          <w:docPartUnique/>
        </w:docPartObj>
      </w:sdtPr>
      <w:sdtEndPr>
        <w:rPr>
          <w:b/>
          <w:bCs/>
          <w:noProof/>
        </w:rPr>
      </w:sdtEndPr>
      <w:sdtContent>
        <w:p w14:paraId="5C8470B1" w14:textId="0B714320" w:rsidR="008814CF" w:rsidRDefault="008814CF">
          <w:pPr>
            <w:pStyle w:val="TOCHeading"/>
          </w:pPr>
          <w:r>
            <w:t>Contents</w:t>
          </w:r>
        </w:p>
        <w:p w14:paraId="5D51587B" w14:textId="54EFCD45" w:rsidR="004F58FA" w:rsidRDefault="008814C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265658" w:history="1">
            <w:r w:rsidR="004F58FA" w:rsidRPr="006F71A5">
              <w:rPr>
                <w:rStyle w:val="Hyperlink"/>
                <w:noProof/>
              </w:rPr>
              <w:t>Executive Summary</w:t>
            </w:r>
            <w:r w:rsidR="004F58FA">
              <w:rPr>
                <w:noProof/>
                <w:webHidden/>
              </w:rPr>
              <w:tab/>
            </w:r>
            <w:r w:rsidR="004F58FA">
              <w:rPr>
                <w:noProof/>
                <w:webHidden/>
              </w:rPr>
              <w:fldChar w:fldCharType="begin"/>
            </w:r>
            <w:r w:rsidR="004F58FA">
              <w:rPr>
                <w:noProof/>
                <w:webHidden/>
              </w:rPr>
              <w:instrText xml:space="preserve"> PAGEREF _Toc237265658 \h </w:instrText>
            </w:r>
            <w:r w:rsidR="004F58FA">
              <w:rPr>
                <w:noProof/>
                <w:webHidden/>
              </w:rPr>
            </w:r>
            <w:r w:rsidR="004F58FA">
              <w:rPr>
                <w:noProof/>
                <w:webHidden/>
              </w:rPr>
              <w:fldChar w:fldCharType="separate"/>
            </w:r>
            <w:r w:rsidR="004F58FA">
              <w:rPr>
                <w:noProof/>
                <w:webHidden/>
              </w:rPr>
              <w:t>4</w:t>
            </w:r>
            <w:r w:rsidR="004F58FA">
              <w:rPr>
                <w:noProof/>
                <w:webHidden/>
              </w:rPr>
              <w:fldChar w:fldCharType="end"/>
            </w:r>
          </w:hyperlink>
        </w:p>
        <w:p w14:paraId="14BC60BF" w14:textId="102688EC" w:rsidR="004F58FA" w:rsidRDefault="004F58FA">
          <w:pPr>
            <w:pStyle w:val="TOC1"/>
            <w:tabs>
              <w:tab w:val="right" w:leader="dot" w:pos="9016"/>
            </w:tabs>
            <w:rPr>
              <w:rFonts w:eastAsiaTheme="minorEastAsia"/>
              <w:noProof/>
              <w:lang w:eastAsia="en-GB"/>
            </w:rPr>
          </w:pPr>
          <w:hyperlink w:anchor="_Toc237265659" w:history="1">
            <w:r w:rsidRPr="006F71A5">
              <w:rPr>
                <w:rStyle w:val="Hyperlink"/>
                <w:noProof/>
              </w:rPr>
              <w:t>Introduction</w:t>
            </w:r>
            <w:r>
              <w:rPr>
                <w:noProof/>
                <w:webHidden/>
              </w:rPr>
              <w:tab/>
            </w:r>
            <w:r>
              <w:rPr>
                <w:noProof/>
                <w:webHidden/>
              </w:rPr>
              <w:fldChar w:fldCharType="begin"/>
            </w:r>
            <w:r>
              <w:rPr>
                <w:noProof/>
                <w:webHidden/>
              </w:rPr>
              <w:instrText xml:space="preserve"> PAGEREF _Toc237265659 \h </w:instrText>
            </w:r>
            <w:r>
              <w:rPr>
                <w:noProof/>
                <w:webHidden/>
              </w:rPr>
            </w:r>
            <w:r>
              <w:rPr>
                <w:noProof/>
                <w:webHidden/>
              </w:rPr>
              <w:fldChar w:fldCharType="separate"/>
            </w:r>
            <w:r>
              <w:rPr>
                <w:noProof/>
                <w:webHidden/>
              </w:rPr>
              <w:t>5</w:t>
            </w:r>
            <w:r>
              <w:rPr>
                <w:noProof/>
                <w:webHidden/>
              </w:rPr>
              <w:fldChar w:fldCharType="end"/>
            </w:r>
          </w:hyperlink>
        </w:p>
        <w:p w14:paraId="15860113" w14:textId="374566E4" w:rsidR="004F58FA" w:rsidRDefault="004F58FA">
          <w:pPr>
            <w:pStyle w:val="TOC1"/>
            <w:tabs>
              <w:tab w:val="right" w:leader="dot" w:pos="9016"/>
            </w:tabs>
            <w:rPr>
              <w:rFonts w:eastAsiaTheme="minorEastAsia"/>
              <w:noProof/>
              <w:lang w:eastAsia="en-GB"/>
            </w:rPr>
          </w:pPr>
          <w:hyperlink w:anchor="_Toc237265661" w:history="1">
            <w:r w:rsidRPr="006F71A5">
              <w:rPr>
                <w:rStyle w:val="Hyperlink"/>
                <w:noProof/>
              </w:rPr>
              <w:t>Evaluation of Current Market Situation</w:t>
            </w:r>
            <w:r>
              <w:rPr>
                <w:noProof/>
                <w:webHidden/>
              </w:rPr>
              <w:tab/>
            </w:r>
            <w:r>
              <w:rPr>
                <w:noProof/>
                <w:webHidden/>
              </w:rPr>
              <w:fldChar w:fldCharType="begin"/>
            </w:r>
            <w:r>
              <w:rPr>
                <w:noProof/>
                <w:webHidden/>
              </w:rPr>
              <w:instrText xml:space="preserve"> PAGEREF _Toc237265661 \h </w:instrText>
            </w:r>
            <w:r>
              <w:rPr>
                <w:noProof/>
                <w:webHidden/>
              </w:rPr>
            </w:r>
            <w:r>
              <w:rPr>
                <w:noProof/>
                <w:webHidden/>
              </w:rPr>
              <w:fldChar w:fldCharType="separate"/>
            </w:r>
            <w:r>
              <w:rPr>
                <w:noProof/>
                <w:webHidden/>
              </w:rPr>
              <w:t>5</w:t>
            </w:r>
            <w:r>
              <w:rPr>
                <w:noProof/>
                <w:webHidden/>
              </w:rPr>
              <w:fldChar w:fldCharType="end"/>
            </w:r>
          </w:hyperlink>
        </w:p>
        <w:p w14:paraId="50E3E568" w14:textId="3119C1BE" w:rsidR="004F58FA" w:rsidRDefault="004F58FA">
          <w:pPr>
            <w:pStyle w:val="TOC2"/>
            <w:tabs>
              <w:tab w:val="right" w:leader="dot" w:pos="9016"/>
            </w:tabs>
            <w:rPr>
              <w:rFonts w:eastAsiaTheme="minorEastAsia"/>
              <w:noProof/>
              <w:lang w:eastAsia="en-GB"/>
            </w:rPr>
          </w:pPr>
          <w:hyperlink w:anchor="_Toc237265662" w:history="1">
            <w:r w:rsidRPr="006F71A5">
              <w:rPr>
                <w:rStyle w:val="Hyperlink"/>
                <w:noProof/>
              </w:rPr>
              <w:t>SWOT Analysis</w:t>
            </w:r>
            <w:r>
              <w:rPr>
                <w:noProof/>
                <w:webHidden/>
              </w:rPr>
              <w:tab/>
            </w:r>
            <w:r>
              <w:rPr>
                <w:noProof/>
                <w:webHidden/>
              </w:rPr>
              <w:fldChar w:fldCharType="begin"/>
            </w:r>
            <w:r>
              <w:rPr>
                <w:noProof/>
                <w:webHidden/>
              </w:rPr>
              <w:instrText xml:space="preserve"> PAGEREF _Toc237265662 \h </w:instrText>
            </w:r>
            <w:r>
              <w:rPr>
                <w:noProof/>
                <w:webHidden/>
              </w:rPr>
            </w:r>
            <w:r>
              <w:rPr>
                <w:noProof/>
                <w:webHidden/>
              </w:rPr>
              <w:fldChar w:fldCharType="separate"/>
            </w:r>
            <w:r>
              <w:rPr>
                <w:noProof/>
                <w:webHidden/>
              </w:rPr>
              <w:t>6</w:t>
            </w:r>
            <w:r>
              <w:rPr>
                <w:noProof/>
                <w:webHidden/>
              </w:rPr>
              <w:fldChar w:fldCharType="end"/>
            </w:r>
          </w:hyperlink>
        </w:p>
        <w:p w14:paraId="51E4A6C3" w14:textId="2AAAC79D" w:rsidR="004F58FA" w:rsidRDefault="004F58FA">
          <w:pPr>
            <w:pStyle w:val="TOC3"/>
            <w:tabs>
              <w:tab w:val="right" w:leader="dot" w:pos="9016"/>
            </w:tabs>
            <w:rPr>
              <w:rFonts w:eastAsiaTheme="minorEastAsia"/>
              <w:noProof/>
              <w:lang w:eastAsia="en-GB"/>
            </w:rPr>
          </w:pPr>
          <w:hyperlink w:anchor="_Toc237265663" w:history="1">
            <w:r w:rsidRPr="006F71A5">
              <w:rPr>
                <w:rStyle w:val="Hyperlink"/>
                <w:noProof/>
              </w:rPr>
              <w:t>Strengths</w:t>
            </w:r>
            <w:r>
              <w:rPr>
                <w:noProof/>
                <w:webHidden/>
              </w:rPr>
              <w:tab/>
            </w:r>
            <w:r>
              <w:rPr>
                <w:noProof/>
                <w:webHidden/>
              </w:rPr>
              <w:fldChar w:fldCharType="begin"/>
            </w:r>
            <w:r>
              <w:rPr>
                <w:noProof/>
                <w:webHidden/>
              </w:rPr>
              <w:instrText xml:space="preserve"> PAGEREF _Toc237265663 \h </w:instrText>
            </w:r>
            <w:r>
              <w:rPr>
                <w:noProof/>
                <w:webHidden/>
              </w:rPr>
            </w:r>
            <w:r>
              <w:rPr>
                <w:noProof/>
                <w:webHidden/>
              </w:rPr>
              <w:fldChar w:fldCharType="separate"/>
            </w:r>
            <w:r>
              <w:rPr>
                <w:noProof/>
                <w:webHidden/>
              </w:rPr>
              <w:t>6</w:t>
            </w:r>
            <w:r>
              <w:rPr>
                <w:noProof/>
                <w:webHidden/>
              </w:rPr>
              <w:fldChar w:fldCharType="end"/>
            </w:r>
          </w:hyperlink>
        </w:p>
        <w:p w14:paraId="4BDE7AD4" w14:textId="6AD1CB9D" w:rsidR="004F58FA" w:rsidRDefault="004F58FA">
          <w:pPr>
            <w:pStyle w:val="TOC3"/>
            <w:tabs>
              <w:tab w:val="right" w:leader="dot" w:pos="9016"/>
            </w:tabs>
            <w:rPr>
              <w:rFonts w:eastAsiaTheme="minorEastAsia"/>
              <w:noProof/>
              <w:lang w:eastAsia="en-GB"/>
            </w:rPr>
          </w:pPr>
          <w:hyperlink w:anchor="_Toc237265664" w:history="1">
            <w:r w:rsidRPr="006F71A5">
              <w:rPr>
                <w:rStyle w:val="Hyperlink"/>
                <w:noProof/>
              </w:rPr>
              <w:t>Weaknesses</w:t>
            </w:r>
            <w:r>
              <w:rPr>
                <w:noProof/>
                <w:webHidden/>
              </w:rPr>
              <w:tab/>
            </w:r>
            <w:r>
              <w:rPr>
                <w:noProof/>
                <w:webHidden/>
              </w:rPr>
              <w:fldChar w:fldCharType="begin"/>
            </w:r>
            <w:r>
              <w:rPr>
                <w:noProof/>
                <w:webHidden/>
              </w:rPr>
              <w:instrText xml:space="preserve"> PAGEREF _Toc237265664 \h </w:instrText>
            </w:r>
            <w:r>
              <w:rPr>
                <w:noProof/>
                <w:webHidden/>
              </w:rPr>
            </w:r>
            <w:r>
              <w:rPr>
                <w:noProof/>
                <w:webHidden/>
              </w:rPr>
              <w:fldChar w:fldCharType="separate"/>
            </w:r>
            <w:r>
              <w:rPr>
                <w:noProof/>
                <w:webHidden/>
              </w:rPr>
              <w:t>6</w:t>
            </w:r>
            <w:r>
              <w:rPr>
                <w:noProof/>
                <w:webHidden/>
              </w:rPr>
              <w:fldChar w:fldCharType="end"/>
            </w:r>
          </w:hyperlink>
        </w:p>
        <w:p w14:paraId="311AF7C0" w14:textId="19A0680C" w:rsidR="004F58FA" w:rsidRDefault="004F58FA">
          <w:pPr>
            <w:pStyle w:val="TOC3"/>
            <w:tabs>
              <w:tab w:val="right" w:leader="dot" w:pos="9016"/>
            </w:tabs>
            <w:rPr>
              <w:rFonts w:eastAsiaTheme="minorEastAsia"/>
              <w:noProof/>
              <w:lang w:eastAsia="en-GB"/>
            </w:rPr>
          </w:pPr>
          <w:hyperlink w:anchor="_Toc237265665" w:history="1">
            <w:r w:rsidRPr="006F71A5">
              <w:rPr>
                <w:rStyle w:val="Hyperlink"/>
                <w:noProof/>
              </w:rPr>
              <w:t>Opportunities</w:t>
            </w:r>
            <w:r>
              <w:rPr>
                <w:noProof/>
                <w:webHidden/>
              </w:rPr>
              <w:tab/>
            </w:r>
            <w:r>
              <w:rPr>
                <w:noProof/>
                <w:webHidden/>
              </w:rPr>
              <w:fldChar w:fldCharType="begin"/>
            </w:r>
            <w:r>
              <w:rPr>
                <w:noProof/>
                <w:webHidden/>
              </w:rPr>
              <w:instrText xml:space="preserve"> PAGEREF _Toc237265665 \h </w:instrText>
            </w:r>
            <w:r>
              <w:rPr>
                <w:noProof/>
                <w:webHidden/>
              </w:rPr>
            </w:r>
            <w:r>
              <w:rPr>
                <w:noProof/>
                <w:webHidden/>
              </w:rPr>
              <w:fldChar w:fldCharType="separate"/>
            </w:r>
            <w:r>
              <w:rPr>
                <w:noProof/>
                <w:webHidden/>
              </w:rPr>
              <w:t>7</w:t>
            </w:r>
            <w:r>
              <w:rPr>
                <w:noProof/>
                <w:webHidden/>
              </w:rPr>
              <w:fldChar w:fldCharType="end"/>
            </w:r>
          </w:hyperlink>
        </w:p>
        <w:p w14:paraId="729F4754" w14:textId="3D82A632" w:rsidR="004F58FA" w:rsidRDefault="004F58FA">
          <w:pPr>
            <w:pStyle w:val="TOC3"/>
            <w:tabs>
              <w:tab w:val="right" w:leader="dot" w:pos="9016"/>
            </w:tabs>
            <w:rPr>
              <w:rFonts w:eastAsiaTheme="minorEastAsia"/>
              <w:noProof/>
              <w:lang w:eastAsia="en-GB"/>
            </w:rPr>
          </w:pPr>
          <w:hyperlink w:anchor="_Toc237265666" w:history="1">
            <w:r w:rsidRPr="006F71A5">
              <w:rPr>
                <w:rStyle w:val="Hyperlink"/>
                <w:noProof/>
              </w:rPr>
              <w:t>Threats</w:t>
            </w:r>
            <w:r>
              <w:rPr>
                <w:noProof/>
                <w:webHidden/>
              </w:rPr>
              <w:tab/>
            </w:r>
            <w:r>
              <w:rPr>
                <w:noProof/>
                <w:webHidden/>
              </w:rPr>
              <w:fldChar w:fldCharType="begin"/>
            </w:r>
            <w:r>
              <w:rPr>
                <w:noProof/>
                <w:webHidden/>
              </w:rPr>
              <w:instrText xml:space="preserve"> PAGEREF _Toc237265666 \h </w:instrText>
            </w:r>
            <w:r>
              <w:rPr>
                <w:noProof/>
                <w:webHidden/>
              </w:rPr>
            </w:r>
            <w:r>
              <w:rPr>
                <w:noProof/>
                <w:webHidden/>
              </w:rPr>
              <w:fldChar w:fldCharType="separate"/>
            </w:r>
            <w:r>
              <w:rPr>
                <w:noProof/>
                <w:webHidden/>
              </w:rPr>
              <w:t>7</w:t>
            </w:r>
            <w:r>
              <w:rPr>
                <w:noProof/>
                <w:webHidden/>
              </w:rPr>
              <w:fldChar w:fldCharType="end"/>
            </w:r>
          </w:hyperlink>
        </w:p>
        <w:p w14:paraId="638065C3" w14:textId="0E3941D8" w:rsidR="004F58FA" w:rsidRDefault="004F58FA">
          <w:pPr>
            <w:pStyle w:val="TOC2"/>
            <w:tabs>
              <w:tab w:val="right" w:leader="dot" w:pos="9016"/>
            </w:tabs>
            <w:rPr>
              <w:rFonts w:eastAsiaTheme="minorEastAsia"/>
              <w:noProof/>
              <w:lang w:eastAsia="en-GB"/>
            </w:rPr>
          </w:pPr>
          <w:hyperlink w:anchor="_Toc237265667" w:history="1">
            <w:r w:rsidRPr="006F71A5">
              <w:rPr>
                <w:rStyle w:val="Hyperlink"/>
                <w:noProof/>
              </w:rPr>
              <w:t>PESTEL Analysis</w:t>
            </w:r>
            <w:r>
              <w:rPr>
                <w:noProof/>
                <w:webHidden/>
              </w:rPr>
              <w:tab/>
            </w:r>
            <w:r>
              <w:rPr>
                <w:noProof/>
                <w:webHidden/>
              </w:rPr>
              <w:fldChar w:fldCharType="begin"/>
            </w:r>
            <w:r>
              <w:rPr>
                <w:noProof/>
                <w:webHidden/>
              </w:rPr>
              <w:instrText xml:space="preserve"> PAGEREF _Toc237265667 \h </w:instrText>
            </w:r>
            <w:r>
              <w:rPr>
                <w:noProof/>
                <w:webHidden/>
              </w:rPr>
            </w:r>
            <w:r>
              <w:rPr>
                <w:noProof/>
                <w:webHidden/>
              </w:rPr>
              <w:fldChar w:fldCharType="separate"/>
            </w:r>
            <w:r>
              <w:rPr>
                <w:noProof/>
                <w:webHidden/>
              </w:rPr>
              <w:t>7</w:t>
            </w:r>
            <w:r>
              <w:rPr>
                <w:noProof/>
                <w:webHidden/>
              </w:rPr>
              <w:fldChar w:fldCharType="end"/>
            </w:r>
          </w:hyperlink>
        </w:p>
        <w:p w14:paraId="4FCCDA9B" w14:textId="1A82E607" w:rsidR="004F58FA" w:rsidRDefault="004F58FA">
          <w:pPr>
            <w:pStyle w:val="TOC2"/>
            <w:tabs>
              <w:tab w:val="right" w:leader="dot" w:pos="9016"/>
            </w:tabs>
            <w:rPr>
              <w:rFonts w:eastAsiaTheme="minorEastAsia"/>
              <w:noProof/>
              <w:lang w:eastAsia="en-GB"/>
            </w:rPr>
          </w:pPr>
          <w:hyperlink w:anchor="_Toc237265668" w:history="1">
            <w:r w:rsidRPr="006F71A5">
              <w:rPr>
                <w:rStyle w:val="Hyperlink"/>
                <w:noProof/>
              </w:rPr>
              <w:t>Porter's Five Forces</w:t>
            </w:r>
            <w:r>
              <w:rPr>
                <w:noProof/>
                <w:webHidden/>
              </w:rPr>
              <w:tab/>
            </w:r>
            <w:r>
              <w:rPr>
                <w:noProof/>
                <w:webHidden/>
              </w:rPr>
              <w:fldChar w:fldCharType="begin"/>
            </w:r>
            <w:r>
              <w:rPr>
                <w:noProof/>
                <w:webHidden/>
              </w:rPr>
              <w:instrText xml:space="preserve"> PAGEREF _Toc237265668 \h </w:instrText>
            </w:r>
            <w:r>
              <w:rPr>
                <w:noProof/>
                <w:webHidden/>
              </w:rPr>
            </w:r>
            <w:r>
              <w:rPr>
                <w:noProof/>
                <w:webHidden/>
              </w:rPr>
              <w:fldChar w:fldCharType="separate"/>
            </w:r>
            <w:r>
              <w:rPr>
                <w:noProof/>
                <w:webHidden/>
              </w:rPr>
              <w:t>8</w:t>
            </w:r>
            <w:r>
              <w:rPr>
                <w:noProof/>
                <w:webHidden/>
              </w:rPr>
              <w:fldChar w:fldCharType="end"/>
            </w:r>
          </w:hyperlink>
        </w:p>
        <w:p w14:paraId="00EB5450" w14:textId="0A402F0D" w:rsidR="004F58FA" w:rsidRDefault="004F58FA">
          <w:pPr>
            <w:pStyle w:val="TOC1"/>
            <w:tabs>
              <w:tab w:val="right" w:leader="dot" w:pos="9016"/>
            </w:tabs>
            <w:rPr>
              <w:rFonts w:eastAsiaTheme="minorEastAsia"/>
              <w:noProof/>
              <w:lang w:eastAsia="en-GB"/>
            </w:rPr>
          </w:pPr>
          <w:hyperlink w:anchor="_Toc237265669" w:history="1">
            <w:r w:rsidRPr="006F71A5">
              <w:rPr>
                <w:rStyle w:val="Hyperlink"/>
                <w:noProof/>
              </w:rPr>
              <w:t>Critical Discussion: Positioning Versus Resource-Based Perspectives on the Merger</w:t>
            </w:r>
            <w:r>
              <w:rPr>
                <w:noProof/>
                <w:webHidden/>
              </w:rPr>
              <w:tab/>
            </w:r>
            <w:r>
              <w:rPr>
                <w:noProof/>
                <w:webHidden/>
              </w:rPr>
              <w:fldChar w:fldCharType="begin"/>
            </w:r>
            <w:r>
              <w:rPr>
                <w:noProof/>
                <w:webHidden/>
              </w:rPr>
              <w:instrText xml:space="preserve"> PAGEREF _Toc237265669 \h </w:instrText>
            </w:r>
            <w:r>
              <w:rPr>
                <w:noProof/>
                <w:webHidden/>
              </w:rPr>
            </w:r>
            <w:r>
              <w:rPr>
                <w:noProof/>
                <w:webHidden/>
              </w:rPr>
              <w:fldChar w:fldCharType="separate"/>
            </w:r>
            <w:r>
              <w:rPr>
                <w:noProof/>
                <w:webHidden/>
              </w:rPr>
              <w:t>9</w:t>
            </w:r>
            <w:r>
              <w:rPr>
                <w:noProof/>
                <w:webHidden/>
              </w:rPr>
              <w:fldChar w:fldCharType="end"/>
            </w:r>
          </w:hyperlink>
        </w:p>
        <w:p w14:paraId="5F0E3908" w14:textId="1A53E006" w:rsidR="004F58FA" w:rsidRDefault="004F58FA">
          <w:pPr>
            <w:pStyle w:val="TOC1"/>
            <w:tabs>
              <w:tab w:val="right" w:leader="dot" w:pos="9016"/>
            </w:tabs>
            <w:rPr>
              <w:rFonts w:eastAsiaTheme="minorEastAsia"/>
              <w:noProof/>
              <w:lang w:eastAsia="en-GB"/>
            </w:rPr>
          </w:pPr>
          <w:hyperlink w:anchor="_Toc237265670" w:history="1">
            <w:r w:rsidRPr="006F71A5">
              <w:rPr>
                <w:rStyle w:val="Hyperlink"/>
                <w:noProof/>
              </w:rPr>
              <w:t>Strategic Growth Options and Proposed Strategy</w:t>
            </w:r>
            <w:r>
              <w:rPr>
                <w:noProof/>
                <w:webHidden/>
              </w:rPr>
              <w:tab/>
            </w:r>
            <w:r>
              <w:rPr>
                <w:noProof/>
                <w:webHidden/>
              </w:rPr>
              <w:fldChar w:fldCharType="begin"/>
            </w:r>
            <w:r>
              <w:rPr>
                <w:noProof/>
                <w:webHidden/>
              </w:rPr>
              <w:instrText xml:space="preserve"> PAGEREF _Toc237265670 \h </w:instrText>
            </w:r>
            <w:r>
              <w:rPr>
                <w:noProof/>
                <w:webHidden/>
              </w:rPr>
            </w:r>
            <w:r>
              <w:rPr>
                <w:noProof/>
                <w:webHidden/>
              </w:rPr>
              <w:fldChar w:fldCharType="separate"/>
            </w:r>
            <w:r>
              <w:rPr>
                <w:noProof/>
                <w:webHidden/>
              </w:rPr>
              <w:t>10</w:t>
            </w:r>
            <w:r>
              <w:rPr>
                <w:noProof/>
                <w:webHidden/>
              </w:rPr>
              <w:fldChar w:fldCharType="end"/>
            </w:r>
          </w:hyperlink>
        </w:p>
        <w:p w14:paraId="3FAEDC0C" w14:textId="2DA840F4" w:rsidR="004F58FA" w:rsidRDefault="004F58FA">
          <w:pPr>
            <w:pStyle w:val="TOC2"/>
            <w:tabs>
              <w:tab w:val="right" w:leader="dot" w:pos="9016"/>
            </w:tabs>
            <w:rPr>
              <w:rFonts w:eastAsiaTheme="minorEastAsia"/>
              <w:noProof/>
              <w:lang w:eastAsia="en-GB"/>
            </w:rPr>
          </w:pPr>
          <w:hyperlink w:anchor="_Toc237265671" w:history="1">
            <w:r w:rsidRPr="006F71A5">
              <w:rPr>
                <w:rStyle w:val="Hyperlink"/>
                <w:noProof/>
              </w:rPr>
              <w:t>Ansoff Matrix: Growth Path Options</w:t>
            </w:r>
            <w:r>
              <w:rPr>
                <w:noProof/>
                <w:webHidden/>
              </w:rPr>
              <w:tab/>
            </w:r>
            <w:r>
              <w:rPr>
                <w:noProof/>
                <w:webHidden/>
              </w:rPr>
              <w:fldChar w:fldCharType="begin"/>
            </w:r>
            <w:r>
              <w:rPr>
                <w:noProof/>
                <w:webHidden/>
              </w:rPr>
              <w:instrText xml:space="preserve"> PAGEREF _Toc237265671 \h </w:instrText>
            </w:r>
            <w:r>
              <w:rPr>
                <w:noProof/>
                <w:webHidden/>
              </w:rPr>
            </w:r>
            <w:r>
              <w:rPr>
                <w:noProof/>
                <w:webHidden/>
              </w:rPr>
              <w:fldChar w:fldCharType="separate"/>
            </w:r>
            <w:r>
              <w:rPr>
                <w:noProof/>
                <w:webHidden/>
              </w:rPr>
              <w:t>10</w:t>
            </w:r>
            <w:r>
              <w:rPr>
                <w:noProof/>
                <w:webHidden/>
              </w:rPr>
              <w:fldChar w:fldCharType="end"/>
            </w:r>
          </w:hyperlink>
        </w:p>
        <w:p w14:paraId="323C8C21" w14:textId="1EC7C949" w:rsidR="004F58FA" w:rsidRDefault="004F58FA">
          <w:pPr>
            <w:pStyle w:val="TOC2"/>
            <w:tabs>
              <w:tab w:val="right" w:leader="dot" w:pos="9016"/>
            </w:tabs>
            <w:rPr>
              <w:rFonts w:eastAsiaTheme="minorEastAsia"/>
              <w:noProof/>
              <w:lang w:eastAsia="en-GB"/>
            </w:rPr>
          </w:pPr>
          <w:hyperlink w:anchor="_Toc237265672" w:history="1">
            <w:r w:rsidRPr="006F71A5">
              <w:rPr>
                <w:rStyle w:val="Hyperlink"/>
                <w:noProof/>
              </w:rPr>
              <w:t>Porter’s Generic Strategies: Competitive Positioning</w:t>
            </w:r>
            <w:r>
              <w:rPr>
                <w:noProof/>
                <w:webHidden/>
              </w:rPr>
              <w:tab/>
            </w:r>
            <w:r>
              <w:rPr>
                <w:noProof/>
                <w:webHidden/>
              </w:rPr>
              <w:fldChar w:fldCharType="begin"/>
            </w:r>
            <w:r>
              <w:rPr>
                <w:noProof/>
                <w:webHidden/>
              </w:rPr>
              <w:instrText xml:space="preserve"> PAGEREF _Toc237265672 \h </w:instrText>
            </w:r>
            <w:r>
              <w:rPr>
                <w:noProof/>
                <w:webHidden/>
              </w:rPr>
            </w:r>
            <w:r>
              <w:rPr>
                <w:noProof/>
                <w:webHidden/>
              </w:rPr>
              <w:fldChar w:fldCharType="separate"/>
            </w:r>
            <w:r>
              <w:rPr>
                <w:noProof/>
                <w:webHidden/>
              </w:rPr>
              <w:t>11</w:t>
            </w:r>
            <w:r>
              <w:rPr>
                <w:noProof/>
                <w:webHidden/>
              </w:rPr>
              <w:fldChar w:fldCharType="end"/>
            </w:r>
          </w:hyperlink>
        </w:p>
        <w:p w14:paraId="57D8AAAC" w14:textId="18175AF9" w:rsidR="004F58FA" w:rsidRDefault="004F58FA">
          <w:pPr>
            <w:pStyle w:val="TOC2"/>
            <w:tabs>
              <w:tab w:val="right" w:leader="dot" w:pos="9016"/>
            </w:tabs>
            <w:rPr>
              <w:rFonts w:eastAsiaTheme="minorEastAsia"/>
              <w:noProof/>
              <w:lang w:eastAsia="en-GB"/>
            </w:rPr>
          </w:pPr>
          <w:hyperlink w:anchor="_Toc237265673" w:history="1">
            <w:r w:rsidRPr="006F71A5">
              <w:rPr>
                <w:rStyle w:val="Hyperlink"/>
                <w:noProof/>
              </w:rPr>
              <w:t>Proposed Strategy and Justification</w:t>
            </w:r>
            <w:r>
              <w:rPr>
                <w:noProof/>
                <w:webHidden/>
              </w:rPr>
              <w:tab/>
            </w:r>
            <w:r>
              <w:rPr>
                <w:noProof/>
                <w:webHidden/>
              </w:rPr>
              <w:fldChar w:fldCharType="begin"/>
            </w:r>
            <w:r>
              <w:rPr>
                <w:noProof/>
                <w:webHidden/>
              </w:rPr>
              <w:instrText xml:space="preserve"> PAGEREF _Toc237265673 \h </w:instrText>
            </w:r>
            <w:r>
              <w:rPr>
                <w:noProof/>
                <w:webHidden/>
              </w:rPr>
            </w:r>
            <w:r>
              <w:rPr>
                <w:noProof/>
                <w:webHidden/>
              </w:rPr>
              <w:fldChar w:fldCharType="separate"/>
            </w:r>
            <w:r>
              <w:rPr>
                <w:noProof/>
                <w:webHidden/>
              </w:rPr>
              <w:t>11</w:t>
            </w:r>
            <w:r>
              <w:rPr>
                <w:noProof/>
                <w:webHidden/>
              </w:rPr>
              <w:fldChar w:fldCharType="end"/>
            </w:r>
          </w:hyperlink>
        </w:p>
        <w:p w14:paraId="2E187CC6" w14:textId="381C51E9" w:rsidR="004F58FA" w:rsidRDefault="004F58FA">
          <w:pPr>
            <w:pStyle w:val="TOC1"/>
            <w:tabs>
              <w:tab w:val="right" w:leader="dot" w:pos="9016"/>
            </w:tabs>
            <w:rPr>
              <w:rFonts w:eastAsiaTheme="minorEastAsia"/>
              <w:noProof/>
              <w:lang w:eastAsia="en-GB"/>
            </w:rPr>
          </w:pPr>
          <w:hyperlink w:anchor="_Toc237265674" w:history="1">
            <w:r w:rsidRPr="006F71A5">
              <w:rPr>
                <w:rStyle w:val="Hyperlink"/>
                <w:noProof/>
              </w:rPr>
              <w:t>Strategy Evaluation: SFA Analysis</w:t>
            </w:r>
            <w:r>
              <w:rPr>
                <w:noProof/>
                <w:webHidden/>
              </w:rPr>
              <w:tab/>
            </w:r>
            <w:r>
              <w:rPr>
                <w:noProof/>
                <w:webHidden/>
              </w:rPr>
              <w:fldChar w:fldCharType="begin"/>
            </w:r>
            <w:r>
              <w:rPr>
                <w:noProof/>
                <w:webHidden/>
              </w:rPr>
              <w:instrText xml:space="preserve"> PAGEREF _Toc237265674 \h </w:instrText>
            </w:r>
            <w:r>
              <w:rPr>
                <w:noProof/>
                <w:webHidden/>
              </w:rPr>
            </w:r>
            <w:r>
              <w:rPr>
                <w:noProof/>
                <w:webHidden/>
              </w:rPr>
              <w:fldChar w:fldCharType="separate"/>
            </w:r>
            <w:r>
              <w:rPr>
                <w:noProof/>
                <w:webHidden/>
              </w:rPr>
              <w:t>12</w:t>
            </w:r>
            <w:r>
              <w:rPr>
                <w:noProof/>
                <w:webHidden/>
              </w:rPr>
              <w:fldChar w:fldCharType="end"/>
            </w:r>
          </w:hyperlink>
        </w:p>
        <w:p w14:paraId="7C778E2B" w14:textId="74081CD7" w:rsidR="004F58FA" w:rsidRDefault="004F58FA">
          <w:pPr>
            <w:pStyle w:val="TOC2"/>
            <w:tabs>
              <w:tab w:val="right" w:leader="dot" w:pos="9016"/>
            </w:tabs>
            <w:rPr>
              <w:rFonts w:eastAsiaTheme="minorEastAsia"/>
              <w:noProof/>
              <w:lang w:eastAsia="en-GB"/>
            </w:rPr>
          </w:pPr>
          <w:hyperlink w:anchor="_Toc237265675" w:history="1">
            <w:r w:rsidRPr="006F71A5">
              <w:rPr>
                <w:rStyle w:val="Hyperlink"/>
                <w:noProof/>
              </w:rPr>
              <w:t>Suitability</w:t>
            </w:r>
            <w:r>
              <w:rPr>
                <w:noProof/>
                <w:webHidden/>
              </w:rPr>
              <w:tab/>
            </w:r>
            <w:r>
              <w:rPr>
                <w:noProof/>
                <w:webHidden/>
              </w:rPr>
              <w:fldChar w:fldCharType="begin"/>
            </w:r>
            <w:r>
              <w:rPr>
                <w:noProof/>
                <w:webHidden/>
              </w:rPr>
              <w:instrText xml:space="preserve"> PAGEREF _Toc237265675 \h </w:instrText>
            </w:r>
            <w:r>
              <w:rPr>
                <w:noProof/>
                <w:webHidden/>
              </w:rPr>
            </w:r>
            <w:r>
              <w:rPr>
                <w:noProof/>
                <w:webHidden/>
              </w:rPr>
              <w:fldChar w:fldCharType="separate"/>
            </w:r>
            <w:r>
              <w:rPr>
                <w:noProof/>
                <w:webHidden/>
              </w:rPr>
              <w:t>12</w:t>
            </w:r>
            <w:r>
              <w:rPr>
                <w:noProof/>
                <w:webHidden/>
              </w:rPr>
              <w:fldChar w:fldCharType="end"/>
            </w:r>
          </w:hyperlink>
        </w:p>
        <w:p w14:paraId="11960A73" w14:textId="2CBA729E" w:rsidR="004F58FA" w:rsidRDefault="004F58FA">
          <w:pPr>
            <w:pStyle w:val="TOC2"/>
            <w:tabs>
              <w:tab w:val="right" w:leader="dot" w:pos="9016"/>
            </w:tabs>
            <w:rPr>
              <w:rFonts w:eastAsiaTheme="minorEastAsia"/>
              <w:noProof/>
              <w:lang w:eastAsia="en-GB"/>
            </w:rPr>
          </w:pPr>
          <w:hyperlink w:anchor="_Toc237265676" w:history="1">
            <w:r w:rsidRPr="006F71A5">
              <w:rPr>
                <w:rStyle w:val="Hyperlink"/>
                <w:noProof/>
              </w:rPr>
              <w:t>Feasibility</w:t>
            </w:r>
            <w:r>
              <w:rPr>
                <w:noProof/>
                <w:webHidden/>
              </w:rPr>
              <w:tab/>
            </w:r>
            <w:r>
              <w:rPr>
                <w:noProof/>
                <w:webHidden/>
              </w:rPr>
              <w:fldChar w:fldCharType="begin"/>
            </w:r>
            <w:r>
              <w:rPr>
                <w:noProof/>
                <w:webHidden/>
              </w:rPr>
              <w:instrText xml:space="preserve"> PAGEREF _Toc237265676 \h </w:instrText>
            </w:r>
            <w:r>
              <w:rPr>
                <w:noProof/>
                <w:webHidden/>
              </w:rPr>
            </w:r>
            <w:r>
              <w:rPr>
                <w:noProof/>
                <w:webHidden/>
              </w:rPr>
              <w:fldChar w:fldCharType="separate"/>
            </w:r>
            <w:r>
              <w:rPr>
                <w:noProof/>
                <w:webHidden/>
              </w:rPr>
              <w:t>12</w:t>
            </w:r>
            <w:r>
              <w:rPr>
                <w:noProof/>
                <w:webHidden/>
              </w:rPr>
              <w:fldChar w:fldCharType="end"/>
            </w:r>
          </w:hyperlink>
        </w:p>
        <w:p w14:paraId="441B96F3" w14:textId="35FE0251" w:rsidR="004F58FA" w:rsidRDefault="004F58FA">
          <w:pPr>
            <w:pStyle w:val="TOC2"/>
            <w:tabs>
              <w:tab w:val="right" w:leader="dot" w:pos="9016"/>
            </w:tabs>
            <w:rPr>
              <w:rFonts w:eastAsiaTheme="minorEastAsia"/>
              <w:noProof/>
              <w:lang w:eastAsia="en-GB"/>
            </w:rPr>
          </w:pPr>
          <w:hyperlink w:anchor="_Toc237265677" w:history="1">
            <w:r w:rsidRPr="006F71A5">
              <w:rPr>
                <w:rStyle w:val="Hyperlink"/>
                <w:noProof/>
              </w:rPr>
              <w:t>Acceptability</w:t>
            </w:r>
            <w:r>
              <w:rPr>
                <w:noProof/>
                <w:webHidden/>
              </w:rPr>
              <w:tab/>
            </w:r>
            <w:r>
              <w:rPr>
                <w:noProof/>
                <w:webHidden/>
              </w:rPr>
              <w:fldChar w:fldCharType="begin"/>
            </w:r>
            <w:r>
              <w:rPr>
                <w:noProof/>
                <w:webHidden/>
              </w:rPr>
              <w:instrText xml:space="preserve"> PAGEREF _Toc237265677 \h </w:instrText>
            </w:r>
            <w:r>
              <w:rPr>
                <w:noProof/>
                <w:webHidden/>
              </w:rPr>
            </w:r>
            <w:r>
              <w:rPr>
                <w:noProof/>
                <w:webHidden/>
              </w:rPr>
              <w:fldChar w:fldCharType="separate"/>
            </w:r>
            <w:r>
              <w:rPr>
                <w:noProof/>
                <w:webHidden/>
              </w:rPr>
              <w:t>12</w:t>
            </w:r>
            <w:r>
              <w:rPr>
                <w:noProof/>
                <w:webHidden/>
              </w:rPr>
              <w:fldChar w:fldCharType="end"/>
            </w:r>
          </w:hyperlink>
        </w:p>
        <w:p w14:paraId="717AB274" w14:textId="1018DA9B" w:rsidR="004F58FA" w:rsidRDefault="004F58FA">
          <w:pPr>
            <w:pStyle w:val="TOC1"/>
            <w:tabs>
              <w:tab w:val="right" w:leader="dot" w:pos="9016"/>
            </w:tabs>
            <w:rPr>
              <w:rFonts w:eastAsiaTheme="minorEastAsia"/>
              <w:noProof/>
              <w:lang w:eastAsia="en-GB"/>
            </w:rPr>
          </w:pPr>
          <w:hyperlink w:anchor="_Toc237265678" w:history="1">
            <w:r w:rsidRPr="006F71A5">
              <w:rPr>
                <w:rStyle w:val="Hyperlink"/>
                <w:noProof/>
              </w:rPr>
              <w:t>Stakeholder Analysis and Engagement Plan</w:t>
            </w:r>
            <w:r>
              <w:rPr>
                <w:noProof/>
                <w:webHidden/>
              </w:rPr>
              <w:tab/>
            </w:r>
            <w:r>
              <w:rPr>
                <w:noProof/>
                <w:webHidden/>
              </w:rPr>
              <w:fldChar w:fldCharType="begin"/>
            </w:r>
            <w:r>
              <w:rPr>
                <w:noProof/>
                <w:webHidden/>
              </w:rPr>
              <w:instrText xml:space="preserve"> PAGEREF _Toc237265678 \h </w:instrText>
            </w:r>
            <w:r>
              <w:rPr>
                <w:noProof/>
                <w:webHidden/>
              </w:rPr>
            </w:r>
            <w:r>
              <w:rPr>
                <w:noProof/>
                <w:webHidden/>
              </w:rPr>
              <w:fldChar w:fldCharType="separate"/>
            </w:r>
            <w:r>
              <w:rPr>
                <w:noProof/>
                <w:webHidden/>
              </w:rPr>
              <w:t>13</w:t>
            </w:r>
            <w:r>
              <w:rPr>
                <w:noProof/>
                <w:webHidden/>
              </w:rPr>
              <w:fldChar w:fldCharType="end"/>
            </w:r>
          </w:hyperlink>
        </w:p>
        <w:p w14:paraId="736CA95A" w14:textId="58C5AE75" w:rsidR="004F58FA" w:rsidRDefault="004F58FA">
          <w:pPr>
            <w:pStyle w:val="TOC1"/>
            <w:tabs>
              <w:tab w:val="right" w:leader="dot" w:pos="9016"/>
            </w:tabs>
            <w:rPr>
              <w:rFonts w:eastAsiaTheme="minorEastAsia"/>
              <w:noProof/>
              <w:lang w:eastAsia="en-GB"/>
            </w:rPr>
          </w:pPr>
          <w:hyperlink w:anchor="_Toc237265679" w:history="1">
            <w:r w:rsidRPr="006F71A5">
              <w:rPr>
                <w:rStyle w:val="Hyperlink"/>
                <w:noProof/>
              </w:rPr>
              <w:t>Implementation and Monitoring</w:t>
            </w:r>
            <w:r>
              <w:rPr>
                <w:noProof/>
                <w:webHidden/>
              </w:rPr>
              <w:tab/>
            </w:r>
            <w:r>
              <w:rPr>
                <w:noProof/>
                <w:webHidden/>
              </w:rPr>
              <w:fldChar w:fldCharType="begin"/>
            </w:r>
            <w:r>
              <w:rPr>
                <w:noProof/>
                <w:webHidden/>
              </w:rPr>
              <w:instrText xml:space="preserve"> PAGEREF _Toc237265679 \h </w:instrText>
            </w:r>
            <w:r>
              <w:rPr>
                <w:noProof/>
                <w:webHidden/>
              </w:rPr>
            </w:r>
            <w:r>
              <w:rPr>
                <w:noProof/>
                <w:webHidden/>
              </w:rPr>
              <w:fldChar w:fldCharType="separate"/>
            </w:r>
            <w:r>
              <w:rPr>
                <w:noProof/>
                <w:webHidden/>
              </w:rPr>
              <w:t>14</w:t>
            </w:r>
            <w:r>
              <w:rPr>
                <w:noProof/>
                <w:webHidden/>
              </w:rPr>
              <w:fldChar w:fldCharType="end"/>
            </w:r>
          </w:hyperlink>
        </w:p>
        <w:p w14:paraId="2AA9DBAE" w14:textId="7206D332" w:rsidR="004F58FA" w:rsidRDefault="004F58FA">
          <w:pPr>
            <w:pStyle w:val="TOC2"/>
            <w:tabs>
              <w:tab w:val="right" w:leader="dot" w:pos="9016"/>
            </w:tabs>
            <w:rPr>
              <w:rFonts w:eastAsiaTheme="minorEastAsia"/>
              <w:noProof/>
              <w:lang w:eastAsia="en-GB"/>
            </w:rPr>
          </w:pPr>
          <w:hyperlink w:anchor="_Toc237265681" w:history="1">
            <w:r w:rsidRPr="006F71A5">
              <w:rPr>
                <w:rStyle w:val="Hyperlink"/>
                <w:noProof/>
              </w:rPr>
              <w:t>Strategic Alignment and Objective Setting</w:t>
            </w:r>
            <w:r>
              <w:rPr>
                <w:noProof/>
                <w:webHidden/>
              </w:rPr>
              <w:tab/>
            </w:r>
            <w:r>
              <w:rPr>
                <w:noProof/>
                <w:webHidden/>
              </w:rPr>
              <w:fldChar w:fldCharType="begin"/>
            </w:r>
            <w:r>
              <w:rPr>
                <w:noProof/>
                <w:webHidden/>
              </w:rPr>
              <w:instrText xml:space="preserve"> PAGEREF _Toc237265681 \h </w:instrText>
            </w:r>
            <w:r>
              <w:rPr>
                <w:noProof/>
                <w:webHidden/>
              </w:rPr>
            </w:r>
            <w:r>
              <w:rPr>
                <w:noProof/>
                <w:webHidden/>
              </w:rPr>
              <w:fldChar w:fldCharType="separate"/>
            </w:r>
            <w:r>
              <w:rPr>
                <w:noProof/>
                <w:webHidden/>
              </w:rPr>
              <w:t>14</w:t>
            </w:r>
            <w:r>
              <w:rPr>
                <w:noProof/>
                <w:webHidden/>
              </w:rPr>
              <w:fldChar w:fldCharType="end"/>
            </w:r>
          </w:hyperlink>
        </w:p>
        <w:p w14:paraId="08C3638A" w14:textId="0B3BAD0F" w:rsidR="004F58FA" w:rsidRDefault="004F58FA">
          <w:pPr>
            <w:pStyle w:val="TOC2"/>
            <w:tabs>
              <w:tab w:val="right" w:leader="dot" w:pos="9016"/>
            </w:tabs>
            <w:rPr>
              <w:rFonts w:eastAsiaTheme="minorEastAsia"/>
              <w:noProof/>
              <w:lang w:eastAsia="en-GB"/>
            </w:rPr>
          </w:pPr>
          <w:hyperlink w:anchor="_Toc237265683" w:history="1">
            <w:r w:rsidRPr="006F71A5">
              <w:rPr>
                <w:rStyle w:val="Hyperlink"/>
                <w:noProof/>
              </w:rPr>
              <w:t>Action Planning and Resource Allocation</w:t>
            </w:r>
            <w:r>
              <w:rPr>
                <w:noProof/>
                <w:webHidden/>
              </w:rPr>
              <w:tab/>
            </w:r>
            <w:r>
              <w:rPr>
                <w:noProof/>
                <w:webHidden/>
              </w:rPr>
              <w:fldChar w:fldCharType="begin"/>
            </w:r>
            <w:r>
              <w:rPr>
                <w:noProof/>
                <w:webHidden/>
              </w:rPr>
              <w:instrText xml:space="preserve"> PAGEREF _Toc237265683 \h </w:instrText>
            </w:r>
            <w:r>
              <w:rPr>
                <w:noProof/>
                <w:webHidden/>
              </w:rPr>
            </w:r>
            <w:r>
              <w:rPr>
                <w:noProof/>
                <w:webHidden/>
              </w:rPr>
              <w:fldChar w:fldCharType="separate"/>
            </w:r>
            <w:r>
              <w:rPr>
                <w:noProof/>
                <w:webHidden/>
              </w:rPr>
              <w:t>15</w:t>
            </w:r>
            <w:r>
              <w:rPr>
                <w:noProof/>
                <w:webHidden/>
              </w:rPr>
              <w:fldChar w:fldCharType="end"/>
            </w:r>
          </w:hyperlink>
        </w:p>
        <w:p w14:paraId="688371D8" w14:textId="3B512F78" w:rsidR="004F58FA" w:rsidRDefault="004F58FA">
          <w:pPr>
            <w:pStyle w:val="TOC2"/>
            <w:tabs>
              <w:tab w:val="right" w:leader="dot" w:pos="9016"/>
            </w:tabs>
            <w:rPr>
              <w:rFonts w:eastAsiaTheme="minorEastAsia"/>
              <w:noProof/>
              <w:lang w:eastAsia="en-GB"/>
            </w:rPr>
          </w:pPr>
          <w:hyperlink w:anchor="_Toc237265685" w:history="1">
            <w:r w:rsidRPr="006F71A5">
              <w:rPr>
                <w:rStyle w:val="Hyperlink"/>
                <w:noProof/>
              </w:rPr>
              <w:t>Accountability and Governance</w:t>
            </w:r>
            <w:r>
              <w:rPr>
                <w:noProof/>
                <w:webHidden/>
              </w:rPr>
              <w:tab/>
            </w:r>
            <w:r>
              <w:rPr>
                <w:noProof/>
                <w:webHidden/>
              </w:rPr>
              <w:fldChar w:fldCharType="begin"/>
            </w:r>
            <w:r>
              <w:rPr>
                <w:noProof/>
                <w:webHidden/>
              </w:rPr>
              <w:instrText xml:space="preserve"> PAGEREF _Toc237265685 \h </w:instrText>
            </w:r>
            <w:r>
              <w:rPr>
                <w:noProof/>
                <w:webHidden/>
              </w:rPr>
            </w:r>
            <w:r>
              <w:rPr>
                <w:noProof/>
                <w:webHidden/>
              </w:rPr>
              <w:fldChar w:fldCharType="separate"/>
            </w:r>
            <w:r>
              <w:rPr>
                <w:noProof/>
                <w:webHidden/>
              </w:rPr>
              <w:t>15</w:t>
            </w:r>
            <w:r>
              <w:rPr>
                <w:noProof/>
                <w:webHidden/>
              </w:rPr>
              <w:fldChar w:fldCharType="end"/>
            </w:r>
          </w:hyperlink>
        </w:p>
        <w:p w14:paraId="1AB8AAE4" w14:textId="48DD719F" w:rsidR="004F58FA" w:rsidRDefault="004F58FA">
          <w:pPr>
            <w:pStyle w:val="TOC2"/>
            <w:tabs>
              <w:tab w:val="right" w:leader="dot" w:pos="9016"/>
            </w:tabs>
            <w:rPr>
              <w:rFonts w:eastAsiaTheme="minorEastAsia"/>
              <w:noProof/>
              <w:lang w:eastAsia="en-GB"/>
            </w:rPr>
          </w:pPr>
          <w:hyperlink w:anchor="_Toc237265687" w:history="1">
            <w:r w:rsidRPr="006F71A5">
              <w:rPr>
                <w:rStyle w:val="Hyperlink"/>
                <w:noProof/>
              </w:rPr>
              <w:t>Monitoring and Performance Oversight</w:t>
            </w:r>
            <w:r>
              <w:rPr>
                <w:noProof/>
                <w:webHidden/>
              </w:rPr>
              <w:tab/>
            </w:r>
            <w:r>
              <w:rPr>
                <w:noProof/>
                <w:webHidden/>
              </w:rPr>
              <w:fldChar w:fldCharType="begin"/>
            </w:r>
            <w:r>
              <w:rPr>
                <w:noProof/>
                <w:webHidden/>
              </w:rPr>
              <w:instrText xml:space="preserve"> PAGEREF _Toc237265687 \h </w:instrText>
            </w:r>
            <w:r>
              <w:rPr>
                <w:noProof/>
                <w:webHidden/>
              </w:rPr>
            </w:r>
            <w:r>
              <w:rPr>
                <w:noProof/>
                <w:webHidden/>
              </w:rPr>
              <w:fldChar w:fldCharType="separate"/>
            </w:r>
            <w:r>
              <w:rPr>
                <w:noProof/>
                <w:webHidden/>
              </w:rPr>
              <w:t>15</w:t>
            </w:r>
            <w:r>
              <w:rPr>
                <w:noProof/>
                <w:webHidden/>
              </w:rPr>
              <w:fldChar w:fldCharType="end"/>
            </w:r>
          </w:hyperlink>
        </w:p>
        <w:p w14:paraId="165364DB" w14:textId="4CB834EC" w:rsidR="004F58FA" w:rsidRDefault="004F58FA">
          <w:pPr>
            <w:pStyle w:val="TOC2"/>
            <w:tabs>
              <w:tab w:val="right" w:leader="dot" w:pos="9016"/>
            </w:tabs>
            <w:rPr>
              <w:rFonts w:eastAsiaTheme="minorEastAsia"/>
              <w:noProof/>
              <w:lang w:eastAsia="en-GB"/>
            </w:rPr>
          </w:pPr>
          <w:hyperlink w:anchor="_Toc237265689" w:history="1">
            <w:r w:rsidRPr="006F71A5">
              <w:rPr>
                <w:rStyle w:val="Hyperlink"/>
                <w:noProof/>
              </w:rPr>
              <w:t>Agility and Change Management</w:t>
            </w:r>
            <w:r>
              <w:rPr>
                <w:noProof/>
                <w:webHidden/>
              </w:rPr>
              <w:tab/>
            </w:r>
            <w:r>
              <w:rPr>
                <w:noProof/>
                <w:webHidden/>
              </w:rPr>
              <w:fldChar w:fldCharType="begin"/>
            </w:r>
            <w:r>
              <w:rPr>
                <w:noProof/>
                <w:webHidden/>
              </w:rPr>
              <w:instrText xml:space="preserve"> PAGEREF _Toc237265689 \h </w:instrText>
            </w:r>
            <w:r>
              <w:rPr>
                <w:noProof/>
                <w:webHidden/>
              </w:rPr>
            </w:r>
            <w:r>
              <w:rPr>
                <w:noProof/>
                <w:webHidden/>
              </w:rPr>
              <w:fldChar w:fldCharType="separate"/>
            </w:r>
            <w:r>
              <w:rPr>
                <w:noProof/>
                <w:webHidden/>
              </w:rPr>
              <w:t>15</w:t>
            </w:r>
            <w:r>
              <w:rPr>
                <w:noProof/>
                <w:webHidden/>
              </w:rPr>
              <w:fldChar w:fldCharType="end"/>
            </w:r>
          </w:hyperlink>
        </w:p>
        <w:p w14:paraId="72A868A9" w14:textId="6209C454" w:rsidR="004F58FA" w:rsidRDefault="004F58FA">
          <w:pPr>
            <w:pStyle w:val="TOC2"/>
            <w:tabs>
              <w:tab w:val="right" w:leader="dot" w:pos="9016"/>
            </w:tabs>
            <w:rPr>
              <w:rFonts w:eastAsiaTheme="minorEastAsia"/>
              <w:noProof/>
              <w:lang w:eastAsia="en-GB"/>
            </w:rPr>
          </w:pPr>
          <w:hyperlink w:anchor="_Toc237265691" w:history="1">
            <w:r w:rsidRPr="006F71A5">
              <w:rPr>
                <w:rStyle w:val="Hyperlink"/>
                <w:noProof/>
              </w:rPr>
              <w:t>Overcoming Implementation Obstacles</w:t>
            </w:r>
            <w:r>
              <w:rPr>
                <w:noProof/>
                <w:webHidden/>
              </w:rPr>
              <w:tab/>
            </w:r>
            <w:r>
              <w:rPr>
                <w:noProof/>
                <w:webHidden/>
              </w:rPr>
              <w:fldChar w:fldCharType="begin"/>
            </w:r>
            <w:r>
              <w:rPr>
                <w:noProof/>
                <w:webHidden/>
              </w:rPr>
              <w:instrText xml:space="preserve"> PAGEREF _Toc237265691 \h </w:instrText>
            </w:r>
            <w:r>
              <w:rPr>
                <w:noProof/>
                <w:webHidden/>
              </w:rPr>
            </w:r>
            <w:r>
              <w:rPr>
                <w:noProof/>
                <w:webHidden/>
              </w:rPr>
              <w:fldChar w:fldCharType="separate"/>
            </w:r>
            <w:r>
              <w:rPr>
                <w:noProof/>
                <w:webHidden/>
              </w:rPr>
              <w:t>15</w:t>
            </w:r>
            <w:r>
              <w:rPr>
                <w:noProof/>
                <w:webHidden/>
              </w:rPr>
              <w:fldChar w:fldCharType="end"/>
            </w:r>
          </w:hyperlink>
        </w:p>
        <w:p w14:paraId="28626C56" w14:textId="34AC0881" w:rsidR="004F58FA" w:rsidRDefault="004F58FA">
          <w:pPr>
            <w:pStyle w:val="TOC1"/>
            <w:tabs>
              <w:tab w:val="right" w:leader="dot" w:pos="9016"/>
            </w:tabs>
            <w:rPr>
              <w:rFonts w:eastAsiaTheme="minorEastAsia"/>
              <w:noProof/>
              <w:lang w:eastAsia="en-GB"/>
            </w:rPr>
          </w:pPr>
          <w:hyperlink w:anchor="_Toc237265694" w:history="1">
            <w:r w:rsidRPr="006F71A5">
              <w:rPr>
                <w:rStyle w:val="Hyperlink"/>
                <w:noProof/>
              </w:rPr>
              <w:t>Key Performance Indicators (KPIs)</w:t>
            </w:r>
            <w:r>
              <w:rPr>
                <w:noProof/>
                <w:webHidden/>
              </w:rPr>
              <w:tab/>
            </w:r>
            <w:r>
              <w:rPr>
                <w:noProof/>
                <w:webHidden/>
              </w:rPr>
              <w:fldChar w:fldCharType="begin"/>
            </w:r>
            <w:r>
              <w:rPr>
                <w:noProof/>
                <w:webHidden/>
              </w:rPr>
              <w:instrText xml:space="preserve"> PAGEREF _Toc237265694 \h </w:instrText>
            </w:r>
            <w:r>
              <w:rPr>
                <w:noProof/>
                <w:webHidden/>
              </w:rPr>
            </w:r>
            <w:r>
              <w:rPr>
                <w:noProof/>
                <w:webHidden/>
              </w:rPr>
              <w:fldChar w:fldCharType="separate"/>
            </w:r>
            <w:r>
              <w:rPr>
                <w:noProof/>
                <w:webHidden/>
              </w:rPr>
              <w:t>16</w:t>
            </w:r>
            <w:r>
              <w:rPr>
                <w:noProof/>
                <w:webHidden/>
              </w:rPr>
              <w:fldChar w:fldCharType="end"/>
            </w:r>
          </w:hyperlink>
        </w:p>
        <w:p w14:paraId="3B521C8F" w14:textId="1BC84F93" w:rsidR="004F58FA" w:rsidRDefault="004F58FA">
          <w:pPr>
            <w:pStyle w:val="TOC1"/>
            <w:tabs>
              <w:tab w:val="right" w:leader="dot" w:pos="9016"/>
            </w:tabs>
            <w:rPr>
              <w:rFonts w:eastAsiaTheme="minorEastAsia"/>
              <w:noProof/>
              <w:lang w:eastAsia="en-GB"/>
            </w:rPr>
          </w:pPr>
          <w:hyperlink w:anchor="_Toc237265700" w:history="1">
            <w:r w:rsidRPr="006F71A5">
              <w:rPr>
                <w:rStyle w:val="Hyperlink"/>
                <w:noProof/>
              </w:rPr>
              <w:t>Conclusion</w:t>
            </w:r>
            <w:r>
              <w:rPr>
                <w:noProof/>
                <w:webHidden/>
              </w:rPr>
              <w:tab/>
            </w:r>
            <w:r>
              <w:rPr>
                <w:noProof/>
                <w:webHidden/>
              </w:rPr>
              <w:fldChar w:fldCharType="begin"/>
            </w:r>
            <w:r>
              <w:rPr>
                <w:noProof/>
                <w:webHidden/>
              </w:rPr>
              <w:instrText xml:space="preserve"> PAGEREF _Toc237265700 \h </w:instrText>
            </w:r>
            <w:r>
              <w:rPr>
                <w:noProof/>
                <w:webHidden/>
              </w:rPr>
            </w:r>
            <w:r>
              <w:rPr>
                <w:noProof/>
                <w:webHidden/>
              </w:rPr>
              <w:fldChar w:fldCharType="separate"/>
            </w:r>
            <w:r>
              <w:rPr>
                <w:noProof/>
                <w:webHidden/>
              </w:rPr>
              <w:t>16</w:t>
            </w:r>
            <w:r>
              <w:rPr>
                <w:noProof/>
                <w:webHidden/>
              </w:rPr>
              <w:fldChar w:fldCharType="end"/>
            </w:r>
          </w:hyperlink>
        </w:p>
        <w:p w14:paraId="2044C0FA" w14:textId="0969C5A5" w:rsidR="004F58FA" w:rsidRDefault="004F58FA">
          <w:pPr>
            <w:pStyle w:val="TOC1"/>
            <w:tabs>
              <w:tab w:val="right" w:leader="dot" w:pos="9016"/>
            </w:tabs>
            <w:rPr>
              <w:rFonts w:eastAsiaTheme="minorEastAsia"/>
              <w:noProof/>
              <w:lang w:eastAsia="en-GB"/>
            </w:rPr>
          </w:pPr>
          <w:hyperlink w:anchor="_Toc237265702" w:history="1">
            <w:r w:rsidRPr="006F71A5">
              <w:rPr>
                <w:rStyle w:val="Hyperlink"/>
                <w:noProof/>
              </w:rPr>
              <w:t>References</w:t>
            </w:r>
            <w:r>
              <w:rPr>
                <w:noProof/>
                <w:webHidden/>
              </w:rPr>
              <w:tab/>
            </w:r>
            <w:r>
              <w:rPr>
                <w:noProof/>
                <w:webHidden/>
              </w:rPr>
              <w:fldChar w:fldCharType="begin"/>
            </w:r>
            <w:r>
              <w:rPr>
                <w:noProof/>
                <w:webHidden/>
              </w:rPr>
              <w:instrText xml:space="preserve"> PAGEREF _Toc237265702 \h </w:instrText>
            </w:r>
            <w:r>
              <w:rPr>
                <w:noProof/>
                <w:webHidden/>
              </w:rPr>
            </w:r>
            <w:r>
              <w:rPr>
                <w:noProof/>
                <w:webHidden/>
              </w:rPr>
              <w:fldChar w:fldCharType="separate"/>
            </w:r>
            <w:r>
              <w:rPr>
                <w:noProof/>
                <w:webHidden/>
              </w:rPr>
              <w:t>18</w:t>
            </w:r>
            <w:r>
              <w:rPr>
                <w:noProof/>
                <w:webHidden/>
              </w:rPr>
              <w:fldChar w:fldCharType="end"/>
            </w:r>
          </w:hyperlink>
        </w:p>
        <w:p w14:paraId="5FE42FE8" w14:textId="08ABEA00" w:rsidR="008814CF" w:rsidRPr="00F77D89" w:rsidRDefault="008814CF" w:rsidP="00F77D89">
          <w:pPr>
            <w:pStyle w:val="TOC1"/>
            <w:tabs>
              <w:tab w:val="right" w:leader="dot" w:pos="9016"/>
            </w:tabs>
            <w:rPr>
              <w:rFonts w:eastAsiaTheme="minorEastAsia"/>
              <w:noProof/>
              <w:lang w:eastAsia="en-GB"/>
            </w:rPr>
          </w:pPr>
          <w:r>
            <w:rPr>
              <w:b/>
              <w:bCs/>
              <w:noProof/>
            </w:rPr>
            <w:fldChar w:fldCharType="end"/>
          </w:r>
        </w:p>
      </w:sdtContent>
    </w:sdt>
    <w:p w14:paraId="277E6C37" w14:textId="543EB6EB" w:rsidR="007B3D5D" w:rsidRPr="00ED67E8" w:rsidRDefault="002F57F3" w:rsidP="00A6203E">
      <w:pPr>
        <w:pStyle w:val="Heading1"/>
      </w:pPr>
      <w:r>
        <w:br w:type="page"/>
      </w:r>
      <w:bookmarkStart w:id="0" w:name="_Toc237265658"/>
      <w:r w:rsidR="007B3D5D" w:rsidRPr="00ED67E8">
        <w:lastRenderedPageBreak/>
        <w:t>Executive Summary</w:t>
      </w:r>
      <w:bookmarkEnd w:id="0"/>
    </w:p>
    <w:p w14:paraId="380A4822" w14:textId="3F089EE0" w:rsidR="007B3D5D" w:rsidRPr="00ED67E8" w:rsidRDefault="0020059A" w:rsidP="00ED67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VodafoneThree enters an important stage in its strategy after Vodafone UK and Three UK were combined in May 2025</w:t>
      </w:r>
      <w:r w:rsidR="007B3D5D" w:rsidRPr="00ED67E8">
        <w:rPr>
          <w:rFonts w:ascii="Arial" w:eastAsia="Times New Roman" w:hAnsi="Arial" w:cs="Arial"/>
          <w:kern w:val="0"/>
          <w:sz w:val="22"/>
          <w:szCs w:val="22"/>
          <w:lang w:eastAsia="en-GB"/>
          <w14:ligatures w14:val="none"/>
        </w:rPr>
        <w:t xml:space="preserve">. </w:t>
      </w:r>
      <w:r w:rsidR="00190079" w:rsidRPr="00ED67E8">
        <w:rPr>
          <w:rFonts w:ascii="Arial" w:eastAsia="Times New Roman" w:hAnsi="Arial" w:cs="Arial"/>
          <w:kern w:val="0"/>
          <w:sz w:val="22"/>
          <w:szCs w:val="22"/>
          <w:lang w:eastAsia="en-GB"/>
          <w14:ligatures w14:val="none"/>
        </w:rPr>
        <w:t>The merger makes VodafoneThree a much larger network operator, with more customers, infrastructure and money to invest</w:t>
      </w:r>
      <w:r w:rsidR="007B3D5D" w:rsidRPr="00ED67E8">
        <w:rPr>
          <w:rFonts w:ascii="Arial" w:eastAsia="Times New Roman" w:hAnsi="Arial" w:cs="Arial"/>
          <w:kern w:val="0"/>
          <w:sz w:val="22"/>
          <w:szCs w:val="22"/>
          <w:lang w:eastAsia="en-GB"/>
          <w14:ligatures w14:val="none"/>
        </w:rPr>
        <w:t>. This report evaluates VodafoneThree’s current market position and future direction using strategic models including PESTEL, SWOT, Porter’s Five Forces, the Ansoff Matrix and SFA analysis. These tools are applied to real telecoms challenges such as 5G investment, network integration, regulatory scrutiny and competitive differentiation.</w:t>
      </w:r>
    </w:p>
    <w:p w14:paraId="7D7E0522" w14:textId="77777777" w:rsidR="007B3D5D" w:rsidRPr="00ED67E8" w:rsidRDefault="007B3D5D" w:rsidP="00ED67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The analysis identifies several forces shaping VodafoneThree’s priorities: rapid technological change, intensifying competition from BT/EE and Virgin Media O2, evolving consumer expectations for reliability and value, and government policy focused on digital inclusion and national infrastructure resilience. VodafoneThree’s strengthened scale provides opportunities to accelerate 5G Standalone deployment, expand digital services and improve network quality, but also requires disciplined integration, regulatory compliance and clear strategic focus.</w:t>
      </w:r>
    </w:p>
    <w:p w14:paraId="6697DFD0" w14:textId="77777777" w:rsidR="007B3D5D" w:rsidRPr="00ED67E8" w:rsidRDefault="007B3D5D" w:rsidP="00ED67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Three strategic options are evaluated: aggressive network leadership, diversified digital services growth and a balanced integration</w:t>
      </w:r>
      <w:r w:rsidRPr="00ED67E8">
        <w:rPr>
          <w:rFonts w:ascii="Arial" w:eastAsia="Times New Roman" w:hAnsi="Arial" w:cs="Arial"/>
          <w:kern w:val="0"/>
          <w:sz w:val="22"/>
          <w:szCs w:val="22"/>
          <w:lang w:eastAsia="en-GB"/>
          <w14:ligatures w14:val="none"/>
        </w:rPr>
        <w:noBreakHyphen/>
        <w:t>led strategy. Using SFA analysis, the report concludes that a balanced strategy offers the strongest fit, feasibility and acceptability. It prioritises network integration, targeted 5G investment, enterprise market expansion and customer</w:t>
      </w:r>
      <w:r w:rsidRPr="00ED67E8">
        <w:rPr>
          <w:rFonts w:ascii="Arial" w:eastAsia="Times New Roman" w:hAnsi="Arial" w:cs="Arial"/>
          <w:kern w:val="0"/>
          <w:sz w:val="22"/>
          <w:szCs w:val="22"/>
          <w:lang w:eastAsia="en-GB"/>
          <w14:ligatures w14:val="none"/>
        </w:rPr>
        <w:noBreakHyphen/>
        <w:t>experience improvement. This approach aligns with Vodafone Group’s purpose of keeping people connected and its vision to become Europe and Africa’s leading technology communications company. The recommended strategy positions VodafoneThree for sustainable growth, improved competitiveness and long</w:t>
      </w:r>
      <w:r w:rsidRPr="00ED67E8">
        <w:rPr>
          <w:rFonts w:ascii="Arial" w:eastAsia="Times New Roman" w:hAnsi="Arial" w:cs="Arial"/>
          <w:kern w:val="0"/>
          <w:sz w:val="22"/>
          <w:szCs w:val="22"/>
          <w:lang w:eastAsia="en-GB"/>
          <w14:ligatures w14:val="none"/>
        </w:rPr>
        <w:noBreakHyphen/>
        <w:t>term value creation.</w:t>
      </w:r>
    </w:p>
    <w:p w14:paraId="6B720F25" w14:textId="77777777" w:rsidR="007B3D5D" w:rsidRPr="00ED67E8" w:rsidRDefault="007B3D5D" w:rsidP="00ED67E8">
      <w:pPr>
        <w:spacing w:line="360" w:lineRule="auto"/>
        <w:jc w:val="both"/>
        <w:rPr>
          <w:rFonts w:ascii="Arial" w:hAnsi="Arial" w:cs="Arial"/>
          <w:sz w:val="22"/>
          <w:szCs w:val="22"/>
        </w:rPr>
      </w:pPr>
      <w:bookmarkStart w:id="1" w:name="_Toc235776833"/>
      <w:bookmarkStart w:id="2" w:name="_Toc235777751"/>
      <w:r w:rsidRPr="00ED67E8">
        <w:rPr>
          <w:rFonts w:ascii="Arial" w:hAnsi="Arial" w:cs="Arial"/>
          <w:sz w:val="22"/>
          <w:szCs w:val="22"/>
        </w:rPr>
        <w:br w:type="page"/>
      </w:r>
    </w:p>
    <w:p w14:paraId="11BBDD74" w14:textId="77777777" w:rsidR="007B3D5D" w:rsidRPr="00A6203E" w:rsidRDefault="007B3D5D" w:rsidP="00A6203E">
      <w:pPr>
        <w:pStyle w:val="Heading1"/>
      </w:pPr>
      <w:bookmarkStart w:id="3" w:name="_Toc237265659"/>
      <w:r w:rsidRPr="00A6203E">
        <w:lastRenderedPageBreak/>
        <w:t>Introduction</w:t>
      </w:r>
      <w:bookmarkEnd w:id="3"/>
    </w:p>
    <w:p w14:paraId="4C14F010" w14:textId="1F2A6CC1" w:rsidR="006E790D" w:rsidRPr="00ED67E8" w:rsidRDefault="009F1213" w:rsidP="00ED67E8">
      <w:pPr>
        <w:spacing w:before="100" w:beforeAutospacing="1" w:after="100" w:afterAutospacing="1" w:line="360" w:lineRule="auto"/>
        <w:jc w:val="both"/>
        <w:rPr>
          <w:rFonts w:ascii="Arial" w:hAnsi="Arial" w:cs="Arial"/>
          <w:sz w:val="22"/>
          <w:szCs w:val="22"/>
        </w:rPr>
      </w:pPr>
      <w:r w:rsidRPr="00ED67E8">
        <w:rPr>
          <w:rFonts w:ascii="Arial" w:hAnsi="Arial" w:cs="Arial"/>
          <w:sz w:val="22"/>
          <w:szCs w:val="22"/>
        </w:rPr>
        <w:t>Vodafone Group Plc is a major telecommunications provider operating across Europe and Africa. In FY26, around 300 million customers in 15 countries used its mobile and fixed services, while partnerships and joint ventures extended its reach further. Vodafone Group Plc (2026) reports that its main areas of business include mobile and broadband connectivity, digital services, Internet of Things (IoT) solutions and business communications, which support the company’s wider digital strategy.</w:t>
      </w:r>
      <w:r w:rsidR="0005568E" w:rsidRPr="00ED67E8">
        <w:rPr>
          <w:rFonts w:ascii="Arial" w:hAnsi="Arial" w:cs="Arial"/>
          <w:sz w:val="22"/>
          <w:szCs w:val="22"/>
        </w:rPr>
        <w:t xml:space="preserve"> </w:t>
      </w:r>
      <w:r w:rsidR="006E790D" w:rsidRPr="00ED67E8">
        <w:rPr>
          <w:rFonts w:ascii="Arial" w:hAnsi="Arial" w:cs="Arial"/>
          <w:sz w:val="22"/>
          <w:szCs w:val="22"/>
        </w:rPr>
        <w:t>Its main services include mobile and broadband connectivity, digital services, Internet of Things (IoT) solutions and communication services for businesses, forming part of Vodafone’s wider digital strategy.</w:t>
      </w:r>
    </w:p>
    <w:p w14:paraId="09235AA2" w14:textId="7E021BA7" w:rsidR="00C95919" w:rsidRPr="00ED67E8" w:rsidRDefault="009A3406" w:rsidP="00ED67E8">
      <w:pPr>
        <w:spacing w:before="100" w:beforeAutospacing="1" w:after="100" w:afterAutospacing="1" w:line="360" w:lineRule="auto"/>
        <w:jc w:val="both"/>
        <w:rPr>
          <w:rFonts w:ascii="Arial" w:hAnsi="Arial" w:cs="Arial"/>
          <w:sz w:val="22"/>
          <w:szCs w:val="22"/>
        </w:rPr>
      </w:pPr>
      <w:r w:rsidRPr="00ED67E8">
        <w:rPr>
          <w:rFonts w:ascii="Arial" w:hAnsi="Arial" w:cs="Arial"/>
          <w:sz w:val="22"/>
          <w:szCs w:val="22"/>
        </w:rPr>
        <w:t xml:space="preserve">The position of </w:t>
      </w:r>
      <w:r w:rsidR="00C95919" w:rsidRPr="00ED67E8">
        <w:rPr>
          <w:rFonts w:ascii="Arial" w:hAnsi="Arial" w:cs="Arial"/>
          <w:sz w:val="22"/>
          <w:szCs w:val="22"/>
        </w:rPr>
        <w:t>Vodafone in the UK</w:t>
      </w:r>
      <w:r w:rsidR="00CF594D" w:rsidRPr="00ED67E8">
        <w:rPr>
          <w:rFonts w:ascii="Arial" w:hAnsi="Arial" w:cs="Arial"/>
          <w:sz w:val="22"/>
          <w:szCs w:val="22"/>
        </w:rPr>
        <w:t xml:space="preserve"> </w:t>
      </w:r>
      <w:r w:rsidR="00C95919" w:rsidRPr="00ED67E8">
        <w:rPr>
          <w:rFonts w:ascii="Arial" w:hAnsi="Arial" w:cs="Arial"/>
          <w:sz w:val="22"/>
          <w:szCs w:val="22"/>
        </w:rPr>
        <w:t>significantly</w:t>
      </w:r>
      <w:r w:rsidR="00CF594D" w:rsidRPr="00ED67E8">
        <w:rPr>
          <w:rFonts w:ascii="Arial" w:hAnsi="Arial" w:cs="Arial"/>
          <w:sz w:val="22"/>
          <w:szCs w:val="22"/>
        </w:rPr>
        <w:t xml:space="preserve"> changed</w:t>
      </w:r>
      <w:r w:rsidR="00C95919" w:rsidRPr="00ED67E8">
        <w:rPr>
          <w:rFonts w:ascii="Arial" w:hAnsi="Arial" w:cs="Arial"/>
          <w:sz w:val="22"/>
          <w:szCs w:val="22"/>
        </w:rPr>
        <w:t xml:space="preserve"> following the merger of Vodafone UK and Three UK, a merger described by Vodafone Group Plc (2025) as completing on 31 May 2025 and creating VodafoneThree, the country’s largest mobile operator with more than 28 million customers. </w:t>
      </w:r>
      <w:r w:rsidR="001215E5" w:rsidRPr="00ED67E8">
        <w:rPr>
          <w:rFonts w:ascii="Arial" w:hAnsi="Arial" w:cs="Arial"/>
          <w:sz w:val="22"/>
          <w:szCs w:val="22"/>
        </w:rPr>
        <w:t xml:space="preserve">Vodafone Group Plc (2025) states that the combined business </w:t>
      </w:r>
      <w:r w:rsidR="00ED3F50" w:rsidRPr="00ED67E8">
        <w:rPr>
          <w:rFonts w:ascii="Arial" w:hAnsi="Arial" w:cs="Arial"/>
          <w:sz w:val="22"/>
          <w:szCs w:val="22"/>
        </w:rPr>
        <w:t>invested £</w:t>
      </w:r>
      <w:r w:rsidR="001215E5" w:rsidRPr="00ED67E8">
        <w:rPr>
          <w:rFonts w:ascii="Arial" w:hAnsi="Arial" w:cs="Arial"/>
          <w:sz w:val="22"/>
          <w:szCs w:val="22"/>
        </w:rPr>
        <w:t>11 billion over ten years to improve network quality and develop its 5G network.</w:t>
      </w:r>
      <w:r w:rsidR="00ED3F50" w:rsidRPr="00ED67E8">
        <w:rPr>
          <w:rFonts w:ascii="Arial" w:hAnsi="Arial" w:cs="Arial"/>
          <w:sz w:val="22"/>
          <w:szCs w:val="22"/>
        </w:rPr>
        <w:t xml:space="preserve"> </w:t>
      </w:r>
      <w:r w:rsidR="005C2466" w:rsidRPr="00ED67E8">
        <w:rPr>
          <w:rFonts w:ascii="Arial" w:hAnsi="Arial" w:cs="Arial"/>
          <w:sz w:val="22"/>
          <w:szCs w:val="22"/>
        </w:rPr>
        <w:t xml:space="preserve">Vodafone Group Plc (2026) states that in May 2026, Vodafone </w:t>
      </w:r>
      <w:r w:rsidR="00B35A3D" w:rsidRPr="00ED67E8">
        <w:rPr>
          <w:rFonts w:ascii="Arial" w:hAnsi="Arial" w:cs="Arial"/>
          <w:sz w:val="22"/>
          <w:szCs w:val="22"/>
        </w:rPr>
        <w:t xml:space="preserve">also </w:t>
      </w:r>
      <w:r w:rsidR="005C2466" w:rsidRPr="00ED67E8">
        <w:rPr>
          <w:rFonts w:ascii="Arial" w:hAnsi="Arial" w:cs="Arial"/>
          <w:sz w:val="22"/>
          <w:szCs w:val="22"/>
        </w:rPr>
        <w:t>agreed to buy CK Hutchison’s remaining 49% share for £4.3 billion, subject to regulatory approval. This would give Vodafone full ownership of VodafoneThree.</w:t>
      </w:r>
      <w:r w:rsidR="00C95919" w:rsidRPr="00ED67E8">
        <w:rPr>
          <w:rFonts w:ascii="Arial" w:hAnsi="Arial" w:cs="Arial"/>
          <w:sz w:val="22"/>
          <w:szCs w:val="22"/>
        </w:rPr>
        <w:t xml:space="preserve"> These developments illustrate the scale of organisational change and investment shaping VodafoneThree’s future strategic direction, reinforcing the importance of effective strategic assessment.</w:t>
      </w:r>
    </w:p>
    <w:p w14:paraId="6514A5C1" w14:textId="5C1A3D3C" w:rsidR="007B3D5D" w:rsidRPr="00ED67E8" w:rsidRDefault="00C95919" w:rsidP="00ED67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The merger has created greater scale, network capacity and investment capability, but it has also increased integration complexity and regulatory scrutiny. Ofcom continues to monitor the development of UK mobile networks, with this monitoring outlined in Ofcom (2026) as occurring alongside the expansion of 5G Standalone coverage across the market, reinforcing the need for comprehensive strategic evaluation.</w:t>
      </w:r>
    </w:p>
    <w:p w14:paraId="00106E54" w14:textId="77777777" w:rsidR="002E3E4C" w:rsidRPr="00ED67E8" w:rsidRDefault="002E3E4C" w:rsidP="00ED67E8">
      <w:pPr>
        <w:pStyle w:val="Heading1"/>
        <w:spacing w:line="360" w:lineRule="auto"/>
        <w:jc w:val="both"/>
        <w:rPr>
          <w:rFonts w:eastAsia="Times New Roman" w:cs="Arial"/>
          <w:color w:val="auto"/>
          <w:kern w:val="0"/>
          <w:sz w:val="22"/>
          <w:szCs w:val="22"/>
          <w:lang w:eastAsia="en-GB"/>
          <w14:ligatures w14:val="none"/>
        </w:rPr>
      </w:pPr>
      <w:bookmarkStart w:id="4" w:name="_Toc237265660"/>
      <w:r w:rsidRPr="00ED67E8">
        <w:rPr>
          <w:rFonts w:eastAsia="Times New Roman" w:cs="Arial"/>
          <w:color w:val="auto"/>
          <w:kern w:val="0"/>
          <w:sz w:val="22"/>
          <w:szCs w:val="22"/>
          <w:lang w:eastAsia="en-GB"/>
          <w14:ligatures w14:val="none"/>
        </w:rPr>
        <w:t>This report examines VodafoneThree’s position using SWOT, PESTEL, Porter’s Five Forces, the Ansoff Matrix, Porter’s Generic Strategies and SFA analysis. It recommends a differentiation strategy focused on better network quality, customer experience and digital services.</w:t>
      </w:r>
      <w:bookmarkEnd w:id="4"/>
    </w:p>
    <w:p w14:paraId="65C75C19" w14:textId="7B4E25E3" w:rsidR="007B3D5D" w:rsidRPr="00A6203E" w:rsidRDefault="007B3D5D" w:rsidP="00A6203E">
      <w:pPr>
        <w:pStyle w:val="Heading1"/>
      </w:pPr>
      <w:bookmarkStart w:id="5" w:name="_Toc237265661"/>
      <w:r w:rsidRPr="00A6203E">
        <w:t>Evaluation of Current Market Situation</w:t>
      </w:r>
      <w:bookmarkEnd w:id="1"/>
      <w:bookmarkEnd w:id="2"/>
      <w:bookmarkEnd w:id="5"/>
    </w:p>
    <w:p w14:paraId="28762724" w14:textId="397C91CC" w:rsidR="007B3D5D" w:rsidRPr="00ED67E8" w:rsidRDefault="003F287F"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bookmarkStart w:id="6" w:name="_Toc235776835"/>
      <w:bookmarkStart w:id="7" w:name="_Toc235777753"/>
      <w:r w:rsidRPr="00ED67E8">
        <w:rPr>
          <w:rFonts w:ascii="Arial" w:eastAsia="Times New Roman" w:hAnsi="Arial" w:cs="Arial"/>
          <w:color w:val="0D0D0D"/>
          <w:kern w:val="0"/>
          <w:sz w:val="22"/>
          <w:szCs w:val="22"/>
          <w:lang w:eastAsia="en-GB"/>
          <w14:ligatures w14:val="none"/>
        </w:rPr>
        <w:t xml:space="preserve">The current market situation is assessed using SWOT, PESTEL and Porter’s Five Forces, with these frameworks described by Johnson et al. (2020) as providing complementary perspectives on internal capabilities, external environmental pressures and industry </w:t>
      </w:r>
      <w:r w:rsidRPr="00ED67E8">
        <w:rPr>
          <w:rFonts w:ascii="Arial" w:eastAsia="Times New Roman" w:hAnsi="Arial" w:cs="Arial"/>
          <w:color w:val="0D0D0D"/>
          <w:kern w:val="0"/>
          <w:sz w:val="22"/>
          <w:szCs w:val="22"/>
          <w:lang w:eastAsia="en-GB"/>
          <w14:ligatures w14:val="none"/>
        </w:rPr>
        <w:lastRenderedPageBreak/>
        <w:t>competition. Together, they support a structured and evidence</w:t>
      </w:r>
      <w:r w:rsidRPr="00ED67E8">
        <w:rPr>
          <w:rFonts w:ascii="Cambria Math" w:eastAsia="Times New Roman" w:hAnsi="Cambria Math" w:cs="Cambria Math"/>
          <w:color w:val="0D0D0D"/>
          <w:kern w:val="0"/>
          <w:sz w:val="22"/>
          <w:szCs w:val="22"/>
          <w:lang w:eastAsia="en-GB"/>
          <w14:ligatures w14:val="none"/>
        </w:rPr>
        <w:t>‑</w:t>
      </w:r>
      <w:r w:rsidRPr="00ED67E8">
        <w:rPr>
          <w:rFonts w:ascii="Arial" w:eastAsia="Times New Roman" w:hAnsi="Arial" w:cs="Arial"/>
          <w:color w:val="0D0D0D"/>
          <w:kern w:val="0"/>
          <w:sz w:val="22"/>
          <w:szCs w:val="22"/>
          <w:lang w:eastAsia="en-GB"/>
          <w14:ligatures w14:val="none"/>
        </w:rPr>
        <w:t>based foundation for informed decision making.</w:t>
      </w:r>
    </w:p>
    <w:p w14:paraId="366EA009" w14:textId="77777777" w:rsidR="003F287F" w:rsidRPr="00ED67E8" w:rsidRDefault="003F287F" w:rsidP="00ED67E8">
      <w:pPr>
        <w:pStyle w:val="Heading3"/>
        <w:spacing w:line="360" w:lineRule="auto"/>
        <w:jc w:val="both"/>
        <w:rPr>
          <w:rFonts w:cs="Arial"/>
          <w:szCs w:val="22"/>
        </w:rPr>
      </w:pPr>
    </w:p>
    <w:p w14:paraId="57C86738" w14:textId="7AF2247C" w:rsidR="007B3D5D" w:rsidRPr="00A6203E" w:rsidRDefault="007B3D5D" w:rsidP="00A6203E">
      <w:pPr>
        <w:pStyle w:val="Heading2"/>
      </w:pPr>
      <w:bookmarkStart w:id="8" w:name="_Toc237265662"/>
      <w:r w:rsidRPr="00A6203E">
        <w:t>SWOT Analysis</w:t>
      </w:r>
      <w:bookmarkEnd w:id="8"/>
    </w:p>
    <w:p w14:paraId="568D9DB7" w14:textId="0B02BABA" w:rsidR="003F287F" w:rsidRPr="00ED67E8" w:rsidRDefault="00B4421F"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r w:rsidRPr="00ED67E8">
        <w:rPr>
          <w:rFonts w:ascii="Arial" w:eastAsia="Times New Roman" w:hAnsi="Arial" w:cs="Arial"/>
          <w:color w:val="0D0D0D"/>
          <w:kern w:val="0"/>
          <w:sz w:val="22"/>
          <w:szCs w:val="22"/>
          <w:lang w:eastAsia="en-GB"/>
          <w14:ligatures w14:val="none"/>
        </w:rPr>
        <w:t xml:space="preserve">The </w:t>
      </w:r>
      <w:r w:rsidR="003F287F" w:rsidRPr="00ED67E8">
        <w:rPr>
          <w:rFonts w:ascii="Arial" w:eastAsia="Times New Roman" w:hAnsi="Arial" w:cs="Arial"/>
          <w:color w:val="0D0D0D"/>
          <w:kern w:val="0"/>
          <w:sz w:val="22"/>
          <w:szCs w:val="22"/>
          <w:lang w:eastAsia="en-GB"/>
          <w14:ligatures w14:val="none"/>
        </w:rPr>
        <w:t xml:space="preserve">SWOT analysis identifies VodafoneThree’s key strengths, weaknesses, opportunities and </w:t>
      </w:r>
      <w:r w:rsidR="00F5621F" w:rsidRPr="00ED67E8">
        <w:rPr>
          <w:rFonts w:ascii="Arial" w:eastAsia="Times New Roman" w:hAnsi="Arial" w:cs="Arial"/>
          <w:color w:val="0D0D0D"/>
          <w:kern w:val="0"/>
          <w:sz w:val="22"/>
          <w:szCs w:val="22"/>
          <w:lang w:eastAsia="en-GB"/>
          <w14:ligatures w14:val="none"/>
        </w:rPr>
        <w:t>threats. Johnson</w:t>
      </w:r>
      <w:r w:rsidR="00F5621F" w:rsidRPr="00ED67E8">
        <w:rPr>
          <w:rFonts w:ascii="Arial" w:eastAsia="Times New Roman" w:hAnsi="Arial" w:cs="Arial"/>
          <w:color w:val="0D0D0D"/>
          <w:kern w:val="0"/>
          <w:sz w:val="22"/>
          <w:szCs w:val="22"/>
          <w:lang w:eastAsia="en-GB"/>
          <w14:ligatures w14:val="none"/>
        </w:rPr>
        <w:t xml:space="preserve"> et al. (2020) explain that the framework helps assess a company’s internal strengths and weaknesses as well as external pressures that affect its strategic choices.</w:t>
      </w:r>
      <w:r w:rsidR="003F287F" w:rsidRPr="00ED67E8">
        <w:rPr>
          <w:rFonts w:ascii="Arial" w:eastAsia="Times New Roman" w:hAnsi="Arial" w:cs="Arial"/>
          <w:color w:val="0D0D0D"/>
          <w:kern w:val="0"/>
          <w:sz w:val="22"/>
          <w:szCs w:val="22"/>
          <w:lang w:eastAsia="en-GB"/>
          <w14:ligatures w14:val="none"/>
        </w:rPr>
        <w:t xml:space="preserve"> It therefore provides a clear basis for understanding the organisation’s current position and future priorities</w:t>
      </w:r>
      <w:r w:rsidRPr="00ED67E8">
        <w:rPr>
          <w:rFonts w:ascii="Arial" w:eastAsia="Times New Roman" w:hAnsi="Arial" w:cs="Arial"/>
          <w:color w:val="0D0D0D"/>
          <w:kern w:val="0"/>
          <w:sz w:val="22"/>
          <w:szCs w:val="22"/>
          <w:lang w:eastAsia="en-GB"/>
          <w14:ligatures w14:val="none"/>
        </w:rPr>
        <w:t>.</w:t>
      </w:r>
    </w:p>
    <w:p w14:paraId="087A28AB" w14:textId="77777777" w:rsidR="008814CF" w:rsidRPr="00ED67E8" w:rsidRDefault="008814CF"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p>
    <w:p w14:paraId="455F66C4" w14:textId="30E495F5" w:rsidR="00B4421F" w:rsidRPr="00ED67E8" w:rsidRDefault="00B4421F"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r w:rsidRPr="00ED67E8">
        <w:rPr>
          <w:rFonts w:ascii="Arial" w:eastAsia="Times New Roman" w:hAnsi="Arial" w:cs="Arial"/>
          <w:color w:val="0D0D0D"/>
          <w:kern w:val="0"/>
          <w:sz w:val="22"/>
          <w:szCs w:val="22"/>
          <w:lang w:eastAsia="en-GB"/>
          <w14:ligatures w14:val="none"/>
        </w:rPr>
        <w:t>VodafoneThree’s main strengths include its increased scale, large customer base, established brands and substantial investment capacity. The £11 billion network investment programme, described in Vodafone Group Plc (2025), provides the resources needed to improve coverage, expand capacity and enhance 5G performance across the UK. Recent network integration has also strengthened operational capability, with Ericsson (2026) reporting that combined network sharing has already improved coverage and reliability for millions of customers. These developments demonstrate how VodafoneThree’s expanded infrastructure and investment commitments create a strong platform for future competitive advantage.</w:t>
      </w:r>
    </w:p>
    <w:p w14:paraId="7D892CD6" w14:textId="77777777" w:rsidR="00493E58" w:rsidRPr="00A6203E" w:rsidRDefault="00493E58" w:rsidP="00A6203E">
      <w:pPr>
        <w:pStyle w:val="Heading3"/>
      </w:pPr>
      <w:bookmarkStart w:id="9" w:name="_Toc235776836"/>
      <w:bookmarkStart w:id="10" w:name="_Toc235777754"/>
      <w:bookmarkStart w:id="11" w:name="_Toc237265663"/>
      <w:bookmarkEnd w:id="6"/>
      <w:bookmarkEnd w:id="7"/>
      <w:r w:rsidRPr="00A6203E">
        <w:t>Strengths</w:t>
      </w:r>
      <w:bookmarkEnd w:id="11"/>
      <w:r w:rsidRPr="00A6203E">
        <w:t xml:space="preserve">  </w:t>
      </w:r>
    </w:p>
    <w:p w14:paraId="128A15E4" w14:textId="77777777" w:rsidR="00493E58" w:rsidRPr="00ED67E8" w:rsidRDefault="00493E58"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r w:rsidRPr="00ED67E8">
        <w:rPr>
          <w:rFonts w:ascii="Arial" w:eastAsia="Times New Roman" w:hAnsi="Arial" w:cs="Arial"/>
          <w:color w:val="0D0D0D"/>
          <w:kern w:val="0"/>
          <w:sz w:val="22"/>
          <w:szCs w:val="22"/>
          <w:lang w:eastAsia="en-GB"/>
          <w14:ligatures w14:val="none"/>
        </w:rPr>
        <w:t>VodafoneThree benefits from increased scale, a larger customer base and strong brand recognition, supported by substantial investment capacity. The £11 billion network programme described in Vodafone Group Plc (2025) enables improvements in coverage, capacity and 5G Standalone performance. Network integration has also strengthened operational reliability, with Ericsson (2026) reporting that shared infrastructure has already enhanced service quality for millions of customers. These strengths position VodafoneThree to compete more effectively in a market where network quality and investment capability are critical.</w:t>
      </w:r>
    </w:p>
    <w:p w14:paraId="567680F4" w14:textId="77777777" w:rsidR="00493E58" w:rsidRPr="00ED67E8" w:rsidRDefault="00493E58"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p>
    <w:p w14:paraId="1B3DE22A" w14:textId="77777777" w:rsidR="00493E58" w:rsidRPr="00A6203E" w:rsidRDefault="00493E58" w:rsidP="00A6203E">
      <w:pPr>
        <w:pStyle w:val="Heading3"/>
      </w:pPr>
      <w:bookmarkStart w:id="12" w:name="_Toc237265664"/>
      <w:r w:rsidRPr="00A6203E">
        <w:t>Weaknesses</w:t>
      </w:r>
      <w:bookmarkEnd w:id="12"/>
      <w:r w:rsidRPr="00A6203E">
        <w:t xml:space="preserve">  </w:t>
      </w:r>
    </w:p>
    <w:p w14:paraId="301A30B6" w14:textId="77777777" w:rsidR="00493E58" w:rsidRPr="00ED67E8" w:rsidRDefault="00493E58"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r w:rsidRPr="00ED67E8">
        <w:rPr>
          <w:rFonts w:ascii="Arial" w:eastAsia="Times New Roman" w:hAnsi="Arial" w:cs="Arial"/>
          <w:color w:val="0D0D0D"/>
          <w:kern w:val="0"/>
          <w:sz w:val="22"/>
          <w:szCs w:val="22"/>
          <w:lang w:eastAsia="en-GB"/>
          <w14:ligatures w14:val="none"/>
        </w:rPr>
        <w:t>Key weaknesses arise from the complexity of integrating two national networks, technology systems, workforces and organisational cultures. Integration delays or higher</w:t>
      </w:r>
      <w:r w:rsidRPr="00ED67E8">
        <w:rPr>
          <w:rFonts w:ascii="Cambria Math" w:eastAsia="Times New Roman" w:hAnsi="Cambria Math" w:cs="Cambria Math"/>
          <w:color w:val="0D0D0D"/>
          <w:kern w:val="0"/>
          <w:sz w:val="22"/>
          <w:szCs w:val="22"/>
          <w:lang w:eastAsia="en-GB"/>
          <w14:ligatures w14:val="none"/>
        </w:rPr>
        <w:t>‑</w:t>
      </w:r>
      <w:r w:rsidRPr="00ED67E8">
        <w:rPr>
          <w:rFonts w:ascii="Arial" w:eastAsia="Times New Roman" w:hAnsi="Arial" w:cs="Arial"/>
          <w:color w:val="0D0D0D"/>
          <w:kern w:val="0"/>
          <w:sz w:val="22"/>
          <w:szCs w:val="22"/>
          <w:lang w:eastAsia="en-GB"/>
          <w14:ligatures w14:val="none"/>
        </w:rPr>
        <w:t>than</w:t>
      </w:r>
      <w:r w:rsidRPr="00ED67E8">
        <w:rPr>
          <w:rFonts w:ascii="Cambria Math" w:eastAsia="Times New Roman" w:hAnsi="Cambria Math" w:cs="Cambria Math"/>
          <w:color w:val="0D0D0D"/>
          <w:kern w:val="0"/>
          <w:sz w:val="22"/>
          <w:szCs w:val="22"/>
          <w:lang w:eastAsia="en-GB"/>
          <w14:ligatures w14:val="none"/>
        </w:rPr>
        <w:t>‑</w:t>
      </w:r>
      <w:r w:rsidRPr="00ED67E8">
        <w:rPr>
          <w:rFonts w:ascii="Arial" w:eastAsia="Times New Roman" w:hAnsi="Arial" w:cs="Arial"/>
          <w:color w:val="0D0D0D"/>
          <w:kern w:val="0"/>
          <w:sz w:val="22"/>
          <w:szCs w:val="22"/>
          <w:lang w:eastAsia="en-GB"/>
          <w14:ligatures w14:val="none"/>
        </w:rPr>
        <w:t>expected costs could reduce the financial benefits anticipated from the merger. Such challenges may also affect customer experience if network consolidation is slower or more disruptive than planned, highlighting the importance of disciplined execution.</w:t>
      </w:r>
    </w:p>
    <w:p w14:paraId="77CB8C95" w14:textId="77777777" w:rsidR="00493E58" w:rsidRPr="00ED67E8" w:rsidRDefault="00493E58"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p>
    <w:p w14:paraId="56DD217F" w14:textId="77777777" w:rsidR="00493E58" w:rsidRPr="00A6203E" w:rsidRDefault="00493E58" w:rsidP="00A6203E">
      <w:pPr>
        <w:pStyle w:val="Heading3"/>
      </w:pPr>
      <w:bookmarkStart w:id="13" w:name="_Toc237265665"/>
      <w:r w:rsidRPr="00A6203E">
        <w:lastRenderedPageBreak/>
        <w:t>Opportunities</w:t>
      </w:r>
      <w:bookmarkEnd w:id="13"/>
      <w:r w:rsidRPr="00A6203E">
        <w:t xml:space="preserve">  </w:t>
      </w:r>
    </w:p>
    <w:p w14:paraId="7C5AD83B" w14:textId="77777777" w:rsidR="00493E58" w:rsidRPr="00ED67E8" w:rsidRDefault="00493E58"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r w:rsidRPr="00ED67E8">
        <w:rPr>
          <w:rFonts w:ascii="Arial" w:eastAsia="Times New Roman" w:hAnsi="Arial" w:cs="Arial"/>
          <w:color w:val="0D0D0D"/>
          <w:kern w:val="0"/>
          <w:sz w:val="22"/>
          <w:szCs w:val="22"/>
          <w:lang w:eastAsia="en-GB"/>
          <w14:ligatures w14:val="none"/>
        </w:rPr>
        <w:t>Major opportunities include the expansion of 5G Standalone, improved broadband propositions, IoT solutions, digital services and enterprise connectivity. Vodafone Group Plc (2026) emphasises that these areas support growth beyond traditional mobile connectivity, enabling diversification into higher</w:t>
      </w:r>
      <w:r w:rsidRPr="00ED67E8">
        <w:rPr>
          <w:rFonts w:ascii="Cambria Math" w:eastAsia="Times New Roman" w:hAnsi="Cambria Math" w:cs="Cambria Math"/>
          <w:color w:val="0D0D0D"/>
          <w:kern w:val="0"/>
          <w:sz w:val="22"/>
          <w:szCs w:val="22"/>
          <w:lang w:eastAsia="en-GB"/>
          <w14:ligatures w14:val="none"/>
        </w:rPr>
        <w:t>‑</w:t>
      </w:r>
      <w:r w:rsidRPr="00ED67E8">
        <w:rPr>
          <w:rFonts w:ascii="Arial" w:eastAsia="Times New Roman" w:hAnsi="Arial" w:cs="Arial"/>
          <w:color w:val="0D0D0D"/>
          <w:kern w:val="0"/>
          <w:sz w:val="22"/>
          <w:szCs w:val="22"/>
          <w:lang w:eastAsia="en-GB"/>
          <w14:ligatures w14:val="none"/>
        </w:rPr>
        <w:t>value digital and enterprise markets. These opportunities align with broader industry trends towards cloud</w:t>
      </w:r>
      <w:r w:rsidRPr="00ED67E8">
        <w:rPr>
          <w:rFonts w:ascii="Cambria Math" w:eastAsia="Times New Roman" w:hAnsi="Cambria Math" w:cs="Cambria Math"/>
          <w:color w:val="0D0D0D"/>
          <w:kern w:val="0"/>
          <w:sz w:val="22"/>
          <w:szCs w:val="22"/>
          <w:lang w:eastAsia="en-GB"/>
          <w14:ligatures w14:val="none"/>
        </w:rPr>
        <w:t>‑</w:t>
      </w:r>
      <w:r w:rsidRPr="00ED67E8">
        <w:rPr>
          <w:rFonts w:ascii="Arial" w:eastAsia="Times New Roman" w:hAnsi="Arial" w:cs="Arial"/>
          <w:color w:val="0D0D0D"/>
          <w:kern w:val="0"/>
          <w:sz w:val="22"/>
          <w:szCs w:val="22"/>
          <w:lang w:eastAsia="en-GB"/>
          <w14:ligatures w14:val="none"/>
        </w:rPr>
        <w:t>enabled services and connected devices.</w:t>
      </w:r>
    </w:p>
    <w:p w14:paraId="44263A22" w14:textId="77777777" w:rsidR="00493E58" w:rsidRPr="00ED67E8" w:rsidRDefault="00493E58"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p>
    <w:p w14:paraId="0990F702" w14:textId="77777777" w:rsidR="00493E58" w:rsidRPr="00A6203E" w:rsidRDefault="00493E58" w:rsidP="00A6203E">
      <w:pPr>
        <w:pStyle w:val="Heading3"/>
      </w:pPr>
      <w:bookmarkStart w:id="14" w:name="_Toc237265666"/>
      <w:r w:rsidRPr="00A6203E">
        <w:t>Threats</w:t>
      </w:r>
      <w:bookmarkEnd w:id="14"/>
      <w:r w:rsidRPr="00A6203E">
        <w:t xml:space="preserve">  </w:t>
      </w:r>
    </w:p>
    <w:p w14:paraId="3B93985C" w14:textId="1960B43D" w:rsidR="007B3D5D" w:rsidRPr="00ED67E8" w:rsidRDefault="00493E58" w:rsidP="00ED67E8">
      <w:pPr>
        <w:shd w:val="clear" w:color="auto" w:fill="FFFFFF"/>
        <w:spacing w:after="0" w:line="360" w:lineRule="auto"/>
        <w:jc w:val="both"/>
        <w:rPr>
          <w:rFonts w:ascii="Arial" w:eastAsia="Times New Roman" w:hAnsi="Arial" w:cs="Arial"/>
          <w:color w:val="0D0D0D"/>
          <w:kern w:val="0"/>
          <w:sz w:val="22"/>
          <w:szCs w:val="22"/>
          <w:lang w:eastAsia="en-GB"/>
          <w14:ligatures w14:val="none"/>
        </w:rPr>
      </w:pPr>
      <w:r w:rsidRPr="00ED67E8">
        <w:rPr>
          <w:rFonts w:ascii="Arial" w:eastAsia="Times New Roman" w:hAnsi="Arial" w:cs="Arial"/>
          <w:color w:val="0D0D0D"/>
          <w:kern w:val="0"/>
          <w:sz w:val="22"/>
          <w:szCs w:val="22"/>
          <w:lang w:eastAsia="en-GB"/>
          <w14:ligatures w14:val="none"/>
        </w:rPr>
        <w:t>Significant threats include strong rivalry, high customer choice, low switching costs and ongoing regulatory scrutiny. The Competition and Markets Authority, as outlined in Competition and Markets Authority (2025), required commitments on network investment, selected tariffs and wholesale access due to concerns about reducing the number of major mobile operators. These conditions increase compliance obligations and limit strategic flexibility.</w:t>
      </w:r>
    </w:p>
    <w:p w14:paraId="1274ABF4" w14:textId="61F145B9" w:rsidR="00813239" w:rsidRPr="00ED67E8" w:rsidRDefault="00813239" w:rsidP="00ED67E8">
      <w:pPr>
        <w:shd w:val="clear" w:color="auto" w:fill="FFFFFF"/>
        <w:spacing w:after="0" w:line="360" w:lineRule="auto"/>
        <w:jc w:val="both"/>
        <w:rPr>
          <w:rFonts w:ascii="Arial" w:hAnsi="Arial" w:cs="Arial"/>
          <w:sz w:val="22"/>
          <w:szCs w:val="22"/>
        </w:rPr>
      </w:pPr>
      <w:r w:rsidRPr="00ED67E8">
        <w:rPr>
          <w:rFonts w:ascii="Arial" w:hAnsi="Arial" w:cs="Arial"/>
          <w:noProof/>
          <w:sz w:val="22"/>
          <w:szCs w:val="22"/>
        </w:rPr>
        <w:drawing>
          <wp:inline distT="0" distB="0" distL="0" distR="0" wp14:anchorId="000CB31C" wp14:editId="023FF80A">
            <wp:extent cx="5607338" cy="2806844"/>
            <wp:effectExtent l="0" t="0" r="0" b="0"/>
            <wp:docPr id="1432447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47564" name=""/>
                    <pic:cNvPicPr/>
                  </pic:nvPicPr>
                  <pic:blipFill>
                    <a:blip r:embed="rId9"/>
                    <a:stretch>
                      <a:fillRect/>
                    </a:stretch>
                  </pic:blipFill>
                  <pic:spPr>
                    <a:xfrm>
                      <a:off x="0" y="0"/>
                      <a:ext cx="5607338" cy="2806844"/>
                    </a:xfrm>
                    <a:prstGeom prst="rect">
                      <a:avLst/>
                    </a:prstGeom>
                  </pic:spPr>
                </pic:pic>
              </a:graphicData>
            </a:graphic>
          </wp:inline>
        </w:drawing>
      </w:r>
    </w:p>
    <w:bookmarkEnd w:id="9"/>
    <w:bookmarkEnd w:id="10"/>
    <w:p w14:paraId="4D3474DF" w14:textId="77777777" w:rsidR="00493E58" w:rsidRPr="00ED67E8" w:rsidRDefault="00493E58" w:rsidP="00ED67E8">
      <w:pPr>
        <w:shd w:val="clear" w:color="auto" w:fill="FFFFFF"/>
        <w:spacing w:after="0" w:line="360" w:lineRule="auto"/>
        <w:jc w:val="both"/>
        <w:rPr>
          <w:rFonts w:ascii="Arial" w:hAnsi="Arial" w:cs="Arial"/>
          <w:sz w:val="22"/>
          <w:szCs w:val="22"/>
        </w:rPr>
      </w:pPr>
    </w:p>
    <w:p w14:paraId="2848DFC2" w14:textId="2DEF3797" w:rsidR="007B3D5D" w:rsidRPr="00A6203E" w:rsidRDefault="007B3D5D" w:rsidP="00A6203E">
      <w:pPr>
        <w:pStyle w:val="Heading2"/>
      </w:pPr>
      <w:bookmarkStart w:id="15" w:name="_Toc237265667"/>
      <w:r w:rsidRPr="00A6203E">
        <w:t>PESTEL Analysis</w:t>
      </w:r>
      <w:bookmarkEnd w:id="15"/>
    </w:p>
    <w:p w14:paraId="272C7B56" w14:textId="448E0232" w:rsidR="007B3D5D" w:rsidRPr="00ED67E8" w:rsidRDefault="00813239"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 xml:space="preserve">PESTEL </w:t>
      </w:r>
      <w:r w:rsidR="009A4FCB" w:rsidRPr="00ED67E8">
        <w:rPr>
          <w:rFonts w:ascii="Arial" w:hAnsi="Arial" w:cs="Arial"/>
          <w:sz w:val="22"/>
          <w:szCs w:val="22"/>
        </w:rPr>
        <w:t>looks at</w:t>
      </w:r>
      <w:r w:rsidRPr="00ED67E8">
        <w:rPr>
          <w:rFonts w:ascii="Arial" w:hAnsi="Arial" w:cs="Arial"/>
          <w:sz w:val="22"/>
          <w:szCs w:val="22"/>
        </w:rPr>
        <w:t xml:space="preserve"> the political, economic, social, technological, environmental and legal factors affecting VodafoneThree. Johnson et al. (2020) explain that the framework helps organisations understand external factors that may influence their priorities and performance. It gives a wider view of how regulation, market changes, new technology and social expectations affect VodafoneThree’s business environment. It also complements the findings from the SWOT and Porter’s Five Forces analyses.</w:t>
      </w:r>
    </w:p>
    <w:p w14:paraId="20FAAB6C" w14:textId="77777777" w:rsidR="00813239" w:rsidRPr="00ED67E8" w:rsidRDefault="00813239" w:rsidP="00ED67E8">
      <w:pPr>
        <w:shd w:val="clear" w:color="auto" w:fill="FFFFFF"/>
        <w:spacing w:after="0" w:line="360" w:lineRule="auto"/>
        <w:jc w:val="both"/>
        <w:rPr>
          <w:rFonts w:ascii="Arial" w:hAnsi="Arial" w:cs="Arial"/>
          <w:sz w:val="22"/>
          <w:szCs w:val="22"/>
        </w:rPr>
      </w:pPr>
    </w:p>
    <w:p w14:paraId="488FEFEC" w14:textId="7FCCAF6C" w:rsidR="00813239" w:rsidRPr="00ED67E8" w:rsidRDefault="00813239" w:rsidP="00ED67E8">
      <w:pPr>
        <w:pStyle w:val="NormalWeb"/>
        <w:spacing w:line="360" w:lineRule="auto"/>
        <w:jc w:val="both"/>
        <w:rPr>
          <w:rFonts w:ascii="Arial" w:hAnsi="Arial" w:cs="Arial"/>
          <w:sz w:val="22"/>
          <w:szCs w:val="22"/>
        </w:rPr>
      </w:pPr>
      <w:r w:rsidRPr="00ED67E8">
        <w:rPr>
          <w:rFonts w:ascii="Arial" w:hAnsi="Arial" w:cs="Arial"/>
          <w:sz w:val="22"/>
          <w:szCs w:val="22"/>
        </w:rPr>
        <w:lastRenderedPageBreak/>
        <w:t xml:space="preserve">Political and legal factors are highly significant because telecommunications is strategically important and heavily regulated. </w:t>
      </w:r>
      <w:r w:rsidR="00290FC0" w:rsidRPr="00ED67E8">
        <w:rPr>
          <w:rFonts w:ascii="Arial" w:hAnsi="Arial" w:cs="Arial"/>
          <w:sz w:val="22"/>
          <w:szCs w:val="22"/>
        </w:rPr>
        <w:t>Subject to legally bi</w:t>
      </w:r>
      <w:r w:rsidR="00E17347" w:rsidRPr="00ED67E8">
        <w:rPr>
          <w:rFonts w:ascii="Arial" w:hAnsi="Arial" w:cs="Arial"/>
          <w:sz w:val="22"/>
          <w:szCs w:val="22"/>
        </w:rPr>
        <w:t>nding commitments, t</w:t>
      </w:r>
      <w:r w:rsidRPr="00ED67E8">
        <w:rPr>
          <w:rFonts w:ascii="Arial" w:hAnsi="Arial" w:cs="Arial"/>
          <w:sz w:val="22"/>
          <w:szCs w:val="22"/>
        </w:rPr>
        <w:t xml:space="preserve">he VodafoneThree merger was approved </w:t>
      </w:r>
      <w:r w:rsidR="00E17347" w:rsidRPr="00ED67E8">
        <w:rPr>
          <w:rFonts w:ascii="Arial" w:hAnsi="Arial" w:cs="Arial"/>
          <w:sz w:val="22"/>
          <w:szCs w:val="22"/>
        </w:rPr>
        <w:t>which</w:t>
      </w:r>
      <w:r w:rsidRPr="00ED67E8">
        <w:rPr>
          <w:rFonts w:ascii="Arial" w:hAnsi="Arial" w:cs="Arial"/>
          <w:sz w:val="22"/>
          <w:szCs w:val="22"/>
        </w:rPr>
        <w:t xml:space="preserve"> cover</w:t>
      </w:r>
      <w:r w:rsidR="00E17347" w:rsidRPr="00ED67E8">
        <w:rPr>
          <w:rFonts w:ascii="Arial" w:hAnsi="Arial" w:cs="Arial"/>
          <w:sz w:val="22"/>
          <w:szCs w:val="22"/>
        </w:rPr>
        <w:t>s</w:t>
      </w:r>
      <w:r w:rsidRPr="00ED67E8">
        <w:rPr>
          <w:rFonts w:ascii="Arial" w:hAnsi="Arial" w:cs="Arial"/>
          <w:sz w:val="22"/>
          <w:szCs w:val="22"/>
        </w:rPr>
        <w:t xml:space="preserve"> network investment, selected prices and wholesale arrangements, with these conditions outlined in Competition and Markets Authority (2025) as necessary to address concerns about reduced competition.</w:t>
      </w:r>
    </w:p>
    <w:p w14:paraId="54F41104" w14:textId="77777777" w:rsidR="00813239" w:rsidRPr="00ED67E8" w:rsidRDefault="00813239" w:rsidP="00ED67E8">
      <w:pPr>
        <w:pStyle w:val="NormalWeb"/>
        <w:spacing w:line="360" w:lineRule="auto"/>
        <w:jc w:val="both"/>
        <w:rPr>
          <w:rFonts w:ascii="Arial" w:hAnsi="Arial" w:cs="Arial"/>
          <w:sz w:val="22"/>
          <w:szCs w:val="22"/>
        </w:rPr>
      </w:pPr>
      <w:r w:rsidRPr="00ED67E8">
        <w:rPr>
          <w:rFonts w:ascii="Arial" w:hAnsi="Arial" w:cs="Arial"/>
          <w:sz w:val="22"/>
          <w:szCs w:val="22"/>
        </w:rPr>
        <w:t>Economic factors centre on high infrastructure investment requirements and customer sensitivity to price. VodafoneThree’s £11 billion investment programme, described in Vodafone Group Plc (2025), creates opportunities for improved network performance and service innovation but also requires disciplined cost management and delivery of planned synergies.</w:t>
      </w:r>
    </w:p>
    <w:p w14:paraId="323DAFF4" w14:textId="77777777" w:rsidR="00813239" w:rsidRPr="00ED67E8" w:rsidRDefault="00813239" w:rsidP="00ED67E8">
      <w:pPr>
        <w:pStyle w:val="NormalWeb"/>
        <w:spacing w:line="360" w:lineRule="auto"/>
        <w:jc w:val="both"/>
        <w:rPr>
          <w:rFonts w:ascii="Arial" w:hAnsi="Arial" w:cs="Arial"/>
          <w:sz w:val="22"/>
          <w:szCs w:val="22"/>
        </w:rPr>
      </w:pPr>
      <w:r w:rsidRPr="00ED67E8">
        <w:rPr>
          <w:rFonts w:ascii="Arial" w:hAnsi="Arial" w:cs="Arial"/>
          <w:sz w:val="22"/>
          <w:szCs w:val="22"/>
        </w:rPr>
        <w:t>Social factors reflect growing dependence on reliable mobile and broadband connectivity for work, education, communication and entertainment. Customers increasingly expect services that are reliable, affordable and high quality, making user experience a central competitive priority.</w:t>
      </w:r>
    </w:p>
    <w:p w14:paraId="0393F3E5" w14:textId="77777777" w:rsidR="00813239" w:rsidRPr="00ED67E8" w:rsidRDefault="00813239" w:rsidP="00ED67E8">
      <w:pPr>
        <w:pStyle w:val="NormalWeb"/>
        <w:spacing w:line="360" w:lineRule="auto"/>
        <w:jc w:val="both"/>
        <w:rPr>
          <w:rFonts w:ascii="Arial" w:hAnsi="Arial" w:cs="Arial"/>
          <w:sz w:val="22"/>
          <w:szCs w:val="22"/>
        </w:rPr>
      </w:pPr>
      <w:r w:rsidRPr="00ED67E8">
        <w:rPr>
          <w:rFonts w:ascii="Arial" w:hAnsi="Arial" w:cs="Arial"/>
          <w:sz w:val="22"/>
          <w:szCs w:val="22"/>
        </w:rPr>
        <w:t>Technological factors are central to industry competition. Advances in 5G Standalone, artificial intelligence, cloud computing and IoT continue to reshape the sector, with Ofcom (2026) reporting ongoing expansion of 5G Standalone coverage across the UK. This increases the importance of network performance, innovation and technological capability.</w:t>
      </w:r>
    </w:p>
    <w:p w14:paraId="5E0039E8" w14:textId="77777777" w:rsidR="00813239" w:rsidRPr="00ED67E8" w:rsidRDefault="00813239" w:rsidP="00ED67E8">
      <w:pPr>
        <w:pStyle w:val="NormalWeb"/>
        <w:spacing w:line="360" w:lineRule="auto"/>
        <w:jc w:val="both"/>
        <w:rPr>
          <w:rFonts w:ascii="Arial" w:hAnsi="Arial" w:cs="Arial"/>
          <w:sz w:val="22"/>
          <w:szCs w:val="22"/>
        </w:rPr>
      </w:pPr>
      <w:r w:rsidRPr="00ED67E8">
        <w:rPr>
          <w:rFonts w:ascii="Arial" w:hAnsi="Arial" w:cs="Arial"/>
          <w:sz w:val="22"/>
          <w:szCs w:val="22"/>
        </w:rPr>
        <w:t>Environmental factors relate to the energy consumption and physical infrastructure required to operate large telecommunications networks. Vodafone’s sustainability objectives mean it must improve network efficiency while expanding capacity, balancing environmental responsibility with technological progress.</w:t>
      </w:r>
    </w:p>
    <w:p w14:paraId="7A65AA92" w14:textId="2E268511" w:rsidR="00C83FAB" w:rsidRPr="00ED67E8" w:rsidRDefault="00813239" w:rsidP="00ED67E8">
      <w:pPr>
        <w:pStyle w:val="NormalWeb"/>
        <w:spacing w:line="360" w:lineRule="auto"/>
        <w:jc w:val="both"/>
        <w:rPr>
          <w:rFonts w:ascii="Arial" w:hAnsi="Arial" w:cs="Arial"/>
          <w:sz w:val="22"/>
          <w:szCs w:val="22"/>
        </w:rPr>
      </w:pPr>
      <w:r w:rsidRPr="00ED67E8">
        <w:rPr>
          <w:rFonts w:ascii="Arial" w:hAnsi="Arial" w:cs="Arial"/>
          <w:sz w:val="22"/>
          <w:szCs w:val="22"/>
        </w:rPr>
        <w:t>Together, these political, economic, social, technological, environmental and legal influences illustrate the external pressures shaping VodafoneThree’s strategic environment,</w:t>
      </w:r>
      <w:r w:rsidR="00C83FAB" w:rsidRPr="00ED67E8">
        <w:rPr>
          <w:rFonts w:ascii="Arial" w:hAnsi="Arial" w:cs="Arial"/>
          <w:sz w:val="22"/>
          <w:szCs w:val="22"/>
        </w:rPr>
        <w:t xml:space="preserve"> add</w:t>
      </w:r>
      <w:r w:rsidR="000F0A6F" w:rsidRPr="00ED67E8">
        <w:rPr>
          <w:rFonts w:ascii="Arial" w:hAnsi="Arial" w:cs="Arial"/>
          <w:sz w:val="22"/>
          <w:szCs w:val="22"/>
        </w:rPr>
        <w:t>ing</w:t>
      </w:r>
      <w:r w:rsidR="00C83FAB" w:rsidRPr="00ED67E8">
        <w:rPr>
          <w:rFonts w:ascii="Arial" w:hAnsi="Arial" w:cs="Arial"/>
          <w:sz w:val="22"/>
          <w:szCs w:val="22"/>
        </w:rPr>
        <w:t xml:space="preserve"> to the findings from SWOT and Porter’s Five Forces by providing a wider view of the business environment</w:t>
      </w:r>
    </w:p>
    <w:p w14:paraId="56E34AC4" w14:textId="30E91F61" w:rsidR="007B3D5D" w:rsidRPr="00ED67E8" w:rsidRDefault="007B3D5D" w:rsidP="004F58FA">
      <w:pPr>
        <w:pStyle w:val="Heading2"/>
      </w:pPr>
      <w:bookmarkStart w:id="16" w:name="_Toc237265668"/>
      <w:r w:rsidRPr="00ED67E8">
        <w:t>Porter's Five Forces</w:t>
      </w:r>
      <w:bookmarkStart w:id="17" w:name="_Toc235776837"/>
      <w:bookmarkStart w:id="18" w:name="_Toc235777755"/>
      <w:bookmarkEnd w:id="16"/>
    </w:p>
    <w:p w14:paraId="09F258A6" w14:textId="77777777"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Porter’s Five Forces evaluates the competitive pressures shaping VodafoneThree’s position in the UK telecommunications market, with Porter (1980) explaining how industry structure influences strategic behaviour.</w:t>
      </w:r>
    </w:p>
    <w:p w14:paraId="313F9A78" w14:textId="77777777" w:rsidR="006B3764" w:rsidRPr="00ED67E8" w:rsidRDefault="006B3764" w:rsidP="00ED67E8">
      <w:pPr>
        <w:shd w:val="clear" w:color="auto" w:fill="FFFFFF"/>
        <w:spacing w:after="0" w:line="360" w:lineRule="auto"/>
        <w:jc w:val="both"/>
        <w:rPr>
          <w:rFonts w:ascii="Arial" w:hAnsi="Arial" w:cs="Arial"/>
          <w:sz w:val="22"/>
          <w:szCs w:val="22"/>
        </w:rPr>
      </w:pPr>
    </w:p>
    <w:p w14:paraId="7015AFFA" w14:textId="77777777"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lastRenderedPageBreak/>
        <w:t>Competitive rivalry remains intense because VodafoneThree competes directly with EE and Virgin Media O2 on price, network performance and customer service. Although the merger reduced the number of major operators, competition continues to be strong due to comparable investment levels and similar service portfolios.</w:t>
      </w:r>
    </w:p>
    <w:p w14:paraId="0B0D077B" w14:textId="77777777" w:rsidR="006B3764" w:rsidRPr="00ED67E8" w:rsidRDefault="006B3764" w:rsidP="00ED67E8">
      <w:pPr>
        <w:shd w:val="clear" w:color="auto" w:fill="FFFFFF"/>
        <w:spacing w:after="0" w:line="360" w:lineRule="auto"/>
        <w:jc w:val="both"/>
        <w:rPr>
          <w:rFonts w:ascii="Arial" w:hAnsi="Arial" w:cs="Arial"/>
          <w:sz w:val="22"/>
          <w:szCs w:val="22"/>
        </w:rPr>
      </w:pPr>
    </w:p>
    <w:p w14:paraId="0DE49E54" w14:textId="4DCA8DF2" w:rsidR="006B3764" w:rsidRPr="00ED67E8" w:rsidRDefault="009608ED"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Buyer power is high because customers can easily switch providers and have many choices</w:t>
      </w:r>
      <w:r w:rsidR="00275324" w:rsidRPr="00ED67E8">
        <w:rPr>
          <w:rFonts w:ascii="Arial" w:hAnsi="Arial" w:cs="Arial"/>
          <w:sz w:val="22"/>
          <w:szCs w:val="22"/>
        </w:rPr>
        <w:t>.</w:t>
      </w:r>
      <w:r w:rsidRPr="00ED67E8">
        <w:rPr>
          <w:rFonts w:ascii="Arial" w:hAnsi="Arial" w:cs="Arial"/>
          <w:sz w:val="22"/>
          <w:szCs w:val="22"/>
        </w:rPr>
        <w:t xml:space="preserve"> This means VodafoneThree must offer strong service quality and reliable connections rather than relying only on its larger size. Strengthening customer value in this way supports a more resilient competitive position and aligns with differentiation strategy.</w:t>
      </w:r>
      <w:r w:rsidR="006B3764" w:rsidRPr="00ED67E8">
        <w:rPr>
          <w:rFonts w:ascii="Arial" w:hAnsi="Arial" w:cs="Arial"/>
          <w:sz w:val="22"/>
          <w:szCs w:val="22"/>
        </w:rPr>
        <w:t>.</w:t>
      </w:r>
    </w:p>
    <w:p w14:paraId="169AA92D" w14:textId="77777777" w:rsidR="006B3764" w:rsidRPr="00ED67E8" w:rsidRDefault="006B3764" w:rsidP="00ED67E8">
      <w:pPr>
        <w:shd w:val="clear" w:color="auto" w:fill="FFFFFF"/>
        <w:spacing w:after="0" w:line="360" w:lineRule="auto"/>
        <w:jc w:val="both"/>
        <w:rPr>
          <w:rFonts w:ascii="Arial" w:hAnsi="Arial" w:cs="Arial"/>
          <w:sz w:val="22"/>
          <w:szCs w:val="22"/>
        </w:rPr>
      </w:pPr>
    </w:p>
    <w:p w14:paraId="4658E0B7" w14:textId="7BD5A3A8" w:rsidR="006B3764" w:rsidRPr="00ED67E8" w:rsidRDefault="0076381F"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The threat of new entrants is low because building a national mobile network needs huge investment, spectrum access and regulatory approval. These barriers make it very hard for new competitors to enter, so VodafoneThree mainly competes with existing operators</w:t>
      </w:r>
      <w:r w:rsidR="006B3764" w:rsidRPr="00ED67E8">
        <w:rPr>
          <w:rFonts w:ascii="Arial" w:hAnsi="Arial" w:cs="Arial"/>
          <w:sz w:val="22"/>
          <w:szCs w:val="22"/>
        </w:rPr>
        <w:t>.</w:t>
      </w:r>
    </w:p>
    <w:p w14:paraId="5AB19D40" w14:textId="77777777" w:rsidR="006B3764" w:rsidRPr="00ED67E8" w:rsidRDefault="006B3764" w:rsidP="00ED67E8">
      <w:pPr>
        <w:shd w:val="clear" w:color="auto" w:fill="FFFFFF"/>
        <w:spacing w:after="0" w:line="360" w:lineRule="auto"/>
        <w:jc w:val="both"/>
        <w:rPr>
          <w:rFonts w:ascii="Arial" w:hAnsi="Arial" w:cs="Arial"/>
          <w:sz w:val="22"/>
          <w:szCs w:val="22"/>
        </w:rPr>
      </w:pPr>
    </w:p>
    <w:p w14:paraId="6AEA991B" w14:textId="77777777"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Supplier power is moderate because operators depend on specialist technology and network equipment providers. VodafoneThree’s increased scale may strengthen its purchasing position, but reliance on a limited number of vendors still gives suppliers influence over costs and technology choices.</w:t>
      </w:r>
    </w:p>
    <w:p w14:paraId="4500A07D" w14:textId="77777777" w:rsidR="006B3764" w:rsidRPr="00ED67E8" w:rsidRDefault="006B3764" w:rsidP="00ED67E8">
      <w:pPr>
        <w:shd w:val="clear" w:color="auto" w:fill="FFFFFF"/>
        <w:spacing w:after="0" w:line="360" w:lineRule="auto"/>
        <w:jc w:val="both"/>
        <w:rPr>
          <w:rFonts w:ascii="Arial" w:hAnsi="Arial" w:cs="Arial"/>
          <w:sz w:val="22"/>
          <w:szCs w:val="22"/>
        </w:rPr>
      </w:pPr>
    </w:p>
    <w:p w14:paraId="4419A2AB" w14:textId="77777777"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Threat of substitutes is moderate because Wi</w:t>
      </w:r>
      <w:r w:rsidRPr="00ED67E8">
        <w:rPr>
          <w:rFonts w:ascii="Cambria Math" w:hAnsi="Cambria Math" w:cs="Cambria Math"/>
          <w:sz w:val="22"/>
          <w:szCs w:val="22"/>
        </w:rPr>
        <w:t>‑</w:t>
      </w:r>
      <w:r w:rsidRPr="00ED67E8">
        <w:rPr>
          <w:rFonts w:ascii="Arial" w:hAnsi="Arial" w:cs="Arial"/>
          <w:sz w:val="22"/>
          <w:szCs w:val="22"/>
        </w:rPr>
        <w:t>Fi and internet</w:t>
      </w:r>
      <w:r w:rsidRPr="00ED67E8">
        <w:rPr>
          <w:rFonts w:ascii="Cambria Math" w:hAnsi="Cambria Math" w:cs="Cambria Math"/>
          <w:sz w:val="22"/>
          <w:szCs w:val="22"/>
        </w:rPr>
        <w:t>‑</w:t>
      </w:r>
      <w:r w:rsidRPr="00ED67E8">
        <w:rPr>
          <w:rFonts w:ascii="Arial" w:hAnsi="Arial" w:cs="Arial"/>
          <w:sz w:val="22"/>
          <w:szCs w:val="22"/>
        </w:rPr>
        <w:t>based communication services can replace certain traditional mobile functions. However, these alternatives still depend on underlying connectivity infrastructure, limiting their ability to fully substitute mobile networks.</w:t>
      </w:r>
    </w:p>
    <w:p w14:paraId="268249FF" w14:textId="77777777" w:rsidR="006B3764" w:rsidRPr="00ED67E8" w:rsidRDefault="006B3764" w:rsidP="00ED67E8">
      <w:pPr>
        <w:shd w:val="clear" w:color="auto" w:fill="FFFFFF"/>
        <w:spacing w:after="0" w:line="360" w:lineRule="auto"/>
        <w:jc w:val="both"/>
        <w:rPr>
          <w:rFonts w:ascii="Arial" w:hAnsi="Arial" w:cs="Arial"/>
          <w:sz w:val="22"/>
          <w:szCs w:val="22"/>
        </w:rPr>
      </w:pPr>
    </w:p>
    <w:p w14:paraId="0D18E3B6" w14:textId="6F5D873D" w:rsidR="00B4421F"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This analysis highlights the structural pressures shaping VodafoneThree’s competitive environment and complements broader external evaluation through PESTEL and internal assessment through SWOT.</w:t>
      </w:r>
    </w:p>
    <w:p w14:paraId="7BD0A3FE" w14:textId="77777777" w:rsidR="00B4421F" w:rsidRPr="004F58FA" w:rsidRDefault="007B3D5D" w:rsidP="004F58FA">
      <w:pPr>
        <w:pStyle w:val="Heading1"/>
      </w:pPr>
      <w:bookmarkStart w:id="19" w:name="_Toc237265669"/>
      <w:r w:rsidRPr="004F58FA">
        <w:t>Critical Discussion: Positioning Versus Resource-Based Perspectives on the Merger</w:t>
      </w:r>
      <w:bookmarkStart w:id="20" w:name="_Toc235776838"/>
      <w:bookmarkStart w:id="21" w:name="_Toc235777756"/>
      <w:bookmarkEnd w:id="17"/>
      <w:bookmarkEnd w:id="18"/>
      <w:bookmarkEnd w:id="19"/>
    </w:p>
    <w:p w14:paraId="5217E3C8" w14:textId="77777777"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Porter’s work on competitive strategy shows that advantage is shaped by industry structure and strategic positioning, with Porter (1980, 1985) arguing that firms perform better when they occupy favourable positions within their sector. From this perspective, the VodafoneThree merger enhances Vodafone’s position by increasing scale, investment capacity and reducing fragmentation in the UK mobile market.</w:t>
      </w:r>
    </w:p>
    <w:p w14:paraId="798A4DB0" w14:textId="77777777" w:rsidR="006B3764" w:rsidRPr="00ED67E8" w:rsidRDefault="006B3764" w:rsidP="00ED67E8">
      <w:pPr>
        <w:shd w:val="clear" w:color="auto" w:fill="FFFFFF"/>
        <w:spacing w:after="0" w:line="360" w:lineRule="auto"/>
        <w:jc w:val="both"/>
        <w:rPr>
          <w:rFonts w:ascii="Arial" w:hAnsi="Arial" w:cs="Arial"/>
          <w:sz w:val="22"/>
          <w:szCs w:val="22"/>
        </w:rPr>
      </w:pPr>
    </w:p>
    <w:p w14:paraId="49D35791" w14:textId="6483A23B"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A contrasting explanation comes from the resource</w:t>
      </w:r>
      <w:r w:rsidRPr="00ED67E8">
        <w:rPr>
          <w:rFonts w:ascii="Cambria Math" w:hAnsi="Cambria Math" w:cs="Cambria Math"/>
          <w:sz w:val="22"/>
          <w:szCs w:val="22"/>
        </w:rPr>
        <w:t>‑</w:t>
      </w:r>
      <w:r w:rsidRPr="00ED67E8">
        <w:rPr>
          <w:rFonts w:ascii="Arial" w:hAnsi="Arial" w:cs="Arial"/>
          <w:sz w:val="22"/>
          <w:szCs w:val="22"/>
        </w:rPr>
        <w:t>based view, which emphasises internal capabilities rather than external structure</w:t>
      </w:r>
      <w:r w:rsidR="00FC1F52" w:rsidRPr="00ED67E8">
        <w:rPr>
          <w:rFonts w:ascii="Arial" w:hAnsi="Arial" w:cs="Arial"/>
          <w:sz w:val="22"/>
          <w:szCs w:val="22"/>
        </w:rPr>
        <w:t xml:space="preserve">. </w:t>
      </w:r>
      <w:r w:rsidR="00FC1F52" w:rsidRPr="00ED67E8">
        <w:rPr>
          <w:rFonts w:ascii="Arial" w:hAnsi="Arial" w:cs="Arial"/>
          <w:sz w:val="22"/>
          <w:szCs w:val="22"/>
        </w:rPr>
        <w:t>Barney (1991) explains that long</w:t>
      </w:r>
      <w:r w:rsidR="00FC1F52" w:rsidRPr="00ED67E8">
        <w:rPr>
          <w:rFonts w:ascii="Cambria Math" w:hAnsi="Cambria Math" w:cs="Cambria Math"/>
          <w:sz w:val="22"/>
          <w:szCs w:val="22"/>
        </w:rPr>
        <w:t>‑</w:t>
      </w:r>
      <w:r w:rsidR="00FC1F52" w:rsidRPr="00ED67E8">
        <w:rPr>
          <w:rFonts w:ascii="Arial" w:hAnsi="Arial" w:cs="Arial"/>
          <w:sz w:val="22"/>
          <w:szCs w:val="22"/>
        </w:rPr>
        <w:t xml:space="preserve">term competitive advantage comes from resources that are valuable, rare and difficult for competitors to copy. </w:t>
      </w:r>
      <w:r w:rsidR="00FC1F52" w:rsidRPr="00ED67E8">
        <w:rPr>
          <w:rFonts w:ascii="Arial" w:hAnsi="Arial" w:cs="Arial"/>
          <w:sz w:val="22"/>
          <w:szCs w:val="22"/>
        </w:rPr>
        <w:lastRenderedPageBreak/>
        <w:t>This idea underpins the resource</w:t>
      </w:r>
      <w:r w:rsidR="00FC1F52" w:rsidRPr="00ED67E8">
        <w:rPr>
          <w:rFonts w:ascii="Cambria Math" w:hAnsi="Cambria Math" w:cs="Cambria Math"/>
          <w:sz w:val="22"/>
          <w:szCs w:val="22"/>
        </w:rPr>
        <w:t>‑</w:t>
      </w:r>
      <w:r w:rsidR="00FC1F52" w:rsidRPr="00ED67E8">
        <w:rPr>
          <w:rFonts w:ascii="Arial" w:hAnsi="Arial" w:cs="Arial"/>
          <w:sz w:val="22"/>
          <w:szCs w:val="22"/>
        </w:rPr>
        <w:t>based view and highlights why strong internal capabilities matter.</w:t>
      </w:r>
      <w:r w:rsidRPr="00ED67E8">
        <w:rPr>
          <w:rFonts w:ascii="Arial" w:hAnsi="Arial" w:cs="Arial"/>
          <w:sz w:val="22"/>
          <w:szCs w:val="22"/>
        </w:rPr>
        <w:t>. This means the merger alone does not secure superior performance; VodafoneThree must integrate networks, technology systems, people and organisational capabilities effectively to convert structural benefits into long</w:t>
      </w:r>
      <w:r w:rsidRPr="00ED67E8">
        <w:rPr>
          <w:rFonts w:ascii="Cambria Math" w:hAnsi="Cambria Math" w:cs="Cambria Math"/>
          <w:sz w:val="22"/>
          <w:szCs w:val="22"/>
        </w:rPr>
        <w:t>‑</w:t>
      </w:r>
      <w:r w:rsidRPr="00ED67E8">
        <w:rPr>
          <w:rFonts w:ascii="Arial" w:hAnsi="Arial" w:cs="Arial"/>
          <w:sz w:val="22"/>
          <w:szCs w:val="22"/>
        </w:rPr>
        <w:t>term advantage.</w:t>
      </w:r>
    </w:p>
    <w:p w14:paraId="4BD32E9E" w14:textId="77777777" w:rsidR="006B3764" w:rsidRPr="00ED67E8" w:rsidRDefault="006B3764" w:rsidP="00ED67E8">
      <w:pPr>
        <w:shd w:val="clear" w:color="auto" w:fill="FFFFFF"/>
        <w:spacing w:after="0" w:line="360" w:lineRule="auto"/>
        <w:jc w:val="both"/>
        <w:rPr>
          <w:rFonts w:ascii="Arial" w:hAnsi="Arial" w:cs="Arial"/>
          <w:sz w:val="22"/>
          <w:szCs w:val="22"/>
        </w:rPr>
      </w:pPr>
    </w:p>
    <w:p w14:paraId="7FB02E2C" w14:textId="77777777"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Dynamic</w:t>
      </w:r>
      <w:r w:rsidRPr="00ED67E8">
        <w:rPr>
          <w:rFonts w:ascii="Cambria Math" w:hAnsi="Cambria Math" w:cs="Cambria Math"/>
          <w:sz w:val="22"/>
          <w:szCs w:val="22"/>
        </w:rPr>
        <w:t>‑</w:t>
      </w:r>
      <w:r w:rsidRPr="00ED67E8">
        <w:rPr>
          <w:rFonts w:ascii="Arial" w:hAnsi="Arial" w:cs="Arial"/>
          <w:sz w:val="22"/>
          <w:szCs w:val="22"/>
        </w:rPr>
        <w:t>capabilities theory adds a further layer. Teece, Pisano and Shuen (1997) highlight that firms in fast</w:t>
      </w:r>
      <w:r w:rsidRPr="00ED67E8">
        <w:rPr>
          <w:rFonts w:ascii="Cambria Math" w:hAnsi="Cambria Math" w:cs="Cambria Math"/>
          <w:sz w:val="22"/>
          <w:szCs w:val="22"/>
        </w:rPr>
        <w:t>‑</w:t>
      </w:r>
      <w:r w:rsidRPr="00ED67E8">
        <w:rPr>
          <w:rFonts w:ascii="Arial" w:hAnsi="Arial" w:cs="Arial"/>
          <w:sz w:val="22"/>
          <w:szCs w:val="22"/>
        </w:rPr>
        <w:t>changing environments must continually adapt and reconfigure their resources, while Ellström et al. (2022) emphasise sensing, seizing and reconfiguring capabilities in digital transformation. These perspectives are particularly relevant to telecommunications, where technological change, regulatory oversight and customer expectations evolve rapidly.</w:t>
      </w:r>
    </w:p>
    <w:p w14:paraId="24E858D4" w14:textId="77777777" w:rsidR="006B3764" w:rsidRPr="00ED67E8" w:rsidRDefault="006B3764" w:rsidP="00ED67E8">
      <w:pPr>
        <w:shd w:val="clear" w:color="auto" w:fill="FFFFFF"/>
        <w:spacing w:after="0" w:line="360" w:lineRule="auto"/>
        <w:jc w:val="both"/>
        <w:rPr>
          <w:rFonts w:ascii="Arial" w:hAnsi="Arial" w:cs="Arial"/>
          <w:sz w:val="22"/>
          <w:szCs w:val="22"/>
        </w:rPr>
      </w:pPr>
    </w:p>
    <w:p w14:paraId="21FB12DF" w14:textId="00A486D3" w:rsidR="00B4421F"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Taken together, these perspectives suggest that structural improvements from the merger create potential rather than guaranteed advantage. This interpretation is reinforced by empirical evidence: Kostochko and Grigorieva (2024) report that more than 60% of mergers and acquisitions fail to create value, even in technology</w:t>
      </w:r>
      <w:r w:rsidRPr="00ED67E8">
        <w:rPr>
          <w:rFonts w:ascii="Cambria Math" w:hAnsi="Cambria Math" w:cs="Cambria Math"/>
          <w:sz w:val="22"/>
          <w:szCs w:val="22"/>
        </w:rPr>
        <w:t>‑</w:t>
      </w:r>
      <w:r w:rsidRPr="00ED67E8">
        <w:rPr>
          <w:rFonts w:ascii="Arial" w:hAnsi="Arial" w:cs="Arial"/>
          <w:sz w:val="22"/>
          <w:szCs w:val="22"/>
        </w:rPr>
        <w:t>intensive sectors. VodafoneThree must therefore focus on disciplined integration, network improvement and customer experience rather than pursuing high</w:t>
      </w:r>
      <w:r w:rsidRPr="00ED67E8">
        <w:rPr>
          <w:rFonts w:ascii="Cambria Math" w:hAnsi="Cambria Math" w:cs="Cambria Math"/>
          <w:sz w:val="22"/>
          <w:szCs w:val="22"/>
        </w:rPr>
        <w:t>‑</w:t>
      </w:r>
      <w:r w:rsidRPr="00ED67E8">
        <w:rPr>
          <w:rFonts w:ascii="Arial" w:hAnsi="Arial" w:cs="Arial"/>
          <w:sz w:val="22"/>
          <w:szCs w:val="22"/>
        </w:rPr>
        <w:t>risk diversification before core capabilities are fully aligned.</w:t>
      </w:r>
    </w:p>
    <w:p w14:paraId="7FF72938" w14:textId="77777777" w:rsidR="006B3764" w:rsidRPr="00ED67E8" w:rsidRDefault="006B3764" w:rsidP="00ED67E8">
      <w:pPr>
        <w:shd w:val="clear" w:color="auto" w:fill="FFFFFF"/>
        <w:spacing w:after="0" w:line="360" w:lineRule="auto"/>
        <w:jc w:val="both"/>
        <w:rPr>
          <w:rFonts w:ascii="Arial" w:hAnsi="Arial" w:cs="Arial"/>
          <w:sz w:val="22"/>
          <w:szCs w:val="22"/>
        </w:rPr>
      </w:pPr>
    </w:p>
    <w:p w14:paraId="278957D1" w14:textId="3DE74773"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The analysis then suggests that market position and internal resources should be viewed together. The merger has improved VodafoneThree’s position in the industry, but its long-term success will depend on how well the organisation develops its capabilities and puts its strategy into practice. This also reinforces the findings from the SWOT and Five Forces analyses.</w:t>
      </w:r>
    </w:p>
    <w:p w14:paraId="164E7952" w14:textId="77777777" w:rsidR="008814CF" w:rsidRPr="004F58FA" w:rsidRDefault="007B3D5D" w:rsidP="004F58FA">
      <w:pPr>
        <w:pStyle w:val="Heading1"/>
      </w:pPr>
      <w:bookmarkStart w:id="22" w:name="_Toc237265670"/>
      <w:r w:rsidRPr="004F58FA">
        <w:t>Strategic Growth Options and Proposed Strategy</w:t>
      </w:r>
      <w:bookmarkStart w:id="23" w:name="_Toc235776842"/>
      <w:bookmarkStart w:id="24" w:name="_Toc235777760"/>
      <w:bookmarkEnd w:id="20"/>
      <w:bookmarkEnd w:id="21"/>
      <w:bookmarkEnd w:id="22"/>
    </w:p>
    <w:p w14:paraId="7D43232D" w14:textId="27698635" w:rsidR="00B4421F" w:rsidRPr="004F58FA" w:rsidRDefault="007B3D5D" w:rsidP="004F58FA">
      <w:pPr>
        <w:pStyle w:val="Heading2"/>
      </w:pPr>
      <w:bookmarkStart w:id="25" w:name="_Toc237265671"/>
      <w:r w:rsidRPr="004F58FA">
        <w:t>Ansoff Matrix: Growth Path Options</w:t>
      </w:r>
      <w:bookmarkEnd w:id="25"/>
    </w:p>
    <w:p w14:paraId="0423DAEF" w14:textId="072D3B90" w:rsidR="006B3764" w:rsidRPr="00ED67E8" w:rsidRDefault="00816CA2"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The Ansoff Matrix outlines four ways a business can grow: market penetration, product development, market development and diversification. Ansoff (1957) explains that companies can expand by creating new products or entering new markets, forming a basis for growth strategy.</w:t>
      </w:r>
    </w:p>
    <w:p w14:paraId="721B9FE4" w14:textId="77777777" w:rsidR="003579BF" w:rsidRPr="00ED67E8" w:rsidRDefault="003579BF" w:rsidP="00ED67E8">
      <w:pPr>
        <w:shd w:val="clear" w:color="auto" w:fill="FFFFFF"/>
        <w:spacing w:after="0" w:line="360" w:lineRule="auto"/>
        <w:jc w:val="both"/>
        <w:rPr>
          <w:rFonts w:ascii="Arial" w:hAnsi="Arial" w:cs="Arial"/>
          <w:sz w:val="22"/>
          <w:szCs w:val="22"/>
        </w:rPr>
      </w:pPr>
    </w:p>
    <w:p w14:paraId="6E92C775" w14:textId="77777777"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Market penetration is the most suitable option for VodafoneThree because the UK telecommunications market is mature and highly competitive. The enlarged network footprint enables VodafoneThree to attract and retain customers through improved coverage, reliability and customer experience, making this pathway closely aligned with existing capabilities.</w:t>
      </w:r>
    </w:p>
    <w:p w14:paraId="0FFABC08" w14:textId="77777777" w:rsidR="006B3764" w:rsidRPr="00ED67E8" w:rsidRDefault="006B3764" w:rsidP="00ED67E8">
      <w:pPr>
        <w:shd w:val="clear" w:color="auto" w:fill="FFFFFF"/>
        <w:spacing w:after="0" w:line="360" w:lineRule="auto"/>
        <w:jc w:val="both"/>
        <w:rPr>
          <w:rFonts w:ascii="Arial" w:hAnsi="Arial" w:cs="Arial"/>
          <w:sz w:val="22"/>
          <w:szCs w:val="22"/>
        </w:rPr>
      </w:pPr>
    </w:p>
    <w:p w14:paraId="210C415F" w14:textId="77777777"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Product development also presents meaningful potential. Opportunities in IoT, digital connectivity, broadband and enterprise services build on Vodafone’s established technological and organisational strengths, with Vodafone Group Plc (2026) highlighting these areas as central to future digital growth. These propositions allow VodafoneThree to enhance value for existing customers without requiring entry into new geographic markets.</w:t>
      </w:r>
    </w:p>
    <w:p w14:paraId="6E349168" w14:textId="77777777" w:rsidR="006B3764" w:rsidRPr="00ED67E8" w:rsidRDefault="006B3764" w:rsidP="00ED67E8">
      <w:pPr>
        <w:shd w:val="clear" w:color="auto" w:fill="FFFFFF"/>
        <w:spacing w:after="0" w:line="360" w:lineRule="auto"/>
        <w:jc w:val="both"/>
        <w:rPr>
          <w:rFonts w:ascii="Arial" w:hAnsi="Arial" w:cs="Arial"/>
          <w:sz w:val="22"/>
          <w:szCs w:val="22"/>
        </w:rPr>
      </w:pPr>
    </w:p>
    <w:p w14:paraId="352B7025" w14:textId="56BC9AA0" w:rsidR="006B3764"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 xml:space="preserve">Market development is less attractive because the UK market is already saturated, limiting the scope for expansion into new customer segments or regions. </w:t>
      </w:r>
      <w:r w:rsidR="00753F58" w:rsidRPr="00ED67E8">
        <w:rPr>
          <w:rFonts w:ascii="Arial" w:hAnsi="Arial" w:cs="Arial"/>
          <w:sz w:val="22"/>
          <w:szCs w:val="22"/>
        </w:rPr>
        <w:t>Diversification presents the greatest integration risk, as it requires new expertise while organisational attention is focused on network consolidation and service improvement</w:t>
      </w:r>
    </w:p>
    <w:p w14:paraId="4E06A135" w14:textId="77777777" w:rsidR="00311B7C" w:rsidRPr="00ED67E8" w:rsidRDefault="00311B7C" w:rsidP="00ED67E8">
      <w:pPr>
        <w:shd w:val="clear" w:color="auto" w:fill="FFFFFF"/>
        <w:spacing w:after="0" w:line="360" w:lineRule="auto"/>
        <w:jc w:val="both"/>
        <w:rPr>
          <w:rFonts w:ascii="Arial" w:hAnsi="Arial" w:cs="Arial"/>
          <w:sz w:val="22"/>
          <w:szCs w:val="22"/>
        </w:rPr>
      </w:pPr>
    </w:p>
    <w:p w14:paraId="2DF18238" w14:textId="77777777" w:rsidR="00140E2F" w:rsidRPr="00ED67E8" w:rsidRDefault="006B3764"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Taken together, the preferred growth direction is market penetration supported by related product development. This combination leverages existing resources, aligns with VodafoneThree’s strengthened network position and limits additional execution risk, providing a disciplined foundation for the organisation’s wider strategic ambitions.</w:t>
      </w:r>
    </w:p>
    <w:p w14:paraId="73CF94D1" w14:textId="77777777" w:rsidR="00140E2F" w:rsidRPr="00ED67E8" w:rsidRDefault="00140E2F" w:rsidP="00ED67E8">
      <w:pPr>
        <w:shd w:val="clear" w:color="auto" w:fill="FFFFFF"/>
        <w:spacing w:after="0" w:line="360" w:lineRule="auto"/>
        <w:jc w:val="both"/>
        <w:rPr>
          <w:rFonts w:ascii="Arial" w:hAnsi="Arial" w:cs="Arial"/>
          <w:sz w:val="22"/>
          <w:szCs w:val="22"/>
        </w:rPr>
      </w:pPr>
    </w:p>
    <w:p w14:paraId="5E45A97E" w14:textId="251D659A" w:rsidR="00B4421F" w:rsidRPr="004F58FA" w:rsidRDefault="007B3D5D" w:rsidP="004F58FA">
      <w:pPr>
        <w:pStyle w:val="Heading2"/>
      </w:pPr>
      <w:bookmarkStart w:id="26" w:name="_Toc237265672"/>
      <w:r w:rsidRPr="004F58FA">
        <w:t>Porter’s Generic Strategies: Competitive Positioning</w:t>
      </w:r>
      <w:bookmarkStart w:id="27" w:name="_Toc235776843"/>
      <w:bookmarkStart w:id="28" w:name="_Toc235777761"/>
      <w:bookmarkEnd w:id="23"/>
      <w:bookmarkEnd w:id="24"/>
      <w:bookmarkEnd w:id="26"/>
    </w:p>
    <w:p w14:paraId="47675350" w14:textId="7048775F" w:rsidR="00015160" w:rsidRPr="00ED67E8" w:rsidRDefault="00015160" w:rsidP="00ED67E8">
      <w:pPr>
        <w:shd w:val="clear" w:color="auto" w:fill="FFFFFF"/>
        <w:spacing w:after="0"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 xml:space="preserve">Porter’s Generic Strategies outline cost leadership, differentiation and focus as alternative competitive approaches, </w:t>
      </w:r>
      <w:r w:rsidR="002F4B3D" w:rsidRPr="00ED67E8">
        <w:rPr>
          <w:rFonts w:ascii="Arial" w:eastAsia="Times New Roman" w:hAnsi="Arial" w:cs="Arial"/>
          <w:kern w:val="0"/>
          <w:sz w:val="22"/>
          <w:szCs w:val="22"/>
          <w:lang w:eastAsia="en-GB"/>
          <w14:ligatures w14:val="none"/>
        </w:rPr>
        <w:t>as emphasised by</w:t>
      </w:r>
      <w:r w:rsidRPr="00ED67E8">
        <w:rPr>
          <w:rFonts w:ascii="Arial" w:eastAsia="Times New Roman" w:hAnsi="Arial" w:cs="Arial"/>
          <w:kern w:val="0"/>
          <w:sz w:val="22"/>
          <w:szCs w:val="22"/>
          <w:lang w:eastAsia="en-GB"/>
          <w14:ligatures w14:val="none"/>
        </w:rPr>
        <w:t xml:space="preserve"> Porter (1985) </w:t>
      </w:r>
      <w:r w:rsidR="0001361C" w:rsidRPr="00ED67E8">
        <w:rPr>
          <w:rFonts w:ascii="Arial" w:eastAsia="Times New Roman" w:hAnsi="Arial" w:cs="Arial"/>
          <w:kern w:val="0"/>
          <w:sz w:val="22"/>
          <w:szCs w:val="22"/>
          <w:lang w:eastAsia="en-GB"/>
          <w14:ligatures w14:val="none"/>
        </w:rPr>
        <w:t>is</w:t>
      </w:r>
      <w:r w:rsidRPr="00ED67E8">
        <w:rPr>
          <w:rFonts w:ascii="Arial" w:eastAsia="Times New Roman" w:hAnsi="Arial" w:cs="Arial"/>
          <w:kern w:val="0"/>
          <w:sz w:val="22"/>
          <w:szCs w:val="22"/>
          <w:lang w:eastAsia="en-GB"/>
          <w14:ligatures w14:val="none"/>
        </w:rPr>
        <w:t xml:space="preserve"> how firms </w:t>
      </w:r>
      <w:r w:rsidR="00D531FE" w:rsidRPr="00ED67E8">
        <w:rPr>
          <w:rFonts w:ascii="Arial" w:eastAsia="Times New Roman" w:hAnsi="Arial" w:cs="Arial"/>
          <w:kern w:val="0"/>
          <w:sz w:val="22"/>
          <w:szCs w:val="22"/>
          <w:lang w:eastAsia="en-GB"/>
          <w14:ligatures w14:val="none"/>
        </w:rPr>
        <w:t xml:space="preserve">can </w:t>
      </w:r>
      <w:r w:rsidRPr="00ED67E8">
        <w:rPr>
          <w:rFonts w:ascii="Arial" w:eastAsia="Times New Roman" w:hAnsi="Arial" w:cs="Arial"/>
          <w:kern w:val="0"/>
          <w:sz w:val="22"/>
          <w:szCs w:val="22"/>
          <w:lang w:eastAsia="en-GB"/>
          <w14:ligatures w14:val="none"/>
        </w:rPr>
        <w:t>position themselves to achieve advantage. For VodafoneThree, broad differentiation is the most suitable strategy because high buyer power and strong rivalry make sustained price competition unattractive.</w:t>
      </w:r>
    </w:p>
    <w:p w14:paraId="61F3EEFD" w14:textId="77777777" w:rsidR="00015160" w:rsidRPr="00ED67E8" w:rsidRDefault="00015160" w:rsidP="00ED67E8">
      <w:pPr>
        <w:shd w:val="clear" w:color="auto" w:fill="FFFFFF"/>
        <w:spacing w:after="0" w:line="360" w:lineRule="auto"/>
        <w:jc w:val="both"/>
        <w:rPr>
          <w:rFonts w:ascii="Arial" w:eastAsia="Times New Roman" w:hAnsi="Arial" w:cs="Arial"/>
          <w:kern w:val="0"/>
          <w:sz w:val="22"/>
          <w:szCs w:val="22"/>
          <w:lang w:eastAsia="en-GB"/>
          <w14:ligatures w14:val="none"/>
        </w:rPr>
      </w:pPr>
    </w:p>
    <w:p w14:paraId="43A227F7" w14:textId="77777777" w:rsidR="00140E2F" w:rsidRPr="00ED67E8" w:rsidRDefault="00015160" w:rsidP="00ED67E8">
      <w:pPr>
        <w:shd w:val="clear" w:color="auto" w:fill="FFFFFF"/>
        <w:spacing w:after="0"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Differentiation can be achieved through superior 5G Standalone coverage, network reliability, customer experience and integrated digital, IoT and enterprise services. Vodafone Group Plc (2025) highlights that the £11 billion investment programme provides a strong foundation for enhancing these capabilities. A cost</w:t>
      </w:r>
      <w:r w:rsidRPr="00ED67E8">
        <w:rPr>
          <w:rFonts w:ascii="Cambria Math" w:eastAsia="Times New Roman" w:hAnsi="Cambria Math" w:cs="Cambria Math"/>
          <w:kern w:val="0"/>
          <w:sz w:val="22"/>
          <w:szCs w:val="22"/>
          <w:lang w:eastAsia="en-GB"/>
          <w14:ligatures w14:val="none"/>
        </w:rPr>
        <w:t>‑</w:t>
      </w:r>
      <w:r w:rsidRPr="00ED67E8">
        <w:rPr>
          <w:rFonts w:ascii="Arial" w:eastAsia="Times New Roman" w:hAnsi="Arial" w:cs="Arial"/>
          <w:kern w:val="0"/>
          <w:sz w:val="22"/>
          <w:szCs w:val="22"/>
          <w:lang w:eastAsia="en-GB"/>
          <w14:ligatures w14:val="none"/>
        </w:rPr>
        <w:t>leadership approach is less appropriate, as competing mainly on price would compress margins and restrict the resources needed for continued network investment.</w:t>
      </w:r>
    </w:p>
    <w:p w14:paraId="69A40364" w14:textId="77777777" w:rsidR="00140E2F" w:rsidRPr="00ED67E8" w:rsidRDefault="00140E2F" w:rsidP="00ED67E8">
      <w:pPr>
        <w:shd w:val="clear" w:color="auto" w:fill="FFFFFF"/>
        <w:spacing w:after="0" w:line="360" w:lineRule="auto"/>
        <w:jc w:val="both"/>
        <w:rPr>
          <w:rFonts w:ascii="Arial" w:eastAsia="Times New Roman" w:hAnsi="Arial" w:cs="Arial"/>
          <w:kern w:val="0"/>
          <w:sz w:val="22"/>
          <w:szCs w:val="22"/>
          <w:lang w:eastAsia="en-GB"/>
          <w14:ligatures w14:val="none"/>
        </w:rPr>
      </w:pPr>
    </w:p>
    <w:p w14:paraId="3149EFFC" w14:textId="77777777" w:rsidR="00140E2F" w:rsidRPr="004F58FA" w:rsidRDefault="00015160" w:rsidP="004F58FA">
      <w:pPr>
        <w:pStyle w:val="Heading2"/>
      </w:pPr>
      <w:bookmarkStart w:id="29" w:name="_Toc237265673"/>
      <w:r w:rsidRPr="004F58FA">
        <w:t>Proposed Strategy and Justification</w:t>
      </w:r>
      <w:bookmarkEnd w:id="29"/>
    </w:p>
    <w:p w14:paraId="75071EDB" w14:textId="5C728AF6" w:rsidR="00015160" w:rsidRPr="00ED67E8" w:rsidRDefault="00015160" w:rsidP="00ED67E8">
      <w:pPr>
        <w:shd w:val="clear" w:color="auto" w:fill="FFFFFF"/>
        <w:spacing w:after="0"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The recommended strategy is broad differentiation supported by market penetration and related product development. VodafoneThree can use its expanded scale and investment capacity to strengthen 5G performance, coverage, reliability and customer experience. Ericsson (2026) reports that recent network integration has already delivered measurable improvements, including increased coverage and capacity for millions of customers.</w:t>
      </w:r>
    </w:p>
    <w:p w14:paraId="2D37A57B" w14:textId="77777777" w:rsidR="00015160" w:rsidRPr="00ED67E8" w:rsidRDefault="00015160" w:rsidP="00ED67E8">
      <w:pPr>
        <w:shd w:val="clear" w:color="auto" w:fill="FFFFFF"/>
        <w:spacing w:after="0" w:line="360" w:lineRule="auto"/>
        <w:jc w:val="both"/>
        <w:rPr>
          <w:rFonts w:ascii="Arial" w:eastAsia="Times New Roman" w:hAnsi="Arial" w:cs="Arial"/>
          <w:kern w:val="0"/>
          <w:sz w:val="22"/>
          <w:szCs w:val="22"/>
          <w:lang w:eastAsia="en-GB"/>
          <w14:ligatures w14:val="none"/>
        </w:rPr>
      </w:pPr>
    </w:p>
    <w:p w14:paraId="4AD42524" w14:textId="4F265EC8" w:rsidR="00015160" w:rsidRPr="00ED67E8" w:rsidRDefault="00015160" w:rsidP="00ED67E8">
      <w:pPr>
        <w:shd w:val="clear" w:color="auto" w:fill="FFFFFF"/>
        <w:spacing w:after="0"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 xml:space="preserve">A contrasting option would involve accelerating diversification into cloud, cybersecurity and other digital markets. Pursuing extensive diversification while integration is still underway introduces additional financial and operational risk. </w:t>
      </w:r>
      <w:r w:rsidR="007220CC" w:rsidRPr="00ED67E8">
        <w:rPr>
          <w:rFonts w:ascii="Arial" w:eastAsia="Times New Roman" w:hAnsi="Arial" w:cs="Arial"/>
          <w:kern w:val="0"/>
          <w:sz w:val="22"/>
          <w:szCs w:val="22"/>
          <w:lang w:eastAsia="en-GB"/>
          <w14:ligatures w14:val="none"/>
        </w:rPr>
        <w:t>Teece et al. (1997) and Ellström et al. (2022) explain that firms should strengthen and adapt their existing capabilities before expanding into new areas. This helps ensure growth is manageable and supports effective capability development.</w:t>
      </w:r>
    </w:p>
    <w:p w14:paraId="47A1BE87" w14:textId="77777777" w:rsidR="00015160" w:rsidRPr="00ED67E8" w:rsidRDefault="00015160" w:rsidP="00ED67E8">
      <w:pPr>
        <w:shd w:val="clear" w:color="auto" w:fill="FFFFFF"/>
        <w:spacing w:after="0" w:line="360" w:lineRule="auto"/>
        <w:jc w:val="both"/>
        <w:rPr>
          <w:rFonts w:ascii="Arial" w:eastAsia="Times New Roman" w:hAnsi="Arial" w:cs="Arial"/>
          <w:kern w:val="0"/>
          <w:sz w:val="22"/>
          <w:szCs w:val="22"/>
          <w:lang w:eastAsia="en-GB"/>
          <w14:ligatures w14:val="none"/>
        </w:rPr>
      </w:pPr>
    </w:p>
    <w:p w14:paraId="1142BBF0" w14:textId="231722D4" w:rsidR="00B4421F" w:rsidRPr="00ED67E8" w:rsidRDefault="00015160" w:rsidP="00ED67E8">
      <w:pPr>
        <w:shd w:val="clear" w:color="auto" w:fill="FFFFFF"/>
        <w:spacing w:after="0"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On this basis, VodafoneThree should focus on disciplined integration, network enhancement and customer loyalty as the immediate priorities. Once integration milestones are met and synergy delivery is evidenced, diversification can be revisited as a subsequent strategic step, aligning with broader digital</w:t>
      </w:r>
      <w:r w:rsidRPr="00ED67E8">
        <w:rPr>
          <w:rFonts w:ascii="Cambria Math" w:eastAsia="Times New Roman" w:hAnsi="Cambria Math" w:cs="Cambria Math"/>
          <w:kern w:val="0"/>
          <w:sz w:val="22"/>
          <w:szCs w:val="22"/>
          <w:lang w:eastAsia="en-GB"/>
          <w14:ligatures w14:val="none"/>
        </w:rPr>
        <w:t>‑</w:t>
      </w:r>
      <w:r w:rsidRPr="00ED67E8">
        <w:rPr>
          <w:rFonts w:ascii="Arial" w:eastAsia="Times New Roman" w:hAnsi="Arial" w:cs="Arial"/>
          <w:kern w:val="0"/>
          <w:sz w:val="22"/>
          <w:szCs w:val="22"/>
          <w:lang w:eastAsia="en-GB"/>
          <w14:ligatures w14:val="none"/>
        </w:rPr>
        <w:t>market opportunities and supporting long</w:t>
      </w:r>
      <w:r w:rsidRPr="00ED67E8">
        <w:rPr>
          <w:rFonts w:ascii="Cambria Math" w:eastAsia="Times New Roman" w:hAnsi="Cambria Math" w:cs="Cambria Math"/>
          <w:kern w:val="0"/>
          <w:sz w:val="22"/>
          <w:szCs w:val="22"/>
          <w:lang w:eastAsia="en-GB"/>
          <w14:ligatures w14:val="none"/>
        </w:rPr>
        <w:t>‑</w:t>
      </w:r>
      <w:r w:rsidRPr="00ED67E8">
        <w:rPr>
          <w:rFonts w:ascii="Arial" w:eastAsia="Times New Roman" w:hAnsi="Arial" w:cs="Arial"/>
          <w:kern w:val="0"/>
          <w:sz w:val="22"/>
          <w:szCs w:val="22"/>
          <w:lang w:eastAsia="en-GB"/>
          <w14:ligatures w14:val="none"/>
        </w:rPr>
        <w:t>term competitive positioning through differentiation and capability development.</w:t>
      </w:r>
    </w:p>
    <w:p w14:paraId="60FB6D19" w14:textId="77777777" w:rsidR="00B4421F" w:rsidRPr="004F58FA" w:rsidRDefault="007B3D5D" w:rsidP="004F58FA">
      <w:pPr>
        <w:pStyle w:val="Heading1"/>
      </w:pPr>
      <w:bookmarkStart w:id="30" w:name="_Toc237265674"/>
      <w:r w:rsidRPr="004F58FA">
        <w:t>Strategy Evaluation: SFA Analysis</w:t>
      </w:r>
      <w:bookmarkEnd w:id="30"/>
    </w:p>
    <w:p w14:paraId="3B96DA21" w14:textId="51EAC5DB" w:rsidR="00015160" w:rsidRPr="00ED67E8" w:rsidRDefault="00015160"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The proposed strategy is</w:t>
      </w:r>
      <w:r w:rsidR="00F6398D" w:rsidRPr="00ED67E8">
        <w:rPr>
          <w:rFonts w:ascii="Arial" w:hAnsi="Arial" w:cs="Arial"/>
          <w:sz w:val="22"/>
          <w:szCs w:val="22"/>
        </w:rPr>
        <w:t xml:space="preserve"> assessed</w:t>
      </w:r>
      <w:r w:rsidRPr="00ED67E8">
        <w:rPr>
          <w:rFonts w:ascii="Arial" w:hAnsi="Arial" w:cs="Arial"/>
          <w:sz w:val="22"/>
          <w:szCs w:val="22"/>
        </w:rPr>
        <w:t xml:space="preserve"> using the Suitability, Feasibility and Acceptability framework, with Johnson et al. (2020) outlining how strategic options can be tested against organisational context and stakeholder expectations.</w:t>
      </w:r>
    </w:p>
    <w:p w14:paraId="253AE88D" w14:textId="77777777" w:rsidR="00015160" w:rsidRPr="004F58FA" w:rsidRDefault="00015160" w:rsidP="004F58FA">
      <w:pPr>
        <w:pStyle w:val="Heading2"/>
      </w:pPr>
      <w:bookmarkStart w:id="31" w:name="_Toc237265675"/>
      <w:r w:rsidRPr="004F58FA">
        <w:t>Suitability</w:t>
      </w:r>
      <w:bookmarkEnd w:id="31"/>
    </w:p>
    <w:p w14:paraId="4D99E361" w14:textId="26749A4F" w:rsidR="00015160" w:rsidRPr="00ED67E8" w:rsidRDefault="00015160"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The strategy is suitable because it aligns closely with the competitive conditions facing VodafoneThree. Differentiation through network quality, 5G capability and customer experience directly addresses strong rivalry and high buyer power. These priorities also build on VodafoneThree’s main strengths, including its enlarged scale and committed investment programme, making the strategic direction well matched to both market pressures and organisational capability.</w:t>
      </w:r>
    </w:p>
    <w:p w14:paraId="23B4D728" w14:textId="77777777" w:rsidR="00015160" w:rsidRPr="004F58FA" w:rsidRDefault="00015160" w:rsidP="004F58FA">
      <w:pPr>
        <w:pStyle w:val="Heading2"/>
      </w:pPr>
      <w:bookmarkStart w:id="32" w:name="_Toc237265676"/>
      <w:r w:rsidRPr="004F58FA">
        <w:t>Feasibility</w:t>
      </w:r>
      <w:bookmarkEnd w:id="32"/>
    </w:p>
    <w:p w14:paraId="300668D8" w14:textId="62509280" w:rsidR="00015160" w:rsidRPr="00ED67E8" w:rsidRDefault="00015160"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Feasibility is supported by VodafoneThree’s substantial financial and technological resources. The £11 billion investment programme described in Vodafone Group Plc (2025) provides significant funding for network development and integration. Progress in network sharing and consolidation is already evident, with Ericsson (2026) reporting measurable improvements in coverage and capacity. Operational complexity remains a risk, but the organisation has the resources and infrastructure required to deliver the strategy effectively.</w:t>
      </w:r>
    </w:p>
    <w:p w14:paraId="00F0E63D" w14:textId="77777777" w:rsidR="00015160" w:rsidRPr="004F58FA" w:rsidRDefault="00015160" w:rsidP="004F58FA">
      <w:pPr>
        <w:pStyle w:val="Heading2"/>
      </w:pPr>
      <w:bookmarkStart w:id="33" w:name="_Toc237265677"/>
      <w:r w:rsidRPr="004F58FA">
        <w:t>Acceptability</w:t>
      </w:r>
      <w:bookmarkEnd w:id="33"/>
    </w:p>
    <w:p w14:paraId="34BD5561" w14:textId="77777777" w:rsidR="00015160" w:rsidRPr="00ED67E8" w:rsidRDefault="00015160"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 xml:space="preserve">The strategy is broadly acceptable across key stakeholder groups. Customers benefit from improved connectivity and service quality, while shareholders gain from efficiency </w:t>
      </w:r>
      <w:r w:rsidRPr="00ED67E8">
        <w:rPr>
          <w:rFonts w:ascii="Arial" w:hAnsi="Arial" w:cs="Arial"/>
          <w:sz w:val="22"/>
          <w:szCs w:val="22"/>
        </w:rPr>
        <w:lastRenderedPageBreak/>
        <w:t>improvements and growth potential. Employees may experience uncertainty due to integration and restructuring, and regulators will continue to monitor the effects of consolidation, as highlighted by Competition and Markets Authority (2025). These considerations require careful management but do not undermine the strategic direction.</w:t>
      </w:r>
    </w:p>
    <w:p w14:paraId="5E812BF3" w14:textId="77777777" w:rsidR="00015160" w:rsidRPr="00ED67E8" w:rsidRDefault="00015160" w:rsidP="00ED67E8">
      <w:pPr>
        <w:shd w:val="clear" w:color="auto" w:fill="FFFFFF"/>
        <w:spacing w:after="0" w:line="360" w:lineRule="auto"/>
        <w:jc w:val="both"/>
        <w:rPr>
          <w:rFonts w:ascii="Arial" w:hAnsi="Arial" w:cs="Arial"/>
          <w:sz w:val="22"/>
          <w:szCs w:val="22"/>
        </w:rPr>
      </w:pPr>
    </w:p>
    <w:p w14:paraId="2210F8D9" w14:textId="1C7FFA16" w:rsidR="00B4421F" w:rsidRPr="00ED67E8" w:rsidRDefault="00015160" w:rsidP="00ED67E8">
      <w:pPr>
        <w:shd w:val="clear" w:color="auto" w:fill="FFFFFF"/>
        <w:spacing w:after="0" w:line="360" w:lineRule="auto"/>
        <w:jc w:val="both"/>
        <w:rPr>
          <w:rFonts w:ascii="Arial" w:hAnsi="Arial" w:cs="Arial"/>
          <w:sz w:val="22"/>
          <w:szCs w:val="22"/>
        </w:rPr>
      </w:pPr>
      <w:r w:rsidRPr="00ED67E8">
        <w:rPr>
          <w:rFonts w:ascii="Arial" w:hAnsi="Arial" w:cs="Arial"/>
          <w:sz w:val="22"/>
          <w:szCs w:val="22"/>
        </w:rPr>
        <w:t>This evaluation indicates that the proposed strategy aligns with VodafoneThree’s competitive environment, resource base and stakeholder expectations, provided the organisation maintains strong oversight of integration execution, financial management and regulatory engagement.</w:t>
      </w:r>
    </w:p>
    <w:p w14:paraId="31995CFC" w14:textId="77777777" w:rsidR="00015160" w:rsidRPr="00ED67E8" w:rsidRDefault="00015160" w:rsidP="00ED67E8">
      <w:pPr>
        <w:shd w:val="clear" w:color="auto" w:fill="FFFFFF"/>
        <w:spacing w:after="0" w:line="360" w:lineRule="auto"/>
        <w:jc w:val="both"/>
        <w:rPr>
          <w:rFonts w:ascii="Arial" w:hAnsi="Arial" w:cs="Arial"/>
          <w:sz w:val="22"/>
          <w:szCs w:val="22"/>
        </w:rPr>
      </w:pPr>
    </w:p>
    <w:bookmarkEnd w:id="27"/>
    <w:bookmarkEnd w:id="28"/>
    <w:p w14:paraId="70CDF0DD" w14:textId="77777777" w:rsidR="00015160" w:rsidRPr="00ED67E8" w:rsidRDefault="00015160" w:rsidP="00ED67E8">
      <w:pPr>
        <w:spacing w:line="360" w:lineRule="auto"/>
        <w:jc w:val="both"/>
        <w:rPr>
          <w:rFonts w:ascii="Arial" w:eastAsiaTheme="majorEastAsia" w:hAnsi="Arial" w:cs="Arial"/>
          <w:color w:val="000000" w:themeColor="text1"/>
          <w:sz w:val="22"/>
          <w:szCs w:val="22"/>
        </w:rPr>
      </w:pPr>
      <w:r w:rsidRPr="00ED67E8">
        <w:rPr>
          <w:rFonts w:ascii="Arial" w:eastAsiaTheme="majorEastAsia" w:hAnsi="Arial" w:cs="Arial"/>
          <w:color w:val="000000" w:themeColor="text1"/>
          <w:sz w:val="22"/>
          <w:szCs w:val="22"/>
        </w:rPr>
        <w:t>The recommended strategy is broad differentiation supported by market penetration and related product development. VodafoneThree can use its expanded scale and the £11 billion investment programme to strengthen 5G Standalone coverage, network quality and customer experience, with Vodafone Group Plc (2025) highlighting these areas as central to future competitive advantage.</w:t>
      </w:r>
    </w:p>
    <w:p w14:paraId="7BC08AFC" w14:textId="77777777" w:rsidR="00015160" w:rsidRPr="00ED67E8" w:rsidRDefault="00015160" w:rsidP="00ED67E8">
      <w:pPr>
        <w:spacing w:line="360" w:lineRule="auto"/>
        <w:jc w:val="both"/>
        <w:rPr>
          <w:rFonts w:ascii="Arial" w:eastAsiaTheme="majorEastAsia" w:hAnsi="Arial" w:cs="Arial"/>
          <w:color w:val="000000" w:themeColor="text1"/>
          <w:sz w:val="22"/>
          <w:szCs w:val="22"/>
        </w:rPr>
      </w:pPr>
      <w:r w:rsidRPr="00ED67E8">
        <w:rPr>
          <w:rFonts w:ascii="Arial" w:eastAsiaTheme="majorEastAsia" w:hAnsi="Arial" w:cs="Arial"/>
          <w:color w:val="000000" w:themeColor="text1"/>
          <w:sz w:val="22"/>
          <w:szCs w:val="22"/>
        </w:rPr>
        <w:t>Diversification into cloud, cybersecurity and other digital services offers longer</w:t>
      </w:r>
      <w:r w:rsidRPr="00ED67E8">
        <w:rPr>
          <w:rFonts w:ascii="Cambria Math" w:eastAsiaTheme="majorEastAsia" w:hAnsi="Cambria Math" w:cs="Cambria Math"/>
          <w:color w:val="000000" w:themeColor="text1"/>
          <w:sz w:val="22"/>
          <w:szCs w:val="22"/>
        </w:rPr>
        <w:t>‑</w:t>
      </w:r>
      <w:r w:rsidRPr="00ED67E8">
        <w:rPr>
          <w:rFonts w:ascii="Arial" w:eastAsiaTheme="majorEastAsia" w:hAnsi="Arial" w:cs="Arial"/>
          <w:color w:val="000000" w:themeColor="text1"/>
          <w:sz w:val="22"/>
          <w:szCs w:val="22"/>
        </w:rPr>
        <w:t>term potential, yet accelerating this path while integration is still underway would heighten operational and financial risk. Research grounded in the resource</w:t>
      </w:r>
      <w:r w:rsidRPr="00ED67E8">
        <w:rPr>
          <w:rFonts w:ascii="Cambria Math" w:eastAsiaTheme="majorEastAsia" w:hAnsi="Cambria Math" w:cs="Cambria Math"/>
          <w:color w:val="000000" w:themeColor="text1"/>
          <w:sz w:val="22"/>
          <w:szCs w:val="22"/>
        </w:rPr>
        <w:t>‑</w:t>
      </w:r>
      <w:r w:rsidRPr="00ED67E8">
        <w:rPr>
          <w:rFonts w:ascii="Arial" w:eastAsiaTheme="majorEastAsia" w:hAnsi="Arial" w:cs="Arial"/>
          <w:color w:val="000000" w:themeColor="text1"/>
          <w:sz w:val="22"/>
          <w:szCs w:val="22"/>
        </w:rPr>
        <w:t>based and dynamic</w:t>
      </w:r>
      <w:r w:rsidRPr="00ED67E8">
        <w:rPr>
          <w:rFonts w:ascii="Cambria Math" w:eastAsiaTheme="majorEastAsia" w:hAnsi="Cambria Math" w:cs="Cambria Math"/>
          <w:color w:val="000000" w:themeColor="text1"/>
          <w:sz w:val="22"/>
          <w:szCs w:val="22"/>
        </w:rPr>
        <w:t>‑</w:t>
      </w:r>
      <w:r w:rsidRPr="00ED67E8">
        <w:rPr>
          <w:rFonts w:ascii="Arial" w:eastAsiaTheme="majorEastAsia" w:hAnsi="Arial" w:cs="Arial"/>
          <w:color w:val="000000" w:themeColor="text1"/>
          <w:sz w:val="22"/>
          <w:szCs w:val="22"/>
        </w:rPr>
        <w:t>capabilities perspectives reinforces this point. Barney (1991) emphasises the need for firms to build and refine valuable, difficult</w:t>
      </w:r>
      <w:r w:rsidRPr="00ED67E8">
        <w:rPr>
          <w:rFonts w:ascii="Cambria Math" w:eastAsiaTheme="majorEastAsia" w:hAnsi="Cambria Math" w:cs="Cambria Math"/>
          <w:color w:val="000000" w:themeColor="text1"/>
          <w:sz w:val="22"/>
          <w:szCs w:val="22"/>
        </w:rPr>
        <w:t>‑</w:t>
      </w:r>
      <w:r w:rsidRPr="00ED67E8">
        <w:rPr>
          <w:rFonts w:ascii="Arial" w:eastAsiaTheme="majorEastAsia" w:hAnsi="Arial" w:cs="Arial"/>
          <w:color w:val="000000" w:themeColor="text1"/>
          <w:sz w:val="22"/>
          <w:szCs w:val="22"/>
        </w:rPr>
        <w:t>to</w:t>
      </w:r>
      <w:r w:rsidRPr="00ED67E8">
        <w:rPr>
          <w:rFonts w:ascii="Cambria Math" w:eastAsiaTheme="majorEastAsia" w:hAnsi="Cambria Math" w:cs="Cambria Math"/>
          <w:color w:val="000000" w:themeColor="text1"/>
          <w:sz w:val="22"/>
          <w:szCs w:val="22"/>
        </w:rPr>
        <w:t>‑</w:t>
      </w:r>
      <w:r w:rsidRPr="00ED67E8">
        <w:rPr>
          <w:rFonts w:ascii="Arial" w:eastAsiaTheme="majorEastAsia" w:hAnsi="Arial" w:cs="Arial"/>
          <w:color w:val="000000" w:themeColor="text1"/>
          <w:sz w:val="22"/>
          <w:szCs w:val="22"/>
        </w:rPr>
        <w:t>imitate resources, while Ellström et al. (2022) show that effective reconfiguration of existing capabilities is essential during digital transformation.</w:t>
      </w:r>
    </w:p>
    <w:p w14:paraId="1268BAD7" w14:textId="77777777" w:rsidR="00015160" w:rsidRPr="00ED67E8" w:rsidRDefault="00015160" w:rsidP="00ED67E8">
      <w:pPr>
        <w:spacing w:line="360" w:lineRule="auto"/>
        <w:jc w:val="both"/>
        <w:rPr>
          <w:rFonts w:ascii="Arial" w:eastAsiaTheme="majorEastAsia" w:hAnsi="Arial" w:cs="Arial"/>
          <w:color w:val="000000" w:themeColor="text1"/>
          <w:sz w:val="22"/>
          <w:szCs w:val="22"/>
        </w:rPr>
      </w:pPr>
      <w:r w:rsidRPr="00ED67E8">
        <w:rPr>
          <w:rFonts w:ascii="Arial" w:eastAsiaTheme="majorEastAsia" w:hAnsi="Arial" w:cs="Arial"/>
          <w:color w:val="000000" w:themeColor="text1"/>
          <w:sz w:val="22"/>
          <w:szCs w:val="22"/>
        </w:rPr>
        <w:t>Given these considerations, VodafoneThree should focus on merger integration, synergy delivery and network improvement as immediate priorities. This approach leverages existing resources, aligns with competitive pressures and supports Vodafone’s strategic emphasis on customers, growth and digital transformation, as outlined in Vodafone Group Plc (2026b). Once integration milestones are met and capability alignment is demonstrated, diversification can be revisited as a subsequent growth avenue, complementing wider ambitions in digital services and enterprise connectivity.</w:t>
      </w:r>
    </w:p>
    <w:p w14:paraId="3338AA20" w14:textId="1C15FBC7" w:rsidR="007B3D5D" w:rsidRPr="004F58FA" w:rsidRDefault="007B3D5D" w:rsidP="004F58FA">
      <w:pPr>
        <w:pStyle w:val="Heading1"/>
      </w:pPr>
      <w:bookmarkStart w:id="34" w:name="_Toc237265678"/>
      <w:r w:rsidRPr="004F58FA">
        <w:t>Stakeholder Analysis and Engagement Plan</w:t>
      </w:r>
      <w:bookmarkEnd w:id="34"/>
      <w:r w:rsidRPr="004F58FA">
        <w:t> </w:t>
      </w:r>
    </w:p>
    <w:p w14:paraId="4489B763" w14:textId="77777777" w:rsidR="00015160" w:rsidRPr="00ED67E8" w:rsidRDefault="00015160" w:rsidP="00ED67E8">
      <w:pPr>
        <w:spacing w:line="360" w:lineRule="auto"/>
        <w:jc w:val="both"/>
        <w:rPr>
          <w:rFonts w:ascii="Arial" w:hAnsi="Arial" w:cs="Arial"/>
          <w:sz w:val="22"/>
          <w:szCs w:val="22"/>
        </w:rPr>
      </w:pPr>
      <w:r w:rsidRPr="00ED67E8">
        <w:rPr>
          <w:rFonts w:ascii="Arial" w:hAnsi="Arial" w:cs="Arial"/>
          <w:sz w:val="22"/>
          <w:szCs w:val="22"/>
        </w:rPr>
        <w:t>Stakeholder theory emphasises the importance of considering groups affected by organisational decisions, with Freeman et al. (2010) highlighting how effective engagement supports both performance and legitimacy. For VodafoneThree, key stakeholders include shareholders, customers, employees, regulators, suppliers, business clients and local communities.</w:t>
      </w:r>
    </w:p>
    <w:p w14:paraId="12E36FDE" w14:textId="77777777" w:rsidR="00015160" w:rsidRPr="00ED67E8" w:rsidRDefault="00015160" w:rsidP="00ED67E8">
      <w:pPr>
        <w:spacing w:line="360" w:lineRule="auto"/>
        <w:jc w:val="both"/>
        <w:rPr>
          <w:rFonts w:ascii="Arial" w:hAnsi="Arial" w:cs="Arial"/>
          <w:sz w:val="22"/>
          <w:szCs w:val="22"/>
        </w:rPr>
      </w:pPr>
      <w:r w:rsidRPr="00ED67E8">
        <w:rPr>
          <w:rFonts w:ascii="Arial" w:hAnsi="Arial" w:cs="Arial"/>
          <w:sz w:val="22"/>
          <w:szCs w:val="22"/>
        </w:rPr>
        <w:lastRenderedPageBreak/>
        <w:t>Using Mendelow’s Matrix, high</w:t>
      </w:r>
      <w:r w:rsidRPr="00ED67E8">
        <w:rPr>
          <w:rFonts w:ascii="Cambria Math" w:hAnsi="Cambria Math" w:cs="Cambria Math"/>
          <w:sz w:val="22"/>
          <w:szCs w:val="22"/>
        </w:rPr>
        <w:t>‑</w:t>
      </w:r>
      <w:r w:rsidRPr="00ED67E8">
        <w:rPr>
          <w:rFonts w:ascii="Arial" w:hAnsi="Arial" w:cs="Arial"/>
          <w:sz w:val="22"/>
          <w:szCs w:val="22"/>
        </w:rPr>
        <w:t>power stakeholders such as shareholders, regulators and government require close management because their decisions influence investment, compliance and strategic direction. Customers and employees hold high interest and therefore need clear communication about network improvements, service changes and the progress of integration. Suppliers and business customers also require structured engagement to ensure continuity during network consolidation.</w:t>
      </w:r>
    </w:p>
    <w:p w14:paraId="5E41C377" w14:textId="77777777" w:rsidR="00015160" w:rsidRPr="00ED67E8" w:rsidRDefault="00015160" w:rsidP="00ED67E8">
      <w:pPr>
        <w:spacing w:line="360" w:lineRule="auto"/>
        <w:jc w:val="both"/>
        <w:rPr>
          <w:rFonts w:ascii="Arial" w:hAnsi="Arial" w:cs="Arial"/>
          <w:sz w:val="22"/>
          <w:szCs w:val="22"/>
        </w:rPr>
      </w:pPr>
      <w:r w:rsidRPr="00ED67E8">
        <w:rPr>
          <w:rFonts w:ascii="Arial" w:hAnsi="Arial" w:cs="Arial"/>
          <w:sz w:val="22"/>
          <w:szCs w:val="22"/>
        </w:rPr>
        <w:t>The engagement plan should incorporate regulatory meetings, shareholder briefings, customer</w:t>
      </w:r>
      <w:r w:rsidRPr="00ED67E8">
        <w:rPr>
          <w:rFonts w:ascii="Cambria Math" w:hAnsi="Cambria Math" w:cs="Cambria Math"/>
          <w:sz w:val="22"/>
          <w:szCs w:val="22"/>
        </w:rPr>
        <w:t>‑</w:t>
      </w:r>
      <w:r w:rsidRPr="00ED67E8">
        <w:rPr>
          <w:rFonts w:ascii="Arial" w:hAnsi="Arial" w:cs="Arial"/>
          <w:sz w:val="22"/>
          <w:szCs w:val="22"/>
        </w:rPr>
        <w:t>feedback mechanisms, employee consultations and supplier reviews. Vodafone Group Plc (2026) demonstrates the importance of maintaining dialogue with customers, governments, regulators, communities and NGOs, reinforcing the need for a broad and coordinated approach.</w:t>
      </w:r>
    </w:p>
    <w:p w14:paraId="7FB763D7" w14:textId="10DEDA29" w:rsidR="00015160" w:rsidRPr="00ED67E8" w:rsidRDefault="00015160" w:rsidP="00ED67E8">
      <w:pPr>
        <w:spacing w:line="360" w:lineRule="auto"/>
        <w:jc w:val="both"/>
        <w:rPr>
          <w:rFonts w:ascii="Arial" w:hAnsi="Arial" w:cs="Arial"/>
          <w:sz w:val="22"/>
          <w:szCs w:val="22"/>
        </w:rPr>
      </w:pPr>
      <w:r w:rsidRPr="00ED67E8">
        <w:rPr>
          <w:rFonts w:ascii="Arial" w:hAnsi="Arial" w:cs="Arial"/>
          <w:sz w:val="22"/>
          <w:szCs w:val="22"/>
        </w:rPr>
        <w:t>Effective engagement matters because stakeholder expectations differ across groups. Customers prioritise reliable and affordable services, shareholders expect financial benefits and synergy delivery, employees require transparency during organisational change, and regulators focus on consumer outcomes and market fairness. Managing these relationships supports implementation, reduces operational risk and helps protect VodafoneThree’s reputation, complementing wider strategic analysis through SWOT and PESTEL.</w:t>
      </w:r>
    </w:p>
    <w:p w14:paraId="2552BB5D" w14:textId="77777777" w:rsidR="007B3D5D" w:rsidRPr="004F58FA" w:rsidRDefault="007B3D5D" w:rsidP="004F58FA">
      <w:pPr>
        <w:pStyle w:val="Heading1"/>
      </w:pPr>
      <w:bookmarkStart w:id="35" w:name="_Toc237265679"/>
      <w:r w:rsidRPr="004F58FA">
        <w:t>Implementation and Monitoring</w:t>
      </w:r>
      <w:bookmarkEnd w:id="35"/>
    </w:p>
    <w:p w14:paraId="012C059D" w14:textId="77777777" w:rsidR="003D0FD1" w:rsidRPr="00ED67E8" w:rsidRDefault="003D0FD1"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36" w:name="_Toc237258751"/>
      <w:bookmarkStart w:id="37" w:name="_Toc237265680"/>
      <w:r w:rsidRPr="00ED67E8">
        <w:rPr>
          <w:rFonts w:ascii="Arial" w:eastAsia="Times New Roman" w:hAnsi="Arial" w:cs="Arial"/>
          <w:kern w:val="36"/>
          <w:sz w:val="22"/>
          <w:szCs w:val="22"/>
          <w:lang w:eastAsia="en-GB"/>
          <w14:ligatures w14:val="none"/>
        </w:rPr>
        <w:t>Johnson et al. (2020) note that effective strategy delivery relies on clear objectives, defined responsibilities and consistent performance oversight. For VodafoneThree, this means translating strategic goals into measurable actions, assigning ownership to relevant teams and reviewing progress against agreed targets through structured monitoring. This ensures organisational alignment and supports disciplined execution across integration, network improvement and customer</w:t>
      </w:r>
      <w:r w:rsidRPr="00ED67E8">
        <w:rPr>
          <w:rFonts w:ascii="Cambria Math" w:eastAsia="Times New Roman" w:hAnsi="Cambria Math" w:cs="Cambria Math"/>
          <w:kern w:val="36"/>
          <w:sz w:val="22"/>
          <w:szCs w:val="22"/>
          <w:lang w:eastAsia="en-GB"/>
          <w14:ligatures w14:val="none"/>
        </w:rPr>
        <w:t>‑</w:t>
      </w:r>
      <w:r w:rsidRPr="00ED67E8">
        <w:rPr>
          <w:rFonts w:ascii="Arial" w:eastAsia="Times New Roman" w:hAnsi="Arial" w:cs="Arial"/>
          <w:kern w:val="36"/>
          <w:sz w:val="22"/>
          <w:szCs w:val="22"/>
          <w:lang w:eastAsia="en-GB"/>
          <w14:ligatures w14:val="none"/>
        </w:rPr>
        <w:t>focused growth, forming a foundation for wider performance management.</w:t>
      </w:r>
      <w:bookmarkEnd w:id="36"/>
      <w:bookmarkEnd w:id="37"/>
    </w:p>
    <w:p w14:paraId="532CF5A5" w14:textId="14CC6ADB" w:rsidR="007B3D5D" w:rsidRPr="004F58FA" w:rsidRDefault="007B3D5D" w:rsidP="004F58FA">
      <w:pPr>
        <w:pStyle w:val="Heading2"/>
      </w:pPr>
      <w:bookmarkStart w:id="38" w:name="_Toc237265681"/>
      <w:r w:rsidRPr="004F58FA">
        <w:t>Strategic Alignment and Objective Setting</w:t>
      </w:r>
      <w:bookmarkEnd w:id="38"/>
    </w:p>
    <w:p w14:paraId="7ED88D95" w14:textId="77777777"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39" w:name="_Toc237258753"/>
      <w:bookmarkStart w:id="40" w:name="_Toc237265682"/>
      <w:r w:rsidRPr="00ED67E8">
        <w:rPr>
          <w:rFonts w:ascii="Arial" w:eastAsia="Times New Roman" w:hAnsi="Arial" w:cs="Arial"/>
          <w:kern w:val="36"/>
          <w:sz w:val="22"/>
          <w:szCs w:val="22"/>
          <w:lang w:eastAsia="en-GB"/>
          <w14:ligatures w14:val="none"/>
        </w:rPr>
        <w:t>VodafoneThree should align departments around three priorities: successful integration, improved network performance and customer-focused growth. Objectives should be specific, measurable and linked to organisational performance.</w:t>
      </w:r>
      <w:bookmarkEnd w:id="39"/>
      <w:bookmarkEnd w:id="40"/>
    </w:p>
    <w:p w14:paraId="54BC9ABE" w14:textId="77777777" w:rsidR="007B3D5D" w:rsidRPr="004F58FA" w:rsidRDefault="007B3D5D" w:rsidP="004F58FA">
      <w:pPr>
        <w:pStyle w:val="Heading2"/>
      </w:pPr>
      <w:bookmarkStart w:id="41" w:name="_Toc237265683"/>
      <w:r w:rsidRPr="004F58FA">
        <w:lastRenderedPageBreak/>
        <w:t>Action Planning and Resource Allocation</w:t>
      </w:r>
      <w:bookmarkEnd w:id="41"/>
    </w:p>
    <w:p w14:paraId="6289508D" w14:textId="77777777"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42" w:name="_Toc237258755"/>
      <w:bookmarkStart w:id="43" w:name="_Toc237265684"/>
      <w:r w:rsidRPr="00ED67E8">
        <w:rPr>
          <w:rFonts w:ascii="Arial" w:eastAsia="Times New Roman" w:hAnsi="Arial" w:cs="Arial"/>
          <w:kern w:val="36"/>
          <w:sz w:val="22"/>
          <w:szCs w:val="22"/>
          <w:lang w:eastAsia="en-GB"/>
          <w14:ligatures w14:val="none"/>
        </w:rPr>
        <w:t>Key actions should include network integration, 5G Standalone deployment, customer experience improvements and expansion of digital, IoT and enterprise services. Resources should prioritise initiatives that directly support differentiation.</w:t>
      </w:r>
      <w:bookmarkEnd w:id="42"/>
      <w:bookmarkEnd w:id="43"/>
    </w:p>
    <w:p w14:paraId="77293845" w14:textId="77777777" w:rsidR="003D0FD1" w:rsidRPr="004F58FA" w:rsidRDefault="007B3D5D" w:rsidP="004F58FA">
      <w:pPr>
        <w:pStyle w:val="Heading2"/>
      </w:pPr>
      <w:bookmarkStart w:id="44" w:name="_Toc237265685"/>
      <w:r w:rsidRPr="004F58FA">
        <w:t>Accountability and Governance</w:t>
      </w:r>
      <w:bookmarkEnd w:id="44"/>
    </w:p>
    <w:p w14:paraId="703E4E56" w14:textId="4749D97C"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45" w:name="_Toc237258757"/>
      <w:bookmarkStart w:id="46" w:name="_Toc237265686"/>
      <w:r w:rsidRPr="00ED67E8">
        <w:rPr>
          <w:rFonts w:ascii="Arial" w:eastAsia="Times New Roman" w:hAnsi="Arial" w:cs="Arial"/>
          <w:kern w:val="36"/>
          <w:sz w:val="22"/>
          <w:szCs w:val="22"/>
          <w:lang w:eastAsia="en-GB"/>
          <w14:ligatures w14:val="none"/>
        </w:rPr>
        <w:t>An integration steering committee should oversee implementation, supported by monthly</w:t>
      </w:r>
      <w:r w:rsidRPr="00ED67E8">
        <w:rPr>
          <w:rFonts w:ascii="Arial" w:hAnsi="Arial" w:cs="Arial"/>
          <w:sz w:val="22"/>
          <w:szCs w:val="22"/>
        </w:rPr>
        <w:t xml:space="preserve"> </w:t>
      </w:r>
      <w:r w:rsidRPr="00ED67E8">
        <w:rPr>
          <w:rFonts w:ascii="Arial" w:eastAsia="Times New Roman" w:hAnsi="Arial" w:cs="Arial"/>
          <w:kern w:val="36"/>
          <w:sz w:val="22"/>
          <w:szCs w:val="22"/>
          <w:lang w:eastAsia="en-GB"/>
          <w14:ligatures w14:val="none"/>
        </w:rPr>
        <w:t>management reviews and quarterly board reporting. Each initiative should have a clear owner and measurable KPIs.</w:t>
      </w:r>
      <w:bookmarkEnd w:id="45"/>
      <w:bookmarkEnd w:id="46"/>
    </w:p>
    <w:p w14:paraId="21501B8D" w14:textId="77777777" w:rsidR="007B3D5D" w:rsidRPr="004F58FA" w:rsidRDefault="007B3D5D" w:rsidP="004F58FA">
      <w:pPr>
        <w:pStyle w:val="Heading2"/>
      </w:pPr>
      <w:bookmarkStart w:id="47" w:name="_Toc237265687"/>
      <w:r w:rsidRPr="004F58FA">
        <w:t>Monitoring and Performance Oversight</w:t>
      </w:r>
      <w:bookmarkEnd w:id="47"/>
    </w:p>
    <w:p w14:paraId="193DAFB1" w14:textId="4E9A7962"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48" w:name="_Toc237258759"/>
      <w:bookmarkStart w:id="49" w:name="_Toc237265688"/>
      <w:r w:rsidRPr="00ED67E8">
        <w:rPr>
          <w:rFonts w:ascii="Arial" w:eastAsia="Times New Roman" w:hAnsi="Arial" w:cs="Arial"/>
          <w:kern w:val="36"/>
          <w:sz w:val="22"/>
          <w:szCs w:val="22"/>
          <w:lang w:eastAsia="en-GB"/>
          <w14:ligatures w14:val="none"/>
        </w:rPr>
        <w:t xml:space="preserve">Performance dashboards should </w:t>
      </w:r>
      <w:r w:rsidR="00557106" w:rsidRPr="00ED67E8">
        <w:rPr>
          <w:rFonts w:ascii="Arial" w:eastAsia="Times New Roman" w:hAnsi="Arial" w:cs="Arial"/>
          <w:kern w:val="36"/>
          <w:sz w:val="22"/>
          <w:szCs w:val="22"/>
          <w:lang w:eastAsia="en-GB"/>
          <w14:ligatures w14:val="none"/>
        </w:rPr>
        <w:t>track</w:t>
      </w:r>
      <w:r w:rsidRPr="00ED67E8">
        <w:rPr>
          <w:rFonts w:ascii="Arial" w:eastAsia="Times New Roman" w:hAnsi="Arial" w:cs="Arial"/>
          <w:kern w:val="36"/>
          <w:sz w:val="22"/>
          <w:szCs w:val="22"/>
          <w:lang w:eastAsia="en-GB"/>
          <w14:ligatures w14:val="none"/>
        </w:rPr>
        <w:t xml:space="preserve"> network coverage, network quality, customer satisfaction, churn, integration costs, synergy delivery and enterprise revenue. Regular reviews will allow management to identify problems and take corrective action.</w:t>
      </w:r>
      <w:bookmarkEnd w:id="48"/>
      <w:bookmarkEnd w:id="49"/>
    </w:p>
    <w:p w14:paraId="6E89C701" w14:textId="77777777" w:rsidR="007B3D5D" w:rsidRPr="004F58FA" w:rsidRDefault="007B3D5D" w:rsidP="004F58FA">
      <w:pPr>
        <w:pStyle w:val="Heading2"/>
      </w:pPr>
      <w:bookmarkStart w:id="50" w:name="_Toc237265689"/>
      <w:r w:rsidRPr="004F58FA">
        <w:t>Agility and Change Management</w:t>
      </w:r>
      <w:bookmarkEnd w:id="50"/>
    </w:p>
    <w:p w14:paraId="11AED5A3" w14:textId="77777777" w:rsidR="005C5095" w:rsidRPr="00ED67E8" w:rsidRDefault="005C5095" w:rsidP="00ED67E8">
      <w:pPr>
        <w:pStyle w:val="Heading2"/>
        <w:spacing w:line="360" w:lineRule="auto"/>
        <w:jc w:val="both"/>
        <w:rPr>
          <w:rFonts w:eastAsia="Times New Roman" w:cs="Arial"/>
          <w:color w:val="auto"/>
          <w:kern w:val="36"/>
          <w:szCs w:val="22"/>
          <w:lang w:eastAsia="en-GB"/>
          <w14:ligatures w14:val="none"/>
        </w:rPr>
      </w:pPr>
      <w:bookmarkStart w:id="51" w:name="_Toc237265690"/>
      <w:r w:rsidRPr="00ED67E8">
        <w:rPr>
          <w:rFonts w:eastAsia="Times New Roman" w:cs="Arial"/>
          <w:color w:val="auto"/>
          <w:kern w:val="36"/>
          <w:szCs w:val="22"/>
          <w:lang w:eastAsia="en-GB"/>
          <w14:ligatures w14:val="none"/>
        </w:rPr>
        <w:t>VodafoneThree must respond to technological, regulatory and competitive change, with dynamic capability research showing the importance of sensing opportunities, seizing them and reconfiguring resources (Teece et al., 1997; Ellström et al., 2022). This supports a flexible and adaptive capability approach.</w:t>
      </w:r>
      <w:bookmarkEnd w:id="51"/>
    </w:p>
    <w:p w14:paraId="5C80669D" w14:textId="1298F9AB" w:rsidR="007B3D5D" w:rsidRPr="004F58FA" w:rsidRDefault="007B3D5D" w:rsidP="004F58FA">
      <w:pPr>
        <w:pStyle w:val="Heading2"/>
      </w:pPr>
      <w:bookmarkStart w:id="52" w:name="_Toc237265691"/>
      <w:r w:rsidRPr="004F58FA">
        <w:t>Overcoming Implementation Obstacles</w:t>
      </w:r>
      <w:bookmarkEnd w:id="52"/>
    </w:p>
    <w:p w14:paraId="44ED73BF" w14:textId="77777777"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53" w:name="_Toc237258763"/>
      <w:bookmarkStart w:id="54" w:name="_Toc237265692"/>
      <w:r w:rsidRPr="00ED67E8">
        <w:rPr>
          <w:rFonts w:ascii="Arial" w:eastAsia="Times New Roman" w:hAnsi="Arial" w:cs="Arial"/>
          <w:kern w:val="36"/>
          <w:sz w:val="22"/>
          <w:szCs w:val="22"/>
          <w:lang w:eastAsia="en-GB"/>
          <w14:ligatures w14:val="none"/>
        </w:rPr>
        <w:t>Key risks include unclear objectives, organisational silos, poor communication and resistance to change. These should be addressed through SMART objectives, cross-functional working, transparent communication and employee involvement.</w:t>
      </w:r>
      <w:bookmarkEnd w:id="53"/>
      <w:bookmarkEnd w:id="54"/>
    </w:p>
    <w:p w14:paraId="098A4C66" w14:textId="484667F7" w:rsidR="00140E2F" w:rsidRPr="00ED67E8" w:rsidRDefault="00140E2F"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55" w:name="_Toc237258764"/>
      <w:bookmarkStart w:id="56" w:name="_Toc237265693"/>
      <w:r w:rsidRPr="00ED67E8">
        <w:rPr>
          <w:rFonts w:ascii="Arial" w:hAnsi="Arial" w:cs="Arial"/>
          <w:noProof/>
          <w:sz w:val="22"/>
          <w:szCs w:val="22"/>
        </w:rPr>
        <w:lastRenderedPageBreak/>
        <w:drawing>
          <wp:inline distT="0" distB="0" distL="0" distR="0" wp14:anchorId="500F5754" wp14:editId="7796213B">
            <wp:extent cx="5620398" cy="4019550"/>
            <wp:effectExtent l="0" t="0" r="0" b="0"/>
            <wp:docPr id="1558102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874273" name=""/>
                    <pic:cNvPicPr/>
                  </pic:nvPicPr>
                  <pic:blipFill>
                    <a:blip r:embed="rId10"/>
                    <a:stretch>
                      <a:fillRect/>
                    </a:stretch>
                  </pic:blipFill>
                  <pic:spPr>
                    <a:xfrm>
                      <a:off x="0" y="0"/>
                      <a:ext cx="5629501" cy="4026060"/>
                    </a:xfrm>
                    <a:prstGeom prst="rect">
                      <a:avLst/>
                    </a:prstGeom>
                  </pic:spPr>
                </pic:pic>
              </a:graphicData>
            </a:graphic>
          </wp:inline>
        </w:drawing>
      </w:r>
      <w:bookmarkEnd w:id="55"/>
      <w:bookmarkEnd w:id="56"/>
    </w:p>
    <w:p w14:paraId="647E30A4" w14:textId="62D92B89" w:rsidR="007B3D5D" w:rsidRPr="004F58FA" w:rsidRDefault="00140E2F" w:rsidP="004F58FA">
      <w:pPr>
        <w:pStyle w:val="Heading1"/>
      </w:pPr>
      <w:bookmarkStart w:id="57" w:name="_Toc237265694"/>
      <w:r w:rsidRPr="004F58FA">
        <w:t>Key Performance Indicators (KPIs)</w:t>
      </w:r>
      <w:bookmarkEnd w:id="57"/>
      <w:r w:rsidR="007B3D5D" w:rsidRPr="004F58FA">
        <w:t xml:space="preserve"> </w:t>
      </w:r>
    </w:p>
    <w:p w14:paraId="581CDDA4" w14:textId="77777777"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58" w:name="_Toc237258766"/>
      <w:bookmarkStart w:id="59" w:name="_Toc237265695"/>
      <w:r w:rsidRPr="00ED67E8">
        <w:rPr>
          <w:rFonts w:ascii="Arial" w:eastAsia="Times New Roman" w:hAnsi="Arial" w:cs="Arial"/>
          <w:kern w:val="36"/>
          <w:sz w:val="22"/>
          <w:szCs w:val="22"/>
          <w:lang w:eastAsia="en-GB"/>
          <w14:ligatures w14:val="none"/>
        </w:rPr>
        <w:t>The strategy should be implemented over three years.</w:t>
      </w:r>
      <w:bookmarkEnd w:id="58"/>
      <w:bookmarkEnd w:id="59"/>
    </w:p>
    <w:p w14:paraId="666FC327" w14:textId="77777777" w:rsidR="007B3D5D" w:rsidRPr="00ED67E8" w:rsidRDefault="007B3D5D" w:rsidP="00ED67E8">
      <w:pPr>
        <w:spacing w:before="100" w:beforeAutospacing="1" w:after="100" w:afterAutospacing="1" w:line="360" w:lineRule="auto"/>
        <w:jc w:val="both"/>
        <w:outlineLvl w:val="0"/>
        <w:rPr>
          <w:rFonts w:ascii="Arial" w:hAnsi="Arial" w:cs="Arial"/>
          <w:sz w:val="22"/>
          <w:szCs w:val="22"/>
        </w:rPr>
      </w:pPr>
      <w:bookmarkStart w:id="60" w:name="_Toc237258767"/>
      <w:bookmarkStart w:id="61" w:name="_Toc237265696"/>
      <w:r w:rsidRPr="00ED67E8">
        <w:rPr>
          <w:rFonts w:ascii="Arial" w:eastAsia="Times New Roman" w:hAnsi="Arial" w:cs="Arial"/>
          <w:kern w:val="36"/>
          <w:sz w:val="22"/>
          <w:szCs w:val="22"/>
          <w:lang w:eastAsia="en-GB"/>
          <w14:ligatures w14:val="none"/>
        </w:rPr>
        <w:t>Year one should focus on integration, service stability and immediate network improvements.</w:t>
      </w:r>
      <w:bookmarkEnd w:id="60"/>
      <w:bookmarkEnd w:id="61"/>
      <w:r w:rsidRPr="00ED67E8">
        <w:rPr>
          <w:rFonts w:ascii="Arial" w:hAnsi="Arial" w:cs="Arial"/>
          <w:sz w:val="22"/>
          <w:szCs w:val="22"/>
        </w:rPr>
        <w:t xml:space="preserve"> </w:t>
      </w:r>
    </w:p>
    <w:p w14:paraId="689EA28E" w14:textId="77777777"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62" w:name="_Toc237258768"/>
      <w:bookmarkStart w:id="63" w:name="_Toc237265697"/>
      <w:r w:rsidRPr="00ED67E8">
        <w:rPr>
          <w:rFonts w:ascii="Arial" w:eastAsia="Times New Roman" w:hAnsi="Arial" w:cs="Arial"/>
          <w:kern w:val="36"/>
          <w:sz w:val="22"/>
          <w:szCs w:val="22"/>
          <w:lang w:eastAsia="en-GB"/>
          <w14:ligatures w14:val="none"/>
        </w:rPr>
        <w:t>Year two should accelerate 5G development, customer experience improvements and enterprise growth.</w:t>
      </w:r>
      <w:bookmarkEnd w:id="62"/>
      <w:bookmarkEnd w:id="63"/>
    </w:p>
    <w:p w14:paraId="28CF174D" w14:textId="77777777"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64" w:name="_Toc237258769"/>
      <w:bookmarkStart w:id="65" w:name="_Toc237265698"/>
      <w:r w:rsidRPr="00ED67E8">
        <w:rPr>
          <w:rFonts w:ascii="Arial" w:eastAsia="Times New Roman" w:hAnsi="Arial" w:cs="Arial"/>
          <w:kern w:val="36"/>
          <w:sz w:val="22"/>
          <w:szCs w:val="22"/>
          <w:lang w:eastAsia="en-GB"/>
          <w14:ligatures w14:val="none"/>
        </w:rPr>
        <w:t>Year three should consolidate efficiencies and deliver planned synergies.</w:t>
      </w:r>
      <w:bookmarkEnd w:id="64"/>
      <w:bookmarkEnd w:id="65"/>
    </w:p>
    <w:p w14:paraId="32D38B07" w14:textId="77777777" w:rsidR="00140E2F" w:rsidRPr="00ED67E8" w:rsidRDefault="00140E2F"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66" w:name="_Toc237258770"/>
      <w:bookmarkStart w:id="67" w:name="_Toc237265699"/>
      <w:r w:rsidRPr="00ED67E8">
        <w:rPr>
          <w:rFonts w:ascii="Arial" w:eastAsia="Times New Roman" w:hAnsi="Arial" w:cs="Arial"/>
          <w:kern w:val="36"/>
          <w:sz w:val="22"/>
          <w:szCs w:val="22"/>
          <w:lang w:eastAsia="en-GB"/>
          <w14:ligatures w14:val="none"/>
        </w:rPr>
        <w:t>Th</w:t>
      </w:r>
      <w:r w:rsidR="007B3D5D" w:rsidRPr="00ED67E8">
        <w:rPr>
          <w:rFonts w:ascii="Arial" w:eastAsia="Times New Roman" w:hAnsi="Arial" w:cs="Arial"/>
          <w:kern w:val="36"/>
          <w:sz w:val="22"/>
          <w:szCs w:val="22"/>
          <w:lang w:eastAsia="en-GB"/>
          <w14:ligatures w14:val="none"/>
        </w:rPr>
        <w:t>e KPIs should include network performance, customer satisfaction, churn, synergy delivery, enterprise revenue growth and employee engagement.</w:t>
      </w:r>
      <w:bookmarkStart w:id="68" w:name="_Toc235776851"/>
      <w:bookmarkStart w:id="69" w:name="_Toc235777769"/>
      <w:bookmarkEnd w:id="66"/>
      <w:bookmarkEnd w:id="67"/>
    </w:p>
    <w:p w14:paraId="66DCD215" w14:textId="77777777" w:rsidR="008814CF" w:rsidRPr="004F58FA" w:rsidRDefault="007B3D5D" w:rsidP="004F58FA">
      <w:pPr>
        <w:pStyle w:val="Heading1"/>
      </w:pPr>
      <w:bookmarkStart w:id="70" w:name="_Toc237265700"/>
      <w:r w:rsidRPr="004F58FA">
        <w:t>Conclusion</w:t>
      </w:r>
      <w:bookmarkEnd w:id="68"/>
      <w:bookmarkEnd w:id="69"/>
      <w:bookmarkEnd w:id="70"/>
    </w:p>
    <w:p w14:paraId="365162F4" w14:textId="49ABF032" w:rsidR="007B3D5D" w:rsidRPr="00ED67E8" w:rsidRDefault="007B3D5D" w:rsidP="00ED67E8">
      <w:pPr>
        <w:spacing w:before="100" w:beforeAutospacing="1" w:after="100" w:afterAutospacing="1" w:line="360" w:lineRule="auto"/>
        <w:jc w:val="both"/>
        <w:outlineLvl w:val="0"/>
        <w:rPr>
          <w:rFonts w:ascii="Arial" w:eastAsia="Times New Roman" w:hAnsi="Arial" w:cs="Arial"/>
          <w:kern w:val="36"/>
          <w:sz w:val="22"/>
          <w:szCs w:val="22"/>
          <w:lang w:eastAsia="en-GB"/>
          <w14:ligatures w14:val="none"/>
        </w:rPr>
      </w:pPr>
      <w:bookmarkStart w:id="71" w:name="_Toc237258772"/>
      <w:bookmarkStart w:id="72" w:name="_Toc237265701"/>
      <w:r w:rsidRPr="00ED67E8">
        <w:rPr>
          <w:rFonts w:ascii="Arial" w:eastAsia="Times New Roman" w:hAnsi="Arial" w:cs="Arial"/>
          <w:kern w:val="0"/>
          <w:sz w:val="22"/>
          <w:szCs w:val="22"/>
          <w:lang w:eastAsia="en-GB"/>
          <w14:ligatures w14:val="none"/>
        </w:rPr>
        <w:t xml:space="preserve">This report </w:t>
      </w:r>
      <w:r w:rsidR="00F64A94" w:rsidRPr="00ED67E8">
        <w:rPr>
          <w:rFonts w:ascii="Arial" w:eastAsia="Times New Roman" w:hAnsi="Arial" w:cs="Arial"/>
          <w:kern w:val="0"/>
          <w:sz w:val="22"/>
          <w:szCs w:val="22"/>
          <w:lang w:eastAsia="en-GB"/>
          <w14:ligatures w14:val="none"/>
        </w:rPr>
        <w:t>assesses</w:t>
      </w:r>
      <w:r w:rsidRPr="00ED67E8">
        <w:rPr>
          <w:rFonts w:ascii="Arial" w:eastAsia="Times New Roman" w:hAnsi="Arial" w:cs="Arial"/>
          <w:kern w:val="0"/>
          <w:sz w:val="22"/>
          <w:szCs w:val="22"/>
          <w:lang w:eastAsia="en-GB"/>
          <w14:ligatures w14:val="none"/>
        </w:rPr>
        <w:t xml:space="preserve"> VodafoneThree’s strategic position following the Vodafone–Three merger using SWOT, PESTEL, Porter’s Five Forces, the Ansoff Matrix, Porter’s Generic Strategies and SFA analysis.</w:t>
      </w:r>
      <w:bookmarkEnd w:id="71"/>
      <w:bookmarkEnd w:id="72"/>
    </w:p>
    <w:p w14:paraId="6B4DFE2F" w14:textId="46137069" w:rsidR="007B3D5D" w:rsidRPr="00ED67E8" w:rsidRDefault="007B3D5D" w:rsidP="00ED67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lastRenderedPageBreak/>
        <w:t xml:space="preserve">The findings </w:t>
      </w:r>
      <w:r w:rsidR="007F344B" w:rsidRPr="00ED67E8">
        <w:rPr>
          <w:rFonts w:ascii="Arial" w:eastAsia="Times New Roman" w:hAnsi="Arial" w:cs="Arial"/>
          <w:kern w:val="0"/>
          <w:sz w:val="22"/>
          <w:szCs w:val="22"/>
          <w:lang w:eastAsia="en-GB"/>
          <w14:ligatures w14:val="none"/>
        </w:rPr>
        <w:t>indicates</w:t>
      </w:r>
      <w:r w:rsidRPr="00ED67E8">
        <w:rPr>
          <w:rFonts w:ascii="Arial" w:eastAsia="Times New Roman" w:hAnsi="Arial" w:cs="Arial"/>
          <w:kern w:val="0"/>
          <w:sz w:val="22"/>
          <w:szCs w:val="22"/>
          <w:lang w:eastAsia="en-GB"/>
          <w14:ligatures w14:val="none"/>
        </w:rPr>
        <w:t xml:space="preserve"> that the merger has created significant advantages through greater scale, investment capacity, network resources and customer reach. However, these advantages depend on successful integration and the ability to convert investment into measurable customer value.</w:t>
      </w:r>
    </w:p>
    <w:p w14:paraId="2A1D3F38" w14:textId="77777777" w:rsidR="007B3D5D" w:rsidRPr="00ED67E8" w:rsidRDefault="007B3D5D" w:rsidP="00ED67E8">
      <w:pPr>
        <w:spacing w:before="100" w:beforeAutospacing="1" w:after="100" w:afterAutospacing="1" w:line="360" w:lineRule="auto"/>
        <w:jc w:val="both"/>
        <w:rPr>
          <w:rFonts w:ascii="Arial" w:hAnsi="Arial" w:cs="Arial"/>
          <w:sz w:val="22"/>
          <w:szCs w:val="22"/>
        </w:rPr>
      </w:pPr>
      <w:r w:rsidRPr="00ED67E8">
        <w:rPr>
          <w:rFonts w:ascii="Arial" w:eastAsia="Times New Roman" w:hAnsi="Arial" w:cs="Arial"/>
          <w:kern w:val="0"/>
          <w:sz w:val="22"/>
          <w:szCs w:val="22"/>
          <w:lang w:eastAsia="en-GB"/>
          <w14:ligatures w14:val="none"/>
        </w:rPr>
        <w:t>The analysis identified strong competitive rivalry, high buyer power and continued regulatory scrutiny. In response, the report recommends a broad differentiation strategy supported by market penetration and related product development. VodafoneThree should focus on network quality, 5G Standalone, customer experience and digital, IoT and enterprise services rather than competing primarily through price.</w:t>
      </w:r>
      <w:r w:rsidRPr="00ED67E8">
        <w:rPr>
          <w:rFonts w:ascii="Arial" w:hAnsi="Arial" w:cs="Arial"/>
          <w:sz w:val="22"/>
          <w:szCs w:val="22"/>
        </w:rPr>
        <w:t xml:space="preserve"> </w:t>
      </w:r>
    </w:p>
    <w:p w14:paraId="3F0F21C8" w14:textId="17B66A99" w:rsidR="007B3D5D" w:rsidRPr="00ED67E8" w:rsidRDefault="00151CDA" w:rsidP="00ED67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The</w:t>
      </w:r>
      <w:r w:rsidR="007B3D5D" w:rsidRPr="00ED67E8">
        <w:rPr>
          <w:rFonts w:ascii="Arial" w:eastAsia="Times New Roman" w:hAnsi="Arial" w:cs="Arial"/>
          <w:kern w:val="0"/>
          <w:sz w:val="22"/>
          <w:szCs w:val="22"/>
          <w:lang w:eastAsia="en-GB"/>
          <w14:ligatures w14:val="none"/>
        </w:rPr>
        <w:t xml:space="preserve"> SFA analysis</w:t>
      </w:r>
      <w:r w:rsidRPr="00ED67E8">
        <w:rPr>
          <w:rFonts w:ascii="Arial" w:eastAsia="Times New Roman" w:hAnsi="Arial" w:cs="Arial"/>
          <w:kern w:val="0"/>
          <w:sz w:val="22"/>
          <w:szCs w:val="22"/>
          <w:lang w:eastAsia="en-GB"/>
          <w14:ligatures w14:val="none"/>
        </w:rPr>
        <w:t xml:space="preserve"> makes it clear</w:t>
      </w:r>
      <w:r w:rsidR="007B3D5D" w:rsidRPr="00ED67E8">
        <w:rPr>
          <w:rFonts w:ascii="Arial" w:eastAsia="Times New Roman" w:hAnsi="Arial" w:cs="Arial"/>
          <w:kern w:val="0"/>
          <w:sz w:val="22"/>
          <w:szCs w:val="22"/>
          <w:lang w:eastAsia="en-GB"/>
          <w14:ligatures w14:val="none"/>
        </w:rPr>
        <w:t xml:space="preserve"> that the strategy is suitable, feasible and broadly acceptable, although integration and regulatory risks require careful management. Stakeholder engagement, clear governance and measurable KPIs will be essential to implementation.</w:t>
      </w:r>
    </w:p>
    <w:p w14:paraId="23799CE7" w14:textId="7D33F126" w:rsidR="007B3D5D" w:rsidRPr="00ED67E8" w:rsidRDefault="003D0FD1" w:rsidP="00ED67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D67E8">
        <w:rPr>
          <w:rFonts w:ascii="Arial" w:eastAsia="Times New Roman" w:hAnsi="Arial" w:cs="Arial"/>
          <w:kern w:val="0"/>
          <w:sz w:val="22"/>
          <w:szCs w:val="22"/>
          <w:lang w:eastAsia="en-GB"/>
          <w14:ligatures w14:val="none"/>
        </w:rPr>
        <w:t>VodafoneThree should prioritise disciplined execution before pursuing wider diversification. By integrating the two businesses effectively and converting its substantial network investment into superior customer value, the organisation can strengthen its competitive position and contribute to Vodafone Group’s broader growth ambitions. This focus on integration, network performance and customer experience provides a stable foundation for later expansion into digital services once core capabilities are fully aligned.</w:t>
      </w:r>
    </w:p>
    <w:p w14:paraId="48E97EF2" w14:textId="77777777" w:rsidR="00140E2F" w:rsidRDefault="00140E2F" w:rsidP="002F57F3">
      <w:pPr>
        <w:pStyle w:val="Heading1"/>
      </w:pPr>
    </w:p>
    <w:p w14:paraId="1954F740" w14:textId="77777777" w:rsidR="00140E2F" w:rsidRDefault="00140E2F" w:rsidP="002F57F3">
      <w:pPr>
        <w:pStyle w:val="Heading1"/>
      </w:pPr>
    </w:p>
    <w:p w14:paraId="2C259604" w14:textId="77777777" w:rsidR="00140E2F" w:rsidRDefault="00140E2F" w:rsidP="002F57F3">
      <w:pPr>
        <w:pStyle w:val="Heading1"/>
      </w:pPr>
    </w:p>
    <w:p w14:paraId="3CFDCD94" w14:textId="77777777" w:rsidR="00140E2F" w:rsidRDefault="00140E2F" w:rsidP="002F57F3">
      <w:pPr>
        <w:pStyle w:val="Heading1"/>
      </w:pPr>
    </w:p>
    <w:p w14:paraId="61E53C33" w14:textId="77777777" w:rsidR="00140E2F" w:rsidRDefault="00140E2F" w:rsidP="002F57F3">
      <w:pPr>
        <w:pStyle w:val="Heading1"/>
      </w:pPr>
    </w:p>
    <w:p w14:paraId="5F9C0F5D" w14:textId="77777777" w:rsidR="00140E2F" w:rsidRDefault="00140E2F" w:rsidP="002F57F3">
      <w:pPr>
        <w:pStyle w:val="Heading1"/>
      </w:pPr>
    </w:p>
    <w:p w14:paraId="69CEBB16" w14:textId="77777777" w:rsidR="00140E2F" w:rsidRDefault="00140E2F" w:rsidP="002F57F3">
      <w:pPr>
        <w:pStyle w:val="Heading1"/>
      </w:pPr>
    </w:p>
    <w:p w14:paraId="59E132EA" w14:textId="77777777" w:rsidR="00140E2F" w:rsidRDefault="00140E2F">
      <w:pPr>
        <w:rPr>
          <w:rFonts w:ascii="Arial" w:eastAsiaTheme="majorEastAsia" w:hAnsi="Arial" w:cstheme="majorBidi"/>
          <w:color w:val="000000" w:themeColor="text1"/>
          <w:szCs w:val="40"/>
        </w:rPr>
      </w:pPr>
      <w:r>
        <w:br w:type="page"/>
      </w:r>
    </w:p>
    <w:p w14:paraId="449B67AC" w14:textId="0A6B8530" w:rsidR="00C95919" w:rsidRPr="004F58FA" w:rsidRDefault="007B3D5D" w:rsidP="004F58FA">
      <w:pPr>
        <w:pStyle w:val="Heading1"/>
      </w:pPr>
      <w:bookmarkStart w:id="73" w:name="_Toc237265702"/>
      <w:r w:rsidRPr="004F58FA">
        <w:lastRenderedPageBreak/>
        <w:t>References</w:t>
      </w:r>
      <w:bookmarkEnd w:id="73"/>
    </w:p>
    <w:p w14:paraId="36AF84AB"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Ansoff, H.I. (1957) ‘Strategies for diversification’, </w:t>
      </w:r>
      <w:r w:rsidRPr="00B4421F">
        <w:rPr>
          <w:rFonts w:ascii="Arial" w:eastAsia="Times New Roman" w:hAnsi="Arial" w:cs="Arial"/>
          <w:i/>
          <w:iCs/>
          <w:kern w:val="0"/>
          <w:sz w:val="22"/>
          <w:szCs w:val="22"/>
          <w:lang w:eastAsia="en-GB"/>
          <w14:ligatures w14:val="none"/>
        </w:rPr>
        <w:t>Harvard Business Review</w:t>
      </w:r>
      <w:r w:rsidRPr="00B4421F">
        <w:rPr>
          <w:rFonts w:ascii="Arial" w:eastAsia="Times New Roman" w:hAnsi="Arial" w:cs="Arial"/>
          <w:kern w:val="0"/>
          <w:sz w:val="22"/>
          <w:szCs w:val="22"/>
          <w:lang w:eastAsia="en-GB"/>
          <w14:ligatures w14:val="none"/>
        </w:rPr>
        <w:t>, 35(5), pp. 113–124.</w:t>
      </w:r>
    </w:p>
    <w:p w14:paraId="06815C22"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Barney, J. (1991) ‘Firm resources and sustained competitive advantage’, </w:t>
      </w:r>
      <w:r w:rsidRPr="00B4421F">
        <w:rPr>
          <w:rFonts w:ascii="Arial" w:eastAsia="Times New Roman" w:hAnsi="Arial" w:cs="Arial"/>
          <w:i/>
          <w:iCs/>
          <w:kern w:val="0"/>
          <w:sz w:val="22"/>
          <w:szCs w:val="22"/>
          <w:lang w:eastAsia="en-GB"/>
          <w14:ligatures w14:val="none"/>
        </w:rPr>
        <w:t>Journal of Management</w:t>
      </w:r>
      <w:r w:rsidRPr="00B4421F">
        <w:rPr>
          <w:rFonts w:ascii="Arial" w:eastAsia="Times New Roman" w:hAnsi="Arial" w:cs="Arial"/>
          <w:kern w:val="0"/>
          <w:sz w:val="22"/>
          <w:szCs w:val="22"/>
          <w:lang w:eastAsia="en-GB"/>
          <w14:ligatures w14:val="none"/>
        </w:rPr>
        <w:t>, 17(1), pp. 99–120. doi: 10.1177/014920639101700108.</w:t>
      </w:r>
    </w:p>
    <w:p w14:paraId="2BB826D2"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Competition and Markets Authority (2025) </w:t>
      </w:r>
      <w:r w:rsidRPr="00B4421F">
        <w:rPr>
          <w:rFonts w:ascii="Arial" w:eastAsia="Times New Roman" w:hAnsi="Arial" w:cs="Arial"/>
          <w:i/>
          <w:iCs/>
          <w:kern w:val="0"/>
          <w:sz w:val="22"/>
          <w:szCs w:val="22"/>
          <w:lang w:eastAsia="en-GB"/>
          <w14:ligatures w14:val="none"/>
        </w:rPr>
        <w:t>How we investigated the Vodafone / Three merger</w:t>
      </w:r>
      <w:r w:rsidRPr="00B4421F">
        <w:rPr>
          <w:rFonts w:ascii="Arial" w:eastAsia="Times New Roman" w:hAnsi="Arial" w:cs="Arial"/>
          <w:kern w:val="0"/>
          <w:sz w:val="22"/>
          <w:szCs w:val="22"/>
          <w:lang w:eastAsia="en-GB"/>
          <w14:ligatures w14:val="none"/>
        </w:rPr>
        <w:t>. Available at: https://www.gov.uk/guidance/how-we-are-investigating-the-vodafonethree-potential-merger (Accessed: 9 August 2026).</w:t>
      </w:r>
    </w:p>
    <w:p w14:paraId="52B60F0B"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Ellström, D., Holtström, J., Berg, E. and Josefsson, C. (2022) ‘Dynamic capabilities for digital transformation’, </w:t>
      </w:r>
      <w:r w:rsidRPr="00B4421F">
        <w:rPr>
          <w:rFonts w:ascii="Arial" w:eastAsia="Times New Roman" w:hAnsi="Arial" w:cs="Arial"/>
          <w:i/>
          <w:iCs/>
          <w:kern w:val="0"/>
          <w:sz w:val="22"/>
          <w:szCs w:val="22"/>
          <w:lang w:eastAsia="en-GB"/>
          <w14:ligatures w14:val="none"/>
        </w:rPr>
        <w:t>Journal of Strategy and Management</w:t>
      </w:r>
      <w:r w:rsidRPr="00B4421F">
        <w:rPr>
          <w:rFonts w:ascii="Arial" w:eastAsia="Times New Roman" w:hAnsi="Arial" w:cs="Arial"/>
          <w:kern w:val="0"/>
          <w:sz w:val="22"/>
          <w:szCs w:val="22"/>
          <w:lang w:eastAsia="en-GB"/>
          <w14:ligatures w14:val="none"/>
        </w:rPr>
        <w:t>, 15(2), pp. 272–286. doi: 10.1108/JSMA-04-2021-0089.</w:t>
      </w:r>
    </w:p>
    <w:p w14:paraId="2D6C0126"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Ericsson (2026) ‘Ericsson and VodafoneThree complete world-first network upgrade, unlocking fastest 5G speeds for up to 50 million people’. Available at: https://www.ericsson.com/en/press-releases/3/2026/ericsson-and-vodafonethree-complete-world-first-network-upgrade-unlocking-fastest-5g-speeds-for-up-to-50-million-people (Accessed: 9 August 2026).</w:t>
      </w:r>
    </w:p>
    <w:p w14:paraId="2374D4B7"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Freeman, R.E., Harrison, J.S., Wicks, A.C., Parmar, B.L. and de Colle, S. (2010) </w:t>
      </w:r>
      <w:r w:rsidRPr="00B4421F">
        <w:rPr>
          <w:rFonts w:ascii="Arial" w:eastAsia="Times New Roman" w:hAnsi="Arial" w:cs="Arial"/>
          <w:i/>
          <w:iCs/>
          <w:kern w:val="0"/>
          <w:sz w:val="22"/>
          <w:szCs w:val="22"/>
          <w:lang w:eastAsia="en-GB"/>
          <w14:ligatures w14:val="none"/>
        </w:rPr>
        <w:t>Stakeholder Theory: The State of the Art</w:t>
      </w:r>
      <w:r w:rsidRPr="00B4421F">
        <w:rPr>
          <w:rFonts w:ascii="Arial" w:eastAsia="Times New Roman" w:hAnsi="Arial" w:cs="Arial"/>
          <w:kern w:val="0"/>
          <w:sz w:val="22"/>
          <w:szCs w:val="22"/>
          <w:lang w:eastAsia="en-GB"/>
          <w14:ligatures w14:val="none"/>
        </w:rPr>
        <w:t>. Cambridge: Cambridge University Press.</w:t>
      </w:r>
    </w:p>
    <w:p w14:paraId="54113603"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GSMA (2025) </w:t>
      </w:r>
      <w:r w:rsidRPr="00B4421F">
        <w:rPr>
          <w:rFonts w:ascii="Arial" w:eastAsia="Times New Roman" w:hAnsi="Arial" w:cs="Arial"/>
          <w:i/>
          <w:iCs/>
          <w:kern w:val="0"/>
          <w:sz w:val="22"/>
          <w:szCs w:val="22"/>
          <w:lang w:eastAsia="en-GB"/>
          <w14:ligatures w14:val="none"/>
        </w:rPr>
        <w:t>The Mobile Economy Europe 2025</w:t>
      </w:r>
      <w:r w:rsidRPr="00B4421F">
        <w:rPr>
          <w:rFonts w:ascii="Arial" w:eastAsia="Times New Roman" w:hAnsi="Arial" w:cs="Arial"/>
          <w:kern w:val="0"/>
          <w:sz w:val="22"/>
          <w:szCs w:val="22"/>
          <w:lang w:eastAsia="en-GB"/>
          <w14:ligatures w14:val="none"/>
        </w:rPr>
        <w:t>. London: GSMA. Available at: https://www.gsma.com/solutions-and-impact/connectivity-for-good/mobile-economy/europe-2025/ (Accessed: 9 August 2026).</w:t>
      </w:r>
    </w:p>
    <w:p w14:paraId="33520082"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Johnson, G., Whittington, R., Regnér, P., Angwin, D. and Scholes, K. (2020) </w:t>
      </w:r>
      <w:r w:rsidRPr="00B4421F">
        <w:rPr>
          <w:rFonts w:ascii="Arial" w:eastAsia="Times New Roman" w:hAnsi="Arial" w:cs="Arial"/>
          <w:i/>
          <w:iCs/>
          <w:kern w:val="0"/>
          <w:sz w:val="22"/>
          <w:szCs w:val="22"/>
          <w:lang w:eastAsia="en-GB"/>
          <w14:ligatures w14:val="none"/>
        </w:rPr>
        <w:t>Exploring Strategy: Text and Cases</w:t>
      </w:r>
      <w:r w:rsidRPr="00B4421F">
        <w:rPr>
          <w:rFonts w:ascii="Arial" w:eastAsia="Times New Roman" w:hAnsi="Arial" w:cs="Arial"/>
          <w:kern w:val="0"/>
          <w:sz w:val="22"/>
          <w:szCs w:val="22"/>
          <w:lang w:eastAsia="en-GB"/>
          <w14:ligatures w14:val="none"/>
        </w:rPr>
        <w:t>. 12th edn. Harlow: Pearson.</w:t>
      </w:r>
    </w:p>
    <w:p w14:paraId="6BEA58E2"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Kostochko, A. and Grigorieva, S. (2024) ‘Are mergers and acquisitions boosting company performance in the technology, media and telecommunications sector?’, </w:t>
      </w:r>
      <w:r w:rsidRPr="00B4421F">
        <w:rPr>
          <w:rFonts w:ascii="Arial" w:eastAsia="Times New Roman" w:hAnsi="Arial" w:cs="Arial"/>
          <w:i/>
          <w:iCs/>
          <w:kern w:val="0"/>
          <w:sz w:val="22"/>
          <w:szCs w:val="22"/>
          <w:lang w:eastAsia="en-GB"/>
          <w14:ligatures w14:val="none"/>
        </w:rPr>
        <w:t>Journal of Corporate Finance Research</w:t>
      </w:r>
      <w:r w:rsidRPr="00B4421F">
        <w:rPr>
          <w:rFonts w:ascii="Arial" w:eastAsia="Times New Roman" w:hAnsi="Arial" w:cs="Arial"/>
          <w:kern w:val="0"/>
          <w:sz w:val="22"/>
          <w:szCs w:val="22"/>
          <w:lang w:eastAsia="en-GB"/>
          <w14:ligatures w14:val="none"/>
        </w:rPr>
        <w:t>, 18(4), pp. 51–65. doi: 10.17323/j.jcfr.2073-0438.18.4.2024.51-65.</w:t>
      </w:r>
    </w:p>
    <w:p w14:paraId="1860D841"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Ofcom (2025) </w:t>
      </w:r>
      <w:r w:rsidRPr="00B4421F">
        <w:rPr>
          <w:rFonts w:ascii="Arial" w:eastAsia="Times New Roman" w:hAnsi="Arial" w:cs="Arial"/>
          <w:i/>
          <w:iCs/>
          <w:kern w:val="0"/>
          <w:sz w:val="22"/>
          <w:szCs w:val="22"/>
          <w:lang w:eastAsia="en-GB"/>
          <w14:ligatures w14:val="none"/>
        </w:rPr>
        <w:t>Connected Nations 2025</w:t>
      </w:r>
      <w:r w:rsidRPr="00B4421F">
        <w:rPr>
          <w:rFonts w:ascii="Arial" w:eastAsia="Times New Roman" w:hAnsi="Arial" w:cs="Arial"/>
          <w:kern w:val="0"/>
          <w:sz w:val="22"/>
          <w:szCs w:val="22"/>
          <w:lang w:eastAsia="en-GB"/>
          <w14:ligatures w14:val="none"/>
        </w:rPr>
        <w:t>. London: Ofcom. Available at: https://www.ofcom.org.uk/phones-and-broadband/coverage-and-speeds/connected-nations-2025 (Accessed: 9 August 2026).</w:t>
      </w:r>
    </w:p>
    <w:p w14:paraId="5654FCB8"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Ofcom (2026a) </w:t>
      </w:r>
      <w:r w:rsidRPr="00B4421F">
        <w:rPr>
          <w:rFonts w:ascii="Arial" w:eastAsia="Times New Roman" w:hAnsi="Arial" w:cs="Arial"/>
          <w:i/>
          <w:iCs/>
          <w:kern w:val="0"/>
          <w:sz w:val="22"/>
          <w:szCs w:val="22"/>
          <w:lang w:eastAsia="en-GB"/>
          <w14:ligatures w14:val="none"/>
        </w:rPr>
        <w:t>Connected Nations update: Spring 2026</w:t>
      </w:r>
      <w:r w:rsidRPr="00B4421F">
        <w:rPr>
          <w:rFonts w:ascii="Arial" w:eastAsia="Times New Roman" w:hAnsi="Arial" w:cs="Arial"/>
          <w:kern w:val="0"/>
          <w:sz w:val="22"/>
          <w:szCs w:val="22"/>
          <w:lang w:eastAsia="en-GB"/>
          <w14:ligatures w14:val="none"/>
        </w:rPr>
        <w:t>. London: Ofcom. Available at: https://www.ofcom.org.uk/phones-and-broadband/coverage-and-speeds/connected-nations-update-spring-2026 (Accessed: 9 August 2026).</w:t>
      </w:r>
    </w:p>
    <w:p w14:paraId="15700726"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Ofcom (2026b) </w:t>
      </w:r>
      <w:r w:rsidRPr="00B4421F">
        <w:rPr>
          <w:rFonts w:ascii="Arial" w:eastAsia="Times New Roman" w:hAnsi="Arial" w:cs="Arial"/>
          <w:i/>
          <w:iCs/>
          <w:kern w:val="0"/>
          <w:sz w:val="22"/>
          <w:szCs w:val="22"/>
          <w:lang w:eastAsia="en-GB"/>
          <w14:ligatures w14:val="none"/>
        </w:rPr>
        <w:t>Connected Nations: Planned Network Deployments 2026</w:t>
      </w:r>
      <w:r w:rsidRPr="00B4421F">
        <w:rPr>
          <w:rFonts w:ascii="Arial" w:eastAsia="Times New Roman" w:hAnsi="Arial" w:cs="Arial"/>
          <w:kern w:val="0"/>
          <w:sz w:val="22"/>
          <w:szCs w:val="22"/>
          <w:lang w:eastAsia="en-GB"/>
          <w14:ligatures w14:val="none"/>
        </w:rPr>
        <w:t>. London: Ofcom. Available at: https://www.ofcom.org.uk/phones-and-broadband/coverage-and-speeds/connected-nations-planned-network-deployment (Accessed: 9 August 2026).</w:t>
      </w:r>
    </w:p>
    <w:p w14:paraId="05CEEA4A" w14:textId="09353EEA"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Porter, M.E. (1980) </w:t>
      </w:r>
      <w:r w:rsidRPr="00B4421F">
        <w:rPr>
          <w:rFonts w:ascii="Arial" w:eastAsia="Times New Roman" w:hAnsi="Arial" w:cs="Arial"/>
          <w:i/>
          <w:iCs/>
          <w:kern w:val="0"/>
          <w:sz w:val="22"/>
          <w:szCs w:val="22"/>
          <w:lang w:eastAsia="en-GB"/>
          <w14:ligatures w14:val="none"/>
        </w:rPr>
        <w:t>Competitive Strategy: Techniques for Analy</w:t>
      </w:r>
      <w:r>
        <w:rPr>
          <w:rFonts w:ascii="Arial" w:eastAsia="Times New Roman" w:hAnsi="Arial" w:cs="Arial"/>
          <w:i/>
          <w:iCs/>
          <w:kern w:val="0"/>
          <w:sz w:val="22"/>
          <w:szCs w:val="22"/>
          <w:lang w:eastAsia="en-GB"/>
          <w14:ligatures w14:val="none"/>
        </w:rPr>
        <w:t>s</w:t>
      </w:r>
      <w:r w:rsidRPr="00B4421F">
        <w:rPr>
          <w:rFonts w:ascii="Arial" w:eastAsia="Times New Roman" w:hAnsi="Arial" w:cs="Arial"/>
          <w:i/>
          <w:iCs/>
          <w:kern w:val="0"/>
          <w:sz w:val="22"/>
          <w:szCs w:val="22"/>
          <w:lang w:eastAsia="en-GB"/>
          <w14:ligatures w14:val="none"/>
        </w:rPr>
        <w:t>ing Industries and Competitors</w:t>
      </w:r>
      <w:r w:rsidRPr="00B4421F">
        <w:rPr>
          <w:rFonts w:ascii="Arial" w:eastAsia="Times New Roman" w:hAnsi="Arial" w:cs="Arial"/>
          <w:kern w:val="0"/>
          <w:sz w:val="22"/>
          <w:szCs w:val="22"/>
          <w:lang w:eastAsia="en-GB"/>
          <w14:ligatures w14:val="none"/>
        </w:rPr>
        <w:t>. New York: Free Press.</w:t>
      </w:r>
    </w:p>
    <w:p w14:paraId="6DFED62C"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lastRenderedPageBreak/>
        <w:t>Porter, M.E. (1985) </w:t>
      </w:r>
      <w:r w:rsidRPr="00B4421F">
        <w:rPr>
          <w:rFonts w:ascii="Arial" w:eastAsia="Times New Roman" w:hAnsi="Arial" w:cs="Arial"/>
          <w:i/>
          <w:iCs/>
          <w:kern w:val="0"/>
          <w:sz w:val="22"/>
          <w:szCs w:val="22"/>
          <w:lang w:eastAsia="en-GB"/>
          <w14:ligatures w14:val="none"/>
        </w:rPr>
        <w:t>Competitive Advantage: Creating and Sustaining Superior Performance</w:t>
      </w:r>
      <w:r w:rsidRPr="00B4421F">
        <w:rPr>
          <w:rFonts w:ascii="Arial" w:eastAsia="Times New Roman" w:hAnsi="Arial" w:cs="Arial"/>
          <w:kern w:val="0"/>
          <w:sz w:val="22"/>
          <w:szCs w:val="22"/>
          <w:lang w:eastAsia="en-GB"/>
          <w14:ligatures w14:val="none"/>
        </w:rPr>
        <w:t>. New York: Free Press.</w:t>
      </w:r>
    </w:p>
    <w:p w14:paraId="646B4626"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Teece, D.J., Pisano, G. and Shuen, A. (1997) ‘Dynamic capabilities and strategic management’, </w:t>
      </w:r>
      <w:r w:rsidRPr="00B4421F">
        <w:rPr>
          <w:rFonts w:ascii="Arial" w:eastAsia="Times New Roman" w:hAnsi="Arial" w:cs="Arial"/>
          <w:i/>
          <w:iCs/>
          <w:kern w:val="0"/>
          <w:sz w:val="22"/>
          <w:szCs w:val="22"/>
          <w:lang w:eastAsia="en-GB"/>
          <w14:ligatures w14:val="none"/>
        </w:rPr>
        <w:t>Strategic Management Journal</w:t>
      </w:r>
      <w:r w:rsidRPr="00B4421F">
        <w:rPr>
          <w:rFonts w:ascii="Arial" w:eastAsia="Times New Roman" w:hAnsi="Arial" w:cs="Arial"/>
          <w:kern w:val="0"/>
          <w:sz w:val="22"/>
          <w:szCs w:val="22"/>
          <w:lang w:eastAsia="en-GB"/>
          <w14:ligatures w14:val="none"/>
        </w:rPr>
        <w:t>, 18(7), pp. 509–533. doi: 10.1002/(SICI)1097-0266(199708)18:7&lt;509::AID-SMJ882&gt;3.0.CO;2-Z.</w:t>
      </w:r>
    </w:p>
    <w:p w14:paraId="026F1CDD"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Vodafone Group Plc (2025) ‘Completion of Vodafone and Three merger in the UK’. Available at: https://www.vodafone.com/news/newsroom/corporate-and-financial/completion-of-vodafone-and-three-merger-in-the-uk (Accessed: 9 August 2026).</w:t>
      </w:r>
    </w:p>
    <w:p w14:paraId="7BB303D4"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Vodafone Group Plc (2026) </w:t>
      </w:r>
      <w:r w:rsidRPr="00B4421F">
        <w:rPr>
          <w:rFonts w:ascii="Arial" w:eastAsia="Times New Roman" w:hAnsi="Arial" w:cs="Arial"/>
          <w:i/>
          <w:iCs/>
          <w:kern w:val="0"/>
          <w:sz w:val="22"/>
          <w:szCs w:val="22"/>
          <w:lang w:eastAsia="en-GB"/>
          <w14:ligatures w14:val="none"/>
        </w:rPr>
        <w:t>Annual Report 2026</w:t>
      </w:r>
      <w:r w:rsidRPr="00B4421F">
        <w:rPr>
          <w:rFonts w:ascii="Arial" w:eastAsia="Times New Roman" w:hAnsi="Arial" w:cs="Arial"/>
          <w:kern w:val="0"/>
          <w:sz w:val="22"/>
          <w:szCs w:val="22"/>
          <w:lang w:eastAsia="en-GB"/>
          <w14:ligatures w14:val="none"/>
        </w:rPr>
        <w:t>. Available at: https://reports.investors.vodafone.com/view/500231330/ (Accessed: 9 August 2026).</w:t>
      </w:r>
    </w:p>
    <w:p w14:paraId="1DA6C90B"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Vodafone Group Plc (2026b) ‘Vodafone to take full ownership of VodafoneThree’. Available at: https://www.vodafone.com/news/newsroom/corporate-and-financial/vodafone-to-take-full-ownership-of-vodafone-three (Accessed: 9 August 2026).</w:t>
      </w:r>
    </w:p>
    <w:p w14:paraId="227B5A21"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r w:rsidRPr="00B4421F">
        <w:rPr>
          <w:rFonts w:ascii="Arial" w:eastAsia="Times New Roman" w:hAnsi="Arial" w:cs="Arial"/>
          <w:kern w:val="0"/>
          <w:sz w:val="22"/>
          <w:szCs w:val="22"/>
          <w:lang w:eastAsia="en-GB"/>
          <w14:ligatures w14:val="none"/>
        </w:rPr>
        <w:t>Warner, K.S.R. and Wäger, M. (2019) ‘Building dynamic capabilities for digital transformation: An ongoing process of strategic renewal’, </w:t>
      </w:r>
      <w:r w:rsidRPr="00B4421F">
        <w:rPr>
          <w:rFonts w:ascii="Arial" w:eastAsia="Times New Roman" w:hAnsi="Arial" w:cs="Arial"/>
          <w:i/>
          <w:iCs/>
          <w:kern w:val="0"/>
          <w:sz w:val="22"/>
          <w:szCs w:val="22"/>
          <w:lang w:eastAsia="en-GB"/>
          <w14:ligatures w14:val="none"/>
        </w:rPr>
        <w:t>Long Range Planning</w:t>
      </w:r>
      <w:r w:rsidRPr="00B4421F">
        <w:rPr>
          <w:rFonts w:ascii="Arial" w:eastAsia="Times New Roman" w:hAnsi="Arial" w:cs="Arial"/>
          <w:kern w:val="0"/>
          <w:sz w:val="22"/>
          <w:szCs w:val="22"/>
          <w:lang w:eastAsia="en-GB"/>
          <w14:ligatures w14:val="none"/>
        </w:rPr>
        <w:t>, 52(3), pp. 326–349. doi: 10.1016/j.lrp.2018.12.001.</w:t>
      </w:r>
    </w:p>
    <w:p w14:paraId="520F1E07" w14:textId="77777777" w:rsidR="00B4421F" w:rsidRPr="00B4421F" w:rsidRDefault="00B4421F" w:rsidP="00B4421F">
      <w:pPr>
        <w:spacing w:before="100" w:beforeAutospacing="1" w:after="100" w:afterAutospacing="1" w:line="240" w:lineRule="auto"/>
        <w:rPr>
          <w:rFonts w:ascii="Arial" w:eastAsia="Times New Roman" w:hAnsi="Arial" w:cs="Arial"/>
          <w:kern w:val="0"/>
          <w:sz w:val="22"/>
          <w:szCs w:val="22"/>
          <w:lang w:eastAsia="en-GB"/>
          <w14:ligatures w14:val="none"/>
        </w:rPr>
      </w:pPr>
    </w:p>
    <w:p w14:paraId="1CAF0432" w14:textId="6BB03B16" w:rsidR="007B3D5D" w:rsidRPr="007B3D5D" w:rsidRDefault="007B3D5D" w:rsidP="007B3D5D">
      <w:pPr>
        <w:keepNext/>
        <w:keepLines/>
        <w:spacing w:before="160" w:after="80"/>
        <w:outlineLvl w:val="1"/>
        <w:rPr>
          <w:rFonts w:ascii="Arial" w:eastAsiaTheme="majorEastAsia" w:hAnsi="Arial" w:cstheme="majorBidi"/>
          <w:color w:val="000000" w:themeColor="text1"/>
          <w:sz w:val="22"/>
          <w:szCs w:val="32"/>
        </w:rPr>
      </w:pPr>
    </w:p>
    <w:p w14:paraId="25471156" w14:textId="77777777" w:rsidR="007B3D5D" w:rsidRDefault="007B3D5D"/>
    <w:sectPr w:rsidR="007B3D5D" w:rsidSect="00F77D8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B69FD" w14:textId="77777777" w:rsidR="001C0E04" w:rsidRDefault="001C0E04" w:rsidP="00140E2F">
      <w:pPr>
        <w:spacing w:after="0" w:line="240" w:lineRule="auto"/>
      </w:pPr>
      <w:r>
        <w:separator/>
      </w:r>
    </w:p>
  </w:endnote>
  <w:endnote w:type="continuationSeparator" w:id="0">
    <w:p w14:paraId="42EED125" w14:textId="77777777" w:rsidR="001C0E04" w:rsidRDefault="001C0E04" w:rsidP="00140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1237214"/>
      <w:docPartObj>
        <w:docPartGallery w:val="Page Numbers (Bottom of Page)"/>
        <w:docPartUnique/>
      </w:docPartObj>
    </w:sdtPr>
    <w:sdtEndPr>
      <w:rPr>
        <w:noProof/>
      </w:rPr>
    </w:sdtEndPr>
    <w:sdtContent>
      <w:p w14:paraId="1E95EBC9" w14:textId="5EFFC4EC" w:rsidR="00140E2F" w:rsidRDefault="00140E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3FF8BA" w14:textId="77777777" w:rsidR="00140E2F" w:rsidRDefault="00140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3E7A9" w14:textId="77777777" w:rsidR="001C0E04" w:rsidRDefault="001C0E04" w:rsidP="00140E2F">
      <w:pPr>
        <w:spacing w:after="0" w:line="240" w:lineRule="auto"/>
      </w:pPr>
      <w:r>
        <w:separator/>
      </w:r>
    </w:p>
  </w:footnote>
  <w:footnote w:type="continuationSeparator" w:id="0">
    <w:p w14:paraId="7025643C" w14:textId="77777777" w:rsidR="001C0E04" w:rsidRDefault="001C0E04" w:rsidP="00140E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D5D"/>
    <w:rsid w:val="0001361C"/>
    <w:rsid w:val="00015160"/>
    <w:rsid w:val="0005568E"/>
    <w:rsid w:val="00082737"/>
    <w:rsid w:val="000F0A6F"/>
    <w:rsid w:val="001215E5"/>
    <w:rsid w:val="00133C9E"/>
    <w:rsid w:val="00140E2F"/>
    <w:rsid w:val="00151CDA"/>
    <w:rsid w:val="00190079"/>
    <w:rsid w:val="001C0E04"/>
    <w:rsid w:val="0020059A"/>
    <w:rsid w:val="00275324"/>
    <w:rsid w:val="00285705"/>
    <w:rsid w:val="00290FC0"/>
    <w:rsid w:val="002E3E4C"/>
    <w:rsid w:val="002F4B3D"/>
    <w:rsid w:val="002F57F3"/>
    <w:rsid w:val="00311B7C"/>
    <w:rsid w:val="003579BF"/>
    <w:rsid w:val="003C6AB0"/>
    <w:rsid w:val="003D0FD1"/>
    <w:rsid w:val="003D500E"/>
    <w:rsid w:val="003F287F"/>
    <w:rsid w:val="00467E6E"/>
    <w:rsid w:val="00493E58"/>
    <w:rsid w:val="004F58FA"/>
    <w:rsid w:val="00510013"/>
    <w:rsid w:val="00511DF5"/>
    <w:rsid w:val="00557106"/>
    <w:rsid w:val="005C2466"/>
    <w:rsid w:val="005C5095"/>
    <w:rsid w:val="0061055D"/>
    <w:rsid w:val="006B3764"/>
    <w:rsid w:val="006E790D"/>
    <w:rsid w:val="007220CC"/>
    <w:rsid w:val="00753F58"/>
    <w:rsid w:val="0076381F"/>
    <w:rsid w:val="007B3D5D"/>
    <w:rsid w:val="007F344B"/>
    <w:rsid w:val="00813239"/>
    <w:rsid w:val="00816CA2"/>
    <w:rsid w:val="008814CF"/>
    <w:rsid w:val="00896973"/>
    <w:rsid w:val="008F4D3F"/>
    <w:rsid w:val="009608ED"/>
    <w:rsid w:val="009A3406"/>
    <w:rsid w:val="009A4FCB"/>
    <w:rsid w:val="009F1213"/>
    <w:rsid w:val="00A223A5"/>
    <w:rsid w:val="00A6203E"/>
    <w:rsid w:val="00B35A3D"/>
    <w:rsid w:val="00B4421F"/>
    <w:rsid w:val="00C77EF3"/>
    <w:rsid w:val="00C83FAB"/>
    <w:rsid w:val="00C87FD1"/>
    <w:rsid w:val="00C95919"/>
    <w:rsid w:val="00CA4175"/>
    <w:rsid w:val="00CF594D"/>
    <w:rsid w:val="00D03F74"/>
    <w:rsid w:val="00D531FE"/>
    <w:rsid w:val="00E17347"/>
    <w:rsid w:val="00ED3F50"/>
    <w:rsid w:val="00ED67E8"/>
    <w:rsid w:val="00EE18E6"/>
    <w:rsid w:val="00F5621F"/>
    <w:rsid w:val="00F6398D"/>
    <w:rsid w:val="00F64A94"/>
    <w:rsid w:val="00F77D89"/>
    <w:rsid w:val="00FC1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ECF05"/>
  <w15:chartTrackingRefBased/>
  <w15:docId w15:val="{F495F829-AD26-4D8D-B592-A994621E6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FD1"/>
    <w:pPr>
      <w:keepNext/>
      <w:keepLines/>
      <w:spacing w:before="360" w:after="80"/>
      <w:outlineLvl w:val="0"/>
    </w:pPr>
    <w:rPr>
      <w:rFonts w:ascii="Arial" w:eastAsiaTheme="majorEastAsia" w:hAnsi="Arial" w:cstheme="majorBidi"/>
      <w:color w:val="000000" w:themeColor="text1"/>
      <w:szCs w:val="40"/>
    </w:rPr>
  </w:style>
  <w:style w:type="paragraph" w:styleId="Heading2">
    <w:name w:val="heading 2"/>
    <w:basedOn w:val="Normal"/>
    <w:next w:val="Normal"/>
    <w:link w:val="Heading2Char"/>
    <w:uiPriority w:val="9"/>
    <w:unhideWhenUsed/>
    <w:qFormat/>
    <w:rsid w:val="002F57F3"/>
    <w:pPr>
      <w:keepNext/>
      <w:keepLines/>
      <w:spacing w:before="160" w:after="80"/>
      <w:outlineLvl w:val="1"/>
    </w:pPr>
    <w:rPr>
      <w:rFonts w:ascii="Arial" w:eastAsiaTheme="majorEastAsia" w:hAnsi="Arial" w:cstheme="majorBidi"/>
      <w:color w:val="000000" w:themeColor="text1"/>
      <w:sz w:val="22"/>
      <w:szCs w:val="32"/>
    </w:rPr>
  </w:style>
  <w:style w:type="paragraph" w:styleId="Heading3">
    <w:name w:val="heading 3"/>
    <w:basedOn w:val="Normal"/>
    <w:next w:val="Normal"/>
    <w:link w:val="Heading3Char"/>
    <w:uiPriority w:val="9"/>
    <w:unhideWhenUsed/>
    <w:qFormat/>
    <w:rsid w:val="002F57F3"/>
    <w:pPr>
      <w:keepNext/>
      <w:keepLines/>
      <w:spacing w:before="160" w:after="80"/>
      <w:outlineLvl w:val="2"/>
    </w:pPr>
    <w:rPr>
      <w:rFonts w:ascii="Arial" w:eastAsiaTheme="majorEastAsia" w:hAnsi="Arial" w:cstheme="majorBidi"/>
      <w:i/>
      <w:color w:val="000000" w:themeColor="text1"/>
      <w:sz w:val="22"/>
      <w:szCs w:val="28"/>
    </w:rPr>
  </w:style>
  <w:style w:type="paragraph" w:styleId="Heading4">
    <w:name w:val="heading 4"/>
    <w:basedOn w:val="Normal"/>
    <w:next w:val="Normal"/>
    <w:link w:val="Heading4Char"/>
    <w:uiPriority w:val="9"/>
    <w:semiHidden/>
    <w:unhideWhenUsed/>
    <w:qFormat/>
    <w:rsid w:val="007B3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3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3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FD1"/>
    <w:rPr>
      <w:rFonts w:ascii="Arial" w:eastAsiaTheme="majorEastAsia" w:hAnsi="Arial" w:cstheme="majorBidi"/>
      <w:color w:val="000000" w:themeColor="text1"/>
      <w:szCs w:val="40"/>
    </w:rPr>
  </w:style>
  <w:style w:type="character" w:customStyle="1" w:styleId="Heading2Char">
    <w:name w:val="Heading 2 Char"/>
    <w:basedOn w:val="DefaultParagraphFont"/>
    <w:link w:val="Heading2"/>
    <w:uiPriority w:val="9"/>
    <w:rsid w:val="002F57F3"/>
    <w:rPr>
      <w:rFonts w:ascii="Arial" w:eastAsiaTheme="majorEastAsia" w:hAnsi="Arial" w:cstheme="majorBidi"/>
      <w:color w:val="000000" w:themeColor="text1"/>
      <w:sz w:val="22"/>
      <w:szCs w:val="32"/>
    </w:rPr>
  </w:style>
  <w:style w:type="character" w:customStyle="1" w:styleId="Heading3Char">
    <w:name w:val="Heading 3 Char"/>
    <w:basedOn w:val="DefaultParagraphFont"/>
    <w:link w:val="Heading3"/>
    <w:uiPriority w:val="9"/>
    <w:rsid w:val="002F57F3"/>
    <w:rPr>
      <w:rFonts w:ascii="Arial" w:eastAsiaTheme="majorEastAsia" w:hAnsi="Arial" w:cstheme="majorBidi"/>
      <w:i/>
      <w:color w:val="000000" w:themeColor="text1"/>
      <w:sz w:val="22"/>
      <w:szCs w:val="28"/>
    </w:rPr>
  </w:style>
  <w:style w:type="character" w:customStyle="1" w:styleId="Heading4Char">
    <w:name w:val="Heading 4 Char"/>
    <w:basedOn w:val="DefaultParagraphFont"/>
    <w:link w:val="Heading4"/>
    <w:uiPriority w:val="9"/>
    <w:semiHidden/>
    <w:rsid w:val="007B3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3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3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D5D"/>
    <w:rPr>
      <w:rFonts w:eastAsiaTheme="majorEastAsia" w:cstheme="majorBidi"/>
      <w:color w:val="272727" w:themeColor="text1" w:themeTint="D8"/>
    </w:rPr>
  </w:style>
  <w:style w:type="paragraph" w:styleId="Title">
    <w:name w:val="Title"/>
    <w:basedOn w:val="Normal"/>
    <w:next w:val="Normal"/>
    <w:link w:val="TitleChar"/>
    <w:uiPriority w:val="10"/>
    <w:qFormat/>
    <w:rsid w:val="007B3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3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D5D"/>
    <w:pPr>
      <w:spacing w:before="160"/>
      <w:jc w:val="center"/>
    </w:pPr>
    <w:rPr>
      <w:i/>
      <w:iCs/>
      <w:color w:val="404040" w:themeColor="text1" w:themeTint="BF"/>
    </w:rPr>
  </w:style>
  <w:style w:type="character" w:customStyle="1" w:styleId="QuoteChar">
    <w:name w:val="Quote Char"/>
    <w:basedOn w:val="DefaultParagraphFont"/>
    <w:link w:val="Quote"/>
    <w:uiPriority w:val="29"/>
    <w:rsid w:val="007B3D5D"/>
    <w:rPr>
      <w:i/>
      <w:iCs/>
      <w:color w:val="404040" w:themeColor="text1" w:themeTint="BF"/>
    </w:rPr>
  </w:style>
  <w:style w:type="paragraph" w:styleId="ListParagraph">
    <w:name w:val="List Paragraph"/>
    <w:basedOn w:val="Normal"/>
    <w:uiPriority w:val="34"/>
    <w:qFormat/>
    <w:rsid w:val="007B3D5D"/>
    <w:pPr>
      <w:ind w:left="720"/>
      <w:contextualSpacing/>
    </w:pPr>
  </w:style>
  <w:style w:type="character" w:styleId="IntenseEmphasis">
    <w:name w:val="Intense Emphasis"/>
    <w:basedOn w:val="DefaultParagraphFont"/>
    <w:uiPriority w:val="21"/>
    <w:qFormat/>
    <w:rsid w:val="007B3D5D"/>
    <w:rPr>
      <w:i/>
      <w:iCs/>
      <w:color w:val="0F4761" w:themeColor="accent1" w:themeShade="BF"/>
    </w:rPr>
  </w:style>
  <w:style w:type="paragraph" w:styleId="IntenseQuote">
    <w:name w:val="Intense Quote"/>
    <w:basedOn w:val="Normal"/>
    <w:next w:val="Normal"/>
    <w:link w:val="IntenseQuoteChar"/>
    <w:uiPriority w:val="30"/>
    <w:qFormat/>
    <w:rsid w:val="007B3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3D5D"/>
    <w:rPr>
      <w:i/>
      <w:iCs/>
      <w:color w:val="0F4761" w:themeColor="accent1" w:themeShade="BF"/>
    </w:rPr>
  </w:style>
  <w:style w:type="character" w:styleId="IntenseReference">
    <w:name w:val="Intense Reference"/>
    <w:basedOn w:val="DefaultParagraphFont"/>
    <w:uiPriority w:val="32"/>
    <w:qFormat/>
    <w:rsid w:val="007B3D5D"/>
    <w:rPr>
      <w:b/>
      <w:bCs/>
      <w:smallCaps/>
      <w:color w:val="0F4761" w:themeColor="accent1" w:themeShade="BF"/>
      <w:spacing w:val="5"/>
    </w:rPr>
  </w:style>
  <w:style w:type="paragraph" w:styleId="NormalWeb">
    <w:name w:val="Normal (Web)"/>
    <w:basedOn w:val="Normal"/>
    <w:uiPriority w:val="99"/>
    <w:unhideWhenUsed/>
    <w:rsid w:val="008132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13239"/>
    <w:rPr>
      <w:b/>
      <w:bCs/>
    </w:rPr>
  </w:style>
  <w:style w:type="paragraph" w:styleId="TOCHeading">
    <w:name w:val="TOC Heading"/>
    <w:basedOn w:val="Heading1"/>
    <w:next w:val="Normal"/>
    <w:uiPriority w:val="39"/>
    <w:unhideWhenUsed/>
    <w:qFormat/>
    <w:rsid w:val="002F57F3"/>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2F57F3"/>
    <w:pPr>
      <w:spacing w:after="100"/>
    </w:pPr>
  </w:style>
  <w:style w:type="paragraph" w:styleId="TOC2">
    <w:name w:val="toc 2"/>
    <w:basedOn w:val="Normal"/>
    <w:next w:val="Normal"/>
    <w:autoRedefine/>
    <w:uiPriority w:val="39"/>
    <w:unhideWhenUsed/>
    <w:rsid w:val="002F57F3"/>
    <w:pPr>
      <w:spacing w:after="100"/>
      <w:ind w:left="240"/>
    </w:pPr>
  </w:style>
  <w:style w:type="paragraph" w:styleId="TOC3">
    <w:name w:val="toc 3"/>
    <w:basedOn w:val="Normal"/>
    <w:next w:val="Normal"/>
    <w:autoRedefine/>
    <w:uiPriority w:val="39"/>
    <w:unhideWhenUsed/>
    <w:rsid w:val="002F57F3"/>
    <w:pPr>
      <w:spacing w:after="100"/>
      <w:ind w:left="480"/>
    </w:pPr>
  </w:style>
  <w:style w:type="character" w:styleId="Hyperlink">
    <w:name w:val="Hyperlink"/>
    <w:basedOn w:val="DefaultParagraphFont"/>
    <w:uiPriority w:val="99"/>
    <w:unhideWhenUsed/>
    <w:rsid w:val="002F57F3"/>
    <w:rPr>
      <w:color w:val="467886" w:themeColor="hyperlink"/>
      <w:u w:val="single"/>
    </w:rPr>
  </w:style>
  <w:style w:type="paragraph" w:styleId="Header">
    <w:name w:val="header"/>
    <w:basedOn w:val="Normal"/>
    <w:link w:val="HeaderChar"/>
    <w:uiPriority w:val="99"/>
    <w:unhideWhenUsed/>
    <w:rsid w:val="00140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E2F"/>
  </w:style>
  <w:style w:type="paragraph" w:styleId="Footer">
    <w:name w:val="footer"/>
    <w:basedOn w:val="Normal"/>
    <w:link w:val="FooterChar"/>
    <w:uiPriority w:val="99"/>
    <w:unhideWhenUsed/>
    <w:rsid w:val="00140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E2F"/>
  </w:style>
  <w:style w:type="paragraph" w:styleId="NoSpacing">
    <w:name w:val="No Spacing"/>
    <w:link w:val="NoSpacingChar"/>
    <w:uiPriority w:val="1"/>
    <w:qFormat/>
    <w:rsid w:val="00F77D8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77D8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2A0DF3-E131-4F0C-BDAB-32C1AFF6D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5216</Words>
  <Characters>29737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Rosemary Olapeju Jordao</dc:creator>
  <cp:keywords/>
  <dc:description/>
  <cp:lastModifiedBy>Rosemary Olapeju Jordao</cp:lastModifiedBy>
  <cp:revision>2</cp:revision>
  <dcterms:created xsi:type="dcterms:W3CDTF">2026-08-10T13:50:00Z</dcterms:created>
  <dcterms:modified xsi:type="dcterms:W3CDTF">2026-08-10T13:50:00Z</dcterms:modified>
</cp:coreProperties>
</file>