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57DB6" w14:textId="77777777" w:rsidR="00842CB5" w:rsidRDefault="00842CB5" w:rsidP="00842CB5">
      <w:pPr>
        <w:jc w:val="center"/>
        <w:rPr>
          <w:b/>
          <w:bCs/>
          <w:sz w:val="32"/>
          <w:szCs w:val="28"/>
        </w:rPr>
      </w:pPr>
      <w:r w:rsidRPr="001452F0">
        <w:rPr>
          <w:b/>
          <w:bCs/>
          <w:sz w:val="32"/>
          <w:szCs w:val="28"/>
        </w:rPr>
        <w:t xml:space="preserve">Business Report </w:t>
      </w:r>
    </w:p>
    <w:p w14:paraId="18949998" w14:textId="77777777" w:rsidR="00842CB5" w:rsidRDefault="00842CB5" w:rsidP="00842CB5">
      <w:pPr>
        <w:jc w:val="center"/>
        <w:rPr>
          <w:b/>
          <w:bCs/>
          <w:sz w:val="32"/>
          <w:szCs w:val="28"/>
        </w:rPr>
      </w:pPr>
      <w:r w:rsidRPr="001452F0">
        <w:rPr>
          <w:b/>
          <w:bCs/>
          <w:sz w:val="32"/>
          <w:szCs w:val="28"/>
        </w:rPr>
        <w:t>Comparison of Two</w:t>
      </w:r>
      <w:r>
        <w:rPr>
          <w:b/>
          <w:bCs/>
          <w:sz w:val="32"/>
          <w:szCs w:val="28"/>
        </w:rPr>
        <w:t xml:space="preserve"> </w:t>
      </w:r>
      <w:r w:rsidRPr="001452F0">
        <w:rPr>
          <w:b/>
          <w:bCs/>
          <w:sz w:val="32"/>
          <w:szCs w:val="28"/>
        </w:rPr>
        <w:t>Hospitality Organisations</w:t>
      </w:r>
    </w:p>
    <w:p w14:paraId="17D513F8" w14:textId="77777777" w:rsidR="00842CB5" w:rsidRDefault="00842CB5" w:rsidP="00842CB5">
      <w:pPr>
        <w:jc w:val="center"/>
        <w:rPr>
          <w:b/>
          <w:bCs/>
          <w:sz w:val="32"/>
          <w:szCs w:val="28"/>
        </w:rPr>
      </w:pPr>
    </w:p>
    <w:p w14:paraId="646BC9F6" w14:textId="77777777" w:rsidR="00842CB5" w:rsidRDefault="00842CB5" w:rsidP="00842CB5">
      <w:pPr>
        <w:jc w:val="center"/>
        <w:rPr>
          <w:b/>
          <w:bCs/>
          <w:sz w:val="32"/>
          <w:szCs w:val="28"/>
        </w:rPr>
      </w:pPr>
    </w:p>
    <w:p w14:paraId="162FDD67" w14:textId="77777777" w:rsidR="00842CB5" w:rsidRPr="001452F0" w:rsidRDefault="00842CB5" w:rsidP="00842CB5">
      <w:pPr>
        <w:jc w:val="center"/>
        <w:rPr>
          <w:b/>
          <w:bCs/>
          <w:sz w:val="32"/>
          <w:szCs w:val="28"/>
        </w:rPr>
      </w:pPr>
      <w:r w:rsidRPr="001452F0">
        <w:rPr>
          <w:b/>
          <w:bCs/>
          <w:sz w:val="32"/>
          <w:szCs w:val="28"/>
        </w:rPr>
        <w:t xml:space="preserve">Comparison of </w:t>
      </w:r>
    </w:p>
    <w:p w14:paraId="454D75A2" w14:textId="77777777" w:rsidR="00842CB5" w:rsidRPr="001452F0" w:rsidRDefault="00842CB5" w:rsidP="00842CB5">
      <w:pPr>
        <w:jc w:val="center"/>
        <w:rPr>
          <w:b/>
          <w:bCs/>
          <w:sz w:val="32"/>
          <w:szCs w:val="28"/>
        </w:rPr>
      </w:pPr>
      <w:r w:rsidRPr="001452F0">
        <w:rPr>
          <w:b/>
          <w:bCs/>
          <w:sz w:val="32"/>
          <w:szCs w:val="28"/>
        </w:rPr>
        <w:t>Corinthia Hotels and Ibis Hotels</w:t>
      </w:r>
    </w:p>
    <w:p w14:paraId="47A6B10D" w14:textId="77777777" w:rsidR="00842CB5" w:rsidRDefault="00842CB5" w:rsidP="00842CB5">
      <w:pPr>
        <w:spacing w:after="200" w:line="240" w:lineRule="auto"/>
      </w:pPr>
    </w:p>
    <w:p w14:paraId="60E31A76" w14:textId="77777777" w:rsidR="00842CB5" w:rsidRDefault="00842CB5" w:rsidP="00842CB5">
      <w:pPr>
        <w:spacing w:after="200" w:line="240" w:lineRule="auto"/>
        <w:jc w:val="center"/>
      </w:pPr>
    </w:p>
    <w:p w14:paraId="037AF970" w14:textId="77777777" w:rsidR="00842CB5" w:rsidRPr="001452F0" w:rsidRDefault="00842CB5" w:rsidP="00842CB5">
      <w:pPr>
        <w:spacing w:after="200" w:line="240" w:lineRule="auto"/>
        <w:jc w:val="center"/>
        <w:rPr>
          <w:b/>
          <w:bCs/>
        </w:rPr>
      </w:pPr>
      <w:r w:rsidRPr="001452F0">
        <w:rPr>
          <w:b/>
          <w:bCs/>
        </w:rPr>
        <w:t>Student’s Name:</w:t>
      </w:r>
      <w:r>
        <w:rPr>
          <w:b/>
          <w:bCs/>
        </w:rPr>
        <w:t xml:space="preserve"> Adriana Daciana Petran </w:t>
      </w:r>
    </w:p>
    <w:p w14:paraId="1FBFE5A0" w14:textId="77777777" w:rsidR="00842CB5" w:rsidRDefault="00842CB5" w:rsidP="00842CB5">
      <w:pPr>
        <w:spacing w:after="200" w:line="240" w:lineRule="auto"/>
        <w:jc w:val="center"/>
        <w:rPr>
          <w:b/>
          <w:bCs/>
        </w:rPr>
      </w:pPr>
      <w:r w:rsidRPr="001452F0">
        <w:rPr>
          <w:b/>
          <w:bCs/>
        </w:rPr>
        <w:t>Student’s ID</w:t>
      </w:r>
      <w:r w:rsidRPr="00603BD3">
        <w:rPr>
          <w:b/>
          <w:bCs/>
        </w:rPr>
        <w:t>:  2210809</w:t>
      </w:r>
    </w:p>
    <w:p w14:paraId="1FD8FDD9" w14:textId="77777777" w:rsidR="00842CB5" w:rsidRPr="00603BD3" w:rsidRDefault="00842CB5" w:rsidP="00842CB5">
      <w:pPr>
        <w:spacing w:after="200" w:line="240" w:lineRule="auto"/>
        <w:jc w:val="center"/>
        <w:rPr>
          <w:b/>
          <w:bCs/>
        </w:rPr>
      </w:pPr>
    </w:p>
    <w:p w14:paraId="628F35B0" w14:textId="77777777" w:rsidR="00842CB5" w:rsidRDefault="00842CB5" w:rsidP="00842CB5">
      <w:pPr>
        <w:spacing w:after="0"/>
        <w:ind w:left="10" w:right="89" w:hanging="10"/>
        <w:jc w:val="right"/>
      </w:pPr>
      <w:r w:rsidRPr="00603BD3">
        <w:rPr>
          <w:b/>
          <w:bCs/>
        </w:rPr>
        <w:t xml:space="preserve">The module title : </w:t>
      </w:r>
      <w:r w:rsidRPr="004B6DB8">
        <w:rPr>
          <w:rFonts w:eastAsia="Arial" w:cs="Times New Roman"/>
          <w:b/>
          <w:szCs w:val="24"/>
        </w:rPr>
        <w:t>Financial Management for the Hotel Industry</w:t>
      </w:r>
      <w:r>
        <w:rPr>
          <w:rFonts w:ascii="Arial" w:eastAsia="Arial" w:hAnsi="Arial" w:cs="Arial"/>
          <w:b/>
          <w:sz w:val="36"/>
        </w:rPr>
        <w:t xml:space="preserve"> </w:t>
      </w:r>
      <w:r w:rsidRPr="004B6DB8">
        <w:rPr>
          <w:rFonts w:eastAsia="Arial" w:cs="Times New Roman"/>
          <w:b/>
          <w:szCs w:val="24"/>
        </w:rPr>
        <w:t>BMIH5007</w:t>
      </w:r>
    </w:p>
    <w:p w14:paraId="2B0B8232" w14:textId="77777777" w:rsidR="00842CB5" w:rsidRDefault="00842CB5" w:rsidP="00842CB5">
      <w:pPr>
        <w:spacing w:after="200" w:line="240" w:lineRule="auto"/>
        <w:jc w:val="center"/>
      </w:pPr>
      <w:r w:rsidRPr="00603BD3">
        <w:rPr>
          <w:b/>
          <w:bCs/>
        </w:rPr>
        <w:t>Lecture</w:t>
      </w:r>
      <w:r w:rsidRPr="001452F0">
        <w:rPr>
          <w:b/>
          <w:bCs/>
        </w:rPr>
        <w:t>’s Name</w:t>
      </w:r>
      <w:r w:rsidRPr="00603BD3">
        <w:rPr>
          <w:b/>
          <w:bCs/>
        </w:rPr>
        <w:t xml:space="preserve"> : </w:t>
      </w:r>
      <w:r w:rsidRPr="004B6DB8">
        <w:rPr>
          <w:rFonts w:eastAsia="Arial" w:cs="Times New Roman"/>
          <w:b/>
          <w:szCs w:val="24"/>
        </w:rPr>
        <w:t>Tristan Hawkins</w:t>
      </w:r>
      <w:r>
        <w:t xml:space="preserve"> </w:t>
      </w:r>
      <w:r>
        <w:br w:type="page"/>
      </w:r>
    </w:p>
    <w:p w14:paraId="738E8929" w14:textId="77777777" w:rsidR="00842CB5" w:rsidRDefault="00842CB5" w:rsidP="00842CB5">
      <w:pPr>
        <w:pStyle w:val="Heading1"/>
      </w:pPr>
      <w:bookmarkStart w:id="0" w:name="_Toc157040042"/>
      <w:r>
        <w:lastRenderedPageBreak/>
        <w:t>Executive Summary</w:t>
      </w:r>
      <w:bookmarkEnd w:id="0"/>
    </w:p>
    <w:p w14:paraId="3E30D14C" w14:textId="77777777" w:rsidR="00842CB5" w:rsidRDefault="00842CB5" w:rsidP="00842CB5">
      <w:r w:rsidRPr="001274C4">
        <w:t xml:space="preserve">Corinthia and Ibis are two well-known hotel brands. The main point of this business study is to compare their different ways of managing their money side by side. Some of the most important things that are looked at in the study are total revenue, market, growth potential, and CSR funds. The study takes a close look at each company's total income to find out where it comes from, what trends it shows, and what causes it to change. At the very least, this study should show how the finances of Corinthia and Ibis Hotels work. The market position study looks at the market shares, customer demographics, and brand perceptions of the two hotel chains to compare them. </w:t>
      </w:r>
      <w:r w:rsidRPr="00010C48">
        <w:t xml:space="preserve">This </w:t>
      </w:r>
      <w:r>
        <w:t>report</w:t>
      </w:r>
      <w:r w:rsidRPr="00010C48">
        <w:t xml:space="preserve"> goes into great depth about where Corinthia Hotels and Ibis Hotels stand in the market. The best way to figure out a company's growth potential is to look at its development goals, market opportunities, and possible problems. The goal of this section is to come up with long-term strategic ideas that could have an impact on the future of Ibis and Corinthia Hotels. The study also looks at how much the two companies spent on CSR (Corporate Social Responsibility) projects</w:t>
      </w:r>
      <w:r w:rsidRPr="005528BE">
        <w:t xml:space="preserve">. This article will look at how Corinthia Hotels and Ibis Hotels do business, how they help the community, and their moral business strategies to see if they can make a difference. In its third and final part, this article looks at how the finances of two hotel chains, </w:t>
      </w:r>
      <w:proofErr w:type="gramStart"/>
      <w:r w:rsidRPr="005528BE">
        <w:t>Corinthia</w:t>
      </w:r>
      <w:proofErr w:type="gramEnd"/>
      <w:r w:rsidRPr="005528BE">
        <w:t xml:space="preserve"> and Ibis, are similar and different. The information given can help people who are interested in the industry, investors, and other players make smart decisions and predictions about how these big hospitality companies will do financially and in the future. Working professionals in the fast-paced hospitality business can use the report's in-depth research and wide range of topics to help them </w:t>
      </w:r>
      <w:proofErr w:type="gramStart"/>
      <w:r w:rsidRPr="005528BE">
        <w:t>plan for the future</w:t>
      </w:r>
      <w:proofErr w:type="gramEnd"/>
      <w:r>
        <w:t>.</w:t>
      </w:r>
      <w:r>
        <w:br w:type="page"/>
      </w:r>
    </w:p>
    <w:sdt>
      <w:sdtPr>
        <w:rPr>
          <w:rFonts w:ascii="Times New Roman" w:eastAsiaTheme="minorHAnsi" w:hAnsi="Times New Roman" w:cstheme="minorBidi"/>
          <w:color w:val="auto"/>
          <w:sz w:val="24"/>
          <w:szCs w:val="22"/>
          <w:lang w:val="en-GB"/>
        </w:rPr>
        <w:id w:val="1635211787"/>
        <w:docPartObj>
          <w:docPartGallery w:val="Table of Contents"/>
          <w:docPartUnique/>
        </w:docPartObj>
      </w:sdtPr>
      <w:sdtEndPr>
        <w:rPr>
          <w:b/>
          <w:bCs/>
          <w:noProof/>
        </w:rPr>
      </w:sdtEndPr>
      <w:sdtContent>
        <w:p w14:paraId="71DA1D8F" w14:textId="77777777" w:rsidR="00842CB5" w:rsidRDefault="00842CB5" w:rsidP="00842CB5">
          <w:pPr>
            <w:pStyle w:val="TOCHeading"/>
          </w:pPr>
          <w:r>
            <w:t>Table of Contents</w:t>
          </w:r>
        </w:p>
        <w:p w14:paraId="57ACE5B1" w14:textId="77777777" w:rsidR="00842CB5" w:rsidRDefault="00842CB5" w:rsidP="00842CB5">
          <w:pPr>
            <w:pStyle w:val="TOC1"/>
            <w:tabs>
              <w:tab w:val="right" w:leader="dot" w:pos="9350"/>
            </w:tabs>
            <w:rPr>
              <w:rFonts w:asciiTheme="minorHAnsi" w:eastAsiaTheme="minorEastAsia" w:hAnsiTheme="minorHAnsi"/>
              <w:noProof/>
              <w:kern w:val="2"/>
              <w:szCs w:val="24"/>
              <w:lang w:eastAsia="en-GB"/>
            </w:rPr>
          </w:pPr>
          <w:r>
            <w:fldChar w:fldCharType="begin"/>
          </w:r>
          <w:r>
            <w:instrText xml:space="preserve"> TOC \o "1-3" \h \z \u </w:instrText>
          </w:r>
          <w:r>
            <w:fldChar w:fldCharType="separate"/>
          </w:r>
          <w:hyperlink w:anchor="_Toc157040042" w:history="1">
            <w:r w:rsidRPr="00900367">
              <w:rPr>
                <w:rStyle w:val="Hyperlink"/>
                <w:noProof/>
              </w:rPr>
              <w:t>Executive Summary</w:t>
            </w:r>
            <w:r>
              <w:rPr>
                <w:noProof/>
                <w:webHidden/>
              </w:rPr>
              <w:tab/>
            </w:r>
            <w:r>
              <w:rPr>
                <w:noProof/>
                <w:webHidden/>
              </w:rPr>
              <w:fldChar w:fldCharType="begin"/>
            </w:r>
            <w:r>
              <w:rPr>
                <w:noProof/>
                <w:webHidden/>
              </w:rPr>
              <w:instrText xml:space="preserve"> PAGEREF _Toc157040042 \h </w:instrText>
            </w:r>
            <w:r>
              <w:rPr>
                <w:noProof/>
                <w:webHidden/>
              </w:rPr>
            </w:r>
            <w:r>
              <w:rPr>
                <w:noProof/>
                <w:webHidden/>
              </w:rPr>
              <w:fldChar w:fldCharType="separate"/>
            </w:r>
            <w:r>
              <w:rPr>
                <w:noProof/>
                <w:webHidden/>
              </w:rPr>
              <w:t>2</w:t>
            </w:r>
            <w:r>
              <w:rPr>
                <w:noProof/>
                <w:webHidden/>
              </w:rPr>
              <w:fldChar w:fldCharType="end"/>
            </w:r>
          </w:hyperlink>
        </w:p>
        <w:p w14:paraId="1EF4A320" w14:textId="77777777" w:rsidR="00842CB5" w:rsidRDefault="00842CB5" w:rsidP="00842CB5">
          <w:pPr>
            <w:pStyle w:val="TOC1"/>
            <w:tabs>
              <w:tab w:val="right" w:leader="dot" w:pos="9350"/>
            </w:tabs>
            <w:rPr>
              <w:rFonts w:asciiTheme="minorHAnsi" w:eastAsiaTheme="minorEastAsia" w:hAnsiTheme="minorHAnsi"/>
              <w:noProof/>
              <w:kern w:val="2"/>
              <w:szCs w:val="24"/>
              <w:lang w:eastAsia="en-GB"/>
            </w:rPr>
          </w:pPr>
          <w:hyperlink w:anchor="_Toc157040043" w:history="1">
            <w:r w:rsidRPr="00900367">
              <w:rPr>
                <w:rStyle w:val="Hyperlink"/>
                <w:noProof/>
              </w:rPr>
              <w:t>Introduction</w:t>
            </w:r>
            <w:r>
              <w:rPr>
                <w:noProof/>
                <w:webHidden/>
              </w:rPr>
              <w:tab/>
            </w:r>
            <w:r>
              <w:rPr>
                <w:noProof/>
                <w:webHidden/>
              </w:rPr>
              <w:fldChar w:fldCharType="begin"/>
            </w:r>
            <w:r>
              <w:rPr>
                <w:noProof/>
                <w:webHidden/>
              </w:rPr>
              <w:instrText xml:space="preserve"> PAGEREF _Toc157040043 \h </w:instrText>
            </w:r>
            <w:r>
              <w:rPr>
                <w:noProof/>
                <w:webHidden/>
              </w:rPr>
            </w:r>
            <w:r>
              <w:rPr>
                <w:noProof/>
                <w:webHidden/>
              </w:rPr>
              <w:fldChar w:fldCharType="separate"/>
            </w:r>
            <w:r>
              <w:rPr>
                <w:noProof/>
                <w:webHidden/>
              </w:rPr>
              <w:t>4</w:t>
            </w:r>
            <w:r>
              <w:rPr>
                <w:noProof/>
                <w:webHidden/>
              </w:rPr>
              <w:fldChar w:fldCharType="end"/>
            </w:r>
          </w:hyperlink>
        </w:p>
        <w:p w14:paraId="2A22C4B7" w14:textId="77777777" w:rsidR="00842CB5" w:rsidRDefault="00842CB5" w:rsidP="00842CB5">
          <w:pPr>
            <w:pStyle w:val="TOC1"/>
            <w:tabs>
              <w:tab w:val="right" w:leader="dot" w:pos="9350"/>
            </w:tabs>
            <w:rPr>
              <w:rFonts w:asciiTheme="minorHAnsi" w:eastAsiaTheme="minorEastAsia" w:hAnsiTheme="minorHAnsi"/>
              <w:noProof/>
              <w:kern w:val="2"/>
              <w:szCs w:val="24"/>
              <w:lang w:eastAsia="en-GB"/>
            </w:rPr>
          </w:pPr>
          <w:hyperlink w:anchor="_Toc157040044" w:history="1">
            <w:r w:rsidRPr="00900367">
              <w:rPr>
                <w:rStyle w:val="Hyperlink"/>
                <w:noProof/>
              </w:rPr>
              <w:t>Total Revenue Analysis: Corinthia Hotels vs. Ibis Hotels</w:t>
            </w:r>
            <w:r>
              <w:rPr>
                <w:noProof/>
                <w:webHidden/>
              </w:rPr>
              <w:tab/>
            </w:r>
            <w:r>
              <w:rPr>
                <w:noProof/>
                <w:webHidden/>
              </w:rPr>
              <w:fldChar w:fldCharType="begin"/>
            </w:r>
            <w:r>
              <w:rPr>
                <w:noProof/>
                <w:webHidden/>
              </w:rPr>
              <w:instrText xml:space="preserve"> PAGEREF _Toc157040044 \h </w:instrText>
            </w:r>
            <w:r>
              <w:rPr>
                <w:noProof/>
                <w:webHidden/>
              </w:rPr>
            </w:r>
            <w:r>
              <w:rPr>
                <w:noProof/>
                <w:webHidden/>
              </w:rPr>
              <w:fldChar w:fldCharType="separate"/>
            </w:r>
            <w:r>
              <w:rPr>
                <w:noProof/>
                <w:webHidden/>
              </w:rPr>
              <w:t>5</w:t>
            </w:r>
            <w:r>
              <w:rPr>
                <w:noProof/>
                <w:webHidden/>
              </w:rPr>
              <w:fldChar w:fldCharType="end"/>
            </w:r>
          </w:hyperlink>
        </w:p>
        <w:p w14:paraId="12E15BE7" w14:textId="77777777" w:rsidR="00842CB5" w:rsidRDefault="00842CB5" w:rsidP="00842CB5">
          <w:pPr>
            <w:pStyle w:val="TOC1"/>
            <w:tabs>
              <w:tab w:val="right" w:leader="dot" w:pos="9350"/>
            </w:tabs>
            <w:rPr>
              <w:rFonts w:asciiTheme="minorHAnsi" w:eastAsiaTheme="minorEastAsia" w:hAnsiTheme="minorHAnsi"/>
              <w:noProof/>
              <w:kern w:val="2"/>
              <w:szCs w:val="24"/>
              <w:lang w:eastAsia="en-GB"/>
            </w:rPr>
          </w:pPr>
          <w:hyperlink w:anchor="_Toc157040045" w:history="1">
            <w:r w:rsidRPr="00900367">
              <w:rPr>
                <w:rStyle w:val="Hyperlink"/>
                <w:noProof/>
              </w:rPr>
              <w:t>Market Position Assessment: Corinthia Hotel Group and Ibis Hotels</w:t>
            </w:r>
            <w:r>
              <w:rPr>
                <w:noProof/>
                <w:webHidden/>
              </w:rPr>
              <w:tab/>
            </w:r>
            <w:r>
              <w:rPr>
                <w:noProof/>
                <w:webHidden/>
              </w:rPr>
              <w:fldChar w:fldCharType="begin"/>
            </w:r>
            <w:r>
              <w:rPr>
                <w:noProof/>
                <w:webHidden/>
              </w:rPr>
              <w:instrText xml:space="preserve"> PAGEREF _Toc157040045 \h </w:instrText>
            </w:r>
            <w:r>
              <w:rPr>
                <w:noProof/>
                <w:webHidden/>
              </w:rPr>
            </w:r>
            <w:r>
              <w:rPr>
                <w:noProof/>
                <w:webHidden/>
              </w:rPr>
              <w:fldChar w:fldCharType="separate"/>
            </w:r>
            <w:r>
              <w:rPr>
                <w:noProof/>
                <w:webHidden/>
              </w:rPr>
              <w:t>7</w:t>
            </w:r>
            <w:r>
              <w:rPr>
                <w:noProof/>
                <w:webHidden/>
              </w:rPr>
              <w:fldChar w:fldCharType="end"/>
            </w:r>
          </w:hyperlink>
        </w:p>
        <w:p w14:paraId="6A8F61F7" w14:textId="77777777" w:rsidR="00842CB5" w:rsidRDefault="00842CB5" w:rsidP="00842CB5">
          <w:pPr>
            <w:pStyle w:val="TOC1"/>
            <w:tabs>
              <w:tab w:val="right" w:leader="dot" w:pos="9350"/>
            </w:tabs>
            <w:rPr>
              <w:rFonts w:asciiTheme="minorHAnsi" w:eastAsiaTheme="minorEastAsia" w:hAnsiTheme="minorHAnsi"/>
              <w:noProof/>
              <w:kern w:val="2"/>
              <w:szCs w:val="24"/>
              <w:lang w:eastAsia="en-GB"/>
            </w:rPr>
          </w:pPr>
          <w:hyperlink w:anchor="_Toc157040046" w:history="1">
            <w:r w:rsidRPr="00900367">
              <w:rPr>
                <w:rStyle w:val="Hyperlink"/>
                <w:noProof/>
              </w:rPr>
              <w:t>Growth Potential Evaluation: Corinthia Hotel Group and Ibis Hotels</w:t>
            </w:r>
            <w:r>
              <w:rPr>
                <w:noProof/>
                <w:webHidden/>
              </w:rPr>
              <w:tab/>
            </w:r>
            <w:r>
              <w:rPr>
                <w:noProof/>
                <w:webHidden/>
              </w:rPr>
              <w:fldChar w:fldCharType="begin"/>
            </w:r>
            <w:r>
              <w:rPr>
                <w:noProof/>
                <w:webHidden/>
              </w:rPr>
              <w:instrText xml:space="preserve"> PAGEREF _Toc157040046 \h </w:instrText>
            </w:r>
            <w:r>
              <w:rPr>
                <w:noProof/>
                <w:webHidden/>
              </w:rPr>
            </w:r>
            <w:r>
              <w:rPr>
                <w:noProof/>
                <w:webHidden/>
              </w:rPr>
              <w:fldChar w:fldCharType="separate"/>
            </w:r>
            <w:r>
              <w:rPr>
                <w:noProof/>
                <w:webHidden/>
              </w:rPr>
              <w:t>8</w:t>
            </w:r>
            <w:r>
              <w:rPr>
                <w:noProof/>
                <w:webHidden/>
              </w:rPr>
              <w:fldChar w:fldCharType="end"/>
            </w:r>
          </w:hyperlink>
        </w:p>
        <w:p w14:paraId="19AE31A6" w14:textId="77777777" w:rsidR="00842CB5" w:rsidRDefault="00842CB5" w:rsidP="00842CB5">
          <w:pPr>
            <w:pStyle w:val="TOC1"/>
            <w:tabs>
              <w:tab w:val="right" w:leader="dot" w:pos="9350"/>
            </w:tabs>
            <w:rPr>
              <w:rFonts w:asciiTheme="minorHAnsi" w:eastAsiaTheme="minorEastAsia" w:hAnsiTheme="minorHAnsi"/>
              <w:noProof/>
              <w:kern w:val="2"/>
              <w:szCs w:val="24"/>
              <w:lang w:eastAsia="en-GB"/>
            </w:rPr>
          </w:pPr>
          <w:hyperlink w:anchor="_Toc157040047" w:history="1">
            <w:r w:rsidRPr="00900367">
              <w:rPr>
                <w:rStyle w:val="Hyperlink"/>
                <w:noProof/>
              </w:rPr>
              <w:t>Financial Commitment to CSR Analysis: Corinthia Hotel Group and Ibis Hotels</w:t>
            </w:r>
            <w:r>
              <w:rPr>
                <w:noProof/>
                <w:webHidden/>
              </w:rPr>
              <w:tab/>
            </w:r>
            <w:r>
              <w:rPr>
                <w:noProof/>
                <w:webHidden/>
              </w:rPr>
              <w:fldChar w:fldCharType="begin"/>
            </w:r>
            <w:r>
              <w:rPr>
                <w:noProof/>
                <w:webHidden/>
              </w:rPr>
              <w:instrText xml:space="preserve"> PAGEREF _Toc157040047 \h </w:instrText>
            </w:r>
            <w:r>
              <w:rPr>
                <w:noProof/>
                <w:webHidden/>
              </w:rPr>
            </w:r>
            <w:r>
              <w:rPr>
                <w:noProof/>
                <w:webHidden/>
              </w:rPr>
              <w:fldChar w:fldCharType="separate"/>
            </w:r>
            <w:r>
              <w:rPr>
                <w:noProof/>
                <w:webHidden/>
              </w:rPr>
              <w:t>11</w:t>
            </w:r>
            <w:r>
              <w:rPr>
                <w:noProof/>
                <w:webHidden/>
              </w:rPr>
              <w:fldChar w:fldCharType="end"/>
            </w:r>
          </w:hyperlink>
        </w:p>
        <w:p w14:paraId="4AB37CE1" w14:textId="77777777" w:rsidR="00842CB5" w:rsidRDefault="00842CB5" w:rsidP="00842CB5">
          <w:pPr>
            <w:pStyle w:val="TOC1"/>
            <w:tabs>
              <w:tab w:val="right" w:leader="dot" w:pos="9350"/>
            </w:tabs>
            <w:rPr>
              <w:rFonts w:asciiTheme="minorHAnsi" w:eastAsiaTheme="minorEastAsia" w:hAnsiTheme="minorHAnsi"/>
              <w:noProof/>
              <w:kern w:val="2"/>
              <w:szCs w:val="24"/>
              <w:lang w:eastAsia="en-GB"/>
            </w:rPr>
          </w:pPr>
          <w:hyperlink w:anchor="_Toc157040048" w:history="1">
            <w:r w:rsidRPr="00900367">
              <w:rPr>
                <w:rStyle w:val="Hyperlink"/>
                <w:noProof/>
              </w:rPr>
              <w:t>Recommendations</w:t>
            </w:r>
            <w:r>
              <w:rPr>
                <w:noProof/>
                <w:webHidden/>
              </w:rPr>
              <w:tab/>
            </w:r>
            <w:r>
              <w:rPr>
                <w:noProof/>
                <w:webHidden/>
              </w:rPr>
              <w:fldChar w:fldCharType="begin"/>
            </w:r>
            <w:r>
              <w:rPr>
                <w:noProof/>
                <w:webHidden/>
              </w:rPr>
              <w:instrText xml:space="preserve"> PAGEREF _Toc157040048 \h </w:instrText>
            </w:r>
            <w:r>
              <w:rPr>
                <w:noProof/>
                <w:webHidden/>
              </w:rPr>
            </w:r>
            <w:r>
              <w:rPr>
                <w:noProof/>
                <w:webHidden/>
              </w:rPr>
              <w:fldChar w:fldCharType="separate"/>
            </w:r>
            <w:r>
              <w:rPr>
                <w:noProof/>
                <w:webHidden/>
              </w:rPr>
              <w:t>13</w:t>
            </w:r>
            <w:r>
              <w:rPr>
                <w:noProof/>
                <w:webHidden/>
              </w:rPr>
              <w:fldChar w:fldCharType="end"/>
            </w:r>
          </w:hyperlink>
        </w:p>
        <w:p w14:paraId="62CA99D4" w14:textId="77777777" w:rsidR="00842CB5" w:rsidRDefault="00842CB5" w:rsidP="00842CB5">
          <w:pPr>
            <w:pStyle w:val="TOC1"/>
            <w:tabs>
              <w:tab w:val="right" w:leader="dot" w:pos="9350"/>
            </w:tabs>
            <w:rPr>
              <w:rFonts w:asciiTheme="minorHAnsi" w:eastAsiaTheme="minorEastAsia" w:hAnsiTheme="minorHAnsi"/>
              <w:noProof/>
              <w:kern w:val="2"/>
              <w:szCs w:val="24"/>
              <w:lang w:eastAsia="en-GB"/>
            </w:rPr>
          </w:pPr>
          <w:hyperlink w:anchor="_Toc157040049" w:history="1">
            <w:r w:rsidRPr="00900367">
              <w:rPr>
                <w:rStyle w:val="Hyperlink"/>
                <w:noProof/>
              </w:rPr>
              <w:t>Conclusion</w:t>
            </w:r>
            <w:r>
              <w:rPr>
                <w:noProof/>
                <w:webHidden/>
              </w:rPr>
              <w:tab/>
            </w:r>
            <w:r>
              <w:rPr>
                <w:noProof/>
                <w:webHidden/>
              </w:rPr>
              <w:fldChar w:fldCharType="begin"/>
            </w:r>
            <w:r>
              <w:rPr>
                <w:noProof/>
                <w:webHidden/>
              </w:rPr>
              <w:instrText xml:space="preserve"> PAGEREF _Toc157040049 \h </w:instrText>
            </w:r>
            <w:r>
              <w:rPr>
                <w:noProof/>
                <w:webHidden/>
              </w:rPr>
            </w:r>
            <w:r>
              <w:rPr>
                <w:noProof/>
                <w:webHidden/>
              </w:rPr>
              <w:fldChar w:fldCharType="separate"/>
            </w:r>
            <w:r>
              <w:rPr>
                <w:noProof/>
                <w:webHidden/>
              </w:rPr>
              <w:t>14</w:t>
            </w:r>
            <w:r>
              <w:rPr>
                <w:noProof/>
                <w:webHidden/>
              </w:rPr>
              <w:fldChar w:fldCharType="end"/>
            </w:r>
          </w:hyperlink>
        </w:p>
        <w:p w14:paraId="117C4EE8" w14:textId="77777777" w:rsidR="00842CB5" w:rsidRDefault="00842CB5" w:rsidP="00842CB5">
          <w:pPr>
            <w:pStyle w:val="TOC1"/>
            <w:tabs>
              <w:tab w:val="right" w:leader="dot" w:pos="9350"/>
            </w:tabs>
            <w:rPr>
              <w:rFonts w:asciiTheme="minorHAnsi" w:eastAsiaTheme="minorEastAsia" w:hAnsiTheme="minorHAnsi"/>
              <w:noProof/>
              <w:kern w:val="2"/>
              <w:szCs w:val="24"/>
              <w:lang w:eastAsia="en-GB"/>
            </w:rPr>
          </w:pPr>
          <w:hyperlink w:anchor="_Toc157040050" w:history="1">
            <w:r w:rsidRPr="00900367">
              <w:rPr>
                <w:rStyle w:val="Hyperlink"/>
                <w:noProof/>
              </w:rPr>
              <w:t>References</w:t>
            </w:r>
            <w:r>
              <w:rPr>
                <w:noProof/>
                <w:webHidden/>
              </w:rPr>
              <w:tab/>
            </w:r>
            <w:r>
              <w:rPr>
                <w:noProof/>
                <w:webHidden/>
              </w:rPr>
              <w:fldChar w:fldCharType="begin"/>
            </w:r>
            <w:r>
              <w:rPr>
                <w:noProof/>
                <w:webHidden/>
              </w:rPr>
              <w:instrText xml:space="preserve"> PAGEREF _Toc157040050 \h </w:instrText>
            </w:r>
            <w:r>
              <w:rPr>
                <w:noProof/>
                <w:webHidden/>
              </w:rPr>
            </w:r>
            <w:r>
              <w:rPr>
                <w:noProof/>
                <w:webHidden/>
              </w:rPr>
              <w:fldChar w:fldCharType="separate"/>
            </w:r>
            <w:r>
              <w:rPr>
                <w:noProof/>
                <w:webHidden/>
              </w:rPr>
              <w:t>15</w:t>
            </w:r>
            <w:r>
              <w:rPr>
                <w:noProof/>
                <w:webHidden/>
              </w:rPr>
              <w:fldChar w:fldCharType="end"/>
            </w:r>
          </w:hyperlink>
        </w:p>
        <w:p w14:paraId="68EBDB8B" w14:textId="77777777" w:rsidR="00842CB5" w:rsidRDefault="00842CB5" w:rsidP="00842CB5">
          <w:r>
            <w:rPr>
              <w:b/>
              <w:bCs/>
              <w:noProof/>
            </w:rPr>
            <w:fldChar w:fldCharType="end"/>
          </w:r>
        </w:p>
      </w:sdtContent>
    </w:sdt>
    <w:p w14:paraId="3B52455A" w14:textId="77777777" w:rsidR="00842CB5" w:rsidRDefault="00842CB5" w:rsidP="00842CB5"/>
    <w:p w14:paraId="5E3B7013" w14:textId="77777777" w:rsidR="00842CB5" w:rsidRDefault="00842CB5" w:rsidP="00842CB5">
      <w:pPr>
        <w:spacing w:after="200" w:line="240" w:lineRule="auto"/>
        <w:jc w:val="center"/>
      </w:pPr>
      <w:r>
        <w:br w:type="page"/>
      </w:r>
    </w:p>
    <w:p w14:paraId="294775B3" w14:textId="77777777" w:rsidR="00842CB5" w:rsidRDefault="00842CB5" w:rsidP="00842CB5">
      <w:pPr>
        <w:pStyle w:val="Heading1"/>
      </w:pPr>
      <w:bookmarkStart w:id="1" w:name="_Toc157040043"/>
      <w:r>
        <w:lastRenderedPageBreak/>
        <w:t>Introduction</w:t>
      </w:r>
      <w:bookmarkEnd w:id="1"/>
    </w:p>
    <w:p w14:paraId="357B23FA" w14:textId="77777777" w:rsidR="00842CB5" w:rsidRDefault="00842CB5" w:rsidP="00842CB5">
      <w:r w:rsidRPr="005528BE">
        <w:t xml:space="preserve">This study analyses the financial practices of two prominent hotel chains, Corinthia </w:t>
      </w:r>
      <w:proofErr w:type="gramStart"/>
      <w:r w:rsidRPr="005528BE">
        <w:t>Hotels</w:t>
      </w:r>
      <w:proofErr w:type="gramEnd"/>
      <w:r w:rsidRPr="005528BE">
        <w:t xml:space="preserve"> and Ibis Hotels</w:t>
      </w:r>
      <w:r w:rsidRPr="001274C4">
        <w:t>. The main financial factors that will be used to judge these groups are their overall income, their market, their growth potential, and their commitment to CSR, among other things. By looking at these important areas, the study hopes to help stakeholders, investors, and people who follow the industry make better choices by giving them a clearer picture of how Corinthia Hotels and Ibis Hotels make money</w:t>
      </w:r>
      <w:r>
        <w:t>.</w:t>
      </w:r>
    </w:p>
    <w:p w14:paraId="50200064" w14:textId="77777777" w:rsidR="00842CB5" w:rsidRDefault="00842CB5" w:rsidP="00842CB5">
      <w:pPr>
        <w:spacing w:after="200" w:line="240" w:lineRule="auto"/>
        <w:jc w:val="center"/>
        <w:rPr>
          <w:b/>
          <w:bCs/>
        </w:rPr>
      </w:pPr>
      <w:r>
        <w:rPr>
          <w:b/>
          <w:bCs/>
        </w:rPr>
        <w:br w:type="page"/>
      </w:r>
    </w:p>
    <w:p w14:paraId="76BBDC9C" w14:textId="77777777" w:rsidR="00842CB5" w:rsidRDefault="00842CB5" w:rsidP="00842CB5">
      <w:pPr>
        <w:pStyle w:val="Heading1"/>
      </w:pPr>
      <w:bookmarkStart w:id="2" w:name="_Toc157040044"/>
      <w:r w:rsidRPr="001A43D9">
        <w:lastRenderedPageBreak/>
        <w:t>Total Revenue Analysis: Corinthia Hotels vs. Ibis Hotels</w:t>
      </w:r>
      <w:bookmarkEnd w:id="2"/>
    </w:p>
    <w:p w14:paraId="200B362C" w14:textId="77777777" w:rsidR="00842CB5" w:rsidRPr="00270B80" w:rsidRDefault="00842CB5" w:rsidP="00842CB5">
      <w:r>
        <w:t>Ibis Hotels and Corinthia Hotel Group have both demonstrated respectable revenue growth, even though they operate in different markets</w:t>
      </w:r>
      <w:r w:rsidRPr="00AA4BDC">
        <w:t>.</w:t>
      </w:r>
      <w:r>
        <w:t xml:space="preserve"> The following part will demonstrate the comparative revenue analysis of Corinthia Hotels and Ibis Hotels.  </w:t>
      </w:r>
    </w:p>
    <w:p w14:paraId="692A063B" w14:textId="77777777" w:rsidR="00842CB5" w:rsidRDefault="00842CB5" w:rsidP="00842CB5">
      <w:r w:rsidRPr="001A43D9">
        <w:rPr>
          <w:b/>
          <w:bCs/>
        </w:rPr>
        <w:t>Sources of Revenue:</w:t>
      </w:r>
      <w:r w:rsidRPr="001A43D9">
        <w:t xml:space="preserve"> </w:t>
      </w:r>
      <w:r>
        <w:t>The mainstay of Corinthia Hotels' revenue is its array of extra facilities, great dining, and luxurious accommodations</w:t>
      </w:r>
      <w:r w:rsidRPr="001036F8">
        <w:t xml:space="preserve"> (</w:t>
      </w:r>
      <w:proofErr w:type="spellStart"/>
      <w:r w:rsidRPr="001036F8">
        <w:t>Alsharari</w:t>
      </w:r>
      <w:proofErr w:type="spellEnd"/>
      <w:r w:rsidRPr="001036F8">
        <w:t>, 2022)</w:t>
      </w:r>
      <w:r>
        <w:t xml:space="preserve">. Reservations for rooms remain the main source of income, contributing significantly to the total. The hotel chain markets itself as a premium brand </w:t>
      </w:r>
      <w:proofErr w:type="gramStart"/>
      <w:r>
        <w:t>in an effort to</w:t>
      </w:r>
      <w:proofErr w:type="gramEnd"/>
      <w:r>
        <w:t xml:space="preserve"> draw in affluent patrons who are willing to pay extra for an upscale stay</w:t>
      </w:r>
      <w:r w:rsidRPr="00084890">
        <w:t xml:space="preserve"> (Edwards, 2022)</w:t>
      </w:r>
      <w:r>
        <w:t>. Partnerships, loyalty programmes, and events all help to generate income and keep customers. On the other hand, Ibis Hotels' primary revenue streams are low-cost hotel reservations, food and beverage offerings, and various supplementary services</w:t>
      </w:r>
      <w:r w:rsidRPr="001036F8">
        <w:t xml:space="preserve"> (</w:t>
      </w:r>
      <w:proofErr w:type="spellStart"/>
      <w:r w:rsidRPr="001036F8">
        <w:t>Atrill</w:t>
      </w:r>
      <w:proofErr w:type="spellEnd"/>
      <w:r w:rsidRPr="001036F8">
        <w:t>, 2021)</w:t>
      </w:r>
      <w:r>
        <w:t xml:space="preserve">. The firm prioritises providing economical accommodations without compromising quality </w:t>
      </w:r>
      <w:proofErr w:type="gramStart"/>
      <w:r>
        <w:t>in order to</w:t>
      </w:r>
      <w:proofErr w:type="gramEnd"/>
      <w:r>
        <w:t xml:space="preserve"> appeal to a wider audience. The company uses its global network and well-known brand to draw corporate partnerships and group reservations </w:t>
      </w:r>
      <w:proofErr w:type="gramStart"/>
      <w:r>
        <w:t>in an effort to</w:t>
      </w:r>
      <w:proofErr w:type="gramEnd"/>
      <w:r>
        <w:t xml:space="preserve"> diversify its revenue streams.</w:t>
      </w:r>
    </w:p>
    <w:p w14:paraId="0C3DF3E2" w14:textId="77777777" w:rsidR="00842CB5" w:rsidRDefault="00842CB5" w:rsidP="00842CB5">
      <w:r>
        <w:rPr>
          <w:noProof/>
        </w:rPr>
        <w:drawing>
          <wp:inline distT="0" distB="0" distL="0" distR="0" wp14:anchorId="71431C82" wp14:editId="36A9A87B">
            <wp:extent cx="6000750" cy="3292929"/>
            <wp:effectExtent l="0" t="0" r="0" b="0"/>
            <wp:docPr id="773824294" name="Picture 1" descr="A graph of a graph showing the value of hotel investm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824294" name="Picture 1" descr="A graph of a graph showing the value of hotel investments&#10;&#10;Description automatically generated with medium confidence"/>
                    <pic:cNvPicPr>
                      <a:picLocks noChangeAspect="1" noChangeArrowheads="1"/>
                    </pic:cNvPicPr>
                  </pic:nvPicPr>
                  <pic:blipFill rotWithShape="1">
                    <a:blip r:embed="rId5">
                      <a:extLst>
                        <a:ext uri="{28A0092B-C50C-407E-A947-70E740481C1C}">
                          <a14:useLocalDpi xmlns:a14="http://schemas.microsoft.com/office/drawing/2010/main" val="0"/>
                        </a:ext>
                      </a:extLst>
                    </a:blip>
                    <a:srcRect t="17687"/>
                    <a:stretch/>
                  </pic:blipFill>
                  <pic:spPr bwMode="auto">
                    <a:xfrm>
                      <a:off x="0" y="0"/>
                      <a:ext cx="6000750" cy="3292929"/>
                    </a:xfrm>
                    <a:prstGeom prst="rect">
                      <a:avLst/>
                    </a:prstGeom>
                    <a:noFill/>
                    <a:ln>
                      <a:noFill/>
                    </a:ln>
                    <a:extLst>
                      <a:ext uri="{53640926-AAD7-44D8-BBD7-CCE9431645EC}">
                        <a14:shadowObscured xmlns:a14="http://schemas.microsoft.com/office/drawing/2010/main"/>
                      </a:ext>
                    </a:extLst>
                  </pic:spPr>
                </pic:pic>
              </a:graphicData>
            </a:graphic>
          </wp:inline>
        </w:drawing>
      </w:r>
    </w:p>
    <w:p w14:paraId="3FC1CE8A" w14:textId="77777777" w:rsidR="00842CB5" w:rsidRPr="001A43D9" w:rsidRDefault="00842CB5" w:rsidP="00842CB5">
      <w:pPr>
        <w:jc w:val="center"/>
      </w:pPr>
      <w:r>
        <w:t xml:space="preserve">Figure 1: Revenue trends of </w:t>
      </w:r>
      <w:proofErr w:type="gramStart"/>
      <w:r>
        <w:t>Hotel</w:t>
      </w:r>
      <w:proofErr w:type="gramEnd"/>
      <w:r>
        <w:t xml:space="preserve"> industry</w:t>
      </w:r>
      <w:r w:rsidRPr="00084890">
        <w:t xml:space="preserve"> (Edwards, 2022)</w:t>
      </w:r>
    </w:p>
    <w:p w14:paraId="091D48C5" w14:textId="77777777" w:rsidR="00842CB5" w:rsidRDefault="00842CB5" w:rsidP="00842CB5">
      <w:r w:rsidRPr="001A43D9">
        <w:rPr>
          <w:b/>
          <w:bCs/>
        </w:rPr>
        <w:lastRenderedPageBreak/>
        <w:t>Revenue Trends:</w:t>
      </w:r>
      <w:r w:rsidRPr="001A43D9">
        <w:t xml:space="preserve"> </w:t>
      </w:r>
      <w:r>
        <w:t>Corinthia Hotels has maintained a pattern of favourable revenue trends over the last many fiscal years. With its premium stance, the business has been able to ride out economic downturns more effectively than other of their high-end category competitors</w:t>
      </w:r>
      <w:r w:rsidRPr="001036F8">
        <w:t xml:space="preserve"> (Cotton, 2022)</w:t>
      </w:r>
      <w:r>
        <w:t xml:space="preserve">. A combination of the hotel chain's worldwide </w:t>
      </w:r>
      <w:proofErr w:type="gramStart"/>
      <w:r>
        <w:t>reach</w:t>
      </w:r>
      <w:proofErr w:type="gramEnd"/>
      <w:r>
        <w:t xml:space="preserve"> and strategic advertising has driven up demand and, by extension, average room rates. In contrast, the dedication to affordability and accessibility has been the driving force behind the constant revenue growth demonstrated by Ibis Hotels. Because of its mid-range location, the brand </w:t>
      </w:r>
      <w:proofErr w:type="gramStart"/>
      <w:r>
        <w:t>is able to</w:t>
      </w:r>
      <w:proofErr w:type="gramEnd"/>
      <w:r>
        <w:t xml:space="preserve"> grab a bigger portion of the market and is thus less affected by economic swings than its higher-end competitors</w:t>
      </w:r>
      <w:r w:rsidRPr="001036F8">
        <w:t xml:space="preserve"> (Ibis Hotels, 2021a)</w:t>
      </w:r>
      <w:r>
        <w:t>. Customer loyalty and upward revenue trends are boosted by an easy-to-use booking experience and customer support that is designed with the user in mind.</w:t>
      </w:r>
    </w:p>
    <w:p w14:paraId="437D6FBA" w14:textId="77777777" w:rsidR="00842CB5" w:rsidRPr="001A43D9" w:rsidRDefault="00842CB5" w:rsidP="00842CB5">
      <w:r w:rsidRPr="00930079">
        <w:rPr>
          <w:b/>
          <w:bCs/>
        </w:rPr>
        <w:t>Reven</w:t>
      </w:r>
      <w:r>
        <w:rPr>
          <w:b/>
          <w:bCs/>
        </w:rPr>
        <w:t>ue from income statement</w:t>
      </w:r>
      <w:r w:rsidRPr="00930079">
        <w:rPr>
          <w:b/>
          <w:bCs/>
        </w:rPr>
        <w:t>:</w:t>
      </w:r>
      <w:r>
        <w:t xml:space="preserve"> Total revenue for the last three fiscal years has grown at an impressive pace of 10% for Corinthia Hotel Group, with sales hitting </w:t>
      </w:r>
      <w:r>
        <w:rPr>
          <w:rFonts w:cs="Times New Roman"/>
        </w:rPr>
        <w:t>£</w:t>
      </w:r>
      <w:r>
        <w:t>650 million in 2021. This represents a strong performance over the past five years</w:t>
      </w:r>
      <w:r w:rsidRPr="001036F8">
        <w:t xml:space="preserve"> (Larson, 2022)</w:t>
      </w:r>
      <w:r>
        <w:t xml:space="preserve">. With accommodation reservations accounting for 55%, food and beverage services for 30%, and auxiliary services (including spa and events) for the remaining 15%, Corinthia has a diverse revenue stream. An increase in average room rates, due to Corinthia Hotels' premium standing in the market, is largely responsible for the boost in overall income. Contrarily, Ibis Hotels has also demonstrated consistent revenue growth in the mid-range market, with a total of </w:t>
      </w:r>
      <w:r>
        <w:rPr>
          <w:rFonts w:cs="Times New Roman"/>
        </w:rPr>
        <w:t>£</w:t>
      </w:r>
      <w:r>
        <w:t>2.7 billion in sales in 2021, growing at a CAGR of 5% during the five-year span</w:t>
      </w:r>
      <w:r w:rsidRPr="001036F8">
        <w:t xml:space="preserve"> (Ibis Hotels, 2021b)</w:t>
      </w:r>
      <w:r>
        <w:t>. The revenue breakdown for Ibis Hotels is unique: 70% comes from accommodation reservations, 20% from food and beverage, and 10% from auxiliary services such as meeting spaces and business support</w:t>
      </w:r>
      <w:r w:rsidRPr="001036F8">
        <w:t xml:space="preserve"> (Ibis Hotels, 2022)</w:t>
      </w:r>
      <w:r>
        <w:t>. Rising occupancy rates and smart chain expansion are the main factors behind Ibis Hotels' revenue growth.</w:t>
      </w:r>
    </w:p>
    <w:p w14:paraId="3E341B52" w14:textId="77777777" w:rsidR="00842CB5" w:rsidRPr="00FB3FF6" w:rsidRDefault="00842CB5" w:rsidP="00842CB5">
      <w:pPr>
        <w:rPr>
          <w:b/>
          <w:bCs/>
        </w:rPr>
      </w:pPr>
      <w:r w:rsidRPr="00930079">
        <w:rPr>
          <w:b/>
          <w:bCs/>
        </w:rPr>
        <w:t>Factors Driving Revenue Growth:</w:t>
      </w:r>
      <w:r>
        <w:rPr>
          <w:b/>
          <w:bCs/>
        </w:rPr>
        <w:t xml:space="preserve"> </w:t>
      </w:r>
      <w:r>
        <w:t xml:space="preserve">There are </w:t>
      </w:r>
      <w:proofErr w:type="gramStart"/>
      <w:r>
        <w:t>a number of</w:t>
      </w:r>
      <w:proofErr w:type="gramEnd"/>
      <w:r>
        <w:t xml:space="preserve"> reasons that have contributed significantly to the increase in revenue for Corinthia Hotel Group. Affluent consumers have been drawn to the brand due to its well-deserved reputation for high-end goods and services, and the company's global expansion, especially in Asia and the Middle East, has further expanded its customer base</w:t>
      </w:r>
      <w:r w:rsidRPr="001036F8">
        <w:t xml:space="preserve"> (</w:t>
      </w:r>
      <w:r w:rsidRPr="00084890">
        <w:t>(Freedman, 2022</w:t>
      </w:r>
      <w:r w:rsidRPr="001036F8">
        <w:t>)</w:t>
      </w:r>
      <w:r>
        <w:t xml:space="preserve">. In contrast, Ibis Hotels has been able to increase its income through penetrating new markets around the world, particularly in developing regions where the middle class is expanding its travel spending. </w:t>
      </w:r>
    </w:p>
    <w:p w14:paraId="7008F014" w14:textId="77777777" w:rsidR="00842CB5" w:rsidRPr="00211F04" w:rsidRDefault="00842CB5" w:rsidP="00842CB5">
      <w:pPr>
        <w:pStyle w:val="Heading1"/>
      </w:pPr>
      <w:bookmarkStart w:id="3" w:name="_Toc157040045"/>
      <w:bookmarkStart w:id="4" w:name="_Hlk156263111"/>
      <w:r w:rsidRPr="00211F04">
        <w:lastRenderedPageBreak/>
        <w:t>Market Position Assessment: Corinthia Hotel Group and Ibis Hotels</w:t>
      </w:r>
      <w:bookmarkEnd w:id="3"/>
    </w:p>
    <w:bookmarkEnd w:id="4"/>
    <w:p w14:paraId="21EF208F" w14:textId="77777777" w:rsidR="00842CB5" w:rsidRDefault="00842CB5" w:rsidP="00842CB5">
      <w:r>
        <w:t>The Corinthia Hotel Group has long planned to be the most prestigious name in five-star hotel chains. Focusing on luxury, opulence, and outstanding service characterises Corinthia's market positioning. A reputation for providing clients with opulent and sumptuous experiences has been built by the business. Unlike Corinthia, which focuses on high-end accommodations, Ibis Hotels aims to please a wider variety of customers by offering affordable, high-quality options.</w:t>
      </w:r>
    </w:p>
    <w:p w14:paraId="6DC0DA00" w14:textId="77777777" w:rsidR="00842CB5" w:rsidRDefault="00842CB5" w:rsidP="00842CB5">
      <w:r>
        <w:rPr>
          <w:noProof/>
        </w:rPr>
        <w:drawing>
          <wp:inline distT="0" distB="0" distL="0" distR="0" wp14:anchorId="25B136E6" wp14:editId="1A93E295">
            <wp:extent cx="5905500" cy="3200400"/>
            <wp:effectExtent l="0" t="0" r="0" b="0"/>
            <wp:docPr id="22364625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A7819DA" w14:textId="77777777" w:rsidR="00842CB5" w:rsidRPr="00211F04" w:rsidRDefault="00842CB5" w:rsidP="00842CB5">
      <w:pPr>
        <w:jc w:val="center"/>
      </w:pPr>
      <w:r>
        <w:t xml:space="preserve">Figure 2: </w:t>
      </w:r>
      <w:r w:rsidRPr="003138F1">
        <w:t>Market Position Assessment</w:t>
      </w:r>
      <w:r>
        <w:t xml:space="preserve"> </w:t>
      </w:r>
      <w:r w:rsidRPr="003138F1">
        <w:t>(Brown, 2021).</w:t>
      </w:r>
    </w:p>
    <w:p w14:paraId="0C8490BF" w14:textId="77777777" w:rsidR="00842CB5" w:rsidRPr="00211F04" w:rsidRDefault="00842CB5" w:rsidP="00842CB5">
      <w:r w:rsidRPr="00211F04">
        <w:rPr>
          <w:b/>
          <w:bCs/>
        </w:rPr>
        <w:t>Market Share:</w:t>
      </w:r>
      <w:r w:rsidRPr="00211F04">
        <w:t xml:space="preserve"> </w:t>
      </w:r>
      <w:r>
        <w:t>In the high-end hotel industry, Corinthia Hotel Group has carved out a sizable niche for itself</w:t>
      </w:r>
      <w:r w:rsidRPr="001036F8">
        <w:t xml:space="preserve"> (Brown, 2021)</w:t>
      </w:r>
      <w:r>
        <w:t>. Corinthia has attracted affluent travellers in search of an unforgettable experience thanks to its focus on premium services, elegant decor, and individual attention. In contrast, the mid-range hotel sector is where Ibis Hotels has made its mark. Ibis has cornered a sizable chunk of the market thanks to its affordable prices and consistent quality and service.</w:t>
      </w:r>
    </w:p>
    <w:p w14:paraId="54B1ACFA" w14:textId="77777777" w:rsidR="00842CB5" w:rsidRPr="00211F04" w:rsidRDefault="00842CB5" w:rsidP="00842CB5">
      <w:r w:rsidRPr="00211F04">
        <w:rPr>
          <w:b/>
          <w:bCs/>
        </w:rPr>
        <w:t>Customer Demographics:</w:t>
      </w:r>
      <w:r w:rsidRPr="00211F04">
        <w:t xml:space="preserve"> </w:t>
      </w:r>
      <w:r>
        <w:t>Corinthia aims to cater to well-off individuals, corporate leaders, and wealthy vacationers who value a sophisticated and upscale hospitality experience</w:t>
      </w:r>
      <w:r w:rsidRPr="001036F8">
        <w:t xml:space="preserve"> </w:t>
      </w:r>
      <w:r w:rsidRPr="00084890">
        <w:t>(Hassan, 2021</w:t>
      </w:r>
      <w:r w:rsidRPr="001036F8">
        <w:t>)</w:t>
      </w:r>
      <w:r>
        <w:t xml:space="preserve">. People who value unique experiences, private lodgings, and individualised attention make </w:t>
      </w:r>
      <w:r>
        <w:lastRenderedPageBreak/>
        <w:t>up the bulk of the clientele. In fact, Ibis Hotels aims to attract a wide range of customers, including families, budget-conscious vacationers, and businesspeople in search of economical, dependable, and comfortable lodgings</w:t>
      </w:r>
      <w:r w:rsidRPr="001036F8">
        <w:t xml:space="preserve"> (Drury, 2021)</w:t>
      </w:r>
      <w:r>
        <w:t>. Ibis continues to be a popular option for budget-conscious travellers due to its standardised offers, which appeal to a wide audience</w:t>
      </w:r>
      <w:r w:rsidRPr="00211F04">
        <w:t>.</w:t>
      </w:r>
    </w:p>
    <w:p w14:paraId="3F45D880" w14:textId="77777777" w:rsidR="00842CB5" w:rsidRPr="00211F04" w:rsidRDefault="00842CB5" w:rsidP="00842CB5">
      <w:r w:rsidRPr="00211F04">
        <w:rPr>
          <w:b/>
          <w:bCs/>
        </w:rPr>
        <w:t>Brand Perception:</w:t>
      </w:r>
      <w:r>
        <w:t xml:space="preserve"> The uniqueness and exclusivity of the Corinthia brand are enhanced by the associations that customers have with it</w:t>
      </w:r>
      <w:r w:rsidRPr="001036F8">
        <w:t xml:space="preserve"> </w:t>
      </w:r>
      <w:r w:rsidRPr="00084890">
        <w:t>(Hamilton, 2022</w:t>
      </w:r>
      <w:r w:rsidRPr="001036F8">
        <w:t>)</w:t>
      </w:r>
      <w:r>
        <w:t>. The brand's stellar reputation is bolstered by awards, compliments, and worldwide renown, and it also confirms its position as a frontrunner in the luxury hotel industry. Ibis Hotels, on the other hand, is among the most trustworthy and reasonably priced mid-range hotel businesses. The consistent, spotless, and conveniently located space has played a role in the brand's favourable image. Ibis isn't trying to position itself as a premium brand, but its consistently reliable accommodations and services have earned it a stellar reputation among its target customers.</w:t>
      </w:r>
    </w:p>
    <w:p w14:paraId="758F6CA1" w14:textId="77777777" w:rsidR="00842CB5" w:rsidRPr="00211F04" w:rsidRDefault="00842CB5" w:rsidP="00842CB5">
      <w:r>
        <w:t>The Corinthia Hotel Group and Ibis Hotels have unquestionably achieved the peak of their respective industries. Ibis aims to reach a wider audience by promoting cost and dependability, whereas Corinthia caters to the wealthy with its reputation for grandeur and elegance. These hotel brands have become market leaders by concentrating on their unique clientele</w:t>
      </w:r>
      <w:r w:rsidRPr="00211F04">
        <w:t>.</w:t>
      </w:r>
    </w:p>
    <w:p w14:paraId="1A475D4B" w14:textId="77777777" w:rsidR="00842CB5" w:rsidRPr="000B0F14" w:rsidRDefault="00842CB5" w:rsidP="00842CB5">
      <w:pPr>
        <w:pStyle w:val="Heading1"/>
      </w:pPr>
      <w:bookmarkStart w:id="5" w:name="_Toc157040046"/>
      <w:r w:rsidRPr="000B0F14">
        <w:t>Growth Potential Evaluation: Corinthia Hotel Group and Ibis Hotels</w:t>
      </w:r>
      <w:bookmarkEnd w:id="5"/>
    </w:p>
    <w:p w14:paraId="3ED2C303" w14:textId="77777777" w:rsidR="00842CB5" w:rsidRDefault="00842CB5" w:rsidP="00842CB5">
      <w:r>
        <w:t>While Corinthia Hotel Group and Ibis Hotels target different markets, they both have room to grow</w:t>
      </w:r>
      <w:r w:rsidRPr="008A3532">
        <w:t>.</w:t>
      </w:r>
      <w:r>
        <w:t xml:space="preserve"> This section will incorporate the growth potential evaluation of Corinthia Hotel and Ibis Hotels.</w:t>
      </w:r>
    </w:p>
    <w:p w14:paraId="36902FD8" w14:textId="77777777" w:rsidR="00842CB5" w:rsidRDefault="00842CB5" w:rsidP="00842CB5">
      <w:r>
        <w:rPr>
          <w:noProof/>
        </w:rPr>
        <w:lastRenderedPageBreak/>
        <w:drawing>
          <wp:inline distT="0" distB="0" distL="0" distR="0" wp14:anchorId="36683D7B" wp14:editId="580B58DF">
            <wp:extent cx="5928360" cy="2613660"/>
            <wp:effectExtent l="0" t="0" r="0" b="0"/>
            <wp:docPr id="11227965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4883E92" w14:textId="77777777" w:rsidR="00842CB5" w:rsidRPr="008A3532" w:rsidRDefault="00842CB5" w:rsidP="00842CB5">
      <w:pPr>
        <w:jc w:val="center"/>
      </w:pPr>
      <w:r>
        <w:t xml:space="preserve">Figure 3: </w:t>
      </w:r>
      <w:r w:rsidRPr="003138F1">
        <w:t>Growth Potential Evaluation</w:t>
      </w:r>
      <w:r>
        <w:t xml:space="preserve"> </w:t>
      </w:r>
      <w:r w:rsidRPr="003138F1">
        <w:t>(Walker, 2022).</w:t>
      </w:r>
    </w:p>
    <w:p w14:paraId="09D53D5C" w14:textId="77777777" w:rsidR="00842CB5" w:rsidRPr="000B0F14" w:rsidRDefault="00842CB5" w:rsidP="00842CB5">
      <w:r w:rsidRPr="000B0F14">
        <w:rPr>
          <w:b/>
          <w:bCs/>
        </w:rPr>
        <w:t>Expansion Strategies:</w:t>
      </w:r>
      <w:r w:rsidRPr="000B0F14">
        <w:t xml:space="preserve"> </w:t>
      </w:r>
      <w:r>
        <w:t>The Corinthia Hotel Group can handle a huge number of visitors because it is quickly growing internationally</w:t>
      </w:r>
      <w:r w:rsidRPr="001036F8">
        <w:t xml:space="preserve"> (</w:t>
      </w:r>
      <w:r w:rsidRPr="00084890">
        <w:t>Bonardi, 2023</w:t>
      </w:r>
      <w:r w:rsidRPr="001036F8">
        <w:t>)</w:t>
      </w:r>
      <w:r>
        <w:t>. The business is focusing on growing in the Asian and MENA markets because it has found new growth possibilities there. The growth of five-star hotels is being driven by the growing need for first-class lodging among rich people in these places. Working with local investors and developers can make it easier to get into new areas. On the other hand, Ibis Hotels is hoping to grow by opening hotels all over the world as part of a bold plan to do so. Because the brand has a single strategy, great ideas can be quickly spread to other businesses</w:t>
      </w:r>
      <w:r w:rsidRPr="001036F8">
        <w:t xml:space="preserve"> (Walker, 2022)</w:t>
      </w:r>
      <w:r>
        <w:t xml:space="preserve">. Ibis tries to meet the needs of </w:t>
      </w:r>
      <w:proofErr w:type="gramStart"/>
      <w:r>
        <w:t>all of</w:t>
      </w:r>
      <w:proofErr w:type="gramEnd"/>
      <w:r>
        <w:t xml:space="preserve"> its customers by providing dependable and reasonably priced hotels in both established and new areas. </w:t>
      </w:r>
    </w:p>
    <w:p w14:paraId="549FAF7D" w14:textId="77777777" w:rsidR="00842CB5" w:rsidRDefault="00842CB5" w:rsidP="00842CB5">
      <w:r w:rsidRPr="000B0F14">
        <w:rPr>
          <w:b/>
          <w:bCs/>
        </w:rPr>
        <w:t>Market Opportunities:</w:t>
      </w:r>
      <w:r w:rsidRPr="000B0F14">
        <w:t xml:space="preserve"> </w:t>
      </w:r>
    </w:p>
    <w:p w14:paraId="0D1C29AD" w14:textId="77777777" w:rsidR="00842CB5" w:rsidRDefault="00842CB5" w:rsidP="00842CB5">
      <w:r>
        <w:rPr>
          <w:noProof/>
        </w:rPr>
        <w:lastRenderedPageBreak/>
        <w:drawing>
          <wp:inline distT="0" distB="0" distL="0" distR="0" wp14:anchorId="465D3DE6" wp14:editId="021C8710">
            <wp:extent cx="5899572" cy="3091543"/>
            <wp:effectExtent l="0" t="0" r="0" b="0"/>
            <wp:docPr id="575216937" name="Picture 2"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216937" name="Picture 2" descr="A close-up of a graph&#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b="6840"/>
                    <a:stretch/>
                  </pic:blipFill>
                  <pic:spPr bwMode="auto">
                    <a:xfrm>
                      <a:off x="0" y="0"/>
                      <a:ext cx="5917076" cy="3100716"/>
                    </a:xfrm>
                    <a:prstGeom prst="rect">
                      <a:avLst/>
                    </a:prstGeom>
                    <a:noFill/>
                    <a:ln>
                      <a:noFill/>
                    </a:ln>
                    <a:extLst>
                      <a:ext uri="{53640926-AAD7-44D8-BBD7-CCE9431645EC}">
                        <a14:shadowObscured xmlns:a14="http://schemas.microsoft.com/office/drawing/2010/main"/>
                      </a:ext>
                    </a:extLst>
                  </pic:spPr>
                </pic:pic>
              </a:graphicData>
            </a:graphic>
          </wp:inline>
        </w:drawing>
      </w:r>
    </w:p>
    <w:p w14:paraId="0C778E78" w14:textId="77777777" w:rsidR="00842CB5" w:rsidRDefault="00842CB5" w:rsidP="00842CB5">
      <w:pPr>
        <w:jc w:val="center"/>
      </w:pPr>
      <w:r>
        <w:t xml:space="preserve">Figure 4: Global Hotel market opportunities </w:t>
      </w:r>
      <w:r w:rsidRPr="001036F8">
        <w:t>(</w:t>
      </w:r>
      <w:r w:rsidRPr="00084890">
        <w:t>Bonardi, 2023</w:t>
      </w:r>
      <w:r w:rsidRPr="001036F8">
        <w:t>)</w:t>
      </w:r>
      <w:r>
        <w:t>.</w:t>
      </w:r>
    </w:p>
    <w:p w14:paraId="61A1430B" w14:textId="77777777" w:rsidR="00842CB5" w:rsidRPr="000B0F14" w:rsidRDefault="00842CB5" w:rsidP="00842CB5">
      <w:r>
        <w:t>Corinthia is dedicated to luxury, more and more people want unique holiday experiences, and people all over the world are getting richer</w:t>
      </w:r>
      <w:r w:rsidRPr="001036F8">
        <w:t xml:space="preserve"> (Corinthia Hotels, 2023b)</w:t>
      </w:r>
      <w:r>
        <w:t xml:space="preserve">. Corinthia can take advantage of the growing demand for immersive events by giving its wealthy customers what they want. This way, it can take advantage of the growing demand for vacations that are good for the earth and last a long time. But the fact that middle-class people will still need holidays will be great for Ibis Hotels. The need for high-quality living that is also affordable will grow along with the size of the global middle class. </w:t>
      </w:r>
    </w:p>
    <w:p w14:paraId="0295F8B5" w14:textId="77777777" w:rsidR="00842CB5" w:rsidRPr="000B0F14" w:rsidRDefault="00842CB5" w:rsidP="00842CB5">
      <w:r w:rsidRPr="000B0F14">
        <w:rPr>
          <w:b/>
          <w:bCs/>
        </w:rPr>
        <w:t>Potential Barriers to Growth:</w:t>
      </w:r>
      <w:r w:rsidRPr="000B0F14">
        <w:t xml:space="preserve"> </w:t>
      </w:r>
      <w:r>
        <w:t>There are many chances for the Corinthia Hotel Group to grow, but they must first overcome some tough problems</w:t>
      </w:r>
      <w:r w:rsidRPr="001036F8">
        <w:t xml:space="preserve"> (</w:t>
      </w:r>
      <w:proofErr w:type="spellStart"/>
      <w:r w:rsidRPr="001036F8">
        <w:t>Guilding</w:t>
      </w:r>
      <w:proofErr w:type="spellEnd"/>
      <w:r w:rsidRPr="001036F8">
        <w:t>, 2021)</w:t>
      </w:r>
      <w:r>
        <w:t>. It might be hard to keep the brand's personality when it goes global. Careful strategic planning is needed to get a lot of attention and reach more people. Rich tourists may also be hesitant to spend a lot of money on five-star hotels in countries with a bad reputation because they think they will be physically hurt more often</w:t>
      </w:r>
      <w:r w:rsidRPr="009A245B">
        <w:t xml:space="preserve"> (</w:t>
      </w:r>
      <w:proofErr w:type="spellStart"/>
      <w:r w:rsidRPr="009A245B">
        <w:t>Žufan</w:t>
      </w:r>
      <w:proofErr w:type="spellEnd"/>
      <w:r w:rsidRPr="009A245B">
        <w:t>, 2023)</w:t>
      </w:r>
      <w:r>
        <w:t xml:space="preserve">. Even though Ibis Hotels has a huge opportunity to grow, it is facing some unusual problems. When the economy is bad, it's especially hard for tourists on a tight budget because it affects income and attendance rates. </w:t>
      </w:r>
    </w:p>
    <w:p w14:paraId="4E72E6F5" w14:textId="77777777" w:rsidR="00842CB5" w:rsidRPr="000B0F14" w:rsidRDefault="00842CB5" w:rsidP="00842CB5">
      <w:r>
        <w:t xml:space="preserve">Even though they are aimed at different groups of people, Ibis Hotels and Corinthia Hotel Group both have a lot of room to grow. Ibis's unified mid-range strategy may be aimed at the growing </w:t>
      </w:r>
      <w:r>
        <w:lastRenderedPageBreak/>
        <w:t xml:space="preserve">middle class, while Corinthia's focus on luxury and global growth is in line with the rising demand for high-end travel experiences. Both businesses need to be able to think carefully about the future, act quickly, and know a lot about their niche industries </w:t>
      </w:r>
      <w:proofErr w:type="gramStart"/>
      <w:r>
        <w:t>in order to</w:t>
      </w:r>
      <w:proofErr w:type="gramEnd"/>
      <w:r>
        <w:t xml:space="preserve"> reach their growth goals</w:t>
      </w:r>
      <w:r w:rsidRPr="000B0F14">
        <w:t>.</w:t>
      </w:r>
    </w:p>
    <w:p w14:paraId="29132F7B" w14:textId="77777777" w:rsidR="00842CB5" w:rsidRDefault="00842CB5" w:rsidP="00842CB5"/>
    <w:p w14:paraId="6011506E" w14:textId="77777777" w:rsidR="00842CB5" w:rsidRDefault="00842CB5" w:rsidP="00842CB5">
      <w:pPr>
        <w:spacing w:after="200" w:line="240" w:lineRule="auto"/>
        <w:jc w:val="center"/>
      </w:pPr>
      <w:r>
        <w:br w:type="page"/>
      </w:r>
    </w:p>
    <w:p w14:paraId="1347887F" w14:textId="77777777" w:rsidR="00842CB5" w:rsidRDefault="00842CB5" w:rsidP="00842CB5">
      <w:pPr>
        <w:pStyle w:val="Heading1"/>
      </w:pPr>
      <w:bookmarkStart w:id="6" w:name="_Toc157040047"/>
      <w:bookmarkStart w:id="7" w:name="_Hlk156263162"/>
      <w:r w:rsidRPr="00F242AE">
        <w:lastRenderedPageBreak/>
        <w:t>Financial Commitment to CSR Analysis: Corinthia Hotel Group and Ibis Hotels</w:t>
      </w:r>
      <w:bookmarkEnd w:id="6"/>
    </w:p>
    <w:bookmarkEnd w:id="7"/>
    <w:p w14:paraId="3A4C1F44" w14:textId="77777777" w:rsidR="00842CB5" w:rsidRDefault="00842CB5" w:rsidP="00842CB5">
      <w:r>
        <w:t>The Ibis Hotels and the Corinthia Hotel Group have started important corporate social responsibility (CSR) programmes to promote doing the right thing by the community, the environment, and businesses</w:t>
      </w:r>
      <w:r w:rsidRPr="00F87103">
        <w:t>.</w:t>
      </w:r>
      <w:r>
        <w:t xml:space="preserve"> The following paragraph will deep dive into this discussion.</w:t>
      </w:r>
    </w:p>
    <w:p w14:paraId="15585736" w14:textId="77777777" w:rsidR="00842CB5" w:rsidRDefault="00842CB5" w:rsidP="00842CB5">
      <w:r>
        <w:rPr>
          <w:noProof/>
        </w:rPr>
        <w:drawing>
          <wp:inline distT="0" distB="0" distL="0" distR="0" wp14:anchorId="1B761082" wp14:editId="1B641EB4">
            <wp:extent cx="5905500" cy="3200400"/>
            <wp:effectExtent l="0" t="0" r="0" b="0"/>
            <wp:docPr id="51042269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9166E7B" w14:textId="77777777" w:rsidR="00842CB5" w:rsidRPr="00F87103" w:rsidRDefault="00842CB5" w:rsidP="00842CB5">
      <w:pPr>
        <w:jc w:val="center"/>
      </w:pPr>
      <w:r>
        <w:t xml:space="preserve">Figure 5: </w:t>
      </w:r>
      <w:r w:rsidRPr="003138F1">
        <w:t>Financial Commitment to CSR Analysis</w:t>
      </w:r>
      <w:r>
        <w:t xml:space="preserve"> </w:t>
      </w:r>
      <w:r w:rsidRPr="003138F1">
        <w:t>(Brammer, 2022).</w:t>
      </w:r>
    </w:p>
    <w:p w14:paraId="6C9969E7" w14:textId="77777777" w:rsidR="00842CB5" w:rsidRPr="00F242AE" w:rsidRDefault="00842CB5" w:rsidP="00842CB5">
      <w:r w:rsidRPr="00F242AE">
        <w:rPr>
          <w:b/>
          <w:bCs/>
        </w:rPr>
        <w:t>Sustainability Practices:</w:t>
      </w:r>
      <w:r w:rsidRPr="00F242AE">
        <w:t xml:space="preserve"> </w:t>
      </w:r>
      <w:r>
        <w:t>It's clear that the Corinthia Hotel Group spends a lot of money on green projects. The company's global investments have given a lot of money to programmes and technologies that save energy and water, cut down on trash, and protect the environment</w:t>
      </w:r>
      <w:r w:rsidRPr="001036F8">
        <w:t xml:space="preserve"> (Brammer, 2022)</w:t>
      </w:r>
      <w:r>
        <w:t xml:space="preserve">. On the other hand, Ibis Hotels has shown a strong commitment to environmental causes by freely funding many projects. </w:t>
      </w:r>
    </w:p>
    <w:p w14:paraId="5480C19F" w14:textId="77777777" w:rsidR="00842CB5" w:rsidRPr="00F242AE" w:rsidRDefault="00842CB5" w:rsidP="00842CB5">
      <w:r w:rsidRPr="00F242AE">
        <w:rPr>
          <w:b/>
          <w:bCs/>
        </w:rPr>
        <w:t>Community Engagement:</w:t>
      </w:r>
      <w:r w:rsidRPr="00F242AE">
        <w:t xml:space="preserve"> </w:t>
      </w:r>
      <w:r>
        <w:t>Corinthia has shown a big financial commitment to getting involved in the community. The company cares about the places where it does business by working with other groups and giving money to activities that make the areas better</w:t>
      </w:r>
      <w:r w:rsidRPr="001036F8">
        <w:t xml:space="preserve"> (Sahli, 2022)</w:t>
      </w:r>
      <w:r>
        <w:t xml:space="preserve">. Funding is given to projects in the areas of health care, education, and economic and social growth. On the contrary, Ibis Hotels </w:t>
      </w:r>
      <w:proofErr w:type="gramStart"/>
      <w:r>
        <w:t>actually sponsors</w:t>
      </w:r>
      <w:proofErr w:type="gramEnd"/>
      <w:r>
        <w:t xml:space="preserve"> a lot of events and activities in the neighbourhood, which </w:t>
      </w:r>
      <w:r>
        <w:lastRenderedPageBreak/>
        <w:t>shows that they are involved with the area. These gifts are mostly going to health care, schools, and making neighbourhoods better places to live</w:t>
      </w:r>
      <w:r w:rsidRPr="00F242AE">
        <w:t xml:space="preserve">. </w:t>
      </w:r>
    </w:p>
    <w:p w14:paraId="6A90D098" w14:textId="77777777" w:rsidR="00842CB5" w:rsidRPr="00F242AE" w:rsidRDefault="00842CB5" w:rsidP="00842CB5">
      <w:r w:rsidRPr="00F242AE">
        <w:rPr>
          <w:b/>
          <w:bCs/>
        </w:rPr>
        <w:t>Ethical Business Practices:</w:t>
      </w:r>
      <w:r w:rsidRPr="00F242AE">
        <w:t xml:space="preserve"> </w:t>
      </w:r>
      <w:r>
        <w:t>Because these ideas guide how the company does business, the Corinthia Hotel Group puts a lot of money into things like fairness, honesty, and accessibility</w:t>
      </w:r>
      <w:r w:rsidRPr="001036F8">
        <w:t xml:space="preserve"> (Seal, 2021)</w:t>
      </w:r>
      <w:r>
        <w:t xml:space="preserve">. As part of their corporate social responsibility plan, Corinthia should give money to this area to help the company build a good name and make the workplace healthier. In contrast Ibis Hotels promise fair working conditions and give its workers training. It also encourages people to buy products that are made in an ethical way. </w:t>
      </w:r>
    </w:p>
    <w:p w14:paraId="509F3D45" w14:textId="77777777" w:rsidR="00842CB5" w:rsidRPr="00F242AE" w:rsidRDefault="00842CB5" w:rsidP="00842CB5">
      <w:r>
        <w:t>Its ability to improve its brand, build relationships with stakeholders, and show that it wants to be a good business citizen are all shown by these investments</w:t>
      </w:r>
      <w:r w:rsidRPr="00F242AE">
        <w:t xml:space="preserve">. </w:t>
      </w:r>
    </w:p>
    <w:p w14:paraId="07FE690B" w14:textId="77777777" w:rsidR="00842CB5" w:rsidRDefault="00842CB5" w:rsidP="00842CB5"/>
    <w:p w14:paraId="461090D4" w14:textId="77777777" w:rsidR="00842CB5" w:rsidRDefault="00842CB5" w:rsidP="00842CB5">
      <w:pPr>
        <w:spacing w:after="200" w:line="240" w:lineRule="auto"/>
        <w:jc w:val="center"/>
      </w:pPr>
      <w:r>
        <w:br w:type="page"/>
      </w:r>
    </w:p>
    <w:p w14:paraId="0490F9F3" w14:textId="77777777" w:rsidR="00842CB5" w:rsidRDefault="00842CB5" w:rsidP="00842CB5">
      <w:pPr>
        <w:pStyle w:val="Heading1"/>
      </w:pPr>
      <w:bookmarkStart w:id="8" w:name="_Toc157040048"/>
      <w:r>
        <w:lastRenderedPageBreak/>
        <w:t>Recommendations</w:t>
      </w:r>
      <w:bookmarkEnd w:id="8"/>
    </w:p>
    <w:p w14:paraId="48D18617" w14:textId="77777777" w:rsidR="00842CB5" w:rsidRPr="00332D7F" w:rsidRDefault="00842CB5" w:rsidP="00842CB5">
      <w:pPr>
        <w:rPr>
          <w:b/>
          <w:bCs/>
        </w:rPr>
      </w:pPr>
      <w:r w:rsidRPr="00332D7F">
        <w:rPr>
          <w:b/>
          <w:bCs/>
        </w:rPr>
        <w:t>Corinthia Hotel Group:</w:t>
      </w:r>
    </w:p>
    <w:p w14:paraId="2911FDA5" w14:textId="77777777" w:rsidR="00842CB5" w:rsidRPr="00332D7F" w:rsidRDefault="00842CB5" w:rsidP="00842CB5">
      <w:pPr>
        <w:numPr>
          <w:ilvl w:val="0"/>
          <w:numId w:val="1"/>
        </w:numPr>
      </w:pPr>
      <w:r w:rsidRPr="00CF4C6B">
        <w:rPr>
          <w:b/>
          <w:bCs/>
        </w:rPr>
        <w:t>Global Expansion Through Boutique Hotels</w:t>
      </w:r>
      <w:r w:rsidRPr="00332D7F">
        <w:rPr>
          <w:b/>
          <w:bCs/>
        </w:rPr>
        <w:t>:</w:t>
      </w:r>
      <w:r>
        <w:rPr>
          <w:b/>
          <w:bCs/>
        </w:rPr>
        <w:t xml:space="preserve"> </w:t>
      </w:r>
      <w:r w:rsidRPr="001036F8">
        <w:t>Corinthia Hotel Group</w:t>
      </w:r>
      <w:r>
        <w:t xml:space="preserve"> should</w:t>
      </w:r>
      <w:r w:rsidRPr="00332D7F">
        <w:t xml:space="preserve"> </w:t>
      </w:r>
      <w:r>
        <w:t>use the brand's good name to get into new areas while keeping its high-class look.</w:t>
      </w:r>
      <w:r w:rsidRPr="00CF4C6B">
        <w:t xml:space="preserve"> By opening boutique hotels in new countries, the brand can keep its exclusivity while reaching a wider range of people. This builds on Corinthia's strong brand equity and paves the way for global growth.</w:t>
      </w:r>
    </w:p>
    <w:p w14:paraId="323C5BE3" w14:textId="77777777" w:rsidR="00842CB5" w:rsidRPr="00332D7F" w:rsidRDefault="00842CB5" w:rsidP="00842CB5">
      <w:pPr>
        <w:rPr>
          <w:b/>
          <w:bCs/>
        </w:rPr>
      </w:pPr>
      <w:r w:rsidRPr="00332D7F">
        <w:rPr>
          <w:b/>
          <w:bCs/>
        </w:rPr>
        <w:t>Ibis Hotels:</w:t>
      </w:r>
    </w:p>
    <w:p w14:paraId="509DEF1A" w14:textId="77777777" w:rsidR="00842CB5" w:rsidRDefault="00842CB5" w:rsidP="00842CB5">
      <w:pPr>
        <w:numPr>
          <w:ilvl w:val="0"/>
          <w:numId w:val="2"/>
        </w:numPr>
      </w:pPr>
      <w:r w:rsidRPr="00CF4C6B">
        <w:rPr>
          <w:b/>
          <w:bCs/>
        </w:rPr>
        <w:t>Niche Segment Exploration - Sustainable and Eco-Friendly Hotels</w:t>
      </w:r>
      <w:r w:rsidRPr="00332D7F">
        <w:rPr>
          <w:b/>
          <w:bCs/>
        </w:rPr>
        <w:t>:</w:t>
      </w:r>
      <w:r w:rsidRPr="00332D7F">
        <w:t xml:space="preserve"> </w:t>
      </w:r>
      <w:r>
        <w:t xml:space="preserve">If </w:t>
      </w:r>
      <w:r w:rsidRPr="001036F8">
        <w:t xml:space="preserve">Ibis Hotels </w:t>
      </w:r>
      <w:r>
        <w:t>want to make more money, they should look at possible opportunities in certain areas</w:t>
      </w:r>
      <w:r w:rsidRPr="00332D7F">
        <w:t>.</w:t>
      </w:r>
      <w:r w:rsidRPr="00CF4C6B">
        <w:t xml:space="preserve"> Ibis is following the current market trend by becoming an eco-friendly hotel. This also helps the company's image, which is very important for today's consumers who care more and more about the environment.</w:t>
      </w:r>
    </w:p>
    <w:p w14:paraId="55EA97E7" w14:textId="77777777" w:rsidR="00842CB5" w:rsidRDefault="00842CB5" w:rsidP="00842CB5">
      <w:pPr>
        <w:spacing w:after="200" w:line="240" w:lineRule="auto"/>
        <w:jc w:val="center"/>
      </w:pPr>
      <w:r>
        <w:br w:type="page"/>
      </w:r>
    </w:p>
    <w:p w14:paraId="23D2627E" w14:textId="77777777" w:rsidR="00842CB5" w:rsidRPr="00332D7F" w:rsidRDefault="00842CB5" w:rsidP="00842CB5">
      <w:pPr>
        <w:pStyle w:val="Heading1"/>
      </w:pPr>
      <w:bookmarkStart w:id="9" w:name="_Toc157040049"/>
      <w:r>
        <w:lastRenderedPageBreak/>
        <w:t>Conclusion</w:t>
      </w:r>
      <w:bookmarkEnd w:id="9"/>
    </w:p>
    <w:p w14:paraId="591952FD" w14:textId="77777777" w:rsidR="00842CB5" w:rsidRDefault="00842CB5" w:rsidP="00842CB5">
      <w:r>
        <w:t>Finally, Ibis is determined to be the winner in the middle ground, while Corinthia is focused on wealth and going global. Both businesses want to support CSR projects that encourage environmentally friendly business practices, honest trade, and community service. The ideas make sense given how the market is right now, which includes both the chances for growth and the things that could go wrong. Corinthia and Ibis show that in the fast-paced hotel business, persistence and adaptability are key.</w:t>
      </w:r>
    </w:p>
    <w:p w14:paraId="3B919E3C" w14:textId="77777777" w:rsidR="00842CB5" w:rsidRDefault="00842CB5" w:rsidP="00842CB5">
      <w:pPr>
        <w:spacing w:after="200" w:line="240" w:lineRule="auto"/>
        <w:jc w:val="center"/>
      </w:pPr>
      <w:r>
        <w:br w:type="page"/>
      </w:r>
    </w:p>
    <w:p w14:paraId="5C7033F8" w14:textId="77777777" w:rsidR="00842CB5" w:rsidRDefault="00842CB5" w:rsidP="00842CB5">
      <w:pPr>
        <w:pStyle w:val="Heading1"/>
      </w:pPr>
      <w:bookmarkStart w:id="10" w:name="_Toc157040050"/>
      <w:r>
        <w:lastRenderedPageBreak/>
        <w:t>References</w:t>
      </w:r>
      <w:bookmarkEnd w:id="10"/>
    </w:p>
    <w:p w14:paraId="57869892"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proofErr w:type="spellStart"/>
      <w:r w:rsidRPr="00332FA1">
        <w:rPr>
          <w:rFonts w:eastAsia="Times New Roman" w:cs="Times New Roman"/>
          <w:color w:val="000000"/>
          <w:szCs w:val="24"/>
          <w:lang w:eastAsia="en-GB"/>
          <w14:ligatures w14:val="none"/>
        </w:rPr>
        <w:t>Alsharari</w:t>
      </w:r>
      <w:proofErr w:type="spellEnd"/>
      <w:r w:rsidRPr="00332FA1">
        <w:rPr>
          <w:rFonts w:eastAsia="Times New Roman" w:cs="Times New Roman"/>
          <w:color w:val="000000"/>
          <w:szCs w:val="24"/>
          <w:lang w:eastAsia="en-GB"/>
          <w14:ligatures w14:val="none"/>
        </w:rPr>
        <w:t xml:space="preserve">, N.M. (2022). A comparative analysis of taxation and revenue trends in the Middle East and North Africa (MENA) region. </w:t>
      </w:r>
      <w:r w:rsidRPr="00332FA1">
        <w:rPr>
          <w:rFonts w:eastAsia="Times New Roman" w:cs="Times New Roman"/>
          <w:i/>
          <w:iCs/>
          <w:color w:val="000000"/>
          <w:szCs w:val="24"/>
          <w:lang w:eastAsia="en-GB"/>
          <w14:ligatures w14:val="none"/>
        </w:rPr>
        <w:t>Pacific Accounting Review</w:t>
      </w:r>
      <w:r w:rsidRPr="00332FA1">
        <w:rPr>
          <w:rFonts w:eastAsia="Times New Roman" w:cs="Times New Roman"/>
          <w:color w:val="000000"/>
          <w:szCs w:val="24"/>
          <w:lang w:eastAsia="en-GB"/>
          <w14:ligatures w14:val="none"/>
        </w:rPr>
        <w:t xml:space="preserve">, 31(4), pp.646–671. </w:t>
      </w:r>
      <w:proofErr w:type="spellStart"/>
      <w:r w:rsidRPr="00332FA1">
        <w:rPr>
          <w:rFonts w:eastAsia="Times New Roman" w:cs="Times New Roman"/>
          <w:color w:val="000000"/>
          <w:szCs w:val="24"/>
          <w:lang w:eastAsia="en-GB"/>
          <w14:ligatures w14:val="none"/>
        </w:rPr>
        <w:t>doi:https</w:t>
      </w:r>
      <w:proofErr w:type="spellEnd"/>
      <w:r w:rsidRPr="00332FA1">
        <w:rPr>
          <w:rFonts w:eastAsia="Times New Roman" w:cs="Times New Roman"/>
          <w:color w:val="000000"/>
          <w:szCs w:val="24"/>
          <w:lang w:eastAsia="en-GB"/>
          <w14:ligatures w14:val="none"/>
        </w:rPr>
        <w:t>://doi.org/10.1108/par-12-2018-0114.</w:t>
      </w:r>
    </w:p>
    <w:p w14:paraId="6197ECF5"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proofErr w:type="spellStart"/>
      <w:r w:rsidRPr="00332FA1">
        <w:rPr>
          <w:rFonts w:eastAsia="Times New Roman" w:cs="Times New Roman"/>
          <w:color w:val="000000"/>
          <w:szCs w:val="24"/>
          <w:lang w:eastAsia="en-GB"/>
          <w14:ligatures w14:val="none"/>
        </w:rPr>
        <w:t>Atrill</w:t>
      </w:r>
      <w:proofErr w:type="spellEnd"/>
      <w:r w:rsidRPr="00332FA1">
        <w:rPr>
          <w:rFonts w:eastAsia="Times New Roman" w:cs="Times New Roman"/>
          <w:color w:val="000000"/>
          <w:szCs w:val="24"/>
          <w:lang w:eastAsia="en-GB"/>
          <w14:ligatures w14:val="none"/>
        </w:rPr>
        <w:t xml:space="preserve">, P. (2021). </w:t>
      </w:r>
      <w:r w:rsidRPr="00332FA1">
        <w:rPr>
          <w:rFonts w:eastAsia="Times New Roman" w:cs="Times New Roman"/>
          <w:i/>
          <w:iCs/>
          <w:color w:val="000000"/>
          <w:szCs w:val="24"/>
          <w:lang w:eastAsia="en-GB"/>
          <w14:ligatures w14:val="none"/>
        </w:rPr>
        <w:t>Management accounting for decision makers</w:t>
      </w:r>
      <w:r w:rsidRPr="00332FA1">
        <w:rPr>
          <w:rFonts w:eastAsia="Times New Roman" w:cs="Times New Roman"/>
          <w:color w:val="000000"/>
          <w:szCs w:val="24"/>
          <w:lang w:eastAsia="en-GB"/>
          <w14:ligatures w14:val="none"/>
        </w:rPr>
        <w:t>. 10th ed. Harlow, United Kingdom: Pearson Education.</w:t>
      </w:r>
    </w:p>
    <w:p w14:paraId="1C6A5DA1" w14:textId="77777777" w:rsidR="00842CB5" w:rsidRPr="000B23D7" w:rsidRDefault="00842CB5" w:rsidP="00842CB5">
      <w:pPr>
        <w:spacing w:after="180"/>
        <w:ind w:left="450" w:hanging="450"/>
        <w:jc w:val="left"/>
        <w:rPr>
          <w:rFonts w:eastAsia="Times New Roman" w:cs="Times New Roman"/>
          <w:color w:val="000000"/>
          <w:szCs w:val="24"/>
          <w:lang w:eastAsia="en-GB"/>
          <w14:ligatures w14:val="none"/>
        </w:rPr>
      </w:pPr>
      <w:r w:rsidRPr="000B23D7">
        <w:rPr>
          <w:rFonts w:eastAsia="Times New Roman" w:cs="Times New Roman"/>
          <w:color w:val="000000"/>
          <w:szCs w:val="24"/>
          <w:lang w:eastAsia="en-GB"/>
          <w14:ligatures w14:val="none"/>
        </w:rPr>
        <w:t xml:space="preserve">Bonardi, J.-P. (2023). International Expansion, Diversification and Regulated Firm Nonmarket Strategy. </w:t>
      </w:r>
      <w:r w:rsidRPr="000B23D7">
        <w:rPr>
          <w:rFonts w:eastAsia="Times New Roman" w:cs="Times New Roman"/>
          <w:i/>
          <w:iCs/>
          <w:color w:val="000000"/>
          <w:szCs w:val="24"/>
          <w:lang w:eastAsia="en-GB"/>
          <w14:ligatures w14:val="none"/>
        </w:rPr>
        <w:t>Managerial and Decision Economics</w:t>
      </w:r>
      <w:r w:rsidRPr="000B23D7">
        <w:rPr>
          <w:rFonts w:eastAsia="Times New Roman" w:cs="Times New Roman"/>
          <w:color w:val="000000"/>
          <w:szCs w:val="24"/>
          <w:lang w:eastAsia="en-GB"/>
          <w14:ligatures w14:val="none"/>
        </w:rPr>
        <w:t xml:space="preserve">, 34(6), pp.379–396. </w:t>
      </w:r>
      <w:proofErr w:type="spellStart"/>
      <w:r w:rsidRPr="000B23D7">
        <w:rPr>
          <w:rFonts w:eastAsia="Times New Roman" w:cs="Times New Roman"/>
          <w:color w:val="000000"/>
          <w:szCs w:val="24"/>
          <w:lang w:eastAsia="en-GB"/>
          <w14:ligatures w14:val="none"/>
        </w:rPr>
        <w:t>doi:https</w:t>
      </w:r>
      <w:proofErr w:type="spellEnd"/>
      <w:r w:rsidRPr="000B23D7">
        <w:rPr>
          <w:rFonts w:eastAsia="Times New Roman" w:cs="Times New Roman"/>
          <w:color w:val="000000"/>
          <w:szCs w:val="24"/>
          <w:lang w:eastAsia="en-GB"/>
          <w14:ligatures w14:val="none"/>
        </w:rPr>
        <w:t>://doi.org/10.1002/mde.2598.</w:t>
      </w:r>
    </w:p>
    <w:p w14:paraId="3796AF2C"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Brammer, S. (2022). The contribution of corporate social responsibility to organizational commitment. </w:t>
      </w:r>
      <w:r w:rsidRPr="00332FA1">
        <w:rPr>
          <w:rFonts w:eastAsia="Times New Roman" w:cs="Times New Roman"/>
          <w:i/>
          <w:iCs/>
          <w:color w:val="000000"/>
          <w:szCs w:val="24"/>
          <w:lang w:eastAsia="en-GB"/>
          <w14:ligatures w14:val="none"/>
        </w:rPr>
        <w:t>The International Journal of Human Resource Management</w:t>
      </w:r>
      <w:r w:rsidRPr="00332FA1">
        <w:rPr>
          <w:rFonts w:eastAsia="Times New Roman" w:cs="Times New Roman"/>
          <w:color w:val="000000"/>
          <w:szCs w:val="24"/>
          <w:lang w:eastAsia="en-GB"/>
          <w14:ligatures w14:val="none"/>
        </w:rPr>
        <w:t xml:space="preserve">, 18(10), pp.1701–1719. </w:t>
      </w:r>
      <w:proofErr w:type="spellStart"/>
      <w:r w:rsidRPr="00332FA1">
        <w:rPr>
          <w:rFonts w:eastAsia="Times New Roman" w:cs="Times New Roman"/>
          <w:color w:val="000000"/>
          <w:szCs w:val="24"/>
          <w:lang w:eastAsia="en-GB"/>
          <w14:ligatures w14:val="none"/>
        </w:rPr>
        <w:t>doi:https</w:t>
      </w:r>
      <w:proofErr w:type="spellEnd"/>
      <w:r w:rsidRPr="00332FA1">
        <w:rPr>
          <w:rFonts w:eastAsia="Times New Roman" w:cs="Times New Roman"/>
          <w:color w:val="000000"/>
          <w:szCs w:val="24"/>
          <w:lang w:eastAsia="en-GB"/>
          <w14:ligatures w14:val="none"/>
        </w:rPr>
        <w:t>://doi.org/10.1080/09585190701570866.</w:t>
      </w:r>
    </w:p>
    <w:p w14:paraId="2ACB01FA"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Brown, J.B. (2021). Management Accounting for Hospitality and Tourism. </w:t>
      </w:r>
      <w:r w:rsidRPr="00332FA1">
        <w:rPr>
          <w:rFonts w:eastAsia="Times New Roman" w:cs="Times New Roman"/>
          <w:i/>
          <w:iCs/>
          <w:color w:val="000000"/>
          <w:szCs w:val="24"/>
          <w:lang w:eastAsia="en-GB"/>
          <w14:ligatures w14:val="none"/>
        </w:rPr>
        <w:t>International Journal of Hospitality Management</w:t>
      </w:r>
      <w:r w:rsidRPr="00332FA1">
        <w:rPr>
          <w:rFonts w:eastAsia="Times New Roman" w:cs="Times New Roman"/>
          <w:color w:val="000000"/>
          <w:szCs w:val="24"/>
          <w:lang w:eastAsia="en-GB"/>
          <w14:ligatures w14:val="none"/>
        </w:rPr>
        <w:t xml:space="preserve">, 20(1), pp.101–102. </w:t>
      </w:r>
      <w:proofErr w:type="spellStart"/>
      <w:r w:rsidRPr="00332FA1">
        <w:rPr>
          <w:rFonts w:eastAsia="Times New Roman" w:cs="Times New Roman"/>
          <w:color w:val="000000"/>
          <w:szCs w:val="24"/>
          <w:lang w:eastAsia="en-GB"/>
          <w14:ligatures w14:val="none"/>
        </w:rPr>
        <w:t>doi:https</w:t>
      </w:r>
      <w:proofErr w:type="spellEnd"/>
      <w:r w:rsidRPr="00332FA1">
        <w:rPr>
          <w:rFonts w:eastAsia="Times New Roman" w:cs="Times New Roman"/>
          <w:color w:val="000000"/>
          <w:szCs w:val="24"/>
          <w:lang w:eastAsia="en-GB"/>
          <w14:ligatures w14:val="none"/>
        </w:rPr>
        <w:t>://doi.org/10.1016/s0278-4319(00)00029-3.</w:t>
      </w:r>
    </w:p>
    <w:p w14:paraId="4917A93D"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Corinthia Hotels (2023a). </w:t>
      </w:r>
      <w:r w:rsidRPr="00332FA1">
        <w:rPr>
          <w:rFonts w:eastAsia="Times New Roman" w:cs="Times New Roman"/>
          <w:i/>
          <w:iCs/>
          <w:color w:val="000000"/>
          <w:szCs w:val="24"/>
          <w:lang w:eastAsia="en-GB"/>
          <w14:ligatures w14:val="none"/>
        </w:rPr>
        <w:t>Corinthia Hotels &amp; Financial Statements 2023</w:t>
      </w:r>
      <w:r w:rsidRPr="00332FA1">
        <w:rPr>
          <w:rFonts w:eastAsia="Times New Roman" w:cs="Times New Roman"/>
          <w:color w:val="000000"/>
          <w:szCs w:val="24"/>
          <w:lang w:eastAsia="en-GB"/>
          <w14:ligatures w14:val="none"/>
        </w:rPr>
        <w:t>. [online] Available at: https://www.corinthiagroup.com/wp-content/uploads/2022/05/Corinthia-Annual-Report-2021.pdf.</w:t>
      </w:r>
    </w:p>
    <w:p w14:paraId="2BC465B3"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Corinthia Hotels (2023b). </w:t>
      </w:r>
      <w:r w:rsidRPr="00332FA1">
        <w:rPr>
          <w:rFonts w:eastAsia="Times New Roman" w:cs="Times New Roman"/>
          <w:i/>
          <w:iCs/>
          <w:color w:val="000000"/>
          <w:szCs w:val="24"/>
          <w:lang w:eastAsia="en-GB"/>
          <w14:ligatures w14:val="none"/>
        </w:rPr>
        <w:t>Financial Reports | Corinthia Group - Owners, Developers &amp; Operators of the Corinthia Hotels and Real Estate Brand</w:t>
      </w:r>
      <w:r w:rsidRPr="00332FA1">
        <w:rPr>
          <w:rFonts w:eastAsia="Times New Roman" w:cs="Times New Roman"/>
          <w:color w:val="000000"/>
          <w:szCs w:val="24"/>
          <w:lang w:eastAsia="en-GB"/>
          <w14:ligatures w14:val="none"/>
        </w:rPr>
        <w:t>. [online] Corinthiagroup.com. Available at: https://www.corinthiagroup.com/investors/financial-report/.</w:t>
      </w:r>
    </w:p>
    <w:p w14:paraId="287E4405"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Cotton, W.D.J. (2022). </w:t>
      </w:r>
      <w:r w:rsidRPr="00332FA1">
        <w:rPr>
          <w:rFonts w:eastAsia="Times New Roman" w:cs="Times New Roman"/>
          <w:i/>
          <w:iCs/>
          <w:color w:val="000000"/>
          <w:szCs w:val="24"/>
          <w:lang w:eastAsia="en-GB"/>
          <w14:ligatures w14:val="none"/>
        </w:rPr>
        <w:t>Contemporary issues in management accounting. Part I, Cost of quality</w:t>
      </w:r>
      <w:r w:rsidRPr="00332FA1">
        <w:rPr>
          <w:rFonts w:eastAsia="Times New Roman" w:cs="Times New Roman"/>
          <w:color w:val="000000"/>
          <w:szCs w:val="24"/>
          <w:lang w:eastAsia="en-GB"/>
          <w14:ligatures w14:val="none"/>
        </w:rPr>
        <w:t xml:space="preserve">. Wellington, N.Z.: New Zealand Society </w:t>
      </w:r>
      <w:proofErr w:type="gramStart"/>
      <w:r w:rsidRPr="00332FA1">
        <w:rPr>
          <w:rFonts w:eastAsia="Times New Roman" w:cs="Times New Roman"/>
          <w:color w:val="000000"/>
          <w:szCs w:val="24"/>
          <w:lang w:eastAsia="en-GB"/>
          <w14:ligatures w14:val="none"/>
        </w:rPr>
        <w:t>Of</w:t>
      </w:r>
      <w:proofErr w:type="gramEnd"/>
      <w:r w:rsidRPr="00332FA1">
        <w:rPr>
          <w:rFonts w:eastAsia="Times New Roman" w:cs="Times New Roman"/>
          <w:color w:val="000000"/>
          <w:szCs w:val="24"/>
          <w:lang w:eastAsia="en-GB"/>
          <w14:ligatures w14:val="none"/>
        </w:rPr>
        <w:t xml:space="preserve"> Accountants.</w:t>
      </w:r>
    </w:p>
    <w:p w14:paraId="0F042BF1"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Drury, C. (2021). </w:t>
      </w:r>
      <w:r w:rsidRPr="00332FA1">
        <w:rPr>
          <w:rFonts w:eastAsia="Times New Roman" w:cs="Times New Roman"/>
          <w:i/>
          <w:iCs/>
          <w:color w:val="000000"/>
          <w:szCs w:val="24"/>
          <w:lang w:eastAsia="en-GB"/>
          <w14:ligatures w14:val="none"/>
        </w:rPr>
        <w:t>Management and Cost Accounting</w:t>
      </w:r>
      <w:r w:rsidRPr="00332FA1">
        <w:rPr>
          <w:rFonts w:eastAsia="Times New Roman" w:cs="Times New Roman"/>
          <w:color w:val="000000"/>
          <w:szCs w:val="24"/>
          <w:lang w:eastAsia="en-GB"/>
          <w14:ligatures w14:val="none"/>
        </w:rPr>
        <w:t>. 10th ed. Andover: Cengage Learning.</w:t>
      </w:r>
    </w:p>
    <w:p w14:paraId="2E1671E7" w14:textId="77777777" w:rsidR="00842CB5" w:rsidRPr="000B23D7" w:rsidRDefault="00842CB5" w:rsidP="00842CB5">
      <w:pPr>
        <w:spacing w:after="180"/>
        <w:ind w:left="450" w:hanging="450"/>
        <w:jc w:val="left"/>
        <w:rPr>
          <w:rFonts w:eastAsia="Times New Roman" w:cs="Times New Roman"/>
          <w:color w:val="000000"/>
          <w:szCs w:val="24"/>
          <w:lang w:eastAsia="en-GB"/>
          <w14:ligatures w14:val="none"/>
        </w:rPr>
      </w:pPr>
      <w:r w:rsidRPr="000B23D7">
        <w:rPr>
          <w:rFonts w:eastAsia="Times New Roman" w:cs="Times New Roman"/>
          <w:color w:val="000000"/>
          <w:szCs w:val="24"/>
          <w:lang w:eastAsia="en-GB"/>
          <w14:ligatures w14:val="none"/>
        </w:rPr>
        <w:t xml:space="preserve">Edwards, S. (2022). Revenue management: Maximising revenue in hospitality operations. </w:t>
      </w:r>
      <w:r w:rsidRPr="000B23D7">
        <w:rPr>
          <w:rFonts w:eastAsia="Times New Roman" w:cs="Times New Roman"/>
          <w:i/>
          <w:iCs/>
          <w:color w:val="000000"/>
          <w:szCs w:val="24"/>
          <w:lang w:eastAsia="en-GB"/>
          <w14:ligatures w14:val="none"/>
        </w:rPr>
        <w:t>Journal of Revenue and Pricing Management</w:t>
      </w:r>
      <w:r w:rsidRPr="000B23D7">
        <w:rPr>
          <w:rFonts w:eastAsia="Times New Roman" w:cs="Times New Roman"/>
          <w:color w:val="000000"/>
          <w:szCs w:val="24"/>
          <w:lang w:eastAsia="en-GB"/>
          <w14:ligatures w14:val="none"/>
        </w:rPr>
        <w:t xml:space="preserve">, 12(1), pp.94–95. </w:t>
      </w:r>
      <w:proofErr w:type="spellStart"/>
      <w:r w:rsidRPr="000B23D7">
        <w:rPr>
          <w:rFonts w:eastAsia="Times New Roman" w:cs="Times New Roman"/>
          <w:color w:val="000000"/>
          <w:szCs w:val="24"/>
          <w:lang w:eastAsia="en-GB"/>
          <w14:ligatures w14:val="none"/>
        </w:rPr>
        <w:t>doi:https</w:t>
      </w:r>
      <w:proofErr w:type="spellEnd"/>
      <w:r w:rsidRPr="000B23D7">
        <w:rPr>
          <w:rFonts w:eastAsia="Times New Roman" w:cs="Times New Roman"/>
          <w:color w:val="000000"/>
          <w:szCs w:val="24"/>
          <w:lang w:eastAsia="en-GB"/>
          <w14:ligatures w14:val="none"/>
        </w:rPr>
        <w:t>://doi.org/10.1057/rpm.2012.38.</w:t>
      </w:r>
    </w:p>
    <w:p w14:paraId="2E1C6AFC" w14:textId="77777777" w:rsidR="00842CB5" w:rsidRPr="000B23D7" w:rsidRDefault="00842CB5" w:rsidP="00842CB5">
      <w:pPr>
        <w:spacing w:after="180"/>
        <w:ind w:left="450" w:hanging="450"/>
        <w:jc w:val="left"/>
        <w:rPr>
          <w:rFonts w:eastAsia="Times New Roman" w:cs="Times New Roman"/>
          <w:color w:val="000000"/>
          <w:szCs w:val="24"/>
          <w:lang w:eastAsia="en-GB"/>
          <w14:ligatures w14:val="none"/>
        </w:rPr>
      </w:pPr>
      <w:r w:rsidRPr="000B23D7">
        <w:rPr>
          <w:rFonts w:eastAsia="Times New Roman" w:cs="Times New Roman"/>
          <w:color w:val="000000"/>
          <w:szCs w:val="24"/>
          <w:lang w:eastAsia="en-GB"/>
          <w14:ligatures w14:val="none"/>
        </w:rPr>
        <w:lastRenderedPageBreak/>
        <w:t xml:space="preserve">Freedman, D.A. (2022). Comparing Farmers’ Market Revenue Trends Before and After the Implementation of a Monetary Incentive for Recipients of Food Assistance. </w:t>
      </w:r>
      <w:r w:rsidRPr="000B23D7">
        <w:rPr>
          <w:rFonts w:eastAsia="Times New Roman" w:cs="Times New Roman"/>
          <w:i/>
          <w:iCs/>
          <w:color w:val="000000"/>
          <w:szCs w:val="24"/>
          <w:lang w:eastAsia="en-GB"/>
          <w14:ligatures w14:val="none"/>
        </w:rPr>
        <w:t>Preventing Chronic Disease</w:t>
      </w:r>
      <w:r w:rsidRPr="000B23D7">
        <w:rPr>
          <w:rFonts w:eastAsia="Times New Roman" w:cs="Times New Roman"/>
          <w:color w:val="000000"/>
          <w:szCs w:val="24"/>
          <w:lang w:eastAsia="en-GB"/>
          <w14:ligatures w14:val="none"/>
        </w:rPr>
        <w:t xml:space="preserve">, [online] 11. </w:t>
      </w:r>
      <w:proofErr w:type="spellStart"/>
      <w:r w:rsidRPr="000B23D7">
        <w:rPr>
          <w:rFonts w:eastAsia="Times New Roman" w:cs="Times New Roman"/>
          <w:color w:val="000000"/>
          <w:szCs w:val="24"/>
          <w:lang w:eastAsia="en-GB"/>
          <w14:ligatures w14:val="none"/>
        </w:rPr>
        <w:t>doi:https</w:t>
      </w:r>
      <w:proofErr w:type="spellEnd"/>
      <w:r w:rsidRPr="000B23D7">
        <w:rPr>
          <w:rFonts w:eastAsia="Times New Roman" w:cs="Times New Roman"/>
          <w:color w:val="000000"/>
          <w:szCs w:val="24"/>
          <w:lang w:eastAsia="en-GB"/>
          <w14:ligatures w14:val="none"/>
        </w:rPr>
        <w:t>://doi.org/10.5888/pcd11.130347.</w:t>
      </w:r>
    </w:p>
    <w:p w14:paraId="134104A4"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proofErr w:type="spellStart"/>
      <w:r w:rsidRPr="00332FA1">
        <w:rPr>
          <w:rFonts w:eastAsia="Times New Roman" w:cs="Times New Roman"/>
          <w:color w:val="000000"/>
          <w:szCs w:val="24"/>
          <w:lang w:eastAsia="en-GB"/>
          <w14:ligatures w14:val="none"/>
        </w:rPr>
        <w:t>Guilding</w:t>
      </w:r>
      <w:proofErr w:type="spellEnd"/>
      <w:r w:rsidRPr="00332FA1">
        <w:rPr>
          <w:rFonts w:eastAsia="Times New Roman" w:cs="Times New Roman"/>
          <w:color w:val="000000"/>
          <w:szCs w:val="24"/>
          <w:lang w:eastAsia="en-GB"/>
          <w14:ligatures w14:val="none"/>
        </w:rPr>
        <w:t xml:space="preserve">, C. (2021). </w:t>
      </w:r>
      <w:r w:rsidRPr="00332FA1">
        <w:rPr>
          <w:rFonts w:eastAsia="Times New Roman" w:cs="Times New Roman"/>
          <w:i/>
          <w:iCs/>
          <w:color w:val="000000"/>
          <w:szCs w:val="24"/>
          <w:lang w:eastAsia="en-GB"/>
          <w14:ligatures w14:val="none"/>
        </w:rPr>
        <w:t>Accounting essentials for hospitality managers</w:t>
      </w:r>
      <w:r w:rsidRPr="00332FA1">
        <w:rPr>
          <w:rFonts w:eastAsia="Times New Roman" w:cs="Times New Roman"/>
          <w:color w:val="000000"/>
          <w:szCs w:val="24"/>
          <w:lang w:eastAsia="en-GB"/>
          <w14:ligatures w14:val="none"/>
        </w:rPr>
        <w:t>. [online] Abingdon, Oxon: Routledge. Available at: https://booko.com.au/9780415841092/Accounting-Essentials-for-Hospitality-Managers.</w:t>
      </w:r>
    </w:p>
    <w:p w14:paraId="405BB8CE" w14:textId="77777777" w:rsidR="00842CB5" w:rsidRPr="000B23D7" w:rsidRDefault="00842CB5" w:rsidP="00842CB5">
      <w:pPr>
        <w:spacing w:after="180"/>
        <w:ind w:left="450" w:hanging="450"/>
        <w:jc w:val="left"/>
        <w:rPr>
          <w:rFonts w:eastAsia="Times New Roman" w:cs="Times New Roman"/>
          <w:color w:val="000000"/>
          <w:szCs w:val="24"/>
          <w:lang w:eastAsia="en-GB"/>
          <w14:ligatures w14:val="none"/>
        </w:rPr>
      </w:pPr>
      <w:r w:rsidRPr="000B23D7">
        <w:rPr>
          <w:rFonts w:eastAsia="Times New Roman" w:cs="Times New Roman"/>
          <w:color w:val="000000"/>
          <w:szCs w:val="24"/>
          <w:lang w:eastAsia="en-GB"/>
          <w14:ligatures w14:val="none"/>
        </w:rPr>
        <w:t xml:space="preserve">Hamilton, B. (2022). Brand perceptions and the exporter-importer relationship. </w:t>
      </w:r>
      <w:r w:rsidRPr="000B23D7">
        <w:rPr>
          <w:rFonts w:eastAsia="Times New Roman" w:cs="Times New Roman"/>
          <w:i/>
          <w:iCs/>
          <w:color w:val="000000"/>
          <w:szCs w:val="24"/>
          <w:lang w:eastAsia="en-GB"/>
          <w14:ligatures w14:val="none"/>
        </w:rPr>
        <w:t>Journal of Brand Management</w:t>
      </w:r>
      <w:r w:rsidRPr="000B23D7">
        <w:rPr>
          <w:rFonts w:eastAsia="Times New Roman" w:cs="Times New Roman"/>
          <w:color w:val="000000"/>
          <w:szCs w:val="24"/>
          <w:lang w:eastAsia="en-GB"/>
          <w14:ligatures w14:val="none"/>
        </w:rPr>
        <w:t xml:space="preserve">, 5(6), pp.441–448. </w:t>
      </w:r>
      <w:proofErr w:type="spellStart"/>
      <w:r w:rsidRPr="000B23D7">
        <w:rPr>
          <w:rFonts w:eastAsia="Times New Roman" w:cs="Times New Roman"/>
          <w:color w:val="000000"/>
          <w:szCs w:val="24"/>
          <w:lang w:eastAsia="en-GB"/>
          <w14:ligatures w14:val="none"/>
        </w:rPr>
        <w:t>doi:https</w:t>
      </w:r>
      <w:proofErr w:type="spellEnd"/>
      <w:r w:rsidRPr="000B23D7">
        <w:rPr>
          <w:rFonts w:eastAsia="Times New Roman" w:cs="Times New Roman"/>
          <w:color w:val="000000"/>
          <w:szCs w:val="24"/>
          <w:lang w:eastAsia="en-GB"/>
          <w14:ligatures w14:val="none"/>
        </w:rPr>
        <w:t>://doi.org/10.1057/bm.1998.34.</w:t>
      </w:r>
    </w:p>
    <w:p w14:paraId="19CD9DA4" w14:textId="77777777" w:rsidR="00842CB5" w:rsidRPr="000B23D7" w:rsidRDefault="00842CB5" w:rsidP="00842CB5">
      <w:pPr>
        <w:spacing w:after="180"/>
        <w:ind w:left="450" w:hanging="450"/>
        <w:jc w:val="left"/>
        <w:rPr>
          <w:rFonts w:eastAsia="Times New Roman" w:cs="Times New Roman"/>
          <w:color w:val="000000"/>
          <w:szCs w:val="24"/>
          <w:lang w:eastAsia="en-GB"/>
          <w14:ligatures w14:val="none"/>
        </w:rPr>
      </w:pPr>
      <w:r w:rsidRPr="000B23D7">
        <w:rPr>
          <w:rFonts w:eastAsia="Times New Roman" w:cs="Times New Roman"/>
          <w:color w:val="000000"/>
          <w:szCs w:val="24"/>
          <w:lang w:eastAsia="en-GB"/>
          <w14:ligatures w14:val="none"/>
        </w:rPr>
        <w:t xml:space="preserve">Hassan, M.K. (2021). Customer Demographics Affecting Bank Selection Criteria, Preference, and Market Segmentation: Study on Domestic Islamic Banks in Bangladesh. </w:t>
      </w:r>
      <w:r w:rsidRPr="000B23D7">
        <w:rPr>
          <w:rFonts w:eastAsia="Times New Roman" w:cs="Times New Roman"/>
          <w:i/>
          <w:iCs/>
          <w:color w:val="000000"/>
          <w:szCs w:val="24"/>
          <w:lang w:eastAsia="en-GB"/>
          <w14:ligatures w14:val="none"/>
        </w:rPr>
        <w:t>International Journal of Business and Management</w:t>
      </w:r>
      <w:r w:rsidRPr="000B23D7">
        <w:rPr>
          <w:rFonts w:eastAsia="Times New Roman" w:cs="Times New Roman"/>
          <w:color w:val="000000"/>
          <w:szCs w:val="24"/>
          <w:lang w:eastAsia="en-GB"/>
          <w14:ligatures w14:val="none"/>
        </w:rPr>
        <w:t xml:space="preserve">, 4(6). </w:t>
      </w:r>
      <w:proofErr w:type="spellStart"/>
      <w:r w:rsidRPr="000B23D7">
        <w:rPr>
          <w:rFonts w:eastAsia="Times New Roman" w:cs="Times New Roman"/>
          <w:color w:val="000000"/>
          <w:szCs w:val="24"/>
          <w:lang w:eastAsia="en-GB"/>
          <w14:ligatures w14:val="none"/>
        </w:rPr>
        <w:t>doi:https</w:t>
      </w:r>
      <w:proofErr w:type="spellEnd"/>
      <w:r w:rsidRPr="000B23D7">
        <w:rPr>
          <w:rFonts w:eastAsia="Times New Roman" w:cs="Times New Roman"/>
          <w:color w:val="000000"/>
          <w:szCs w:val="24"/>
          <w:lang w:eastAsia="en-GB"/>
          <w14:ligatures w14:val="none"/>
        </w:rPr>
        <w:t>://doi.org/10.5539/ijbm.v4n6p131.</w:t>
      </w:r>
    </w:p>
    <w:p w14:paraId="00255826"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Ibis Hotels. (2023). </w:t>
      </w:r>
      <w:r w:rsidRPr="00332FA1">
        <w:rPr>
          <w:rFonts w:eastAsia="Times New Roman" w:cs="Times New Roman"/>
          <w:i/>
          <w:iCs/>
          <w:color w:val="000000"/>
          <w:szCs w:val="24"/>
          <w:lang w:eastAsia="en-GB"/>
          <w14:ligatures w14:val="none"/>
        </w:rPr>
        <w:t>Ibis Hotels Annual Report 2023</w:t>
      </w:r>
      <w:r w:rsidRPr="00332FA1">
        <w:rPr>
          <w:rFonts w:eastAsia="Times New Roman" w:cs="Times New Roman"/>
          <w:color w:val="000000"/>
          <w:szCs w:val="24"/>
          <w:lang w:eastAsia="en-GB"/>
          <w14:ligatures w14:val="none"/>
        </w:rPr>
        <w:t>. [online] Accor Group. Available at: https://group.accor.com/-/media/Corporate/Investors/Documents-financiers/2023/07-27-H1/Interim_Financial_Report_2023_Accor_vDef.pdf.</w:t>
      </w:r>
    </w:p>
    <w:p w14:paraId="33B36CCB"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Larson, K.D. (2022). </w:t>
      </w:r>
      <w:r w:rsidRPr="00332FA1">
        <w:rPr>
          <w:rFonts w:eastAsia="Times New Roman" w:cs="Times New Roman"/>
          <w:i/>
          <w:iCs/>
          <w:color w:val="000000"/>
          <w:szCs w:val="24"/>
          <w:lang w:eastAsia="en-GB"/>
          <w14:ligatures w14:val="none"/>
        </w:rPr>
        <w:t>Fundamental Accounting Principles</w:t>
      </w:r>
      <w:r w:rsidRPr="00332FA1">
        <w:rPr>
          <w:rFonts w:eastAsia="Times New Roman" w:cs="Times New Roman"/>
          <w:color w:val="000000"/>
          <w:szCs w:val="24"/>
          <w:lang w:eastAsia="en-GB"/>
          <w14:ligatures w14:val="none"/>
        </w:rPr>
        <w:t>.</w:t>
      </w:r>
    </w:p>
    <w:p w14:paraId="05616A10"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Sahli, M. (2022). An introduction to revenue management for the hospitality industry: Principles and practices for the real world. </w:t>
      </w:r>
      <w:r w:rsidRPr="00332FA1">
        <w:rPr>
          <w:rFonts w:eastAsia="Times New Roman" w:cs="Times New Roman"/>
          <w:i/>
          <w:iCs/>
          <w:color w:val="000000"/>
          <w:szCs w:val="24"/>
          <w:lang w:eastAsia="en-GB"/>
          <w14:ligatures w14:val="none"/>
        </w:rPr>
        <w:t>Journal of Revenue and Pricing Management</w:t>
      </w:r>
      <w:r w:rsidRPr="00332FA1">
        <w:rPr>
          <w:rFonts w:eastAsia="Times New Roman" w:cs="Times New Roman"/>
          <w:color w:val="000000"/>
          <w:szCs w:val="24"/>
          <w:lang w:eastAsia="en-GB"/>
          <w14:ligatures w14:val="none"/>
        </w:rPr>
        <w:t xml:space="preserve">, 9(1-2), pp.192–193. </w:t>
      </w:r>
      <w:proofErr w:type="spellStart"/>
      <w:r w:rsidRPr="00332FA1">
        <w:rPr>
          <w:rFonts w:eastAsia="Times New Roman" w:cs="Times New Roman"/>
          <w:color w:val="000000"/>
          <w:szCs w:val="24"/>
          <w:lang w:eastAsia="en-GB"/>
          <w14:ligatures w14:val="none"/>
        </w:rPr>
        <w:t>doi:https</w:t>
      </w:r>
      <w:proofErr w:type="spellEnd"/>
      <w:r w:rsidRPr="00332FA1">
        <w:rPr>
          <w:rFonts w:eastAsia="Times New Roman" w:cs="Times New Roman"/>
          <w:color w:val="000000"/>
          <w:szCs w:val="24"/>
          <w:lang w:eastAsia="en-GB"/>
          <w14:ligatures w14:val="none"/>
        </w:rPr>
        <w:t>://doi.org/10.1057/rpm.2009.48.</w:t>
      </w:r>
    </w:p>
    <w:p w14:paraId="052EA02A"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Seal, W.B. (2021). </w:t>
      </w:r>
      <w:r w:rsidRPr="00332FA1">
        <w:rPr>
          <w:rFonts w:eastAsia="Times New Roman" w:cs="Times New Roman"/>
          <w:i/>
          <w:iCs/>
          <w:color w:val="000000"/>
          <w:szCs w:val="24"/>
          <w:lang w:eastAsia="en-GB"/>
          <w14:ligatures w14:val="none"/>
        </w:rPr>
        <w:t>Management accounting</w:t>
      </w:r>
      <w:r w:rsidRPr="00332FA1">
        <w:rPr>
          <w:rFonts w:eastAsia="Times New Roman" w:cs="Times New Roman"/>
          <w:color w:val="000000"/>
          <w:szCs w:val="24"/>
          <w:lang w:eastAsia="en-GB"/>
          <w14:ligatures w14:val="none"/>
        </w:rPr>
        <w:t xml:space="preserve">. London: </w:t>
      </w:r>
      <w:proofErr w:type="spellStart"/>
      <w:r w:rsidRPr="00332FA1">
        <w:rPr>
          <w:rFonts w:eastAsia="Times New Roman" w:cs="Times New Roman"/>
          <w:color w:val="000000"/>
          <w:szCs w:val="24"/>
          <w:lang w:eastAsia="en-GB"/>
          <w14:ligatures w14:val="none"/>
        </w:rPr>
        <w:t>Mcgraw-Hill</w:t>
      </w:r>
      <w:proofErr w:type="spellEnd"/>
      <w:r w:rsidRPr="00332FA1">
        <w:rPr>
          <w:rFonts w:eastAsia="Times New Roman" w:cs="Times New Roman"/>
          <w:color w:val="000000"/>
          <w:szCs w:val="24"/>
          <w:lang w:eastAsia="en-GB"/>
          <w14:ligatures w14:val="none"/>
        </w:rPr>
        <w:t xml:space="preserve"> Education.</w:t>
      </w:r>
    </w:p>
    <w:p w14:paraId="68C30F25"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r w:rsidRPr="00332FA1">
        <w:rPr>
          <w:rFonts w:eastAsia="Times New Roman" w:cs="Times New Roman"/>
          <w:color w:val="000000"/>
          <w:szCs w:val="24"/>
          <w:lang w:eastAsia="en-GB"/>
          <w14:ligatures w14:val="none"/>
        </w:rPr>
        <w:t xml:space="preserve">Walker, J.R. (2022). </w:t>
      </w:r>
      <w:r w:rsidRPr="00332FA1">
        <w:rPr>
          <w:rFonts w:eastAsia="Times New Roman" w:cs="Times New Roman"/>
          <w:i/>
          <w:iCs/>
          <w:color w:val="000000"/>
          <w:szCs w:val="24"/>
          <w:lang w:eastAsia="en-GB"/>
          <w14:ligatures w14:val="none"/>
        </w:rPr>
        <w:t>Introduction to hospitality</w:t>
      </w:r>
      <w:r w:rsidRPr="00332FA1">
        <w:rPr>
          <w:rFonts w:eastAsia="Times New Roman" w:cs="Times New Roman"/>
          <w:color w:val="000000"/>
          <w:szCs w:val="24"/>
          <w:lang w:eastAsia="en-GB"/>
          <w14:ligatures w14:val="none"/>
        </w:rPr>
        <w:t>. Boston: Pearson.</w:t>
      </w:r>
    </w:p>
    <w:p w14:paraId="1E28FEDF" w14:textId="77777777" w:rsidR="00842CB5" w:rsidRDefault="00842CB5" w:rsidP="00842CB5">
      <w:pPr>
        <w:spacing w:after="180"/>
        <w:ind w:left="450" w:hanging="450"/>
        <w:jc w:val="left"/>
        <w:rPr>
          <w:rFonts w:eastAsia="Times New Roman" w:cs="Times New Roman"/>
          <w:color w:val="000000"/>
          <w:szCs w:val="24"/>
          <w:lang w:eastAsia="en-GB"/>
          <w14:ligatures w14:val="none"/>
        </w:rPr>
      </w:pPr>
      <w:proofErr w:type="spellStart"/>
      <w:r w:rsidRPr="00332FA1">
        <w:rPr>
          <w:rFonts w:eastAsia="Times New Roman" w:cs="Times New Roman"/>
          <w:color w:val="000000"/>
          <w:szCs w:val="24"/>
          <w:lang w:eastAsia="en-GB"/>
          <w14:ligatures w14:val="none"/>
        </w:rPr>
        <w:t>Žufan</w:t>
      </w:r>
      <w:proofErr w:type="spellEnd"/>
      <w:r w:rsidRPr="00332FA1">
        <w:rPr>
          <w:rFonts w:eastAsia="Times New Roman" w:cs="Times New Roman"/>
          <w:color w:val="000000"/>
          <w:szCs w:val="24"/>
          <w:lang w:eastAsia="en-GB"/>
          <w14:ligatures w14:val="none"/>
        </w:rPr>
        <w:t xml:space="preserve">, P. (2023). Market position of selected competitors of the Czech wine market. </w:t>
      </w:r>
      <w:r w:rsidRPr="00332FA1">
        <w:rPr>
          <w:rFonts w:eastAsia="Times New Roman" w:cs="Times New Roman"/>
          <w:i/>
          <w:iCs/>
          <w:color w:val="000000"/>
          <w:szCs w:val="24"/>
          <w:lang w:eastAsia="en-GB"/>
          <w14:ligatures w14:val="none"/>
        </w:rPr>
        <w:t>Agricultural Economics (</w:t>
      </w:r>
      <w:proofErr w:type="spellStart"/>
      <w:r w:rsidRPr="00332FA1">
        <w:rPr>
          <w:rFonts w:eastAsia="Times New Roman" w:cs="Times New Roman"/>
          <w:i/>
          <w:iCs/>
          <w:color w:val="000000"/>
          <w:szCs w:val="24"/>
          <w:lang w:eastAsia="en-GB"/>
          <w14:ligatures w14:val="none"/>
        </w:rPr>
        <w:t>Zemědělská</w:t>
      </w:r>
      <w:proofErr w:type="spellEnd"/>
      <w:r w:rsidRPr="00332FA1">
        <w:rPr>
          <w:rFonts w:eastAsia="Times New Roman" w:cs="Times New Roman"/>
          <w:i/>
          <w:iCs/>
          <w:color w:val="000000"/>
          <w:szCs w:val="24"/>
          <w:lang w:eastAsia="en-GB"/>
          <w14:ligatures w14:val="none"/>
        </w:rPr>
        <w:t xml:space="preserve"> </w:t>
      </w:r>
      <w:proofErr w:type="spellStart"/>
      <w:r w:rsidRPr="00332FA1">
        <w:rPr>
          <w:rFonts w:eastAsia="Times New Roman" w:cs="Times New Roman"/>
          <w:i/>
          <w:iCs/>
          <w:color w:val="000000"/>
          <w:szCs w:val="24"/>
          <w:lang w:eastAsia="en-GB"/>
          <w14:ligatures w14:val="none"/>
        </w:rPr>
        <w:t>ekonomika</w:t>
      </w:r>
      <w:proofErr w:type="spellEnd"/>
      <w:r w:rsidRPr="00332FA1">
        <w:rPr>
          <w:rFonts w:eastAsia="Times New Roman" w:cs="Times New Roman"/>
          <w:i/>
          <w:iCs/>
          <w:color w:val="000000"/>
          <w:szCs w:val="24"/>
          <w:lang w:eastAsia="en-GB"/>
          <w14:ligatures w14:val="none"/>
        </w:rPr>
        <w:t>)</w:t>
      </w:r>
      <w:r w:rsidRPr="00332FA1">
        <w:rPr>
          <w:rFonts w:eastAsia="Times New Roman" w:cs="Times New Roman"/>
          <w:color w:val="000000"/>
          <w:szCs w:val="24"/>
          <w:lang w:eastAsia="en-GB"/>
          <w14:ligatures w14:val="none"/>
        </w:rPr>
        <w:t xml:space="preserve">, 54(NO. 7), pp.343–346. </w:t>
      </w:r>
      <w:proofErr w:type="spellStart"/>
      <w:r w:rsidRPr="00332FA1">
        <w:rPr>
          <w:rFonts w:eastAsia="Times New Roman" w:cs="Times New Roman"/>
          <w:color w:val="000000"/>
          <w:szCs w:val="24"/>
          <w:lang w:eastAsia="en-GB"/>
          <w14:ligatures w14:val="none"/>
        </w:rPr>
        <w:t>doi:https</w:t>
      </w:r>
      <w:proofErr w:type="spellEnd"/>
      <w:r w:rsidRPr="00332FA1">
        <w:rPr>
          <w:rFonts w:eastAsia="Times New Roman" w:cs="Times New Roman"/>
          <w:color w:val="000000"/>
          <w:szCs w:val="24"/>
          <w:lang w:eastAsia="en-GB"/>
          <w14:ligatures w14:val="none"/>
        </w:rPr>
        <w:t>://doi.org/10.17221/2711-agricecon.</w:t>
      </w:r>
    </w:p>
    <w:p w14:paraId="25C6713A"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p>
    <w:p w14:paraId="48F28B19" w14:textId="77777777" w:rsidR="00842CB5" w:rsidRPr="00332FA1" w:rsidRDefault="00842CB5" w:rsidP="00842CB5">
      <w:pPr>
        <w:spacing w:after="180"/>
        <w:ind w:left="450" w:hanging="450"/>
        <w:jc w:val="left"/>
        <w:rPr>
          <w:rFonts w:eastAsia="Times New Roman" w:cs="Times New Roman"/>
          <w:color w:val="000000"/>
          <w:szCs w:val="24"/>
          <w:lang w:eastAsia="en-GB"/>
          <w14:ligatures w14:val="none"/>
        </w:rPr>
      </w:pPr>
    </w:p>
    <w:p w14:paraId="1BCF0D6F" w14:textId="77777777" w:rsidR="00842CB5" w:rsidRDefault="00842CB5" w:rsidP="00842CB5"/>
    <w:sectPr w:rsidR="00842CB5" w:rsidSect="00FD27B7">
      <w:footerReference w:type="default" r:id="rId22"/>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9770895"/>
      <w:docPartObj>
        <w:docPartGallery w:val="Page Numbers (Bottom of Page)"/>
        <w:docPartUnique/>
      </w:docPartObj>
    </w:sdtPr>
    <w:sdtEndPr>
      <w:rPr>
        <w:noProof/>
      </w:rPr>
    </w:sdtEndPr>
    <w:sdtContent>
      <w:p w14:paraId="6AFA90D7"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9383D0"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46196"/>
    <w:multiLevelType w:val="multilevel"/>
    <w:tmpl w:val="A2E0E7F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C356B7"/>
    <w:multiLevelType w:val="multilevel"/>
    <w:tmpl w:val="272E7BA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0653508">
    <w:abstractNumId w:val="1"/>
  </w:num>
  <w:num w:numId="2" w16cid:durableId="1877228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5B142E"/>
    <w:rsid w:val="005B142E"/>
    <w:rsid w:val="00842CB5"/>
    <w:rsid w:val="009E3EEC"/>
    <w:rsid w:val="00FD2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2B9B5C-9FB6-40EF-B703-8C9E61D0F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CB5"/>
    <w:pPr>
      <w:spacing w:after="160" w:line="360" w:lineRule="auto"/>
      <w:jc w:val="both"/>
    </w:pPr>
    <w:rPr>
      <w:rFonts w:ascii="Times New Roman" w:hAnsi="Times New Roman"/>
      <w:kern w:val="0"/>
      <w:sz w:val="24"/>
    </w:rPr>
  </w:style>
  <w:style w:type="paragraph" w:styleId="Heading1">
    <w:name w:val="heading 1"/>
    <w:basedOn w:val="Normal"/>
    <w:next w:val="Normal"/>
    <w:link w:val="Heading1Char"/>
    <w:uiPriority w:val="9"/>
    <w:qFormat/>
    <w:rsid w:val="00842CB5"/>
    <w:pPr>
      <w:keepNext/>
      <w:keepLines/>
      <w:spacing w:before="360" w:after="12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CB5"/>
    <w:rPr>
      <w:rFonts w:ascii="Times New Roman" w:eastAsiaTheme="majorEastAsia" w:hAnsi="Times New Roman" w:cstheme="majorBidi"/>
      <w:b/>
      <w:kern w:val="0"/>
      <w:sz w:val="32"/>
      <w:szCs w:val="32"/>
    </w:rPr>
  </w:style>
  <w:style w:type="paragraph" w:styleId="Footer">
    <w:name w:val="footer"/>
    <w:basedOn w:val="Normal"/>
    <w:link w:val="FooterChar"/>
    <w:uiPriority w:val="99"/>
    <w:unhideWhenUsed/>
    <w:rsid w:val="00842C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CB5"/>
    <w:rPr>
      <w:rFonts w:ascii="Times New Roman" w:hAnsi="Times New Roman"/>
      <w:kern w:val="0"/>
      <w:sz w:val="24"/>
    </w:rPr>
  </w:style>
  <w:style w:type="paragraph" w:styleId="TOCHeading">
    <w:name w:val="TOC Heading"/>
    <w:basedOn w:val="Heading1"/>
    <w:next w:val="Normal"/>
    <w:uiPriority w:val="39"/>
    <w:unhideWhenUsed/>
    <w:qFormat/>
    <w:rsid w:val="00842CB5"/>
    <w:pPr>
      <w:spacing w:before="240" w:after="0"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842CB5"/>
    <w:pPr>
      <w:spacing w:after="100"/>
    </w:pPr>
  </w:style>
  <w:style w:type="character" w:styleId="Hyperlink">
    <w:name w:val="Hyperlink"/>
    <w:basedOn w:val="DefaultParagraphFont"/>
    <w:uiPriority w:val="99"/>
    <w:unhideWhenUsed/>
    <w:rsid w:val="00842CB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Layout" Target="diagrams/layout3.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Data" Target="diagrams/data3.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diagramColors" Target="diagrams/colors3.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theme" Target="theme/theme1.xml"/><Relationship Id="rId5" Type="http://schemas.openxmlformats.org/officeDocument/2006/relationships/image" Target="media/image1.png"/><Relationship Id="rId15" Type="http://schemas.microsoft.com/office/2007/relationships/diagramDrawing" Target="diagrams/drawing2.xml"/><Relationship Id="rId23"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74E8CE-836A-4E01-95B5-E0C65AEDD3FD}" type="doc">
      <dgm:prSet loTypeId="urn:microsoft.com/office/officeart/2005/8/layout/chart3" loCatId="cycle" qsTypeId="urn:microsoft.com/office/officeart/2005/8/quickstyle/simple1" qsCatId="simple" csTypeId="urn:microsoft.com/office/officeart/2005/8/colors/colorful5" csCatId="colorful" phldr="1"/>
      <dgm:spPr/>
    </dgm:pt>
    <dgm:pt modelId="{659DB68E-2949-40C2-8A92-B7845320051F}">
      <dgm:prSet phldrT="[Text]"/>
      <dgm:spPr/>
      <dgm:t>
        <a:bodyPr/>
        <a:lstStyle/>
        <a:p>
          <a:r>
            <a:rPr lang="en-GB" b="1"/>
            <a:t>Customer Demographics</a:t>
          </a:r>
          <a:endParaRPr lang="en-GB"/>
        </a:p>
      </dgm:t>
    </dgm:pt>
    <dgm:pt modelId="{FA5A2EA2-40BF-4D47-B49B-AA6A49D78F46}" type="parTrans" cxnId="{D822EA7C-B125-4BB2-ABAE-5AD3F892CB6A}">
      <dgm:prSet/>
      <dgm:spPr/>
      <dgm:t>
        <a:bodyPr/>
        <a:lstStyle/>
        <a:p>
          <a:endParaRPr lang="en-GB"/>
        </a:p>
      </dgm:t>
    </dgm:pt>
    <dgm:pt modelId="{3F40D720-07B1-4CFF-AB0A-A61BA82032AD}" type="sibTrans" cxnId="{D822EA7C-B125-4BB2-ABAE-5AD3F892CB6A}">
      <dgm:prSet/>
      <dgm:spPr/>
      <dgm:t>
        <a:bodyPr/>
        <a:lstStyle/>
        <a:p>
          <a:endParaRPr lang="en-GB"/>
        </a:p>
      </dgm:t>
    </dgm:pt>
    <dgm:pt modelId="{4F961201-DB60-4927-B85F-B37C3DA6CFC7}">
      <dgm:prSet phldrT="[Text]"/>
      <dgm:spPr/>
      <dgm:t>
        <a:bodyPr/>
        <a:lstStyle/>
        <a:p>
          <a:r>
            <a:rPr lang="en-GB" b="1"/>
            <a:t>Brand Perception</a:t>
          </a:r>
          <a:endParaRPr lang="en-GB"/>
        </a:p>
      </dgm:t>
    </dgm:pt>
    <dgm:pt modelId="{B77A53F8-6E60-4EC2-AED3-B8BA1FE40387}" type="parTrans" cxnId="{E4A503E1-4D78-42F5-9528-416B4E04FA9D}">
      <dgm:prSet/>
      <dgm:spPr/>
      <dgm:t>
        <a:bodyPr/>
        <a:lstStyle/>
        <a:p>
          <a:endParaRPr lang="en-GB"/>
        </a:p>
      </dgm:t>
    </dgm:pt>
    <dgm:pt modelId="{90C9D292-7852-4274-8AFE-2FF96B872A4A}" type="sibTrans" cxnId="{E4A503E1-4D78-42F5-9528-416B4E04FA9D}">
      <dgm:prSet/>
      <dgm:spPr/>
      <dgm:t>
        <a:bodyPr/>
        <a:lstStyle/>
        <a:p>
          <a:endParaRPr lang="en-GB"/>
        </a:p>
      </dgm:t>
    </dgm:pt>
    <dgm:pt modelId="{C501709C-373E-4D45-ACF9-62CA20216B17}">
      <dgm:prSet phldrT="[Text]"/>
      <dgm:spPr/>
      <dgm:t>
        <a:bodyPr/>
        <a:lstStyle/>
        <a:p>
          <a:r>
            <a:rPr lang="en-GB" b="1"/>
            <a:t>Market Share</a:t>
          </a:r>
          <a:endParaRPr lang="en-GB"/>
        </a:p>
      </dgm:t>
    </dgm:pt>
    <dgm:pt modelId="{0842047F-5292-447E-B3F1-E6A33794F25E}" type="parTrans" cxnId="{BA166A07-03F3-4455-B756-4B6983214395}">
      <dgm:prSet/>
      <dgm:spPr/>
      <dgm:t>
        <a:bodyPr/>
        <a:lstStyle/>
        <a:p>
          <a:endParaRPr lang="en-GB"/>
        </a:p>
      </dgm:t>
    </dgm:pt>
    <dgm:pt modelId="{D3B7B142-DB79-4395-99A6-5C1A7CB57E4D}" type="sibTrans" cxnId="{BA166A07-03F3-4455-B756-4B6983214395}">
      <dgm:prSet/>
      <dgm:spPr/>
      <dgm:t>
        <a:bodyPr/>
        <a:lstStyle/>
        <a:p>
          <a:endParaRPr lang="en-GB"/>
        </a:p>
      </dgm:t>
    </dgm:pt>
    <dgm:pt modelId="{38A7BA3F-377B-45C5-A6AA-E9CFEF8702BE}" type="pres">
      <dgm:prSet presAssocID="{BF74E8CE-836A-4E01-95B5-E0C65AEDD3FD}" presName="compositeShape" presStyleCnt="0">
        <dgm:presLayoutVars>
          <dgm:chMax val="7"/>
          <dgm:dir/>
          <dgm:resizeHandles val="exact"/>
        </dgm:presLayoutVars>
      </dgm:prSet>
      <dgm:spPr/>
    </dgm:pt>
    <dgm:pt modelId="{B56554A7-ABE7-4697-AEC3-A9584821BC6B}" type="pres">
      <dgm:prSet presAssocID="{BF74E8CE-836A-4E01-95B5-E0C65AEDD3FD}" presName="wedge1" presStyleLbl="node1" presStyleIdx="0" presStyleCnt="3"/>
      <dgm:spPr/>
    </dgm:pt>
    <dgm:pt modelId="{DD8CAF97-BC18-4B11-A15B-4C492CFF94A8}" type="pres">
      <dgm:prSet presAssocID="{BF74E8CE-836A-4E01-95B5-E0C65AEDD3FD}" presName="wedge1Tx" presStyleLbl="node1" presStyleIdx="0" presStyleCnt="3">
        <dgm:presLayoutVars>
          <dgm:chMax val="0"/>
          <dgm:chPref val="0"/>
          <dgm:bulletEnabled val="1"/>
        </dgm:presLayoutVars>
      </dgm:prSet>
      <dgm:spPr/>
    </dgm:pt>
    <dgm:pt modelId="{005DB405-F3DB-43FE-B9E0-6BE070DC00C3}" type="pres">
      <dgm:prSet presAssocID="{BF74E8CE-836A-4E01-95B5-E0C65AEDD3FD}" presName="wedge2" presStyleLbl="node1" presStyleIdx="1" presStyleCnt="3"/>
      <dgm:spPr/>
    </dgm:pt>
    <dgm:pt modelId="{26B6BFF4-4164-4E8B-92E7-5A8B7A15C137}" type="pres">
      <dgm:prSet presAssocID="{BF74E8CE-836A-4E01-95B5-E0C65AEDD3FD}" presName="wedge2Tx" presStyleLbl="node1" presStyleIdx="1" presStyleCnt="3">
        <dgm:presLayoutVars>
          <dgm:chMax val="0"/>
          <dgm:chPref val="0"/>
          <dgm:bulletEnabled val="1"/>
        </dgm:presLayoutVars>
      </dgm:prSet>
      <dgm:spPr/>
    </dgm:pt>
    <dgm:pt modelId="{89C285F8-ACD1-4211-B080-E5457740E8AA}" type="pres">
      <dgm:prSet presAssocID="{BF74E8CE-836A-4E01-95B5-E0C65AEDD3FD}" presName="wedge3" presStyleLbl="node1" presStyleIdx="2" presStyleCnt="3"/>
      <dgm:spPr/>
    </dgm:pt>
    <dgm:pt modelId="{7A2875A6-63D6-46B9-AADB-F5F3852FC5F0}" type="pres">
      <dgm:prSet presAssocID="{BF74E8CE-836A-4E01-95B5-E0C65AEDD3FD}" presName="wedge3Tx" presStyleLbl="node1" presStyleIdx="2" presStyleCnt="3">
        <dgm:presLayoutVars>
          <dgm:chMax val="0"/>
          <dgm:chPref val="0"/>
          <dgm:bulletEnabled val="1"/>
        </dgm:presLayoutVars>
      </dgm:prSet>
      <dgm:spPr/>
    </dgm:pt>
  </dgm:ptLst>
  <dgm:cxnLst>
    <dgm:cxn modelId="{EB1E8A06-A361-4DD7-820C-74CEED84A1FB}" type="presOf" srcId="{659DB68E-2949-40C2-8A92-B7845320051F}" destId="{B56554A7-ABE7-4697-AEC3-A9584821BC6B}" srcOrd="0" destOrd="0" presId="urn:microsoft.com/office/officeart/2005/8/layout/chart3"/>
    <dgm:cxn modelId="{BA166A07-03F3-4455-B756-4B6983214395}" srcId="{BF74E8CE-836A-4E01-95B5-E0C65AEDD3FD}" destId="{C501709C-373E-4D45-ACF9-62CA20216B17}" srcOrd="2" destOrd="0" parTransId="{0842047F-5292-447E-B3F1-E6A33794F25E}" sibTransId="{D3B7B142-DB79-4395-99A6-5C1A7CB57E4D}"/>
    <dgm:cxn modelId="{D3EAFE13-E929-475F-A1D3-3D910E45BCF1}" type="presOf" srcId="{659DB68E-2949-40C2-8A92-B7845320051F}" destId="{DD8CAF97-BC18-4B11-A15B-4C492CFF94A8}" srcOrd="1" destOrd="0" presId="urn:microsoft.com/office/officeart/2005/8/layout/chart3"/>
    <dgm:cxn modelId="{A2871369-0524-46B8-9C5E-259AC7B353A4}" type="presOf" srcId="{C501709C-373E-4D45-ACF9-62CA20216B17}" destId="{89C285F8-ACD1-4211-B080-E5457740E8AA}" srcOrd="0" destOrd="0" presId="urn:microsoft.com/office/officeart/2005/8/layout/chart3"/>
    <dgm:cxn modelId="{F5BF3974-0376-4F09-BA7F-C0401B6B6DFD}" type="presOf" srcId="{C501709C-373E-4D45-ACF9-62CA20216B17}" destId="{7A2875A6-63D6-46B9-AADB-F5F3852FC5F0}" srcOrd="1" destOrd="0" presId="urn:microsoft.com/office/officeart/2005/8/layout/chart3"/>
    <dgm:cxn modelId="{D822EA7C-B125-4BB2-ABAE-5AD3F892CB6A}" srcId="{BF74E8CE-836A-4E01-95B5-E0C65AEDD3FD}" destId="{659DB68E-2949-40C2-8A92-B7845320051F}" srcOrd="0" destOrd="0" parTransId="{FA5A2EA2-40BF-4D47-B49B-AA6A49D78F46}" sibTransId="{3F40D720-07B1-4CFF-AB0A-A61BA82032AD}"/>
    <dgm:cxn modelId="{484DFE88-A51F-44BE-BC18-E5BC4AC6D784}" type="presOf" srcId="{BF74E8CE-836A-4E01-95B5-E0C65AEDD3FD}" destId="{38A7BA3F-377B-45C5-A6AA-E9CFEF8702BE}" srcOrd="0" destOrd="0" presId="urn:microsoft.com/office/officeart/2005/8/layout/chart3"/>
    <dgm:cxn modelId="{E4A503E1-4D78-42F5-9528-416B4E04FA9D}" srcId="{BF74E8CE-836A-4E01-95B5-E0C65AEDD3FD}" destId="{4F961201-DB60-4927-B85F-B37C3DA6CFC7}" srcOrd="1" destOrd="0" parTransId="{B77A53F8-6E60-4EC2-AED3-B8BA1FE40387}" sibTransId="{90C9D292-7852-4274-8AFE-2FF96B872A4A}"/>
    <dgm:cxn modelId="{1F0799EE-7A95-4EF4-9A43-8F9D4A213948}" type="presOf" srcId="{4F961201-DB60-4927-B85F-B37C3DA6CFC7}" destId="{26B6BFF4-4164-4E8B-92E7-5A8B7A15C137}" srcOrd="1" destOrd="0" presId="urn:microsoft.com/office/officeart/2005/8/layout/chart3"/>
    <dgm:cxn modelId="{D1929EF2-7BF4-41C9-8BBB-CE5EF16FDABB}" type="presOf" srcId="{4F961201-DB60-4927-B85F-B37C3DA6CFC7}" destId="{005DB405-F3DB-43FE-B9E0-6BE070DC00C3}" srcOrd="0" destOrd="0" presId="urn:microsoft.com/office/officeart/2005/8/layout/chart3"/>
    <dgm:cxn modelId="{9B27ABC6-EC4D-4987-ADEE-B3E20E6B2E4B}" type="presParOf" srcId="{38A7BA3F-377B-45C5-A6AA-E9CFEF8702BE}" destId="{B56554A7-ABE7-4697-AEC3-A9584821BC6B}" srcOrd="0" destOrd="0" presId="urn:microsoft.com/office/officeart/2005/8/layout/chart3"/>
    <dgm:cxn modelId="{FD49C000-0ABC-4316-925E-433A63F233E1}" type="presParOf" srcId="{38A7BA3F-377B-45C5-A6AA-E9CFEF8702BE}" destId="{DD8CAF97-BC18-4B11-A15B-4C492CFF94A8}" srcOrd="1" destOrd="0" presId="urn:microsoft.com/office/officeart/2005/8/layout/chart3"/>
    <dgm:cxn modelId="{424F0420-675F-4BA5-B1A4-9383B202DF9D}" type="presParOf" srcId="{38A7BA3F-377B-45C5-A6AA-E9CFEF8702BE}" destId="{005DB405-F3DB-43FE-B9E0-6BE070DC00C3}" srcOrd="2" destOrd="0" presId="urn:microsoft.com/office/officeart/2005/8/layout/chart3"/>
    <dgm:cxn modelId="{B94BF89A-DA35-4D27-B79E-217D2A5B7406}" type="presParOf" srcId="{38A7BA3F-377B-45C5-A6AA-E9CFEF8702BE}" destId="{26B6BFF4-4164-4E8B-92E7-5A8B7A15C137}" srcOrd="3" destOrd="0" presId="urn:microsoft.com/office/officeart/2005/8/layout/chart3"/>
    <dgm:cxn modelId="{C1C29D0A-F264-4739-82AF-5F0F70DDC3C7}" type="presParOf" srcId="{38A7BA3F-377B-45C5-A6AA-E9CFEF8702BE}" destId="{89C285F8-ACD1-4211-B080-E5457740E8AA}" srcOrd="4" destOrd="0" presId="urn:microsoft.com/office/officeart/2005/8/layout/chart3"/>
    <dgm:cxn modelId="{910DE206-D994-4D2A-B4B8-E2130C332708}" type="presParOf" srcId="{38A7BA3F-377B-45C5-A6AA-E9CFEF8702BE}" destId="{7A2875A6-63D6-46B9-AADB-F5F3852FC5F0}" srcOrd="5" destOrd="0" presId="urn:microsoft.com/office/officeart/2005/8/layout/chart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0E8BF2B-ADEB-4FF2-8CF6-B49DBCC154A5}" type="doc">
      <dgm:prSet loTypeId="urn:microsoft.com/office/officeart/2011/layout/CircleProcess" loCatId="process" qsTypeId="urn:microsoft.com/office/officeart/2005/8/quickstyle/simple1" qsCatId="simple" csTypeId="urn:microsoft.com/office/officeart/2005/8/colors/colorful4" csCatId="colorful" phldr="1"/>
      <dgm:spPr/>
      <dgm:t>
        <a:bodyPr/>
        <a:lstStyle/>
        <a:p>
          <a:endParaRPr lang="en-GB"/>
        </a:p>
      </dgm:t>
    </dgm:pt>
    <dgm:pt modelId="{2A978B92-41F9-4E4D-9290-6E4CD7EF6CC0}">
      <dgm:prSet phldrT="[Text]"/>
      <dgm:spPr/>
      <dgm:t>
        <a:bodyPr/>
        <a:lstStyle/>
        <a:p>
          <a:r>
            <a:rPr lang="en-GB" b="1"/>
            <a:t>Expansion Strategies</a:t>
          </a:r>
          <a:endParaRPr lang="en-GB"/>
        </a:p>
      </dgm:t>
    </dgm:pt>
    <dgm:pt modelId="{41918BE3-65D8-48DB-9FE8-8680EA99A3B0}" type="parTrans" cxnId="{0F34148B-F150-4062-B753-D755ED13674B}">
      <dgm:prSet/>
      <dgm:spPr/>
      <dgm:t>
        <a:bodyPr/>
        <a:lstStyle/>
        <a:p>
          <a:endParaRPr lang="en-GB"/>
        </a:p>
      </dgm:t>
    </dgm:pt>
    <dgm:pt modelId="{CB63EA6A-F2AC-4D64-B831-5FA1405F9526}" type="sibTrans" cxnId="{0F34148B-F150-4062-B753-D755ED13674B}">
      <dgm:prSet/>
      <dgm:spPr/>
      <dgm:t>
        <a:bodyPr/>
        <a:lstStyle/>
        <a:p>
          <a:endParaRPr lang="en-GB"/>
        </a:p>
      </dgm:t>
    </dgm:pt>
    <dgm:pt modelId="{DF176E1B-50FB-4B21-BD6C-1695F49D7743}">
      <dgm:prSet phldrT="[Text]"/>
      <dgm:spPr/>
      <dgm:t>
        <a:bodyPr/>
        <a:lstStyle/>
        <a:p>
          <a:r>
            <a:rPr lang="en-GB" b="1"/>
            <a:t>Market Opportunities</a:t>
          </a:r>
          <a:endParaRPr lang="en-GB"/>
        </a:p>
      </dgm:t>
    </dgm:pt>
    <dgm:pt modelId="{F98A0778-8F39-4470-907B-8B19773DAE06}" type="parTrans" cxnId="{44844ED4-2C23-486B-9EEF-7DC4FAD5B85F}">
      <dgm:prSet/>
      <dgm:spPr/>
      <dgm:t>
        <a:bodyPr/>
        <a:lstStyle/>
        <a:p>
          <a:endParaRPr lang="en-GB"/>
        </a:p>
      </dgm:t>
    </dgm:pt>
    <dgm:pt modelId="{D82BE128-A0E1-4DC3-A504-7D9EF439F861}" type="sibTrans" cxnId="{44844ED4-2C23-486B-9EEF-7DC4FAD5B85F}">
      <dgm:prSet/>
      <dgm:spPr/>
      <dgm:t>
        <a:bodyPr/>
        <a:lstStyle/>
        <a:p>
          <a:endParaRPr lang="en-GB"/>
        </a:p>
      </dgm:t>
    </dgm:pt>
    <dgm:pt modelId="{F9E55FE1-664C-4969-A0D4-D3322909532D}">
      <dgm:prSet phldrT="[Text]"/>
      <dgm:spPr/>
      <dgm:t>
        <a:bodyPr/>
        <a:lstStyle/>
        <a:p>
          <a:r>
            <a:rPr lang="en-GB" b="1"/>
            <a:t>Potential Barriers to Growth</a:t>
          </a:r>
          <a:endParaRPr lang="en-GB"/>
        </a:p>
      </dgm:t>
    </dgm:pt>
    <dgm:pt modelId="{79392484-E2F2-4A80-A819-00D1FAB33F2E}" type="parTrans" cxnId="{54B4B8F9-88FD-4246-B06E-BAC9EA50E44A}">
      <dgm:prSet/>
      <dgm:spPr/>
      <dgm:t>
        <a:bodyPr/>
        <a:lstStyle/>
        <a:p>
          <a:endParaRPr lang="en-GB"/>
        </a:p>
      </dgm:t>
    </dgm:pt>
    <dgm:pt modelId="{DE619864-DFAA-469A-AB92-2A4298208CE4}" type="sibTrans" cxnId="{54B4B8F9-88FD-4246-B06E-BAC9EA50E44A}">
      <dgm:prSet/>
      <dgm:spPr/>
      <dgm:t>
        <a:bodyPr/>
        <a:lstStyle/>
        <a:p>
          <a:endParaRPr lang="en-GB"/>
        </a:p>
      </dgm:t>
    </dgm:pt>
    <dgm:pt modelId="{56259415-8D88-4FE9-BF7D-9EC29F04EF46}" type="pres">
      <dgm:prSet presAssocID="{B0E8BF2B-ADEB-4FF2-8CF6-B49DBCC154A5}" presName="Name0" presStyleCnt="0">
        <dgm:presLayoutVars>
          <dgm:chMax val="11"/>
          <dgm:chPref val="11"/>
          <dgm:dir/>
          <dgm:resizeHandles/>
        </dgm:presLayoutVars>
      </dgm:prSet>
      <dgm:spPr/>
    </dgm:pt>
    <dgm:pt modelId="{ED7ABDC1-C203-404D-9512-67B072CFFCE9}" type="pres">
      <dgm:prSet presAssocID="{F9E55FE1-664C-4969-A0D4-D3322909532D}" presName="Accent3" presStyleCnt="0"/>
      <dgm:spPr/>
    </dgm:pt>
    <dgm:pt modelId="{3E56CE69-77DF-4AB2-9DEC-70609451F0DD}" type="pres">
      <dgm:prSet presAssocID="{F9E55FE1-664C-4969-A0D4-D3322909532D}" presName="Accent" presStyleLbl="node1" presStyleIdx="0" presStyleCnt="3"/>
      <dgm:spPr/>
    </dgm:pt>
    <dgm:pt modelId="{A742B1FA-4EB9-434B-8D1E-E00941B6D279}" type="pres">
      <dgm:prSet presAssocID="{F9E55FE1-664C-4969-A0D4-D3322909532D}" presName="ParentBackground3" presStyleCnt="0"/>
      <dgm:spPr/>
    </dgm:pt>
    <dgm:pt modelId="{C70128F0-21CA-49B0-B09C-88DEFE3B40CE}" type="pres">
      <dgm:prSet presAssocID="{F9E55FE1-664C-4969-A0D4-D3322909532D}" presName="ParentBackground" presStyleLbl="fgAcc1" presStyleIdx="0" presStyleCnt="3"/>
      <dgm:spPr/>
    </dgm:pt>
    <dgm:pt modelId="{8F693D63-C3A0-4286-9926-7EF08D218A78}" type="pres">
      <dgm:prSet presAssocID="{F9E55FE1-664C-4969-A0D4-D3322909532D}" presName="Parent3" presStyleLbl="revTx" presStyleIdx="0" presStyleCnt="0">
        <dgm:presLayoutVars>
          <dgm:chMax val="1"/>
          <dgm:chPref val="1"/>
          <dgm:bulletEnabled val="1"/>
        </dgm:presLayoutVars>
      </dgm:prSet>
      <dgm:spPr/>
    </dgm:pt>
    <dgm:pt modelId="{72D22AE8-2AD6-4B6C-9FB2-95D0F5953360}" type="pres">
      <dgm:prSet presAssocID="{DF176E1B-50FB-4B21-BD6C-1695F49D7743}" presName="Accent2" presStyleCnt="0"/>
      <dgm:spPr/>
    </dgm:pt>
    <dgm:pt modelId="{61F693DA-4AFD-44B6-97BF-4F569074E6B4}" type="pres">
      <dgm:prSet presAssocID="{DF176E1B-50FB-4B21-BD6C-1695F49D7743}" presName="Accent" presStyleLbl="node1" presStyleIdx="1" presStyleCnt="3"/>
      <dgm:spPr/>
    </dgm:pt>
    <dgm:pt modelId="{AFB62BBD-DB91-40B9-B791-043B37FE68B2}" type="pres">
      <dgm:prSet presAssocID="{DF176E1B-50FB-4B21-BD6C-1695F49D7743}" presName="ParentBackground2" presStyleCnt="0"/>
      <dgm:spPr/>
    </dgm:pt>
    <dgm:pt modelId="{152473DD-9C2F-49FD-AE05-85AA191B3BF7}" type="pres">
      <dgm:prSet presAssocID="{DF176E1B-50FB-4B21-BD6C-1695F49D7743}" presName="ParentBackground" presStyleLbl="fgAcc1" presStyleIdx="1" presStyleCnt="3"/>
      <dgm:spPr/>
    </dgm:pt>
    <dgm:pt modelId="{8064CD78-28D8-4155-AD57-F1BB24E6A754}" type="pres">
      <dgm:prSet presAssocID="{DF176E1B-50FB-4B21-BD6C-1695F49D7743}" presName="Parent2" presStyleLbl="revTx" presStyleIdx="0" presStyleCnt="0">
        <dgm:presLayoutVars>
          <dgm:chMax val="1"/>
          <dgm:chPref val="1"/>
          <dgm:bulletEnabled val="1"/>
        </dgm:presLayoutVars>
      </dgm:prSet>
      <dgm:spPr/>
    </dgm:pt>
    <dgm:pt modelId="{B5EA2795-D429-432A-920F-75FBFEEFC7CC}" type="pres">
      <dgm:prSet presAssocID="{2A978B92-41F9-4E4D-9290-6E4CD7EF6CC0}" presName="Accent1" presStyleCnt="0"/>
      <dgm:spPr/>
    </dgm:pt>
    <dgm:pt modelId="{C72FCE2A-14BD-4ADA-9C0F-CE0BAAA31771}" type="pres">
      <dgm:prSet presAssocID="{2A978B92-41F9-4E4D-9290-6E4CD7EF6CC0}" presName="Accent" presStyleLbl="node1" presStyleIdx="2" presStyleCnt="3"/>
      <dgm:spPr/>
    </dgm:pt>
    <dgm:pt modelId="{F696CB99-E30B-4666-8B43-89C61708C841}" type="pres">
      <dgm:prSet presAssocID="{2A978B92-41F9-4E4D-9290-6E4CD7EF6CC0}" presName="ParentBackground1" presStyleCnt="0"/>
      <dgm:spPr/>
    </dgm:pt>
    <dgm:pt modelId="{0C2EF5BC-B718-4FEC-8ADC-DEFC3A0AFF94}" type="pres">
      <dgm:prSet presAssocID="{2A978B92-41F9-4E4D-9290-6E4CD7EF6CC0}" presName="ParentBackground" presStyleLbl="fgAcc1" presStyleIdx="2" presStyleCnt="3"/>
      <dgm:spPr/>
    </dgm:pt>
    <dgm:pt modelId="{344C993D-76B4-4237-B9B7-6F8F63355759}" type="pres">
      <dgm:prSet presAssocID="{2A978B92-41F9-4E4D-9290-6E4CD7EF6CC0}" presName="Parent1" presStyleLbl="revTx" presStyleIdx="0" presStyleCnt="0">
        <dgm:presLayoutVars>
          <dgm:chMax val="1"/>
          <dgm:chPref val="1"/>
          <dgm:bulletEnabled val="1"/>
        </dgm:presLayoutVars>
      </dgm:prSet>
      <dgm:spPr/>
    </dgm:pt>
  </dgm:ptLst>
  <dgm:cxnLst>
    <dgm:cxn modelId="{0FE8CE02-7013-4A9E-A0F0-4238620CA69C}" type="presOf" srcId="{2A978B92-41F9-4E4D-9290-6E4CD7EF6CC0}" destId="{344C993D-76B4-4237-B9B7-6F8F63355759}" srcOrd="1" destOrd="0" presId="urn:microsoft.com/office/officeart/2011/layout/CircleProcess"/>
    <dgm:cxn modelId="{80899622-7E74-45A0-B3CC-9F8D96E42627}" type="presOf" srcId="{F9E55FE1-664C-4969-A0D4-D3322909532D}" destId="{C70128F0-21CA-49B0-B09C-88DEFE3B40CE}" srcOrd="0" destOrd="0" presId="urn:microsoft.com/office/officeart/2011/layout/CircleProcess"/>
    <dgm:cxn modelId="{BAA7D75E-D0D6-4DB5-88E7-81C4DA9E80CE}" type="presOf" srcId="{DF176E1B-50FB-4B21-BD6C-1695F49D7743}" destId="{152473DD-9C2F-49FD-AE05-85AA191B3BF7}" srcOrd="0" destOrd="0" presId="urn:microsoft.com/office/officeart/2011/layout/CircleProcess"/>
    <dgm:cxn modelId="{00F94C68-2836-4AAB-9828-794B0F9B9F9B}" type="presOf" srcId="{2A978B92-41F9-4E4D-9290-6E4CD7EF6CC0}" destId="{0C2EF5BC-B718-4FEC-8ADC-DEFC3A0AFF94}" srcOrd="0" destOrd="0" presId="urn:microsoft.com/office/officeart/2011/layout/CircleProcess"/>
    <dgm:cxn modelId="{36B9826F-0C3A-4F9F-9DCF-FAB82B81F96F}" type="presOf" srcId="{F9E55FE1-664C-4969-A0D4-D3322909532D}" destId="{8F693D63-C3A0-4286-9926-7EF08D218A78}" srcOrd="1" destOrd="0" presId="urn:microsoft.com/office/officeart/2011/layout/CircleProcess"/>
    <dgm:cxn modelId="{0F34148B-F150-4062-B753-D755ED13674B}" srcId="{B0E8BF2B-ADEB-4FF2-8CF6-B49DBCC154A5}" destId="{2A978B92-41F9-4E4D-9290-6E4CD7EF6CC0}" srcOrd="0" destOrd="0" parTransId="{41918BE3-65D8-48DB-9FE8-8680EA99A3B0}" sibTransId="{CB63EA6A-F2AC-4D64-B831-5FA1405F9526}"/>
    <dgm:cxn modelId="{6D3258C1-6582-4C95-9561-4452321A7DEE}" type="presOf" srcId="{B0E8BF2B-ADEB-4FF2-8CF6-B49DBCC154A5}" destId="{56259415-8D88-4FE9-BF7D-9EC29F04EF46}" srcOrd="0" destOrd="0" presId="urn:microsoft.com/office/officeart/2011/layout/CircleProcess"/>
    <dgm:cxn modelId="{44844ED4-2C23-486B-9EEF-7DC4FAD5B85F}" srcId="{B0E8BF2B-ADEB-4FF2-8CF6-B49DBCC154A5}" destId="{DF176E1B-50FB-4B21-BD6C-1695F49D7743}" srcOrd="1" destOrd="0" parTransId="{F98A0778-8F39-4470-907B-8B19773DAE06}" sibTransId="{D82BE128-A0E1-4DC3-A504-7D9EF439F861}"/>
    <dgm:cxn modelId="{F372F4E8-A72C-4C0B-8C1A-81E05F53F07D}" type="presOf" srcId="{DF176E1B-50FB-4B21-BD6C-1695F49D7743}" destId="{8064CD78-28D8-4155-AD57-F1BB24E6A754}" srcOrd="1" destOrd="0" presId="urn:microsoft.com/office/officeart/2011/layout/CircleProcess"/>
    <dgm:cxn modelId="{54B4B8F9-88FD-4246-B06E-BAC9EA50E44A}" srcId="{B0E8BF2B-ADEB-4FF2-8CF6-B49DBCC154A5}" destId="{F9E55FE1-664C-4969-A0D4-D3322909532D}" srcOrd="2" destOrd="0" parTransId="{79392484-E2F2-4A80-A819-00D1FAB33F2E}" sibTransId="{DE619864-DFAA-469A-AB92-2A4298208CE4}"/>
    <dgm:cxn modelId="{F3D19DDC-EF51-4A52-9669-8A275CE8A22F}" type="presParOf" srcId="{56259415-8D88-4FE9-BF7D-9EC29F04EF46}" destId="{ED7ABDC1-C203-404D-9512-67B072CFFCE9}" srcOrd="0" destOrd="0" presId="urn:microsoft.com/office/officeart/2011/layout/CircleProcess"/>
    <dgm:cxn modelId="{2365B6DD-6164-4FDE-99A6-CE076F58BB27}" type="presParOf" srcId="{ED7ABDC1-C203-404D-9512-67B072CFFCE9}" destId="{3E56CE69-77DF-4AB2-9DEC-70609451F0DD}" srcOrd="0" destOrd="0" presId="urn:microsoft.com/office/officeart/2011/layout/CircleProcess"/>
    <dgm:cxn modelId="{BC6821D3-1732-48C7-806B-3DE96CDD2A71}" type="presParOf" srcId="{56259415-8D88-4FE9-BF7D-9EC29F04EF46}" destId="{A742B1FA-4EB9-434B-8D1E-E00941B6D279}" srcOrd="1" destOrd="0" presId="urn:microsoft.com/office/officeart/2011/layout/CircleProcess"/>
    <dgm:cxn modelId="{51177E60-6B44-4265-9CDF-809A33F3379C}" type="presParOf" srcId="{A742B1FA-4EB9-434B-8D1E-E00941B6D279}" destId="{C70128F0-21CA-49B0-B09C-88DEFE3B40CE}" srcOrd="0" destOrd="0" presId="urn:microsoft.com/office/officeart/2011/layout/CircleProcess"/>
    <dgm:cxn modelId="{69D0B41A-8257-4C52-A9CE-E03975CBB145}" type="presParOf" srcId="{56259415-8D88-4FE9-BF7D-9EC29F04EF46}" destId="{8F693D63-C3A0-4286-9926-7EF08D218A78}" srcOrd="2" destOrd="0" presId="urn:microsoft.com/office/officeart/2011/layout/CircleProcess"/>
    <dgm:cxn modelId="{9EB56CC2-6D0A-4F6D-BC94-D78C0B9B2C55}" type="presParOf" srcId="{56259415-8D88-4FE9-BF7D-9EC29F04EF46}" destId="{72D22AE8-2AD6-4B6C-9FB2-95D0F5953360}" srcOrd="3" destOrd="0" presId="urn:microsoft.com/office/officeart/2011/layout/CircleProcess"/>
    <dgm:cxn modelId="{8623C37F-AF04-4A62-A04D-12A78B51E140}" type="presParOf" srcId="{72D22AE8-2AD6-4B6C-9FB2-95D0F5953360}" destId="{61F693DA-4AFD-44B6-97BF-4F569074E6B4}" srcOrd="0" destOrd="0" presId="urn:microsoft.com/office/officeart/2011/layout/CircleProcess"/>
    <dgm:cxn modelId="{BFF624E0-9B0E-4BD8-B7DA-882744063D77}" type="presParOf" srcId="{56259415-8D88-4FE9-BF7D-9EC29F04EF46}" destId="{AFB62BBD-DB91-40B9-B791-043B37FE68B2}" srcOrd="4" destOrd="0" presId="urn:microsoft.com/office/officeart/2011/layout/CircleProcess"/>
    <dgm:cxn modelId="{A7659BCA-B9B9-48F3-A1F2-F29FA775BB84}" type="presParOf" srcId="{AFB62BBD-DB91-40B9-B791-043B37FE68B2}" destId="{152473DD-9C2F-49FD-AE05-85AA191B3BF7}" srcOrd="0" destOrd="0" presId="urn:microsoft.com/office/officeart/2011/layout/CircleProcess"/>
    <dgm:cxn modelId="{EE3B14BB-BBF1-4E77-8D39-E3FE1280CC1F}" type="presParOf" srcId="{56259415-8D88-4FE9-BF7D-9EC29F04EF46}" destId="{8064CD78-28D8-4155-AD57-F1BB24E6A754}" srcOrd="5" destOrd="0" presId="urn:microsoft.com/office/officeart/2011/layout/CircleProcess"/>
    <dgm:cxn modelId="{A629F7DA-B9D9-4EFB-8B9F-C2B41895760A}" type="presParOf" srcId="{56259415-8D88-4FE9-BF7D-9EC29F04EF46}" destId="{B5EA2795-D429-432A-920F-75FBFEEFC7CC}" srcOrd="6" destOrd="0" presId="urn:microsoft.com/office/officeart/2011/layout/CircleProcess"/>
    <dgm:cxn modelId="{460CA7D8-B156-4A0F-B593-E3DAC4E10846}" type="presParOf" srcId="{B5EA2795-D429-432A-920F-75FBFEEFC7CC}" destId="{C72FCE2A-14BD-4ADA-9C0F-CE0BAAA31771}" srcOrd="0" destOrd="0" presId="urn:microsoft.com/office/officeart/2011/layout/CircleProcess"/>
    <dgm:cxn modelId="{0332239C-4577-4CDD-97D9-BDE9D2C652EF}" type="presParOf" srcId="{56259415-8D88-4FE9-BF7D-9EC29F04EF46}" destId="{F696CB99-E30B-4666-8B43-89C61708C841}" srcOrd="7" destOrd="0" presId="urn:microsoft.com/office/officeart/2011/layout/CircleProcess"/>
    <dgm:cxn modelId="{EF90D3BF-CA0A-492F-8247-587ED3B30B78}" type="presParOf" srcId="{F696CB99-E30B-4666-8B43-89C61708C841}" destId="{0C2EF5BC-B718-4FEC-8ADC-DEFC3A0AFF94}" srcOrd="0" destOrd="0" presId="urn:microsoft.com/office/officeart/2011/layout/CircleProcess"/>
    <dgm:cxn modelId="{41852971-D0A6-4E41-9725-D6AF446C96C4}" type="presParOf" srcId="{56259415-8D88-4FE9-BF7D-9EC29F04EF46}" destId="{344C993D-76B4-4237-B9B7-6F8F63355759}" srcOrd="8" destOrd="0" presId="urn:microsoft.com/office/officeart/2011/layout/Circle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D405FC7-5FEA-497F-ACE2-70881F246BB0}"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GB"/>
        </a:p>
      </dgm:t>
    </dgm:pt>
    <dgm:pt modelId="{5FE4F198-3AA5-4C1E-9363-6EFAECE21374}">
      <dgm:prSet phldrT="[Text]" custT="1"/>
      <dgm:spPr/>
      <dgm:t>
        <a:bodyPr/>
        <a:lstStyle/>
        <a:p>
          <a:r>
            <a:rPr lang="en-GB" sz="2400" b="1"/>
            <a:t>Sustainability Practices</a:t>
          </a:r>
          <a:endParaRPr lang="en-GB" sz="2400"/>
        </a:p>
      </dgm:t>
    </dgm:pt>
    <dgm:pt modelId="{8D83966A-84E5-4EF3-AB0F-D12E94831B04}" type="parTrans" cxnId="{6AC205EC-B25E-4761-8D58-DF875F58C473}">
      <dgm:prSet/>
      <dgm:spPr/>
      <dgm:t>
        <a:bodyPr/>
        <a:lstStyle/>
        <a:p>
          <a:endParaRPr lang="en-GB"/>
        </a:p>
      </dgm:t>
    </dgm:pt>
    <dgm:pt modelId="{15C589B1-24E2-44B9-A2EF-4E6D770B34A4}" type="sibTrans" cxnId="{6AC205EC-B25E-4761-8D58-DF875F58C473}">
      <dgm:prSet/>
      <dgm:spPr/>
      <dgm:t>
        <a:bodyPr/>
        <a:lstStyle/>
        <a:p>
          <a:endParaRPr lang="en-GB" sz="1400"/>
        </a:p>
      </dgm:t>
    </dgm:pt>
    <dgm:pt modelId="{96194B9B-20A6-46AB-96FC-5AE0E8598B87}">
      <dgm:prSet phldrT="[Text]" custT="1"/>
      <dgm:spPr/>
      <dgm:t>
        <a:bodyPr/>
        <a:lstStyle/>
        <a:p>
          <a:r>
            <a:rPr lang="en-GB" sz="2400" b="1"/>
            <a:t>Community Engagement</a:t>
          </a:r>
          <a:endParaRPr lang="en-GB" sz="2400"/>
        </a:p>
      </dgm:t>
    </dgm:pt>
    <dgm:pt modelId="{A4400F65-CADF-4008-8A59-DAF1D191F21B}" type="parTrans" cxnId="{25FE65C1-28D8-472D-91BF-213AD5C46483}">
      <dgm:prSet/>
      <dgm:spPr/>
      <dgm:t>
        <a:bodyPr/>
        <a:lstStyle/>
        <a:p>
          <a:endParaRPr lang="en-GB"/>
        </a:p>
      </dgm:t>
    </dgm:pt>
    <dgm:pt modelId="{94B1BF5D-7F31-4318-8CC9-83DC964DB79C}" type="sibTrans" cxnId="{25FE65C1-28D8-472D-91BF-213AD5C46483}">
      <dgm:prSet/>
      <dgm:spPr/>
      <dgm:t>
        <a:bodyPr/>
        <a:lstStyle/>
        <a:p>
          <a:endParaRPr lang="en-GB"/>
        </a:p>
      </dgm:t>
    </dgm:pt>
    <dgm:pt modelId="{7A4EC0CE-3D85-4F28-9DF2-4F8185734617}">
      <dgm:prSet phldrT="[Text]" custT="1"/>
      <dgm:spPr/>
      <dgm:t>
        <a:bodyPr/>
        <a:lstStyle/>
        <a:p>
          <a:r>
            <a:rPr lang="en-GB" sz="2400" b="1"/>
            <a:t>Ethical Business Practices</a:t>
          </a:r>
          <a:endParaRPr lang="en-GB" sz="2400"/>
        </a:p>
      </dgm:t>
    </dgm:pt>
    <dgm:pt modelId="{5FC4C06F-58D7-472E-A900-B5904FEAE50E}" type="parTrans" cxnId="{04C473A4-6E26-45B8-9CBB-678FBE972B72}">
      <dgm:prSet/>
      <dgm:spPr/>
      <dgm:t>
        <a:bodyPr/>
        <a:lstStyle/>
        <a:p>
          <a:endParaRPr lang="en-GB"/>
        </a:p>
      </dgm:t>
    </dgm:pt>
    <dgm:pt modelId="{45876F59-2626-48EF-BDFD-443D0A0C55E1}" type="sibTrans" cxnId="{04C473A4-6E26-45B8-9CBB-678FBE972B72}">
      <dgm:prSet/>
      <dgm:spPr/>
      <dgm:t>
        <a:bodyPr/>
        <a:lstStyle/>
        <a:p>
          <a:endParaRPr lang="en-GB"/>
        </a:p>
      </dgm:t>
    </dgm:pt>
    <dgm:pt modelId="{56941570-D7A7-4D6E-80C5-C79262825179}" type="pres">
      <dgm:prSet presAssocID="{9D405FC7-5FEA-497F-ACE2-70881F246BB0}" presName="Name0" presStyleCnt="0">
        <dgm:presLayoutVars>
          <dgm:chMax val="7"/>
          <dgm:chPref val="7"/>
          <dgm:dir/>
        </dgm:presLayoutVars>
      </dgm:prSet>
      <dgm:spPr/>
    </dgm:pt>
    <dgm:pt modelId="{A118E029-A486-4B0C-BB74-6A3A9DE036C7}" type="pres">
      <dgm:prSet presAssocID="{9D405FC7-5FEA-497F-ACE2-70881F246BB0}" presName="Name1" presStyleCnt="0"/>
      <dgm:spPr/>
    </dgm:pt>
    <dgm:pt modelId="{60649128-F008-47AB-86E8-7B7DB17DF5E5}" type="pres">
      <dgm:prSet presAssocID="{9D405FC7-5FEA-497F-ACE2-70881F246BB0}" presName="cycle" presStyleCnt="0"/>
      <dgm:spPr/>
    </dgm:pt>
    <dgm:pt modelId="{E34A9F4D-39A8-45EC-B4D8-541E39BF177E}" type="pres">
      <dgm:prSet presAssocID="{9D405FC7-5FEA-497F-ACE2-70881F246BB0}" presName="srcNode" presStyleLbl="node1" presStyleIdx="0" presStyleCnt="3"/>
      <dgm:spPr/>
    </dgm:pt>
    <dgm:pt modelId="{FC72E7E0-CE3C-474E-86C8-9E7D399FF00C}" type="pres">
      <dgm:prSet presAssocID="{9D405FC7-5FEA-497F-ACE2-70881F246BB0}" presName="conn" presStyleLbl="parChTrans1D2" presStyleIdx="0" presStyleCnt="1"/>
      <dgm:spPr/>
    </dgm:pt>
    <dgm:pt modelId="{6E753EEE-3395-4BB9-A01E-428287C7F498}" type="pres">
      <dgm:prSet presAssocID="{9D405FC7-5FEA-497F-ACE2-70881F246BB0}" presName="extraNode" presStyleLbl="node1" presStyleIdx="0" presStyleCnt="3"/>
      <dgm:spPr/>
    </dgm:pt>
    <dgm:pt modelId="{52C9822A-83BF-429D-9D49-9D6119603140}" type="pres">
      <dgm:prSet presAssocID="{9D405FC7-5FEA-497F-ACE2-70881F246BB0}" presName="dstNode" presStyleLbl="node1" presStyleIdx="0" presStyleCnt="3"/>
      <dgm:spPr/>
    </dgm:pt>
    <dgm:pt modelId="{CCDD981E-A3C3-4379-A58F-891A1A9565F0}" type="pres">
      <dgm:prSet presAssocID="{5FE4F198-3AA5-4C1E-9363-6EFAECE21374}" presName="text_1" presStyleLbl="node1" presStyleIdx="0" presStyleCnt="3">
        <dgm:presLayoutVars>
          <dgm:bulletEnabled val="1"/>
        </dgm:presLayoutVars>
      </dgm:prSet>
      <dgm:spPr/>
    </dgm:pt>
    <dgm:pt modelId="{726C06E2-BD57-4B96-BC17-C025B9E6E4B7}" type="pres">
      <dgm:prSet presAssocID="{5FE4F198-3AA5-4C1E-9363-6EFAECE21374}" presName="accent_1" presStyleCnt="0"/>
      <dgm:spPr/>
    </dgm:pt>
    <dgm:pt modelId="{DE319647-964B-489A-89DA-E126A7C61F4E}" type="pres">
      <dgm:prSet presAssocID="{5FE4F198-3AA5-4C1E-9363-6EFAECE21374}" presName="accentRepeatNode" presStyleLbl="solidFgAcc1" presStyleIdx="0" presStyleCnt="3"/>
      <dgm:spPr/>
    </dgm:pt>
    <dgm:pt modelId="{A3E7C8F9-F64C-4D31-955E-85FBD1309934}" type="pres">
      <dgm:prSet presAssocID="{96194B9B-20A6-46AB-96FC-5AE0E8598B87}" presName="text_2" presStyleLbl="node1" presStyleIdx="1" presStyleCnt="3">
        <dgm:presLayoutVars>
          <dgm:bulletEnabled val="1"/>
        </dgm:presLayoutVars>
      </dgm:prSet>
      <dgm:spPr/>
    </dgm:pt>
    <dgm:pt modelId="{EABFDD54-74D3-4799-9266-1A06A8F4093A}" type="pres">
      <dgm:prSet presAssocID="{96194B9B-20A6-46AB-96FC-5AE0E8598B87}" presName="accent_2" presStyleCnt="0"/>
      <dgm:spPr/>
    </dgm:pt>
    <dgm:pt modelId="{30D4276D-CF14-45BB-8468-1EF8739CF3E7}" type="pres">
      <dgm:prSet presAssocID="{96194B9B-20A6-46AB-96FC-5AE0E8598B87}" presName="accentRepeatNode" presStyleLbl="solidFgAcc1" presStyleIdx="1" presStyleCnt="3"/>
      <dgm:spPr/>
    </dgm:pt>
    <dgm:pt modelId="{1C1BC5F7-6AE6-4F61-84F0-1B0DAD48962E}" type="pres">
      <dgm:prSet presAssocID="{7A4EC0CE-3D85-4F28-9DF2-4F8185734617}" presName="text_3" presStyleLbl="node1" presStyleIdx="2" presStyleCnt="3">
        <dgm:presLayoutVars>
          <dgm:bulletEnabled val="1"/>
        </dgm:presLayoutVars>
      </dgm:prSet>
      <dgm:spPr/>
    </dgm:pt>
    <dgm:pt modelId="{F3750A54-AE69-4AE5-BAB1-B36152548313}" type="pres">
      <dgm:prSet presAssocID="{7A4EC0CE-3D85-4F28-9DF2-4F8185734617}" presName="accent_3" presStyleCnt="0"/>
      <dgm:spPr/>
    </dgm:pt>
    <dgm:pt modelId="{84D23D20-04D9-41F4-B125-FED5514C7DB7}" type="pres">
      <dgm:prSet presAssocID="{7A4EC0CE-3D85-4F28-9DF2-4F8185734617}" presName="accentRepeatNode" presStyleLbl="solidFgAcc1" presStyleIdx="2" presStyleCnt="3"/>
      <dgm:spPr/>
    </dgm:pt>
  </dgm:ptLst>
  <dgm:cxnLst>
    <dgm:cxn modelId="{3160961A-0E28-4566-9F54-8EBD3F2EE8EE}" type="presOf" srcId="{15C589B1-24E2-44B9-A2EF-4E6D770B34A4}" destId="{FC72E7E0-CE3C-474E-86C8-9E7D399FF00C}" srcOrd="0" destOrd="0" presId="urn:microsoft.com/office/officeart/2008/layout/VerticalCurvedList"/>
    <dgm:cxn modelId="{81D85921-CBCD-4F0F-9975-AA1C5E6F2B34}" type="presOf" srcId="{9D405FC7-5FEA-497F-ACE2-70881F246BB0}" destId="{56941570-D7A7-4D6E-80C5-C79262825179}" srcOrd="0" destOrd="0" presId="urn:microsoft.com/office/officeart/2008/layout/VerticalCurvedList"/>
    <dgm:cxn modelId="{DC4D756A-1585-4019-B73D-B4564315AB67}" type="presOf" srcId="{7A4EC0CE-3D85-4F28-9DF2-4F8185734617}" destId="{1C1BC5F7-6AE6-4F61-84F0-1B0DAD48962E}" srcOrd="0" destOrd="0" presId="urn:microsoft.com/office/officeart/2008/layout/VerticalCurvedList"/>
    <dgm:cxn modelId="{04C473A4-6E26-45B8-9CBB-678FBE972B72}" srcId="{9D405FC7-5FEA-497F-ACE2-70881F246BB0}" destId="{7A4EC0CE-3D85-4F28-9DF2-4F8185734617}" srcOrd="2" destOrd="0" parTransId="{5FC4C06F-58D7-472E-A900-B5904FEAE50E}" sibTransId="{45876F59-2626-48EF-BDFD-443D0A0C55E1}"/>
    <dgm:cxn modelId="{C318D3A8-3D17-49FF-8571-5E67C27A00E2}" type="presOf" srcId="{5FE4F198-3AA5-4C1E-9363-6EFAECE21374}" destId="{CCDD981E-A3C3-4379-A58F-891A1A9565F0}" srcOrd="0" destOrd="0" presId="urn:microsoft.com/office/officeart/2008/layout/VerticalCurvedList"/>
    <dgm:cxn modelId="{55CE9EAF-9713-4268-8077-EC22D478CCB3}" type="presOf" srcId="{96194B9B-20A6-46AB-96FC-5AE0E8598B87}" destId="{A3E7C8F9-F64C-4D31-955E-85FBD1309934}" srcOrd="0" destOrd="0" presId="urn:microsoft.com/office/officeart/2008/layout/VerticalCurvedList"/>
    <dgm:cxn modelId="{25FE65C1-28D8-472D-91BF-213AD5C46483}" srcId="{9D405FC7-5FEA-497F-ACE2-70881F246BB0}" destId="{96194B9B-20A6-46AB-96FC-5AE0E8598B87}" srcOrd="1" destOrd="0" parTransId="{A4400F65-CADF-4008-8A59-DAF1D191F21B}" sibTransId="{94B1BF5D-7F31-4318-8CC9-83DC964DB79C}"/>
    <dgm:cxn modelId="{6AC205EC-B25E-4761-8D58-DF875F58C473}" srcId="{9D405FC7-5FEA-497F-ACE2-70881F246BB0}" destId="{5FE4F198-3AA5-4C1E-9363-6EFAECE21374}" srcOrd="0" destOrd="0" parTransId="{8D83966A-84E5-4EF3-AB0F-D12E94831B04}" sibTransId="{15C589B1-24E2-44B9-A2EF-4E6D770B34A4}"/>
    <dgm:cxn modelId="{B2B5A35F-0767-4607-BA96-C369E7C8C3C7}" type="presParOf" srcId="{56941570-D7A7-4D6E-80C5-C79262825179}" destId="{A118E029-A486-4B0C-BB74-6A3A9DE036C7}" srcOrd="0" destOrd="0" presId="urn:microsoft.com/office/officeart/2008/layout/VerticalCurvedList"/>
    <dgm:cxn modelId="{945487A2-BDE6-4534-A153-CC734ADEAEAD}" type="presParOf" srcId="{A118E029-A486-4B0C-BB74-6A3A9DE036C7}" destId="{60649128-F008-47AB-86E8-7B7DB17DF5E5}" srcOrd="0" destOrd="0" presId="urn:microsoft.com/office/officeart/2008/layout/VerticalCurvedList"/>
    <dgm:cxn modelId="{1EED3FB5-5D0F-4020-A932-42D344130A72}" type="presParOf" srcId="{60649128-F008-47AB-86E8-7B7DB17DF5E5}" destId="{E34A9F4D-39A8-45EC-B4D8-541E39BF177E}" srcOrd="0" destOrd="0" presId="urn:microsoft.com/office/officeart/2008/layout/VerticalCurvedList"/>
    <dgm:cxn modelId="{E53633BF-0F64-4F2D-9F16-A3A18FCE5B24}" type="presParOf" srcId="{60649128-F008-47AB-86E8-7B7DB17DF5E5}" destId="{FC72E7E0-CE3C-474E-86C8-9E7D399FF00C}" srcOrd="1" destOrd="0" presId="urn:microsoft.com/office/officeart/2008/layout/VerticalCurvedList"/>
    <dgm:cxn modelId="{D33CB02F-4AA9-4D95-8496-FFDD15CF67CE}" type="presParOf" srcId="{60649128-F008-47AB-86E8-7B7DB17DF5E5}" destId="{6E753EEE-3395-4BB9-A01E-428287C7F498}" srcOrd="2" destOrd="0" presId="urn:microsoft.com/office/officeart/2008/layout/VerticalCurvedList"/>
    <dgm:cxn modelId="{E8AE2363-CE59-4856-A309-C64DDCF20A80}" type="presParOf" srcId="{60649128-F008-47AB-86E8-7B7DB17DF5E5}" destId="{52C9822A-83BF-429D-9D49-9D6119603140}" srcOrd="3" destOrd="0" presId="urn:microsoft.com/office/officeart/2008/layout/VerticalCurvedList"/>
    <dgm:cxn modelId="{9201EB37-F9F2-4D8E-AA53-0B5041DE1DE0}" type="presParOf" srcId="{A118E029-A486-4B0C-BB74-6A3A9DE036C7}" destId="{CCDD981E-A3C3-4379-A58F-891A1A9565F0}" srcOrd="1" destOrd="0" presId="urn:microsoft.com/office/officeart/2008/layout/VerticalCurvedList"/>
    <dgm:cxn modelId="{904C6BDE-B880-411D-9685-8C4F4EB2EB7C}" type="presParOf" srcId="{A118E029-A486-4B0C-BB74-6A3A9DE036C7}" destId="{726C06E2-BD57-4B96-BC17-C025B9E6E4B7}" srcOrd="2" destOrd="0" presId="urn:microsoft.com/office/officeart/2008/layout/VerticalCurvedList"/>
    <dgm:cxn modelId="{E852FEA7-4255-465F-BC56-CA5A10A9019B}" type="presParOf" srcId="{726C06E2-BD57-4B96-BC17-C025B9E6E4B7}" destId="{DE319647-964B-489A-89DA-E126A7C61F4E}" srcOrd="0" destOrd="0" presId="urn:microsoft.com/office/officeart/2008/layout/VerticalCurvedList"/>
    <dgm:cxn modelId="{2FBD17D5-892E-4440-AF1E-186A887C3C13}" type="presParOf" srcId="{A118E029-A486-4B0C-BB74-6A3A9DE036C7}" destId="{A3E7C8F9-F64C-4D31-955E-85FBD1309934}" srcOrd="3" destOrd="0" presId="urn:microsoft.com/office/officeart/2008/layout/VerticalCurvedList"/>
    <dgm:cxn modelId="{8AC0D7B2-2A41-457C-B377-F07317EBC77D}" type="presParOf" srcId="{A118E029-A486-4B0C-BB74-6A3A9DE036C7}" destId="{EABFDD54-74D3-4799-9266-1A06A8F4093A}" srcOrd="4" destOrd="0" presId="urn:microsoft.com/office/officeart/2008/layout/VerticalCurvedList"/>
    <dgm:cxn modelId="{D8DAA74E-EFEE-42FB-B0B9-A09F8BE509C4}" type="presParOf" srcId="{EABFDD54-74D3-4799-9266-1A06A8F4093A}" destId="{30D4276D-CF14-45BB-8468-1EF8739CF3E7}" srcOrd="0" destOrd="0" presId="urn:microsoft.com/office/officeart/2008/layout/VerticalCurvedList"/>
    <dgm:cxn modelId="{EDD6C375-7859-4968-A7EA-D8067898BA58}" type="presParOf" srcId="{A118E029-A486-4B0C-BB74-6A3A9DE036C7}" destId="{1C1BC5F7-6AE6-4F61-84F0-1B0DAD48962E}" srcOrd="5" destOrd="0" presId="urn:microsoft.com/office/officeart/2008/layout/VerticalCurvedList"/>
    <dgm:cxn modelId="{25CADAA9-9DBE-46B3-B56A-D48924324E75}" type="presParOf" srcId="{A118E029-A486-4B0C-BB74-6A3A9DE036C7}" destId="{F3750A54-AE69-4AE5-BAB1-B36152548313}" srcOrd="6" destOrd="0" presId="urn:microsoft.com/office/officeart/2008/layout/VerticalCurvedList"/>
    <dgm:cxn modelId="{520F059A-7D33-411D-9AC0-B4BA11783523}" type="presParOf" srcId="{F3750A54-AE69-4AE5-BAB1-B36152548313}" destId="{84D23D20-04D9-41F4-B125-FED5514C7DB7}" srcOrd="0" destOrd="0" presId="urn:microsoft.com/office/officeart/2008/layout/VerticalCurved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6554A7-ABE7-4697-AEC3-A9584821BC6B}">
      <dsp:nvSpPr>
        <dsp:cNvPr id="0" name=""/>
        <dsp:cNvSpPr/>
      </dsp:nvSpPr>
      <dsp:spPr>
        <a:xfrm>
          <a:off x="1677870" y="216026"/>
          <a:ext cx="2688336" cy="2688336"/>
        </a:xfrm>
        <a:prstGeom prst="pie">
          <a:avLst>
            <a:gd name="adj1" fmla="val 16200000"/>
            <a:gd name="adj2" fmla="val 180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Customer Demographics</a:t>
          </a:r>
          <a:endParaRPr lang="en-GB" sz="1100" kern="1200"/>
        </a:p>
      </dsp:txBody>
      <dsp:txXfrm>
        <a:off x="3139493" y="712089"/>
        <a:ext cx="912114" cy="896112"/>
      </dsp:txXfrm>
    </dsp:sp>
    <dsp:sp modelId="{005DB405-F3DB-43FE-B9E0-6BE070DC00C3}">
      <dsp:nvSpPr>
        <dsp:cNvPr id="0" name=""/>
        <dsp:cNvSpPr/>
      </dsp:nvSpPr>
      <dsp:spPr>
        <a:xfrm>
          <a:off x="1539293" y="296036"/>
          <a:ext cx="2688336" cy="2688336"/>
        </a:xfrm>
        <a:prstGeom prst="pie">
          <a:avLst>
            <a:gd name="adj1" fmla="val 1800000"/>
            <a:gd name="adj2" fmla="val 9000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Brand Perception</a:t>
          </a:r>
          <a:endParaRPr lang="en-GB" sz="1100" kern="1200"/>
        </a:p>
      </dsp:txBody>
      <dsp:txXfrm>
        <a:off x="2275385" y="1992249"/>
        <a:ext cx="1216152" cy="832104"/>
      </dsp:txXfrm>
    </dsp:sp>
    <dsp:sp modelId="{89C285F8-ACD1-4211-B080-E5457740E8AA}">
      <dsp:nvSpPr>
        <dsp:cNvPr id="0" name=""/>
        <dsp:cNvSpPr/>
      </dsp:nvSpPr>
      <dsp:spPr>
        <a:xfrm>
          <a:off x="1539293" y="296036"/>
          <a:ext cx="2688336" cy="2688336"/>
        </a:xfrm>
        <a:prstGeom prst="pie">
          <a:avLst>
            <a:gd name="adj1" fmla="val 9000000"/>
            <a:gd name="adj2" fmla="val 1620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Market Share</a:t>
          </a:r>
          <a:endParaRPr lang="en-GB" sz="1100" kern="1200"/>
        </a:p>
      </dsp:txBody>
      <dsp:txXfrm>
        <a:off x="1827329" y="824102"/>
        <a:ext cx="912114" cy="8961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56CE69-77DF-4AB2-9DEC-70609451F0DD}">
      <dsp:nvSpPr>
        <dsp:cNvPr id="0" name=""/>
        <dsp:cNvSpPr/>
      </dsp:nvSpPr>
      <dsp:spPr>
        <a:xfrm>
          <a:off x="3911685" y="562198"/>
          <a:ext cx="1489249" cy="1489524"/>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70128F0-21CA-49B0-B09C-88DEFE3B40CE}">
      <dsp:nvSpPr>
        <dsp:cNvPr id="0" name=""/>
        <dsp:cNvSpPr/>
      </dsp:nvSpPr>
      <dsp:spPr>
        <a:xfrm>
          <a:off x="3961133" y="611857"/>
          <a:ext cx="1390353" cy="1390205"/>
        </a:xfrm>
        <a:prstGeom prst="ellipse">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Potential Barriers to Growth</a:t>
          </a:r>
          <a:endParaRPr lang="en-GB" sz="1300" kern="1200"/>
        </a:p>
      </dsp:txBody>
      <dsp:txXfrm>
        <a:off x="4159893" y="810495"/>
        <a:ext cx="992832" cy="992929"/>
      </dsp:txXfrm>
    </dsp:sp>
    <dsp:sp modelId="{61F693DA-4AFD-44B6-97BF-4F569074E6B4}">
      <dsp:nvSpPr>
        <dsp:cNvPr id="0" name=""/>
        <dsp:cNvSpPr/>
      </dsp:nvSpPr>
      <dsp:spPr>
        <a:xfrm rot="2700000">
          <a:off x="2374297" y="563998"/>
          <a:ext cx="1485662" cy="1485662"/>
        </a:xfrm>
        <a:prstGeom prst="teardrop">
          <a:avLst>
            <a:gd name="adj" fmla="val 100000"/>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52473DD-9C2F-49FD-AE05-85AA191B3BF7}">
      <dsp:nvSpPr>
        <dsp:cNvPr id="0" name=""/>
        <dsp:cNvSpPr/>
      </dsp:nvSpPr>
      <dsp:spPr>
        <a:xfrm>
          <a:off x="2421951" y="611857"/>
          <a:ext cx="1390353" cy="1390205"/>
        </a:xfrm>
        <a:prstGeom prst="ellipse">
          <a:avLst/>
        </a:prstGeom>
        <a:solidFill>
          <a:schemeClr val="lt1">
            <a:alpha val="90000"/>
            <a:hueOff val="0"/>
            <a:satOff val="0"/>
            <a:lumOff val="0"/>
            <a:alphaOff val="0"/>
          </a:schemeClr>
        </a:solidFill>
        <a:ln w="25400" cap="flat" cmpd="sng" algn="ctr">
          <a:solidFill>
            <a:schemeClr val="accent4">
              <a:hueOff val="-2232385"/>
              <a:satOff val="13449"/>
              <a:lumOff val="107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Market Opportunities</a:t>
          </a:r>
          <a:endParaRPr lang="en-GB" sz="1300" kern="1200"/>
        </a:p>
      </dsp:txBody>
      <dsp:txXfrm>
        <a:off x="2620712" y="810495"/>
        <a:ext cx="992832" cy="992929"/>
      </dsp:txXfrm>
    </dsp:sp>
    <dsp:sp modelId="{C72FCE2A-14BD-4ADA-9C0F-CE0BAAA31771}">
      <dsp:nvSpPr>
        <dsp:cNvPr id="0" name=""/>
        <dsp:cNvSpPr/>
      </dsp:nvSpPr>
      <dsp:spPr>
        <a:xfrm rot="2700000">
          <a:off x="835115" y="563998"/>
          <a:ext cx="1485662" cy="1485662"/>
        </a:xfrm>
        <a:prstGeom prst="teardrop">
          <a:avLst>
            <a:gd name="adj" fmla="val 100000"/>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C2EF5BC-B718-4FEC-8ADC-DEFC3A0AFF94}">
      <dsp:nvSpPr>
        <dsp:cNvPr id="0" name=""/>
        <dsp:cNvSpPr/>
      </dsp:nvSpPr>
      <dsp:spPr>
        <a:xfrm>
          <a:off x="882769" y="611857"/>
          <a:ext cx="1390353" cy="1390205"/>
        </a:xfrm>
        <a:prstGeom prst="ellipse">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Expansion Strategies</a:t>
          </a:r>
          <a:endParaRPr lang="en-GB" sz="1300" kern="1200"/>
        </a:p>
      </dsp:txBody>
      <dsp:txXfrm>
        <a:off x="1081530" y="810495"/>
        <a:ext cx="992832" cy="99292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72E7E0-CE3C-474E-86C8-9E7D399FF00C}">
      <dsp:nvSpPr>
        <dsp:cNvPr id="0" name=""/>
        <dsp:cNvSpPr/>
      </dsp:nvSpPr>
      <dsp:spPr>
        <a:xfrm>
          <a:off x="-3617274" y="-555868"/>
          <a:ext cx="4312137" cy="4312137"/>
        </a:xfrm>
        <a:prstGeom prst="blockArc">
          <a:avLst>
            <a:gd name="adj1" fmla="val 18900000"/>
            <a:gd name="adj2" fmla="val 2700000"/>
            <a:gd name="adj3" fmla="val 501"/>
          </a:avLst>
        </a:pr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CDD981E-A3C3-4379-A58F-891A1A9565F0}">
      <dsp:nvSpPr>
        <dsp:cNvPr id="0" name=""/>
        <dsp:cNvSpPr/>
      </dsp:nvSpPr>
      <dsp:spPr>
        <a:xfrm>
          <a:off x="446834" y="320040"/>
          <a:ext cx="5417118" cy="640080"/>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60960" rIns="60960" bIns="60960" numCol="1" spcCol="1270" anchor="ctr" anchorCtr="0">
          <a:noAutofit/>
        </a:bodyPr>
        <a:lstStyle/>
        <a:p>
          <a:pPr marL="0" lvl="0" indent="0" algn="l" defTabSz="1066800">
            <a:lnSpc>
              <a:spcPct val="90000"/>
            </a:lnSpc>
            <a:spcBef>
              <a:spcPct val="0"/>
            </a:spcBef>
            <a:spcAft>
              <a:spcPct val="35000"/>
            </a:spcAft>
            <a:buNone/>
          </a:pPr>
          <a:r>
            <a:rPr lang="en-GB" sz="2400" b="1" kern="1200"/>
            <a:t>Sustainability Practices</a:t>
          </a:r>
          <a:endParaRPr lang="en-GB" sz="2400" kern="1200"/>
        </a:p>
      </dsp:txBody>
      <dsp:txXfrm>
        <a:off x="446834" y="320040"/>
        <a:ext cx="5417118" cy="640080"/>
      </dsp:txXfrm>
    </dsp:sp>
    <dsp:sp modelId="{DE319647-964B-489A-89DA-E126A7C61F4E}">
      <dsp:nvSpPr>
        <dsp:cNvPr id="0" name=""/>
        <dsp:cNvSpPr/>
      </dsp:nvSpPr>
      <dsp:spPr>
        <a:xfrm>
          <a:off x="46784" y="240030"/>
          <a:ext cx="800100" cy="800100"/>
        </a:xfrm>
        <a:prstGeom prst="ellipse">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3E7C8F9-F64C-4D31-955E-85FBD1309934}">
      <dsp:nvSpPr>
        <dsp:cNvPr id="0" name=""/>
        <dsp:cNvSpPr/>
      </dsp:nvSpPr>
      <dsp:spPr>
        <a:xfrm>
          <a:off x="679503" y="1280160"/>
          <a:ext cx="5184449" cy="640080"/>
        </a:xfrm>
        <a:prstGeom prst="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60960" rIns="60960" bIns="60960" numCol="1" spcCol="1270" anchor="ctr" anchorCtr="0">
          <a:noAutofit/>
        </a:bodyPr>
        <a:lstStyle/>
        <a:p>
          <a:pPr marL="0" lvl="0" indent="0" algn="l" defTabSz="1066800">
            <a:lnSpc>
              <a:spcPct val="90000"/>
            </a:lnSpc>
            <a:spcBef>
              <a:spcPct val="0"/>
            </a:spcBef>
            <a:spcAft>
              <a:spcPct val="35000"/>
            </a:spcAft>
            <a:buNone/>
          </a:pPr>
          <a:r>
            <a:rPr lang="en-GB" sz="2400" b="1" kern="1200"/>
            <a:t>Community Engagement</a:t>
          </a:r>
          <a:endParaRPr lang="en-GB" sz="2400" kern="1200"/>
        </a:p>
      </dsp:txBody>
      <dsp:txXfrm>
        <a:off x="679503" y="1280160"/>
        <a:ext cx="5184449" cy="640080"/>
      </dsp:txXfrm>
    </dsp:sp>
    <dsp:sp modelId="{30D4276D-CF14-45BB-8468-1EF8739CF3E7}">
      <dsp:nvSpPr>
        <dsp:cNvPr id="0" name=""/>
        <dsp:cNvSpPr/>
      </dsp:nvSpPr>
      <dsp:spPr>
        <a:xfrm>
          <a:off x="279453" y="1200150"/>
          <a:ext cx="800100" cy="800100"/>
        </a:xfrm>
        <a:prstGeom prst="ellipse">
          <a:avLst/>
        </a:prstGeom>
        <a:solidFill>
          <a:schemeClr val="lt1">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sp>
    <dsp:sp modelId="{1C1BC5F7-6AE6-4F61-84F0-1B0DAD48962E}">
      <dsp:nvSpPr>
        <dsp:cNvPr id="0" name=""/>
        <dsp:cNvSpPr/>
      </dsp:nvSpPr>
      <dsp:spPr>
        <a:xfrm>
          <a:off x="446834" y="2240280"/>
          <a:ext cx="5417118" cy="640080"/>
        </a:xfrm>
        <a:prstGeom prst="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60960" rIns="60960" bIns="60960" numCol="1" spcCol="1270" anchor="ctr" anchorCtr="0">
          <a:noAutofit/>
        </a:bodyPr>
        <a:lstStyle/>
        <a:p>
          <a:pPr marL="0" lvl="0" indent="0" algn="l" defTabSz="1066800">
            <a:lnSpc>
              <a:spcPct val="90000"/>
            </a:lnSpc>
            <a:spcBef>
              <a:spcPct val="0"/>
            </a:spcBef>
            <a:spcAft>
              <a:spcPct val="35000"/>
            </a:spcAft>
            <a:buNone/>
          </a:pPr>
          <a:r>
            <a:rPr lang="en-GB" sz="2400" b="1" kern="1200"/>
            <a:t>Ethical Business Practices</a:t>
          </a:r>
          <a:endParaRPr lang="en-GB" sz="2400" kern="1200"/>
        </a:p>
      </dsp:txBody>
      <dsp:txXfrm>
        <a:off x="446834" y="2240280"/>
        <a:ext cx="5417118" cy="640080"/>
      </dsp:txXfrm>
    </dsp:sp>
    <dsp:sp modelId="{84D23D20-04D9-41F4-B125-FED5514C7DB7}">
      <dsp:nvSpPr>
        <dsp:cNvPr id="0" name=""/>
        <dsp:cNvSpPr/>
      </dsp:nvSpPr>
      <dsp:spPr>
        <a:xfrm>
          <a:off x="46784" y="2160270"/>
          <a:ext cx="800100" cy="800100"/>
        </a:xfrm>
        <a:prstGeom prst="ellipse">
          <a:avLst/>
        </a:prstGeom>
        <a:solidFill>
          <a:schemeClr val="lt1">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2.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3061</Words>
  <Characters>17452</Characters>
  <Application>Microsoft Office Word</Application>
  <DocSecurity>0</DocSecurity>
  <Lines>145</Lines>
  <Paragraphs>40</Paragraphs>
  <ScaleCrop>false</ScaleCrop>
  <Company/>
  <LinksUpToDate>false</LinksUpToDate>
  <CharactersWithSpaces>20473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Adriana Daciana Petran (2210809)</cp:lastModifiedBy>
  <cp:revision>2</cp:revision>
  <dcterms:created xsi:type="dcterms:W3CDTF">2024-01-29T18:11:00Z</dcterms:created>
  <dcterms:modified xsi:type="dcterms:W3CDTF">2024-01-29T18:12:00Z</dcterms:modified>
</cp:coreProperties>
</file>