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FB8ED" w14:textId="77777777" w:rsidR="00703225" w:rsidRDefault="00C42D25" w:rsidP="00703225">
      <w:pPr>
        <w:spacing w:line="276" w:lineRule="auto"/>
        <w:jc w:val="left"/>
        <w:rPr>
          <w:lang w:val="en-IN"/>
        </w:rPr>
      </w:pPr>
      <w:r w:rsidRPr="00703225">
        <w:rPr>
          <w:noProof/>
          <w:lang w:val="en-IN" w:eastAsia="en-IN"/>
        </w:rPr>
        <w:drawing>
          <wp:inline distT="0" distB="0" distL="0" distR="0" wp14:anchorId="7DD732E3" wp14:editId="43C81711">
            <wp:extent cx="1798320" cy="71932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19090" cy="727636"/>
                    </a:xfrm>
                    <a:prstGeom prst="rect">
                      <a:avLst/>
                    </a:prstGeom>
                  </pic:spPr>
                </pic:pic>
              </a:graphicData>
            </a:graphic>
          </wp:inline>
        </w:drawing>
      </w:r>
    </w:p>
    <w:p w14:paraId="3F265ED9" w14:textId="77777777" w:rsidR="00703225" w:rsidRDefault="00703225" w:rsidP="00703225">
      <w:pPr>
        <w:spacing w:line="276" w:lineRule="auto"/>
        <w:jc w:val="center"/>
        <w:rPr>
          <w:lang w:val="en-IN"/>
        </w:rPr>
      </w:pPr>
    </w:p>
    <w:p w14:paraId="3E118353" w14:textId="77777777" w:rsidR="00703225" w:rsidRDefault="00703225" w:rsidP="00703225">
      <w:pPr>
        <w:spacing w:line="276" w:lineRule="auto"/>
        <w:jc w:val="center"/>
        <w:rPr>
          <w:lang w:val="en-IN"/>
        </w:rPr>
      </w:pPr>
    </w:p>
    <w:p w14:paraId="40E7CE7C" w14:textId="77777777" w:rsidR="00703225" w:rsidRDefault="00703225" w:rsidP="00703225">
      <w:pPr>
        <w:spacing w:line="276" w:lineRule="auto"/>
        <w:jc w:val="center"/>
        <w:rPr>
          <w:lang w:val="en-IN"/>
        </w:rPr>
      </w:pPr>
    </w:p>
    <w:p w14:paraId="17E941E4" w14:textId="77777777" w:rsidR="00703225" w:rsidRPr="00703225" w:rsidRDefault="00C42D25" w:rsidP="00703225">
      <w:pPr>
        <w:jc w:val="center"/>
        <w:rPr>
          <w:b/>
          <w:sz w:val="40"/>
          <w:lang w:val="en-IN"/>
        </w:rPr>
      </w:pPr>
      <w:r w:rsidRPr="00703225">
        <w:rPr>
          <w:b/>
          <w:sz w:val="40"/>
          <w:lang w:val="en-IN"/>
        </w:rPr>
        <w:t>Module Title: Criminal Law – Assignment 1</w:t>
      </w:r>
    </w:p>
    <w:p w14:paraId="6A918F4F" w14:textId="77777777" w:rsidR="00703225" w:rsidRPr="00703225" w:rsidRDefault="00C42D25" w:rsidP="00703225">
      <w:pPr>
        <w:jc w:val="center"/>
        <w:rPr>
          <w:b/>
          <w:sz w:val="40"/>
          <w:lang w:val="en-IN"/>
        </w:rPr>
      </w:pPr>
      <w:r w:rsidRPr="00703225">
        <w:rPr>
          <w:b/>
          <w:sz w:val="32"/>
          <w:lang w:val="en-IN"/>
        </w:rPr>
        <w:t>Assignment Title: Liability by Omission</w:t>
      </w:r>
    </w:p>
    <w:p w14:paraId="6D33AE7A" w14:textId="6CE55828" w:rsidR="00703225" w:rsidRDefault="00C42D25" w:rsidP="00703225">
      <w:pPr>
        <w:jc w:val="center"/>
        <w:rPr>
          <w:lang w:val="en-IN"/>
        </w:rPr>
      </w:pPr>
      <w:r>
        <w:rPr>
          <w:lang w:val="en-IN"/>
        </w:rPr>
        <w:t>Student Name:</w:t>
      </w:r>
      <w:r w:rsidR="003E276A">
        <w:rPr>
          <w:lang w:val="en-IN"/>
        </w:rPr>
        <w:t xml:space="preserve"> Lidia </w:t>
      </w:r>
      <w:proofErr w:type="spellStart"/>
      <w:r w:rsidR="003E276A">
        <w:rPr>
          <w:lang w:val="en-IN"/>
        </w:rPr>
        <w:t>Florea</w:t>
      </w:r>
      <w:proofErr w:type="spellEnd"/>
    </w:p>
    <w:p w14:paraId="72B963EC" w14:textId="06E7ADCF" w:rsidR="004F168C" w:rsidRDefault="00C42D25" w:rsidP="00703225">
      <w:pPr>
        <w:jc w:val="center"/>
        <w:rPr>
          <w:lang w:val="en-IN"/>
        </w:rPr>
      </w:pPr>
      <w:r>
        <w:rPr>
          <w:lang w:val="en-IN"/>
        </w:rPr>
        <w:t xml:space="preserve">Student </w:t>
      </w:r>
      <w:r w:rsidR="003E276A">
        <w:rPr>
          <w:lang w:val="en-IN"/>
        </w:rPr>
        <w:t>NO: 2130552</w:t>
      </w:r>
    </w:p>
    <w:p w14:paraId="4D3B3A43" w14:textId="77777777" w:rsidR="004F168C" w:rsidRDefault="00C42D25">
      <w:pPr>
        <w:spacing w:line="276" w:lineRule="auto"/>
        <w:jc w:val="left"/>
        <w:rPr>
          <w:lang w:val="en-IN"/>
        </w:rPr>
      </w:pPr>
      <w:r>
        <w:rPr>
          <w:lang w:val="en-IN"/>
        </w:rPr>
        <w:br w:type="page"/>
      </w:r>
    </w:p>
    <w:sdt>
      <w:sdtPr>
        <w:rPr>
          <w:rFonts w:ascii="Times New Roman" w:eastAsiaTheme="minorHAnsi" w:hAnsi="Times New Roman" w:cstheme="minorBidi"/>
          <w:color w:val="auto"/>
          <w:sz w:val="24"/>
          <w:szCs w:val="22"/>
          <w:lang w:val="en-GB"/>
        </w:rPr>
        <w:id w:val="-2110500634"/>
        <w:docPartObj>
          <w:docPartGallery w:val="Table of Contents"/>
          <w:docPartUnique/>
        </w:docPartObj>
      </w:sdtPr>
      <w:sdtEndPr>
        <w:rPr>
          <w:b/>
          <w:bCs/>
          <w:noProof/>
        </w:rPr>
      </w:sdtEndPr>
      <w:sdtContent>
        <w:p w14:paraId="7436FAF9" w14:textId="77777777" w:rsidR="004F168C" w:rsidRDefault="00C42D25">
          <w:pPr>
            <w:pStyle w:val="TOCHeading"/>
          </w:pPr>
          <w:r>
            <w:t>Table of Contents</w:t>
          </w:r>
        </w:p>
        <w:p w14:paraId="7C470C1A" w14:textId="77777777" w:rsidR="00625604" w:rsidRDefault="00C42D25">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17366485" w:history="1">
            <w:r w:rsidR="00625604" w:rsidRPr="00C34ADC">
              <w:rPr>
                <w:rStyle w:val="Hyperlink"/>
                <w:noProof/>
                <w:lang w:val="en-IN"/>
              </w:rPr>
              <w:t>Introduction</w:t>
            </w:r>
            <w:r w:rsidR="00625604">
              <w:rPr>
                <w:noProof/>
                <w:webHidden/>
              </w:rPr>
              <w:tab/>
            </w:r>
            <w:r w:rsidR="00625604">
              <w:rPr>
                <w:noProof/>
                <w:webHidden/>
              </w:rPr>
              <w:fldChar w:fldCharType="begin"/>
            </w:r>
            <w:r w:rsidR="00625604">
              <w:rPr>
                <w:noProof/>
                <w:webHidden/>
              </w:rPr>
              <w:instrText xml:space="preserve"> PAGEREF _Toc117366485 \h </w:instrText>
            </w:r>
            <w:r w:rsidR="00625604">
              <w:rPr>
                <w:noProof/>
                <w:webHidden/>
              </w:rPr>
            </w:r>
            <w:r w:rsidR="00625604">
              <w:rPr>
                <w:noProof/>
                <w:webHidden/>
              </w:rPr>
              <w:fldChar w:fldCharType="separate"/>
            </w:r>
            <w:r w:rsidR="00625604">
              <w:rPr>
                <w:noProof/>
                <w:webHidden/>
              </w:rPr>
              <w:t>3</w:t>
            </w:r>
            <w:r w:rsidR="00625604">
              <w:rPr>
                <w:noProof/>
                <w:webHidden/>
              </w:rPr>
              <w:fldChar w:fldCharType="end"/>
            </w:r>
          </w:hyperlink>
        </w:p>
        <w:p w14:paraId="4CA84625" w14:textId="77777777" w:rsidR="00625604" w:rsidRDefault="00000000">
          <w:pPr>
            <w:pStyle w:val="TOC1"/>
            <w:tabs>
              <w:tab w:val="right" w:leader="dot" w:pos="9016"/>
            </w:tabs>
            <w:rPr>
              <w:rFonts w:asciiTheme="minorHAnsi" w:eastAsiaTheme="minorEastAsia" w:hAnsiTheme="minorHAnsi"/>
              <w:noProof/>
              <w:sz w:val="22"/>
              <w:lang w:val="en-IN" w:eastAsia="en-IN"/>
            </w:rPr>
          </w:pPr>
          <w:hyperlink w:anchor="_Toc117366486" w:history="1">
            <w:r w:rsidR="00625604" w:rsidRPr="00C34ADC">
              <w:rPr>
                <w:rStyle w:val="Hyperlink"/>
                <w:noProof/>
                <w:lang w:val="en-IN"/>
              </w:rPr>
              <w:t>Discussion</w:t>
            </w:r>
            <w:r w:rsidR="00625604">
              <w:rPr>
                <w:noProof/>
                <w:webHidden/>
              </w:rPr>
              <w:tab/>
            </w:r>
            <w:r w:rsidR="00625604">
              <w:rPr>
                <w:noProof/>
                <w:webHidden/>
              </w:rPr>
              <w:fldChar w:fldCharType="begin"/>
            </w:r>
            <w:r w:rsidR="00625604">
              <w:rPr>
                <w:noProof/>
                <w:webHidden/>
              </w:rPr>
              <w:instrText xml:space="preserve"> PAGEREF _Toc117366486 \h </w:instrText>
            </w:r>
            <w:r w:rsidR="00625604">
              <w:rPr>
                <w:noProof/>
                <w:webHidden/>
              </w:rPr>
            </w:r>
            <w:r w:rsidR="00625604">
              <w:rPr>
                <w:noProof/>
                <w:webHidden/>
              </w:rPr>
              <w:fldChar w:fldCharType="separate"/>
            </w:r>
            <w:r w:rsidR="00625604">
              <w:rPr>
                <w:noProof/>
                <w:webHidden/>
              </w:rPr>
              <w:t>4</w:t>
            </w:r>
            <w:r w:rsidR="00625604">
              <w:rPr>
                <w:noProof/>
                <w:webHidden/>
              </w:rPr>
              <w:fldChar w:fldCharType="end"/>
            </w:r>
          </w:hyperlink>
        </w:p>
        <w:p w14:paraId="6E97C74A" w14:textId="77777777" w:rsidR="00625604" w:rsidRDefault="00000000">
          <w:pPr>
            <w:pStyle w:val="TOC2"/>
            <w:tabs>
              <w:tab w:val="right" w:leader="dot" w:pos="9016"/>
            </w:tabs>
            <w:rPr>
              <w:rFonts w:asciiTheme="minorHAnsi" w:eastAsiaTheme="minorEastAsia" w:hAnsiTheme="minorHAnsi"/>
              <w:noProof/>
              <w:sz w:val="22"/>
              <w:lang w:val="en-IN" w:eastAsia="en-IN"/>
            </w:rPr>
          </w:pPr>
          <w:hyperlink w:anchor="_Toc117366487" w:history="1">
            <w:r w:rsidR="00625604" w:rsidRPr="00C34ADC">
              <w:rPr>
                <w:rStyle w:val="Hyperlink"/>
                <w:noProof/>
                <w:lang w:val="en-IN"/>
              </w:rPr>
              <w:t>Part of a crime that failure to act can be related to</w:t>
            </w:r>
            <w:r w:rsidR="00625604">
              <w:rPr>
                <w:noProof/>
                <w:webHidden/>
              </w:rPr>
              <w:tab/>
            </w:r>
            <w:r w:rsidR="00625604">
              <w:rPr>
                <w:noProof/>
                <w:webHidden/>
              </w:rPr>
              <w:fldChar w:fldCharType="begin"/>
            </w:r>
            <w:r w:rsidR="00625604">
              <w:rPr>
                <w:noProof/>
                <w:webHidden/>
              </w:rPr>
              <w:instrText xml:space="preserve"> PAGEREF _Toc117366487 \h </w:instrText>
            </w:r>
            <w:r w:rsidR="00625604">
              <w:rPr>
                <w:noProof/>
                <w:webHidden/>
              </w:rPr>
            </w:r>
            <w:r w:rsidR="00625604">
              <w:rPr>
                <w:noProof/>
                <w:webHidden/>
              </w:rPr>
              <w:fldChar w:fldCharType="separate"/>
            </w:r>
            <w:r w:rsidR="00625604">
              <w:rPr>
                <w:noProof/>
                <w:webHidden/>
              </w:rPr>
              <w:t>4</w:t>
            </w:r>
            <w:r w:rsidR="00625604">
              <w:rPr>
                <w:noProof/>
                <w:webHidden/>
              </w:rPr>
              <w:fldChar w:fldCharType="end"/>
            </w:r>
          </w:hyperlink>
        </w:p>
        <w:p w14:paraId="4FC55785" w14:textId="77777777" w:rsidR="00625604" w:rsidRDefault="00000000">
          <w:pPr>
            <w:pStyle w:val="TOC2"/>
            <w:tabs>
              <w:tab w:val="right" w:leader="dot" w:pos="9016"/>
            </w:tabs>
            <w:rPr>
              <w:rFonts w:asciiTheme="minorHAnsi" w:eastAsiaTheme="minorEastAsia" w:hAnsiTheme="minorHAnsi"/>
              <w:noProof/>
              <w:sz w:val="22"/>
              <w:lang w:val="en-IN" w:eastAsia="en-IN"/>
            </w:rPr>
          </w:pPr>
          <w:hyperlink w:anchor="_Toc117366488" w:history="1">
            <w:r w:rsidR="00625604" w:rsidRPr="00C34ADC">
              <w:rPr>
                <w:rStyle w:val="Hyperlink"/>
                <w:noProof/>
                <w:lang w:val="en-IN"/>
              </w:rPr>
              <w:t>General duty to act in criminal law context</w:t>
            </w:r>
            <w:r w:rsidR="00625604">
              <w:rPr>
                <w:noProof/>
                <w:webHidden/>
              </w:rPr>
              <w:tab/>
            </w:r>
            <w:r w:rsidR="00625604">
              <w:rPr>
                <w:noProof/>
                <w:webHidden/>
              </w:rPr>
              <w:fldChar w:fldCharType="begin"/>
            </w:r>
            <w:r w:rsidR="00625604">
              <w:rPr>
                <w:noProof/>
                <w:webHidden/>
              </w:rPr>
              <w:instrText xml:space="preserve"> PAGEREF _Toc117366488 \h </w:instrText>
            </w:r>
            <w:r w:rsidR="00625604">
              <w:rPr>
                <w:noProof/>
                <w:webHidden/>
              </w:rPr>
            </w:r>
            <w:r w:rsidR="00625604">
              <w:rPr>
                <w:noProof/>
                <w:webHidden/>
              </w:rPr>
              <w:fldChar w:fldCharType="separate"/>
            </w:r>
            <w:r w:rsidR="00625604">
              <w:rPr>
                <w:noProof/>
                <w:webHidden/>
              </w:rPr>
              <w:t>4</w:t>
            </w:r>
            <w:r w:rsidR="00625604">
              <w:rPr>
                <w:noProof/>
                <w:webHidden/>
              </w:rPr>
              <w:fldChar w:fldCharType="end"/>
            </w:r>
          </w:hyperlink>
        </w:p>
        <w:p w14:paraId="60BB6A0C" w14:textId="77777777" w:rsidR="00625604" w:rsidRDefault="00000000">
          <w:pPr>
            <w:pStyle w:val="TOC2"/>
            <w:tabs>
              <w:tab w:val="right" w:leader="dot" w:pos="9016"/>
            </w:tabs>
            <w:rPr>
              <w:rFonts w:asciiTheme="minorHAnsi" w:eastAsiaTheme="minorEastAsia" w:hAnsiTheme="minorHAnsi"/>
              <w:noProof/>
              <w:sz w:val="22"/>
              <w:lang w:val="en-IN" w:eastAsia="en-IN"/>
            </w:rPr>
          </w:pPr>
          <w:hyperlink w:anchor="_Toc117366489" w:history="1">
            <w:r w:rsidR="00625604" w:rsidRPr="00C34ADC">
              <w:rPr>
                <w:rStyle w:val="Hyperlink"/>
                <w:noProof/>
                <w:lang w:val="en-IN"/>
              </w:rPr>
              <w:t>Requirements for any crime to be executed by omission</w:t>
            </w:r>
            <w:r w:rsidR="00625604">
              <w:rPr>
                <w:noProof/>
                <w:webHidden/>
              </w:rPr>
              <w:tab/>
            </w:r>
            <w:r w:rsidR="00625604">
              <w:rPr>
                <w:noProof/>
                <w:webHidden/>
              </w:rPr>
              <w:fldChar w:fldCharType="begin"/>
            </w:r>
            <w:r w:rsidR="00625604">
              <w:rPr>
                <w:noProof/>
                <w:webHidden/>
              </w:rPr>
              <w:instrText xml:space="preserve"> PAGEREF _Toc117366489 \h </w:instrText>
            </w:r>
            <w:r w:rsidR="00625604">
              <w:rPr>
                <w:noProof/>
                <w:webHidden/>
              </w:rPr>
            </w:r>
            <w:r w:rsidR="00625604">
              <w:rPr>
                <w:noProof/>
                <w:webHidden/>
              </w:rPr>
              <w:fldChar w:fldCharType="separate"/>
            </w:r>
            <w:r w:rsidR="00625604">
              <w:rPr>
                <w:noProof/>
                <w:webHidden/>
              </w:rPr>
              <w:t>5</w:t>
            </w:r>
            <w:r w:rsidR="00625604">
              <w:rPr>
                <w:noProof/>
                <w:webHidden/>
              </w:rPr>
              <w:fldChar w:fldCharType="end"/>
            </w:r>
          </w:hyperlink>
        </w:p>
        <w:p w14:paraId="10E03B4F" w14:textId="77777777" w:rsidR="00625604" w:rsidRDefault="00000000">
          <w:pPr>
            <w:pStyle w:val="TOC2"/>
            <w:tabs>
              <w:tab w:val="right" w:leader="dot" w:pos="9016"/>
            </w:tabs>
            <w:rPr>
              <w:rFonts w:asciiTheme="minorHAnsi" w:eastAsiaTheme="minorEastAsia" w:hAnsiTheme="minorHAnsi"/>
              <w:noProof/>
              <w:sz w:val="22"/>
              <w:lang w:val="en-IN" w:eastAsia="en-IN"/>
            </w:rPr>
          </w:pPr>
          <w:hyperlink w:anchor="_Toc117366490" w:history="1">
            <w:r w:rsidR="00625604" w:rsidRPr="00C34ADC">
              <w:rPr>
                <w:rStyle w:val="Hyperlink"/>
                <w:noProof/>
                <w:lang w:val="en-IN"/>
              </w:rPr>
              <w:t>The statutory duty to act</w:t>
            </w:r>
            <w:r w:rsidR="00625604">
              <w:rPr>
                <w:noProof/>
                <w:webHidden/>
              </w:rPr>
              <w:tab/>
            </w:r>
            <w:r w:rsidR="00625604">
              <w:rPr>
                <w:noProof/>
                <w:webHidden/>
              </w:rPr>
              <w:fldChar w:fldCharType="begin"/>
            </w:r>
            <w:r w:rsidR="00625604">
              <w:rPr>
                <w:noProof/>
                <w:webHidden/>
              </w:rPr>
              <w:instrText xml:space="preserve"> PAGEREF _Toc117366490 \h </w:instrText>
            </w:r>
            <w:r w:rsidR="00625604">
              <w:rPr>
                <w:noProof/>
                <w:webHidden/>
              </w:rPr>
            </w:r>
            <w:r w:rsidR="00625604">
              <w:rPr>
                <w:noProof/>
                <w:webHidden/>
              </w:rPr>
              <w:fldChar w:fldCharType="separate"/>
            </w:r>
            <w:r w:rsidR="00625604">
              <w:rPr>
                <w:noProof/>
                <w:webHidden/>
              </w:rPr>
              <w:t>5</w:t>
            </w:r>
            <w:r w:rsidR="00625604">
              <w:rPr>
                <w:noProof/>
                <w:webHidden/>
              </w:rPr>
              <w:fldChar w:fldCharType="end"/>
            </w:r>
          </w:hyperlink>
        </w:p>
        <w:p w14:paraId="054FFD3A" w14:textId="77777777" w:rsidR="00625604" w:rsidRDefault="00000000">
          <w:pPr>
            <w:pStyle w:val="TOC2"/>
            <w:tabs>
              <w:tab w:val="right" w:leader="dot" w:pos="9016"/>
            </w:tabs>
            <w:rPr>
              <w:rFonts w:asciiTheme="minorHAnsi" w:eastAsiaTheme="minorEastAsia" w:hAnsiTheme="minorHAnsi"/>
              <w:noProof/>
              <w:sz w:val="22"/>
              <w:lang w:val="en-IN" w:eastAsia="en-IN"/>
            </w:rPr>
          </w:pPr>
          <w:hyperlink w:anchor="_Toc117366491" w:history="1">
            <w:r w:rsidR="00625604" w:rsidRPr="00C34ADC">
              <w:rPr>
                <w:rStyle w:val="Hyperlink"/>
                <w:noProof/>
              </w:rPr>
              <w:t>Presence of a contractual duty based on office</w:t>
            </w:r>
            <w:r w:rsidR="00625604">
              <w:rPr>
                <w:noProof/>
                <w:webHidden/>
              </w:rPr>
              <w:tab/>
            </w:r>
            <w:r w:rsidR="00625604">
              <w:rPr>
                <w:noProof/>
                <w:webHidden/>
              </w:rPr>
              <w:fldChar w:fldCharType="begin"/>
            </w:r>
            <w:r w:rsidR="00625604">
              <w:rPr>
                <w:noProof/>
                <w:webHidden/>
              </w:rPr>
              <w:instrText xml:space="preserve"> PAGEREF _Toc117366491 \h </w:instrText>
            </w:r>
            <w:r w:rsidR="00625604">
              <w:rPr>
                <w:noProof/>
                <w:webHidden/>
              </w:rPr>
            </w:r>
            <w:r w:rsidR="00625604">
              <w:rPr>
                <w:noProof/>
                <w:webHidden/>
              </w:rPr>
              <w:fldChar w:fldCharType="separate"/>
            </w:r>
            <w:r w:rsidR="00625604">
              <w:rPr>
                <w:noProof/>
                <w:webHidden/>
              </w:rPr>
              <w:t>6</w:t>
            </w:r>
            <w:r w:rsidR="00625604">
              <w:rPr>
                <w:noProof/>
                <w:webHidden/>
              </w:rPr>
              <w:fldChar w:fldCharType="end"/>
            </w:r>
          </w:hyperlink>
        </w:p>
        <w:p w14:paraId="68B23E09" w14:textId="77777777" w:rsidR="00625604" w:rsidRDefault="00000000">
          <w:pPr>
            <w:pStyle w:val="TOC2"/>
            <w:tabs>
              <w:tab w:val="right" w:leader="dot" w:pos="9016"/>
            </w:tabs>
            <w:rPr>
              <w:rFonts w:asciiTheme="minorHAnsi" w:eastAsiaTheme="minorEastAsia" w:hAnsiTheme="minorHAnsi"/>
              <w:noProof/>
              <w:sz w:val="22"/>
              <w:lang w:val="en-IN" w:eastAsia="en-IN"/>
            </w:rPr>
          </w:pPr>
          <w:hyperlink w:anchor="_Toc117366492" w:history="1">
            <w:r w:rsidR="00625604" w:rsidRPr="00C34ADC">
              <w:rPr>
                <w:rStyle w:val="Hyperlink"/>
                <w:noProof/>
              </w:rPr>
              <w:t>Common law duty to act</w:t>
            </w:r>
            <w:r w:rsidR="00625604">
              <w:rPr>
                <w:noProof/>
                <w:webHidden/>
              </w:rPr>
              <w:tab/>
            </w:r>
            <w:r w:rsidR="00625604">
              <w:rPr>
                <w:noProof/>
                <w:webHidden/>
              </w:rPr>
              <w:fldChar w:fldCharType="begin"/>
            </w:r>
            <w:r w:rsidR="00625604">
              <w:rPr>
                <w:noProof/>
                <w:webHidden/>
              </w:rPr>
              <w:instrText xml:space="preserve"> PAGEREF _Toc117366492 \h </w:instrText>
            </w:r>
            <w:r w:rsidR="00625604">
              <w:rPr>
                <w:noProof/>
                <w:webHidden/>
              </w:rPr>
            </w:r>
            <w:r w:rsidR="00625604">
              <w:rPr>
                <w:noProof/>
                <w:webHidden/>
              </w:rPr>
              <w:fldChar w:fldCharType="separate"/>
            </w:r>
            <w:r w:rsidR="00625604">
              <w:rPr>
                <w:noProof/>
                <w:webHidden/>
              </w:rPr>
              <w:t>6</w:t>
            </w:r>
            <w:r w:rsidR="00625604">
              <w:rPr>
                <w:noProof/>
                <w:webHidden/>
              </w:rPr>
              <w:fldChar w:fldCharType="end"/>
            </w:r>
          </w:hyperlink>
        </w:p>
        <w:p w14:paraId="1902C04E" w14:textId="77777777" w:rsidR="00625604" w:rsidRDefault="00000000">
          <w:pPr>
            <w:pStyle w:val="TOC2"/>
            <w:tabs>
              <w:tab w:val="right" w:leader="dot" w:pos="9016"/>
            </w:tabs>
            <w:rPr>
              <w:rFonts w:asciiTheme="minorHAnsi" w:eastAsiaTheme="minorEastAsia" w:hAnsiTheme="minorHAnsi"/>
              <w:noProof/>
              <w:sz w:val="22"/>
              <w:lang w:val="en-IN" w:eastAsia="en-IN"/>
            </w:rPr>
          </w:pPr>
          <w:hyperlink w:anchor="_Toc117366493" w:history="1">
            <w:r w:rsidR="00625604" w:rsidRPr="00C34ADC">
              <w:rPr>
                <w:rStyle w:val="Hyperlink"/>
                <w:noProof/>
              </w:rPr>
              <w:t>Stopping a duty to act stop</w:t>
            </w:r>
            <w:r w:rsidR="00625604">
              <w:rPr>
                <w:noProof/>
                <w:webHidden/>
              </w:rPr>
              <w:tab/>
            </w:r>
            <w:r w:rsidR="00625604">
              <w:rPr>
                <w:noProof/>
                <w:webHidden/>
              </w:rPr>
              <w:fldChar w:fldCharType="begin"/>
            </w:r>
            <w:r w:rsidR="00625604">
              <w:rPr>
                <w:noProof/>
                <w:webHidden/>
              </w:rPr>
              <w:instrText xml:space="preserve"> PAGEREF _Toc117366493 \h </w:instrText>
            </w:r>
            <w:r w:rsidR="00625604">
              <w:rPr>
                <w:noProof/>
                <w:webHidden/>
              </w:rPr>
            </w:r>
            <w:r w:rsidR="00625604">
              <w:rPr>
                <w:noProof/>
                <w:webHidden/>
              </w:rPr>
              <w:fldChar w:fldCharType="separate"/>
            </w:r>
            <w:r w:rsidR="00625604">
              <w:rPr>
                <w:noProof/>
                <w:webHidden/>
              </w:rPr>
              <w:t>6</w:t>
            </w:r>
            <w:r w:rsidR="00625604">
              <w:rPr>
                <w:noProof/>
                <w:webHidden/>
              </w:rPr>
              <w:fldChar w:fldCharType="end"/>
            </w:r>
          </w:hyperlink>
        </w:p>
        <w:p w14:paraId="19982C6E" w14:textId="77777777" w:rsidR="00625604" w:rsidRDefault="00000000">
          <w:pPr>
            <w:pStyle w:val="TOC2"/>
            <w:tabs>
              <w:tab w:val="right" w:leader="dot" w:pos="9016"/>
            </w:tabs>
            <w:rPr>
              <w:rFonts w:asciiTheme="minorHAnsi" w:eastAsiaTheme="minorEastAsia" w:hAnsiTheme="minorHAnsi"/>
              <w:noProof/>
              <w:sz w:val="22"/>
              <w:lang w:val="en-IN" w:eastAsia="en-IN"/>
            </w:rPr>
          </w:pPr>
          <w:hyperlink w:anchor="_Toc117366494" w:history="1">
            <w:r w:rsidR="00625604" w:rsidRPr="00C34ADC">
              <w:rPr>
                <w:rStyle w:val="Hyperlink"/>
                <w:noProof/>
              </w:rPr>
              <w:t>Benefits and drawbacks to the general duty to act</w:t>
            </w:r>
            <w:r w:rsidR="00625604">
              <w:rPr>
                <w:noProof/>
                <w:webHidden/>
              </w:rPr>
              <w:tab/>
            </w:r>
            <w:r w:rsidR="00625604">
              <w:rPr>
                <w:noProof/>
                <w:webHidden/>
              </w:rPr>
              <w:fldChar w:fldCharType="begin"/>
            </w:r>
            <w:r w:rsidR="00625604">
              <w:rPr>
                <w:noProof/>
                <w:webHidden/>
              </w:rPr>
              <w:instrText xml:space="preserve"> PAGEREF _Toc117366494 \h </w:instrText>
            </w:r>
            <w:r w:rsidR="00625604">
              <w:rPr>
                <w:noProof/>
                <w:webHidden/>
              </w:rPr>
            </w:r>
            <w:r w:rsidR="00625604">
              <w:rPr>
                <w:noProof/>
                <w:webHidden/>
              </w:rPr>
              <w:fldChar w:fldCharType="separate"/>
            </w:r>
            <w:r w:rsidR="00625604">
              <w:rPr>
                <w:noProof/>
                <w:webHidden/>
              </w:rPr>
              <w:t>7</w:t>
            </w:r>
            <w:r w:rsidR="00625604">
              <w:rPr>
                <w:noProof/>
                <w:webHidden/>
              </w:rPr>
              <w:fldChar w:fldCharType="end"/>
            </w:r>
          </w:hyperlink>
        </w:p>
        <w:p w14:paraId="7DED455C" w14:textId="77777777" w:rsidR="00625604" w:rsidRDefault="00000000">
          <w:pPr>
            <w:pStyle w:val="TOC1"/>
            <w:tabs>
              <w:tab w:val="right" w:leader="dot" w:pos="9016"/>
            </w:tabs>
            <w:rPr>
              <w:rFonts w:asciiTheme="minorHAnsi" w:eastAsiaTheme="minorEastAsia" w:hAnsiTheme="minorHAnsi"/>
              <w:noProof/>
              <w:sz w:val="22"/>
              <w:lang w:val="en-IN" w:eastAsia="en-IN"/>
            </w:rPr>
          </w:pPr>
          <w:hyperlink w:anchor="_Toc117366495" w:history="1">
            <w:r w:rsidR="00625604" w:rsidRPr="00C34ADC">
              <w:rPr>
                <w:rStyle w:val="Hyperlink"/>
                <w:noProof/>
              </w:rPr>
              <w:t>Conclusion</w:t>
            </w:r>
            <w:r w:rsidR="00625604">
              <w:rPr>
                <w:noProof/>
                <w:webHidden/>
              </w:rPr>
              <w:tab/>
            </w:r>
            <w:r w:rsidR="00625604">
              <w:rPr>
                <w:noProof/>
                <w:webHidden/>
              </w:rPr>
              <w:fldChar w:fldCharType="begin"/>
            </w:r>
            <w:r w:rsidR="00625604">
              <w:rPr>
                <w:noProof/>
                <w:webHidden/>
              </w:rPr>
              <w:instrText xml:space="preserve"> PAGEREF _Toc117366495 \h </w:instrText>
            </w:r>
            <w:r w:rsidR="00625604">
              <w:rPr>
                <w:noProof/>
                <w:webHidden/>
              </w:rPr>
            </w:r>
            <w:r w:rsidR="00625604">
              <w:rPr>
                <w:noProof/>
                <w:webHidden/>
              </w:rPr>
              <w:fldChar w:fldCharType="separate"/>
            </w:r>
            <w:r w:rsidR="00625604">
              <w:rPr>
                <w:noProof/>
                <w:webHidden/>
              </w:rPr>
              <w:t>8</w:t>
            </w:r>
            <w:r w:rsidR="00625604">
              <w:rPr>
                <w:noProof/>
                <w:webHidden/>
              </w:rPr>
              <w:fldChar w:fldCharType="end"/>
            </w:r>
          </w:hyperlink>
        </w:p>
        <w:p w14:paraId="128ACC9E" w14:textId="77777777" w:rsidR="00625604" w:rsidRDefault="00000000">
          <w:pPr>
            <w:pStyle w:val="TOC1"/>
            <w:tabs>
              <w:tab w:val="right" w:leader="dot" w:pos="9016"/>
            </w:tabs>
            <w:rPr>
              <w:rFonts w:asciiTheme="minorHAnsi" w:eastAsiaTheme="minorEastAsia" w:hAnsiTheme="minorHAnsi"/>
              <w:noProof/>
              <w:sz w:val="22"/>
              <w:lang w:val="en-IN" w:eastAsia="en-IN"/>
            </w:rPr>
          </w:pPr>
          <w:hyperlink w:anchor="_Toc117366496" w:history="1">
            <w:r w:rsidR="00625604" w:rsidRPr="00C34ADC">
              <w:rPr>
                <w:rStyle w:val="Hyperlink"/>
                <w:noProof/>
              </w:rPr>
              <w:t>References</w:t>
            </w:r>
            <w:r w:rsidR="00625604">
              <w:rPr>
                <w:noProof/>
                <w:webHidden/>
              </w:rPr>
              <w:tab/>
            </w:r>
            <w:r w:rsidR="00625604">
              <w:rPr>
                <w:noProof/>
                <w:webHidden/>
              </w:rPr>
              <w:fldChar w:fldCharType="begin"/>
            </w:r>
            <w:r w:rsidR="00625604">
              <w:rPr>
                <w:noProof/>
                <w:webHidden/>
              </w:rPr>
              <w:instrText xml:space="preserve"> PAGEREF _Toc117366496 \h </w:instrText>
            </w:r>
            <w:r w:rsidR="00625604">
              <w:rPr>
                <w:noProof/>
                <w:webHidden/>
              </w:rPr>
            </w:r>
            <w:r w:rsidR="00625604">
              <w:rPr>
                <w:noProof/>
                <w:webHidden/>
              </w:rPr>
              <w:fldChar w:fldCharType="separate"/>
            </w:r>
            <w:r w:rsidR="00625604">
              <w:rPr>
                <w:noProof/>
                <w:webHidden/>
              </w:rPr>
              <w:t>9</w:t>
            </w:r>
            <w:r w:rsidR="00625604">
              <w:rPr>
                <w:noProof/>
                <w:webHidden/>
              </w:rPr>
              <w:fldChar w:fldCharType="end"/>
            </w:r>
          </w:hyperlink>
        </w:p>
        <w:p w14:paraId="71D875FA" w14:textId="77777777" w:rsidR="004F168C" w:rsidRDefault="00C42D25">
          <w:r>
            <w:rPr>
              <w:b/>
              <w:bCs/>
              <w:noProof/>
            </w:rPr>
            <w:fldChar w:fldCharType="end"/>
          </w:r>
        </w:p>
      </w:sdtContent>
    </w:sdt>
    <w:p w14:paraId="1832FAF3" w14:textId="77777777" w:rsidR="00703225" w:rsidRDefault="00C42D25" w:rsidP="00703225">
      <w:pPr>
        <w:jc w:val="center"/>
        <w:rPr>
          <w:rFonts w:eastAsiaTheme="majorEastAsia" w:cstheme="majorBidi"/>
          <w:b/>
          <w:color w:val="000000" w:themeColor="text1"/>
          <w:sz w:val="28"/>
          <w:szCs w:val="32"/>
          <w:lang w:val="en-IN"/>
        </w:rPr>
      </w:pPr>
      <w:r>
        <w:rPr>
          <w:lang w:val="en-IN"/>
        </w:rPr>
        <w:br w:type="page"/>
      </w:r>
    </w:p>
    <w:p w14:paraId="76D1EAF4" w14:textId="77777777" w:rsidR="00C07027" w:rsidRDefault="00C42D25" w:rsidP="00F05DD3">
      <w:pPr>
        <w:pStyle w:val="Heading1"/>
        <w:rPr>
          <w:lang w:val="en-IN"/>
        </w:rPr>
      </w:pPr>
      <w:bookmarkStart w:id="0" w:name="_Toc117366485"/>
      <w:r>
        <w:rPr>
          <w:lang w:val="en-IN"/>
        </w:rPr>
        <w:lastRenderedPageBreak/>
        <w:t>Introduction</w:t>
      </w:r>
      <w:bookmarkEnd w:id="0"/>
      <w:r w:rsidR="00F05DD3">
        <w:rPr>
          <w:lang w:val="en-IN"/>
        </w:rPr>
        <w:t xml:space="preserve"> </w:t>
      </w:r>
    </w:p>
    <w:p w14:paraId="6E2F990F" w14:textId="77777777" w:rsidR="00F05DD3" w:rsidRDefault="00C42D25" w:rsidP="004A7B90">
      <w:pPr>
        <w:rPr>
          <w:lang w:val="en-IN"/>
        </w:rPr>
      </w:pPr>
      <w:r>
        <w:rPr>
          <w:lang w:val="en-IN"/>
        </w:rPr>
        <w:t xml:space="preserve">It is essential for the government to ensure the effective implementation of Criminal law. It helps in protecting citizens, properties, and society as a whole against any harm from criminals. It appears that </w:t>
      </w:r>
      <w:r w:rsidR="00671AE8">
        <w:rPr>
          <w:lang w:val="en-IN"/>
        </w:rPr>
        <w:t xml:space="preserve">the law is established in order to protect civilians, but Criminal law also maintains good order and ensures peace in society. Omission, in the context of law, is a failure to act. This generally leads to various legal outcomes from positive conduct. </w:t>
      </w:r>
      <w:r w:rsidR="00B82829">
        <w:rPr>
          <w:lang w:val="en-IN"/>
        </w:rPr>
        <w:t xml:space="preserve">The aim of this assignment is to evaluate when any criminal liability will be validated for failing to act. Different examples of case law will be provided for discussing the context of criminal liability. </w:t>
      </w:r>
    </w:p>
    <w:p w14:paraId="330FCF8F" w14:textId="77777777" w:rsidR="00B82829" w:rsidRDefault="00C42D25">
      <w:pPr>
        <w:spacing w:line="276" w:lineRule="auto"/>
        <w:jc w:val="left"/>
        <w:rPr>
          <w:lang w:val="en-IN"/>
        </w:rPr>
      </w:pPr>
      <w:r>
        <w:rPr>
          <w:lang w:val="en-IN"/>
        </w:rPr>
        <w:br w:type="page"/>
      </w:r>
    </w:p>
    <w:p w14:paraId="009A6537" w14:textId="77777777" w:rsidR="00B82829" w:rsidRDefault="00C42D25" w:rsidP="00B82829">
      <w:pPr>
        <w:pStyle w:val="Heading1"/>
        <w:rPr>
          <w:lang w:val="en-IN"/>
        </w:rPr>
      </w:pPr>
      <w:bookmarkStart w:id="1" w:name="_Toc117366486"/>
      <w:r>
        <w:rPr>
          <w:lang w:val="en-IN"/>
        </w:rPr>
        <w:lastRenderedPageBreak/>
        <w:t>Discussion</w:t>
      </w:r>
      <w:bookmarkEnd w:id="1"/>
      <w:r>
        <w:rPr>
          <w:lang w:val="en-IN"/>
        </w:rPr>
        <w:t xml:space="preserve"> </w:t>
      </w:r>
    </w:p>
    <w:p w14:paraId="3E298E4D" w14:textId="77777777" w:rsidR="00B82829" w:rsidRDefault="00C42D25" w:rsidP="00B82829">
      <w:pPr>
        <w:pStyle w:val="Heading2"/>
        <w:rPr>
          <w:lang w:val="en-IN"/>
        </w:rPr>
      </w:pPr>
      <w:bookmarkStart w:id="2" w:name="_Toc117366487"/>
      <w:r>
        <w:rPr>
          <w:lang w:val="en-IN"/>
        </w:rPr>
        <w:t>Part of a crime that failure to act can be related to</w:t>
      </w:r>
      <w:bookmarkEnd w:id="2"/>
      <w:r w:rsidR="00460E06">
        <w:rPr>
          <w:lang w:val="en-IN"/>
        </w:rPr>
        <w:t xml:space="preserve"> </w:t>
      </w:r>
    </w:p>
    <w:p w14:paraId="5B44F6F7" w14:textId="77777777" w:rsidR="00460E06" w:rsidRPr="00460E06" w:rsidRDefault="00C42D25" w:rsidP="00460E06">
      <w:pPr>
        <w:rPr>
          <w:lang w:val="en-IN"/>
        </w:rPr>
      </w:pPr>
      <w:r>
        <w:rPr>
          <w:lang w:val="en-IN"/>
        </w:rPr>
        <w:t xml:space="preserve">According to </w:t>
      </w:r>
      <w:r>
        <w:rPr>
          <w:noProof/>
          <w:lang w:val="en-IN"/>
        </w:rPr>
        <w:t>The Law Society (</w:t>
      </w:r>
      <w:r w:rsidRPr="004E326D">
        <w:rPr>
          <w:noProof/>
          <w:lang w:val="en-IN"/>
        </w:rPr>
        <w:t>2022)</w:t>
      </w:r>
      <w:r>
        <w:rPr>
          <w:lang w:val="en-IN"/>
        </w:rPr>
        <w:t>, the essential components of a crime include an omission or voluntary act which is accompanied by a specific mental state. An act of an individual refers to any type of voluntary behav</w:t>
      </w:r>
      <w:r w:rsidR="00625604">
        <w:rPr>
          <w:lang w:val="en-IN"/>
        </w:rPr>
        <w:t>iour. Criminal liability needs that harm inflicted on</w:t>
      </w:r>
      <w:r>
        <w:rPr>
          <w:lang w:val="en-IN"/>
        </w:rPr>
        <w:t xml:space="preserve"> an individual must be </w:t>
      </w:r>
      <w:r w:rsidR="00625604">
        <w:rPr>
          <w:lang w:val="en-IN"/>
        </w:rPr>
        <w:t>the action of</w:t>
      </w:r>
      <w:r>
        <w:rPr>
          <w:lang w:val="en-IN"/>
        </w:rPr>
        <w:t xml:space="preserve"> the accused. </w:t>
      </w:r>
      <w:r w:rsidR="002973CB">
        <w:rPr>
          <w:lang w:val="en-IN"/>
        </w:rPr>
        <w:t xml:space="preserve">It also refers to the failure to </w:t>
      </w:r>
      <w:r w:rsidR="00625604">
        <w:rPr>
          <w:lang w:val="en-IN"/>
        </w:rPr>
        <w:t xml:space="preserve">take </w:t>
      </w:r>
      <w:r w:rsidR="002973CB">
        <w:rPr>
          <w:lang w:val="en-IN"/>
        </w:rPr>
        <w:t>act</w:t>
      </w:r>
      <w:r w:rsidR="00625604">
        <w:rPr>
          <w:lang w:val="en-IN"/>
        </w:rPr>
        <w:t>ion when the person liable</w:t>
      </w:r>
      <w:r w:rsidR="002973CB">
        <w:rPr>
          <w:lang w:val="en-IN"/>
        </w:rPr>
        <w:t xml:space="preserve"> is under any legal duty to act as well as the accused was</w:t>
      </w:r>
      <w:r>
        <w:rPr>
          <w:lang w:val="en-IN"/>
        </w:rPr>
        <w:t xml:space="preserve"> capable to act. According to </w:t>
      </w:r>
      <w:r>
        <w:rPr>
          <w:noProof/>
          <w:lang w:val="en-IN"/>
        </w:rPr>
        <w:t>Shalchi</w:t>
      </w:r>
      <w:r w:rsidRPr="004E326D">
        <w:rPr>
          <w:noProof/>
          <w:lang w:val="en-IN"/>
        </w:rPr>
        <w:t xml:space="preserve"> </w:t>
      </w:r>
      <w:r>
        <w:rPr>
          <w:noProof/>
          <w:lang w:val="en-IN"/>
        </w:rPr>
        <w:t>(</w:t>
      </w:r>
      <w:r w:rsidRPr="004E326D">
        <w:rPr>
          <w:noProof/>
          <w:lang w:val="en-IN"/>
        </w:rPr>
        <w:t>2022)</w:t>
      </w:r>
      <w:r w:rsidR="002973CB">
        <w:rPr>
          <w:lang w:val="en-IN"/>
        </w:rPr>
        <w:t xml:space="preserve">, the legal duty to act can be implemented by statute directly like requirements of filing a return of income tax. It may also arise from the relationship between any parties like the obligations of parents to provide food to their children. There are generally two principles associated with criminal liability namely </w:t>
      </w:r>
      <w:proofErr w:type="spellStart"/>
      <w:r w:rsidR="002973CB">
        <w:rPr>
          <w:lang w:val="en-IN"/>
        </w:rPr>
        <w:t>Mens</w:t>
      </w:r>
      <w:proofErr w:type="spellEnd"/>
      <w:r w:rsidR="002973CB">
        <w:rPr>
          <w:lang w:val="en-IN"/>
        </w:rPr>
        <w:t xml:space="preserve"> rea a</w:t>
      </w:r>
      <w:r w:rsidR="00625604">
        <w:rPr>
          <w:lang w:val="en-IN"/>
        </w:rPr>
        <w:t>nd Actus reus. I</w:t>
      </w:r>
      <w:r w:rsidR="00593A22">
        <w:rPr>
          <w:lang w:val="en-IN"/>
        </w:rPr>
        <w:t>n the context of criminal liability,</w:t>
      </w:r>
      <w:r w:rsidR="00625604">
        <w:rPr>
          <w:lang w:val="en-IN"/>
        </w:rPr>
        <w:t xml:space="preserve"> </w:t>
      </w:r>
      <w:proofErr w:type="spellStart"/>
      <w:r w:rsidR="00625604">
        <w:rPr>
          <w:lang w:val="en-IN"/>
        </w:rPr>
        <w:t>mens</w:t>
      </w:r>
      <w:proofErr w:type="spellEnd"/>
      <w:r w:rsidR="00625604">
        <w:rPr>
          <w:lang w:val="en-IN"/>
        </w:rPr>
        <w:t xml:space="preserve"> rea suggests</w:t>
      </w:r>
      <w:r w:rsidR="00593A22">
        <w:rPr>
          <w:lang w:val="en-IN"/>
        </w:rPr>
        <w:t xml:space="preserve"> the 'guilty mind'</w:t>
      </w:r>
      <w:r w:rsidR="00625604">
        <w:rPr>
          <w:lang w:val="en-IN"/>
        </w:rPr>
        <w:t>; alternatively, a</w:t>
      </w:r>
      <w:r w:rsidR="00593A22">
        <w:rPr>
          <w:lang w:val="en-IN"/>
        </w:rPr>
        <w:t>ctus re</w:t>
      </w:r>
      <w:r w:rsidR="00625604">
        <w:rPr>
          <w:lang w:val="en-IN"/>
        </w:rPr>
        <w:t>us suggests</w:t>
      </w:r>
      <w:r w:rsidR="006E6596">
        <w:rPr>
          <w:lang w:val="en-IN"/>
        </w:rPr>
        <w:t xml:space="preserve"> the ‘guilty act’</w:t>
      </w:r>
      <w:r w:rsidR="004F168C">
        <w:rPr>
          <w:lang w:val="en-IN"/>
        </w:rPr>
        <w:t xml:space="preserve"> </w:t>
      </w:r>
      <w:sdt>
        <w:sdtPr>
          <w:rPr>
            <w:lang w:val="en-IN"/>
          </w:rPr>
          <w:id w:val="-1339306905"/>
          <w:citation/>
        </w:sdtPr>
        <w:sdtContent>
          <w:r w:rsidR="004F168C">
            <w:rPr>
              <w:lang w:val="en-IN"/>
            </w:rPr>
            <w:fldChar w:fldCharType="begin"/>
          </w:r>
          <w:r w:rsidR="004F168C">
            <w:rPr>
              <w:lang w:val="en-IN"/>
            </w:rPr>
            <w:instrText xml:space="preserve"> CITATION ICL22 \l 16393 </w:instrText>
          </w:r>
          <w:r w:rsidR="004F168C">
            <w:rPr>
              <w:lang w:val="en-IN"/>
            </w:rPr>
            <w:fldChar w:fldCharType="separate"/>
          </w:r>
          <w:r w:rsidR="004F168C" w:rsidRPr="004F168C">
            <w:rPr>
              <w:noProof/>
              <w:lang w:val="en-IN"/>
            </w:rPr>
            <w:t>(ICLR, 2022)</w:t>
          </w:r>
          <w:r w:rsidR="004F168C">
            <w:rPr>
              <w:lang w:val="en-IN"/>
            </w:rPr>
            <w:fldChar w:fldCharType="end"/>
          </w:r>
        </w:sdtContent>
      </w:sdt>
      <w:r w:rsidR="006E6596">
        <w:rPr>
          <w:lang w:val="en-IN"/>
        </w:rPr>
        <w:t>. The case law of Miller (1983) can be considered in this context. The defendant spent the entire evening drinking and returned to the property to sleep with a lit cigarette that cause the fire. The defendant also woke and saw the</w:t>
      </w:r>
      <w:r w:rsidR="00625604">
        <w:rPr>
          <w:lang w:val="en-IN"/>
        </w:rPr>
        <w:t xml:space="preserve"> outcome of his action</w:t>
      </w:r>
      <w:r w:rsidR="006E6596">
        <w:rPr>
          <w:lang w:val="en-IN"/>
        </w:rPr>
        <w:t xml:space="preserve"> but refused to act and slept in another room, causing property damage worth </w:t>
      </w:r>
      <w:r w:rsidR="006E6596">
        <w:rPr>
          <w:rFonts w:cs="Times New Roman"/>
          <w:lang w:val="en-IN"/>
        </w:rPr>
        <w:t>£</w:t>
      </w:r>
      <w:r w:rsidR="006E6596">
        <w:rPr>
          <w:lang w:val="en-IN"/>
        </w:rPr>
        <w:t>800</w:t>
      </w:r>
      <w:r w:rsidR="00B45DEE">
        <w:rPr>
          <w:lang w:val="en-IN"/>
        </w:rPr>
        <w:t xml:space="preserve">. It was the responsibility of the defendant to act as soon as he became aware of the situation </w:t>
      </w:r>
      <w:sdt>
        <w:sdtPr>
          <w:rPr>
            <w:lang w:val="en-IN"/>
          </w:rPr>
          <w:id w:val="-1638800624"/>
          <w:citation/>
        </w:sdtPr>
        <w:sdtContent>
          <w:r w:rsidR="00B45DEE">
            <w:rPr>
              <w:lang w:val="en-IN"/>
            </w:rPr>
            <w:fldChar w:fldCharType="begin"/>
          </w:r>
          <w:r w:rsidR="00B45DEE">
            <w:rPr>
              <w:lang w:val="en-IN"/>
            </w:rPr>
            <w:instrText xml:space="preserve"> CITATION Wil22 \l 16393 </w:instrText>
          </w:r>
          <w:r w:rsidR="00B45DEE">
            <w:rPr>
              <w:lang w:val="en-IN"/>
            </w:rPr>
            <w:fldChar w:fldCharType="separate"/>
          </w:r>
          <w:r w:rsidR="00B45DEE" w:rsidRPr="00B45DEE">
            <w:rPr>
              <w:noProof/>
              <w:lang w:val="en-IN"/>
            </w:rPr>
            <w:t>(Chen, 2022)</w:t>
          </w:r>
          <w:r w:rsidR="00B45DEE">
            <w:rPr>
              <w:lang w:val="en-IN"/>
            </w:rPr>
            <w:fldChar w:fldCharType="end"/>
          </w:r>
        </w:sdtContent>
      </w:sdt>
      <w:r w:rsidR="00B45DEE">
        <w:rPr>
          <w:lang w:val="en-IN"/>
        </w:rPr>
        <w:t xml:space="preserve">. This indicates the failure of the defendant to act and is considered a criminal liability. </w:t>
      </w:r>
    </w:p>
    <w:p w14:paraId="7FC3429C" w14:textId="77777777" w:rsidR="00B82829" w:rsidRDefault="00C42D25" w:rsidP="00B82829">
      <w:pPr>
        <w:pStyle w:val="Heading2"/>
        <w:rPr>
          <w:lang w:val="en-IN"/>
        </w:rPr>
      </w:pPr>
      <w:bookmarkStart w:id="3" w:name="_Toc117366488"/>
      <w:r>
        <w:rPr>
          <w:lang w:val="en-IN"/>
        </w:rPr>
        <w:t>General duty to act in</w:t>
      </w:r>
      <w:r w:rsidR="00625604">
        <w:rPr>
          <w:lang w:val="en-IN"/>
        </w:rPr>
        <w:t xml:space="preserve"> criminal law context</w:t>
      </w:r>
      <w:bookmarkEnd w:id="3"/>
      <w:r>
        <w:rPr>
          <w:lang w:val="en-IN"/>
        </w:rPr>
        <w:t xml:space="preserve"> </w:t>
      </w:r>
    </w:p>
    <w:p w14:paraId="00DF558F" w14:textId="77777777" w:rsidR="00593A22" w:rsidRPr="00593A22" w:rsidRDefault="00625604" w:rsidP="00593A22">
      <w:pPr>
        <w:rPr>
          <w:lang w:val="en-IN"/>
        </w:rPr>
      </w:pPr>
      <w:r>
        <w:rPr>
          <w:lang w:val="en-IN"/>
        </w:rPr>
        <w:t>Duty to act in</w:t>
      </w:r>
      <w:r w:rsidR="00C42D25">
        <w:rPr>
          <w:lang w:val="en-IN"/>
        </w:rPr>
        <w:t xml:space="preserve"> criminal law</w:t>
      </w:r>
      <w:r>
        <w:rPr>
          <w:lang w:val="en-IN"/>
        </w:rPr>
        <w:t xml:space="preserve"> context</w:t>
      </w:r>
      <w:r w:rsidR="00C42D25">
        <w:rPr>
          <w:lang w:val="en-IN"/>
        </w:rPr>
        <w:t xml:space="preserve"> refers to the obligation of an individual to act which if the individual fails to act or omission, leads to criminal liability </w:t>
      </w:r>
      <w:sdt>
        <w:sdtPr>
          <w:rPr>
            <w:lang w:val="en-IN"/>
          </w:rPr>
          <w:id w:val="707918545"/>
          <w:citation/>
        </w:sdtPr>
        <w:sdtContent>
          <w:r w:rsidR="00C42D25">
            <w:rPr>
              <w:lang w:val="en-IN"/>
            </w:rPr>
            <w:fldChar w:fldCharType="begin"/>
          </w:r>
          <w:r w:rsidR="00C42D25">
            <w:rPr>
              <w:lang w:val="en-IN"/>
            </w:rPr>
            <w:instrText xml:space="preserve"> CITATION Leg22 \l 16393 </w:instrText>
          </w:r>
          <w:r w:rsidR="00C42D25">
            <w:rPr>
              <w:lang w:val="en-IN"/>
            </w:rPr>
            <w:fldChar w:fldCharType="separate"/>
          </w:r>
          <w:r w:rsidR="00C42D25" w:rsidRPr="0012367F">
            <w:rPr>
              <w:noProof/>
              <w:lang w:val="en-IN"/>
            </w:rPr>
            <w:t>(Legal Match, 2022)</w:t>
          </w:r>
          <w:r w:rsidR="00C42D25">
            <w:rPr>
              <w:lang w:val="en-IN"/>
            </w:rPr>
            <w:fldChar w:fldCharType="end"/>
          </w:r>
        </w:sdtContent>
      </w:sdt>
      <w:r w:rsidR="00C42D25">
        <w:rPr>
          <w:lang w:val="en-IN"/>
        </w:rPr>
        <w:t xml:space="preserve">. This general duty to act can be explained through the case law of Yaqoob (2005). </w:t>
      </w:r>
      <w:r w:rsidR="007A46D0">
        <w:rPr>
          <w:lang w:val="en-IN"/>
        </w:rPr>
        <w:t xml:space="preserve">A minicab that was driven by </w:t>
      </w:r>
      <w:proofErr w:type="spellStart"/>
      <w:r w:rsidR="007A46D0">
        <w:rPr>
          <w:lang w:val="en-IN"/>
        </w:rPr>
        <w:t>Aqbal</w:t>
      </w:r>
      <w:proofErr w:type="spellEnd"/>
      <w:r w:rsidR="007A46D0">
        <w:rPr>
          <w:lang w:val="en-IN"/>
        </w:rPr>
        <w:t xml:space="preserve"> caused manslaughter due to a tyre burst. The minicab was owned by Falcon Taxis and the appellant was responsible for the maintenance and inspection of minicabs. Due to the </w:t>
      </w:r>
      <w:r w:rsidR="007A46D0">
        <w:rPr>
          <w:lang w:val="en-IN"/>
        </w:rPr>
        <w:lastRenderedPageBreak/>
        <w:t xml:space="preserve">failure of the appellant regarding his general duty to act, the accident caused manslaughter which is a criminal offence under the criminal law. </w:t>
      </w:r>
    </w:p>
    <w:p w14:paraId="12E1FE3B" w14:textId="77777777" w:rsidR="00B82829" w:rsidRDefault="00C42D25" w:rsidP="00B82829">
      <w:pPr>
        <w:pStyle w:val="Heading2"/>
        <w:rPr>
          <w:lang w:val="en-IN"/>
        </w:rPr>
      </w:pPr>
      <w:bookmarkStart w:id="4" w:name="_Toc117366489"/>
      <w:r>
        <w:rPr>
          <w:lang w:val="en-IN"/>
        </w:rPr>
        <w:t>Requirements for any</w:t>
      </w:r>
      <w:r w:rsidR="008C1E44">
        <w:rPr>
          <w:lang w:val="en-IN"/>
        </w:rPr>
        <w:t xml:space="preserve"> crime to be executed</w:t>
      </w:r>
      <w:r>
        <w:rPr>
          <w:lang w:val="en-IN"/>
        </w:rPr>
        <w:t xml:space="preserve"> by omission</w:t>
      </w:r>
      <w:bookmarkEnd w:id="4"/>
      <w:r>
        <w:rPr>
          <w:lang w:val="en-IN"/>
        </w:rPr>
        <w:t xml:space="preserve"> </w:t>
      </w:r>
    </w:p>
    <w:p w14:paraId="02E2E884" w14:textId="77777777" w:rsidR="000C65D6" w:rsidRDefault="00625604" w:rsidP="000C65D6">
      <w:pPr>
        <w:rPr>
          <w:lang w:val="en-IN"/>
        </w:rPr>
      </w:pPr>
      <w:r>
        <w:rPr>
          <w:lang w:val="en-IN"/>
        </w:rPr>
        <w:t xml:space="preserve">An omission, under </w:t>
      </w:r>
      <w:r w:rsidR="00C42D25">
        <w:rPr>
          <w:lang w:val="en-IN"/>
        </w:rPr>
        <w:t>criminal law, will include a ‘guilty act’ and leads to liability when the law imp</w:t>
      </w:r>
      <w:r>
        <w:rPr>
          <w:lang w:val="en-IN"/>
        </w:rPr>
        <w:t>lements a duty to act while</w:t>
      </w:r>
      <w:r w:rsidR="00C42D25">
        <w:rPr>
          <w:lang w:val="en-IN"/>
        </w:rPr>
        <w:t xml:space="preserve"> the defendant has breached the duty.</w:t>
      </w:r>
      <w:r w:rsidR="00A559F4">
        <w:rPr>
          <w:lang w:val="en-IN"/>
        </w:rPr>
        <w:t xml:space="preserve"> It relies on the theory that any failure to carry out</w:t>
      </w:r>
      <w:r w:rsidR="00C42D25">
        <w:rPr>
          <w:lang w:val="en-IN"/>
        </w:rPr>
        <w:t xml:space="preserve"> any legal duty</w:t>
      </w:r>
      <w:r w:rsidR="00A559F4">
        <w:rPr>
          <w:lang w:val="en-IN"/>
        </w:rPr>
        <w:t xml:space="preserve"> while having the capacity to perform is considered a defined offence</w:t>
      </w:r>
      <w:r w:rsidR="00033426">
        <w:rPr>
          <w:lang w:val="en-IN"/>
        </w:rPr>
        <w:t xml:space="preserve"> </w:t>
      </w:r>
      <w:sdt>
        <w:sdtPr>
          <w:rPr>
            <w:lang w:val="en-IN"/>
          </w:rPr>
          <w:id w:val="245465052"/>
          <w:citation/>
        </w:sdtPr>
        <w:sdtContent>
          <w:r w:rsidR="00033426">
            <w:rPr>
              <w:lang w:val="en-IN"/>
            </w:rPr>
            <w:fldChar w:fldCharType="begin"/>
          </w:r>
          <w:r w:rsidR="00033426">
            <w:rPr>
              <w:lang w:val="en-IN"/>
            </w:rPr>
            <w:instrText xml:space="preserve"> CITATION Lex22 \l 16393 </w:instrText>
          </w:r>
          <w:r w:rsidR="00033426">
            <w:rPr>
              <w:lang w:val="en-IN"/>
            </w:rPr>
            <w:fldChar w:fldCharType="separate"/>
          </w:r>
          <w:r w:rsidR="00033426" w:rsidRPr="00033426">
            <w:rPr>
              <w:noProof/>
              <w:lang w:val="en-IN"/>
            </w:rPr>
            <w:t>(Lexis Nexis, 2022)</w:t>
          </w:r>
          <w:r w:rsidR="00033426">
            <w:rPr>
              <w:lang w:val="en-IN"/>
            </w:rPr>
            <w:fldChar w:fldCharType="end"/>
          </w:r>
        </w:sdtContent>
      </w:sdt>
      <w:r w:rsidR="00A559F4">
        <w:rPr>
          <w:lang w:val="en-IN"/>
        </w:rPr>
        <w:t>. Generally, omission refers to the failure of an individual to perform any act that the individual agreed to, where it is needed by the law. Omission in such a scenario has the potential to give rise to any lawsuit in a similar way as an improper act.</w:t>
      </w:r>
      <w:r w:rsidR="004E326D">
        <w:rPr>
          <w:lang w:val="en-IN"/>
        </w:rPr>
        <w:t xml:space="preserve"> </w:t>
      </w:r>
      <w:r w:rsidR="00590367">
        <w:rPr>
          <w:lang w:val="en-IN"/>
        </w:rPr>
        <w:t>There are three major types of offences that can be considered omission offences. Pure omission offences are generally statutory. For instance, failure to pay taxes</w:t>
      </w:r>
      <w:r w:rsidR="00A559F4">
        <w:rPr>
          <w:lang w:val="en-IN"/>
        </w:rPr>
        <w:t xml:space="preserve"> </w:t>
      </w:r>
      <w:r w:rsidR="00590367">
        <w:rPr>
          <w:lang w:val="en-IN"/>
        </w:rPr>
        <w:t xml:space="preserve">as imposed by the government. Hybrid offences involve driving without any insurance or selling alcohol without a proper license. The act-defined offences can be defined as actions that might lead to any liability if any prohibited action is ascribed to omission. The case law of </w:t>
      </w:r>
      <w:proofErr w:type="spellStart"/>
      <w:r w:rsidR="00590367">
        <w:rPr>
          <w:lang w:val="en-IN"/>
        </w:rPr>
        <w:t>Dytham</w:t>
      </w:r>
      <w:proofErr w:type="spellEnd"/>
      <w:r w:rsidR="00590367">
        <w:rPr>
          <w:lang w:val="en-IN"/>
        </w:rPr>
        <w:t xml:space="preserve"> (1979) can be considered in this context. </w:t>
      </w:r>
      <w:r w:rsidR="00033426">
        <w:rPr>
          <w:lang w:val="en-IN"/>
        </w:rPr>
        <w:t xml:space="preserve">A police officer was considered guilty of misconduct as he failed to confine to his responsibilities wilfully while a mob attacked a person brutally </w:t>
      </w:r>
      <w:sdt>
        <w:sdtPr>
          <w:rPr>
            <w:lang w:val="en-IN"/>
          </w:rPr>
          <w:id w:val="97764933"/>
          <w:citation/>
        </w:sdtPr>
        <w:sdtContent>
          <w:r w:rsidR="00033426">
            <w:rPr>
              <w:lang w:val="en-IN"/>
            </w:rPr>
            <w:fldChar w:fldCharType="begin"/>
          </w:r>
          <w:r w:rsidR="00033426">
            <w:rPr>
              <w:lang w:val="en-IN"/>
            </w:rPr>
            <w:instrText xml:space="preserve"> CITATION Sim21 \l 16393 </w:instrText>
          </w:r>
          <w:r w:rsidR="00033426">
            <w:rPr>
              <w:lang w:val="en-IN"/>
            </w:rPr>
            <w:fldChar w:fldCharType="separate"/>
          </w:r>
          <w:r w:rsidR="00033426" w:rsidRPr="00033426">
            <w:rPr>
              <w:noProof/>
              <w:lang w:val="en-IN"/>
            </w:rPr>
            <w:t>(Parsons, 2021)</w:t>
          </w:r>
          <w:r w:rsidR="00033426">
            <w:rPr>
              <w:lang w:val="en-IN"/>
            </w:rPr>
            <w:fldChar w:fldCharType="end"/>
          </w:r>
        </w:sdtContent>
      </w:sdt>
      <w:r w:rsidR="00033426">
        <w:rPr>
          <w:lang w:val="en-IN"/>
        </w:rPr>
        <w:t xml:space="preserve">.   </w:t>
      </w:r>
    </w:p>
    <w:p w14:paraId="55FECF14" w14:textId="77777777" w:rsidR="00B82829" w:rsidRDefault="00C42D25" w:rsidP="00B82829">
      <w:pPr>
        <w:pStyle w:val="Heading2"/>
        <w:rPr>
          <w:lang w:val="en-IN"/>
        </w:rPr>
      </w:pPr>
      <w:bookmarkStart w:id="5" w:name="_Toc117366490"/>
      <w:r>
        <w:rPr>
          <w:lang w:val="en-IN"/>
        </w:rPr>
        <w:t>The statutory duty to act</w:t>
      </w:r>
      <w:bookmarkEnd w:id="5"/>
      <w:r w:rsidR="00033426">
        <w:rPr>
          <w:lang w:val="en-IN"/>
        </w:rPr>
        <w:t xml:space="preserve"> </w:t>
      </w:r>
    </w:p>
    <w:p w14:paraId="2B5B2087" w14:textId="77777777" w:rsidR="00F46646" w:rsidRPr="00D347B5" w:rsidRDefault="00C42D25" w:rsidP="00D347B5">
      <w:r>
        <w:t>The statutory duty to act refers to any duty that is imposed under or by any Act of Parliament</w:t>
      </w:r>
      <w:r w:rsidR="007A46D0">
        <w:t>.</w:t>
      </w:r>
      <w:r w:rsidR="00625604">
        <w:t xml:space="preserve"> The </w:t>
      </w:r>
      <w:r w:rsidR="00D347B5">
        <w:t>Stone and Dobinson (1977)</w:t>
      </w:r>
      <w:r w:rsidR="00625604">
        <w:t xml:space="preserve"> case</w:t>
      </w:r>
      <w:r w:rsidR="00D347B5">
        <w:t xml:space="preserve"> can be considered for explaining this </w:t>
      </w:r>
      <w:r w:rsidR="00625604">
        <w:t>context. The defendants, in the mentioned case, were culpable</w:t>
      </w:r>
      <w:r w:rsidR="00D347B5">
        <w:t xml:space="preserve"> of murder for their lodger who was suffering from disabilities. Since the defendants were blood relatives of the lodger, they were obliged under the statutory duty to act in terms of providing her food and care. The gross negl</w:t>
      </w:r>
      <w:r w:rsidR="008C1E44">
        <w:t xml:space="preserve">igence from the side of the defendants held them guilty of manslaughter (Griffith, 2018). </w:t>
      </w:r>
    </w:p>
    <w:p w14:paraId="61FB9D34" w14:textId="77777777" w:rsidR="00CB1470" w:rsidRPr="00886CAC" w:rsidRDefault="00CB1470" w:rsidP="00CB1470">
      <w:pPr>
        <w:pStyle w:val="NoSpacing"/>
        <w:jc w:val="both"/>
        <w:rPr>
          <w:rFonts w:asciiTheme="minorBidi" w:hAnsiTheme="minorBidi"/>
          <w:sz w:val="24"/>
          <w:szCs w:val="24"/>
        </w:rPr>
      </w:pPr>
    </w:p>
    <w:p w14:paraId="0CCABCA5" w14:textId="77777777" w:rsidR="00460E06" w:rsidRDefault="00C42D25" w:rsidP="00460E06">
      <w:pPr>
        <w:pStyle w:val="Heading2"/>
      </w:pPr>
      <w:bookmarkStart w:id="6" w:name="_Toc117366491"/>
      <w:r>
        <w:t>Presence of a contractual</w:t>
      </w:r>
      <w:r w:rsidR="00B82829" w:rsidRPr="00B82829">
        <w:t xml:space="preserve"> </w:t>
      </w:r>
      <w:r>
        <w:t>duty based on office</w:t>
      </w:r>
      <w:bookmarkEnd w:id="6"/>
      <w:r w:rsidR="00033426">
        <w:t xml:space="preserve"> </w:t>
      </w:r>
    </w:p>
    <w:p w14:paraId="58B3B6DE" w14:textId="77777777" w:rsidR="00033426" w:rsidRPr="00033426" w:rsidRDefault="00C42D25" w:rsidP="00C1280D">
      <w:r>
        <w:t xml:space="preserve">The contractual/duty based on office should be present when an individual is employed by any company under a specific contract. </w:t>
      </w:r>
      <w:r w:rsidR="00C1280D">
        <w:t xml:space="preserve">The case law of </w:t>
      </w:r>
      <w:proofErr w:type="spellStart"/>
      <w:r w:rsidR="00C1280D">
        <w:t>Pittwood</w:t>
      </w:r>
      <w:proofErr w:type="spellEnd"/>
      <w:r w:rsidR="00C1280D">
        <w:t xml:space="preserve"> (1902) can be used for explaining this context. The defendant in this case was employed by the railway company and was responsible for operating th</w:t>
      </w:r>
      <w:r w:rsidR="00625604">
        <w:t>e level crossing gate. He elevated</w:t>
      </w:r>
      <w:r w:rsidR="00C1280D">
        <w:t xml:space="preserve"> the</w:t>
      </w:r>
      <w:r w:rsidR="00625604">
        <w:t xml:space="preserve"> railway</w:t>
      </w:r>
      <w:r w:rsidR="00C1280D">
        <w:t xml:space="preserve"> gate, al</w:t>
      </w:r>
      <w:r w:rsidR="00625604">
        <w:t>lowing a cart to pass but missed</w:t>
      </w:r>
      <w:r w:rsidR="00C1280D">
        <w:t xml:space="preserve"> to put the gate</w:t>
      </w:r>
      <w:r w:rsidR="00625604">
        <w:t xml:space="preserve"> down prior to leaving for a</w:t>
      </w:r>
      <w:r w:rsidR="00C1280D">
        <w:t xml:space="preserve"> break. During this interval a horse cart was hit by a train, resulting in the death of the cart owner and the horse. Since the defendant was a contractual employee of the railway company, he was held guilty under the contractual duty of closing the gate. The permission of the defendant to appeal was dismissed as the offence was held over the ground of criminal liability for the omission</w:t>
      </w:r>
      <w:r w:rsidR="008C1E44">
        <w:t xml:space="preserve"> (</w:t>
      </w:r>
      <w:proofErr w:type="spellStart"/>
      <w:r w:rsidR="008C1E44">
        <w:t>Simester</w:t>
      </w:r>
      <w:proofErr w:type="spellEnd"/>
      <w:r w:rsidR="008C1E44">
        <w:t>, 2021)</w:t>
      </w:r>
      <w:r w:rsidR="00C1280D">
        <w:t>.</w:t>
      </w:r>
    </w:p>
    <w:p w14:paraId="017B53F2" w14:textId="77777777" w:rsidR="00460E06" w:rsidRDefault="00C42D25" w:rsidP="00460E06">
      <w:pPr>
        <w:pStyle w:val="Heading2"/>
      </w:pPr>
      <w:bookmarkStart w:id="7" w:name="_Toc117366492"/>
      <w:r>
        <w:t>Common law duty to act</w:t>
      </w:r>
      <w:bookmarkEnd w:id="7"/>
      <w:r w:rsidR="00C12A14">
        <w:t xml:space="preserve"> </w:t>
      </w:r>
    </w:p>
    <w:p w14:paraId="7350109A" w14:textId="77777777" w:rsidR="004F168C" w:rsidRDefault="00C42D25" w:rsidP="004F168C">
      <w:pPr>
        <w:rPr>
          <w:rFonts w:asciiTheme="minorBidi" w:hAnsiTheme="minorBidi"/>
          <w:szCs w:val="24"/>
        </w:rPr>
      </w:pPr>
      <w:r>
        <w:t>Duty of act generally refers to the legal duty that a party requires to take cr</w:t>
      </w:r>
      <w:r w:rsidR="00625604">
        <w:t>ucial action in order to avert</w:t>
      </w:r>
      <w:r>
        <w:t xml:space="preserve"> harm to other people. This is implemented in a situation where another person is in a state of risk or harm </w:t>
      </w:r>
      <w:sdt>
        <w:sdtPr>
          <w:id w:val="-2138170574"/>
          <w:citation/>
        </w:sdtPr>
        <w:sdtContent>
          <w:r>
            <w:fldChar w:fldCharType="begin"/>
          </w:r>
          <w:r>
            <w:rPr>
              <w:lang w:val="en-IN"/>
            </w:rPr>
            <w:instrText xml:space="preserve"> CITATION Dav22 \l 16393 </w:instrText>
          </w:r>
          <w:r>
            <w:fldChar w:fldCharType="separate"/>
          </w:r>
          <w:r w:rsidRPr="00C12A14">
            <w:rPr>
              <w:noProof/>
              <w:lang w:val="en-IN"/>
            </w:rPr>
            <w:t>(Givot, 2022)</w:t>
          </w:r>
          <w:r>
            <w:fldChar w:fldCharType="end"/>
          </w:r>
        </w:sdtContent>
      </w:sdt>
      <w:r>
        <w:t>. This can be e</w:t>
      </w:r>
      <w:r w:rsidR="00625604">
        <w:t>xplained through the</w:t>
      </w:r>
      <w:r>
        <w:t xml:space="preserve"> </w:t>
      </w:r>
      <w:r w:rsidRPr="00886CAC">
        <w:rPr>
          <w:rFonts w:asciiTheme="minorBidi" w:hAnsiTheme="minorBidi"/>
          <w:szCs w:val="24"/>
        </w:rPr>
        <w:t>A</w:t>
      </w:r>
      <w:r>
        <w:rPr>
          <w:rFonts w:asciiTheme="minorBidi" w:hAnsiTheme="minorBidi"/>
          <w:szCs w:val="24"/>
        </w:rPr>
        <w:t>iredale NHS Trust v Bland (1993)</w:t>
      </w:r>
      <w:r w:rsidR="00625604">
        <w:rPr>
          <w:rFonts w:asciiTheme="minorBidi" w:hAnsiTheme="minorBidi"/>
          <w:szCs w:val="24"/>
        </w:rPr>
        <w:t xml:space="preserve"> case</w:t>
      </w:r>
      <w:r>
        <w:rPr>
          <w:rFonts w:asciiTheme="minorBidi" w:hAnsiTheme="minorBidi"/>
          <w:szCs w:val="24"/>
        </w:rPr>
        <w:t>. The appeal by the Solicitor who was acting on the behalf of Bland was dismissed. Bland was 17 and a half years old when he met with a disaster that compelled him to live in a vegetative state. He was showing no sign of recovery and was kept alive with the help of a life support machine. Doctors were granted the approval to remove the life support machine. The appeal was dismissed because doctors treating Bland have a duty to act in his best interest which may not be the prolonged life (Keene and Lee, 2019).</w:t>
      </w:r>
      <w:r w:rsidR="00F46646">
        <w:rPr>
          <w:rFonts w:asciiTheme="minorBidi" w:hAnsiTheme="minorBidi"/>
          <w:szCs w:val="24"/>
        </w:rPr>
        <w:t xml:space="preserve"> Considering the condition of the patient, doctors were obliged to duty to act. </w:t>
      </w:r>
    </w:p>
    <w:p w14:paraId="6199CBCC" w14:textId="77777777" w:rsidR="00460E06" w:rsidRDefault="00C42D25" w:rsidP="004F168C">
      <w:pPr>
        <w:pStyle w:val="Heading2"/>
      </w:pPr>
      <w:bookmarkStart w:id="8" w:name="_Toc117366493"/>
      <w:r>
        <w:t>Stopping a duty to act stop</w:t>
      </w:r>
      <w:bookmarkEnd w:id="8"/>
      <w:r w:rsidR="00CB1470">
        <w:t xml:space="preserve"> </w:t>
      </w:r>
    </w:p>
    <w:p w14:paraId="642C2D0B" w14:textId="77777777" w:rsidR="00CB1470" w:rsidRPr="00696800" w:rsidRDefault="00C42D25" w:rsidP="00CB1470">
      <w:r>
        <w:t xml:space="preserve">The duty to act varies in different circumstances and can be stopped in a few cases. </w:t>
      </w:r>
      <w:r w:rsidR="00696800">
        <w:t xml:space="preserve">The case law of </w:t>
      </w:r>
      <w:r w:rsidR="00696800">
        <w:rPr>
          <w:rFonts w:asciiTheme="minorBidi" w:hAnsiTheme="minorBidi"/>
          <w:szCs w:val="24"/>
          <w:lang w:val="sv-SE"/>
        </w:rPr>
        <w:t xml:space="preserve">DPP v K (1990) indicates that the duty to act may stop in some situations. The defendant </w:t>
      </w:r>
      <w:r w:rsidR="00696800">
        <w:rPr>
          <w:rFonts w:asciiTheme="minorBidi" w:hAnsiTheme="minorBidi"/>
          <w:szCs w:val="24"/>
          <w:lang w:val="sv-SE"/>
        </w:rPr>
        <w:lastRenderedPageBreak/>
        <w:t>was a minor aged 15 years who stole a chemical material from the school lab. The substance was dangerous and he poured the substance into the bathroom's hand dryer as he panicked. Another child who used the hand dryer was sprayed with the acid on his face, causing a scar</w:t>
      </w:r>
      <w:r w:rsidR="008C1E44">
        <w:rPr>
          <w:rFonts w:asciiTheme="minorBidi" w:hAnsiTheme="minorBidi"/>
          <w:szCs w:val="24"/>
          <w:lang w:val="sv-SE"/>
        </w:rPr>
        <w:t xml:space="preserve"> (Chisholm, 2020)</w:t>
      </w:r>
      <w:r w:rsidR="00696800">
        <w:rPr>
          <w:rFonts w:asciiTheme="minorBidi" w:hAnsiTheme="minorBidi"/>
          <w:szCs w:val="24"/>
          <w:lang w:val="sv-SE"/>
        </w:rPr>
        <w:t xml:space="preserve">. In such a situation, the defendant was charged with assault which was not relevant as the defendant was not aware of the consequences. The duty to act should stop in such a situation due to the lack of awareness of the minor. </w:t>
      </w:r>
    </w:p>
    <w:p w14:paraId="0DC8FA55" w14:textId="77777777" w:rsidR="00460E06" w:rsidRDefault="00C42D25" w:rsidP="00460E06">
      <w:pPr>
        <w:pStyle w:val="Heading2"/>
      </w:pPr>
      <w:bookmarkStart w:id="9" w:name="_Toc117366494"/>
      <w:r>
        <w:t>Benefits and drawbacks to the general duty to act</w:t>
      </w:r>
      <w:bookmarkEnd w:id="9"/>
    </w:p>
    <w:p w14:paraId="7238419A" w14:textId="77777777" w:rsidR="004E0E4F" w:rsidRDefault="00C42D25" w:rsidP="00696800">
      <w:r>
        <w:t>There should be a general duty to act i</w:t>
      </w:r>
      <w:r w:rsidR="0067683C">
        <w:t xml:space="preserve">n several circumstances. </w:t>
      </w:r>
      <w:r>
        <w:t>Willoughby (2005) can be used for explaining the positive side of the general duty to act. This case is about a man who burned his pub for avoiding paying any mortgage. While burning the pub, a man accidentally burned and died in the process. Though he was convicted of manslaughter for the death of the man, he appealed that it was a case of misdirection. This appeal was considered by the CA</w:t>
      </w:r>
      <w:r w:rsidR="00D347B5">
        <w:t xml:space="preserve"> and the man was held guilty as he was burning the pub with financial intentions. However, the process led to the death of a man</w:t>
      </w:r>
      <w:r w:rsidR="004F168C">
        <w:t xml:space="preserve"> </w:t>
      </w:r>
      <w:sdt>
        <w:sdtPr>
          <w:id w:val="-939982530"/>
          <w:citation/>
        </w:sdtPr>
        <w:sdtContent>
          <w:r w:rsidR="004F168C">
            <w:fldChar w:fldCharType="begin"/>
          </w:r>
          <w:r w:rsidR="004F168C">
            <w:rPr>
              <w:lang w:val="en-IN"/>
            </w:rPr>
            <w:instrText xml:space="preserve"> CITATION CPS19 \l 16393 </w:instrText>
          </w:r>
          <w:r w:rsidR="004F168C">
            <w:fldChar w:fldCharType="separate"/>
          </w:r>
          <w:r w:rsidR="004F168C" w:rsidRPr="004F168C">
            <w:rPr>
              <w:noProof/>
              <w:lang w:val="en-IN"/>
            </w:rPr>
            <w:t>(CPS, 2019)</w:t>
          </w:r>
          <w:r w:rsidR="004F168C">
            <w:fldChar w:fldCharType="end"/>
          </w:r>
        </w:sdtContent>
      </w:sdt>
      <w:r w:rsidR="00D347B5">
        <w:t xml:space="preserve">. This indicates that there should be a general duty to act to prevent such criminal offences. </w:t>
      </w:r>
    </w:p>
    <w:p w14:paraId="7339B005" w14:textId="77777777" w:rsidR="00EC548A" w:rsidRDefault="00C42D25" w:rsidP="00696800">
      <w:r>
        <w:t>The drawback of the general duty to care can be explained through case law. The</w:t>
      </w:r>
      <w:r w:rsidR="00696800">
        <w:t xml:space="preserve"> case law of Evans (2009) can be considered for explaining this context. Evans gave heroin that she purchased to her half-sister who consumed the drug. The victim was suffering from symptoms of a drug overdose and failed to call for any medical assistance. She died of a drug overdose and Evan was convicted of manslaughter</w:t>
      </w:r>
      <w:r w:rsidR="008C1E44">
        <w:t xml:space="preserve"> (Grayson, 2016)</w:t>
      </w:r>
      <w:r w:rsidR="00696800">
        <w:t>. Her appeal was dismissed as it was her responsibility that she failed to oblige to her duty to act. Since, the victim was staying with her mother, the partial responsibility to negate this danger was of her mother. Similarly, it was the responsibility of the victim as well to consider the impact of the drug overdose.</w:t>
      </w:r>
    </w:p>
    <w:p w14:paraId="0722B26C" w14:textId="77777777" w:rsidR="00460E06" w:rsidRDefault="00C42D25" w:rsidP="0067683C">
      <w:r>
        <w:br w:type="page"/>
      </w:r>
    </w:p>
    <w:p w14:paraId="59237D6C" w14:textId="77777777" w:rsidR="00460E06" w:rsidRPr="00460E06" w:rsidRDefault="00C42D25" w:rsidP="00460E06">
      <w:pPr>
        <w:pStyle w:val="Heading1"/>
      </w:pPr>
      <w:bookmarkStart w:id="10" w:name="_Toc117366495"/>
      <w:r>
        <w:lastRenderedPageBreak/>
        <w:t>Conclusion</w:t>
      </w:r>
      <w:bookmarkEnd w:id="10"/>
    </w:p>
    <w:p w14:paraId="418F8E2C" w14:textId="77777777" w:rsidR="00C12A14" w:rsidRDefault="00C42D25" w:rsidP="008C1E44">
      <w:r>
        <w:t xml:space="preserve">It can be concluded from the above discussion that there are several instances where criminal liability can be upheld if an individual fails to act. Understanding the concept of criminal liability along with omission law is essential under the context of Criminal law. There are different case laws that are used for developing an in-depth understanding of the duty to act and other aspects of criminal liabilities. </w:t>
      </w:r>
      <w:r>
        <w:br w:type="page"/>
      </w:r>
    </w:p>
    <w:p w14:paraId="3B4E0414" w14:textId="77777777" w:rsidR="00460E06" w:rsidRDefault="00C42D25" w:rsidP="00C12A14">
      <w:pPr>
        <w:pStyle w:val="Heading1"/>
      </w:pPr>
      <w:bookmarkStart w:id="11" w:name="_Toc117366496"/>
      <w:r>
        <w:lastRenderedPageBreak/>
        <w:t>References</w:t>
      </w:r>
      <w:bookmarkEnd w:id="11"/>
    </w:p>
    <w:p w14:paraId="3AFF41CB" w14:textId="77777777" w:rsidR="004F168C" w:rsidRDefault="00C42D25" w:rsidP="004F168C">
      <w:pPr>
        <w:pStyle w:val="Bibliography"/>
        <w:rPr>
          <w:noProof/>
        </w:rPr>
      </w:pPr>
      <w:r>
        <w:rPr>
          <w:noProof/>
        </w:rPr>
        <w:t xml:space="preserve">Chen, W., </w:t>
      </w:r>
      <w:r w:rsidR="00711EF3">
        <w:rPr>
          <w:noProof/>
        </w:rPr>
        <w:t>(</w:t>
      </w:r>
      <w:r>
        <w:rPr>
          <w:noProof/>
        </w:rPr>
        <w:t>2022</w:t>
      </w:r>
      <w:r w:rsidR="00711EF3">
        <w:rPr>
          <w:noProof/>
        </w:rPr>
        <w:t>)</w:t>
      </w:r>
      <w:r>
        <w:rPr>
          <w:noProof/>
        </w:rPr>
        <w:t>. R v Miller [1983] 2 AC 161, [1983] Crim LR 466. [Online] Available at: https://lawprof.co/criminal-law/general-part-cases/r-v-miller-1983-2-ac-161-1983-crim-lr-466/</w:t>
      </w:r>
    </w:p>
    <w:p w14:paraId="6D8BCA02" w14:textId="77777777" w:rsidR="004F168C" w:rsidRDefault="00C42D25" w:rsidP="004F168C">
      <w:pPr>
        <w:rPr>
          <w:shd w:val="clear" w:color="auto" w:fill="FFFFFF"/>
        </w:rPr>
      </w:pPr>
      <w:r>
        <w:rPr>
          <w:shd w:val="clear" w:color="auto" w:fill="FFFFFF"/>
        </w:rPr>
        <w:t>Chisholm, N., (2020). English Law of Assault and Battery: Outline and Case Summaries. </w:t>
      </w:r>
      <w:r>
        <w:rPr>
          <w:i/>
          <w:iCs/>
          <w:shd w:val="clear" w:color="auto" w:fill="FFFFFF"/>
        </w:rPr>
        <w:t>Available at SSRN 3705763</w:t>
      </w:r>
      <w:r>
        <w:rPr>
          <w:shd w:val="clear" w:color="auto" w:fill="FFFFFF"/>
        </w:rPr>
        <w:t>.</w:t>
      </w:r>
    </w:p>
    <w:p w14:paraId="26D19096" w14:textId="77777777" w:rsidR="004F168C" w:rsidRDefault="00C42D25" w:rsidP="004F168C">
      <w:pPr>
        <w:pStyle w:val="Bibliography"/>
        <w:rPr>
          <w:noProof/>
        </w:rPr>
      </w:pPr>
      <w:r>
        <w:rPr>
          <w:noProof/>
        </w:rPr>
        <w:t xml:space="preserve">CPS, </w:t>
      </w:r>
      <w:r w:rsidR="00711EF3">
        <w:rPr>
          <w:noProof/>
        </w:rPr>
        <w:t>(</w:t>
      </w:r>
      <w:r>
        <w:rPr>
          <w:noProof/>
        </w:rPr>
        <w:t>2019</w:t>
      </w:r>
      <w:r w:rsidR="00711EF3">
        <w:rPr>
          <w:noProof/>
        </w:rPr>
        <w:t>)</w:t>
      </w:r>
      <w:r>
        <w:rPr>
          <w:noProof/>
        </w:rPr>
        <w:t>. Homicide: Murder and Manslaughter. [Online] Available at: https://www.cps.gov.uk/legal-guidance/homicide-murder-and-manslaughter</w:t>
      </w:r>
    </w:p>
    <w:p w14:paraId="50A486A9" w14:textId="77777777" w:rsidR="004F168C" w:rsidRDefault="00C42D25" w:rsidP="004F168C">
      <w:pPr>
        <w:pStyle w:val="Bibliography"/>
        <w:rPr>
          <w:noProof/>
        </w:rPr>
      </w:pPr>
      <w:r>
        <w:rPr>
          <w:noProof/>
        </w:rPr>
        <w:t xml:space="preserve">Givot, D., </w:t>
      </w:r>
      <w:r w:rsidR="00711EF3">
        <w:rPr>
          <w:noProof/>
        </w:rPr>
        <w:t>(</w:t>
      </w:r>
      <w:r>
        <w:rPr>
          <w:noProof/>
        </w:rPr>
        <w:t>2022</w:t>
      </w:r>
      <w:r w:rsidR="00711EF3">
        <w:rPr>
          <w:noProof/>
        </w:rPr>
        <w:t>)</w:t>
      </w:r>
      <w:r>
        <w:rPr>
          <w:noProof/>
        </w:rPr>
        <w:t>. Duty to act, assess, treat and transport: A legal refresher for EMS providers. [Online] Available at: https://www.ems1.com/ems-products/consulting-management-and-legal-services/articles/duty-to-act-assess-treat-and-transport-a-legal-refresher-for-ems-providers-ioTzu8rfkGeu7BhH/</w:t>
      </w:r>
    </w:p>
    <w:p w14:paraId="52CED5C3" w14:textId="77777777" w:rsidR="004F168C" w:rsidRDefault="00C42D25" w:rsidP="00B82829">
      <w:pPr>
        <w:rPr>
          <w:shd w:val="clear" w:color="auto" w:fill="FFFFFF"/>
        </w:rPr>
      </w:pPr>
      <w:r>
        <w:rPr>
          <w:shd w:val="clear" w:color="auto" w:fill="FFFFFF"/>
        </w:rPr>
        <w:t>Grayson, C., (2016). Problems in the Law Relating to Drug Suppliers and Manslaughter. </w:t>
      </w:r>
      <w:r>
        <w:rPr>
          <w:i/>
          <w:iCs/>
          <w:shd w:val="clear" w:color="auto" w:fill="FFFFFF"/>
        </w:rPr>
        <w:t>NEL Rev.</w:t>
      </w:r>
      <w:r>
        <w:rPr>
          <w:shd w:val="clear" w:color="auto" w:fill="FFFFFF"/>
        </w:rPr>
        <w:t>, </w:t>
      </w:r>
      <w:r>
        <w:rPr>
          <w:i/>
          <w:iCs/>
          <w:shd w:val="clear" w:color="auto" w:fill="FFFFFF"/>
        </w:rPr>
        <w:t>4</w:t>
      </w:r>
      <w:r>
        <w:rPr>
          <w:shd w:val="clear" w:color="auto" w:fill="FFFFFF"/>
        </w:rPr>
        <w:t>, p.153.</w:t>
      </w:r>
    </w:p>
    <w:p w14:paraId="63EB87E8" w14:textId="77777777" w:rsidR="004F168C" w:rsidRDefault="00C42D25" w:rsidP="004F168C">
      <w:pPr>
        <w:rPr>
          <w:shd w:val="clear" w:color="auto" w:fill="FFFFFF"/>
        </w:rPr>
      </w:pPr>
      <w:r>
        <w:rPr>
          <w:shd w:val="clear" w:color="auto" w:fill="FFFFFF"/>
        </w:rPr>
        <w:t>Griffith, R., (2018). Neglect by carers. </w:t>
      </w:r>
      <w:r>
        <w:rPr>
          <w:i/>
          <w:iCs/>
          <w:shd w:val="clear" w:color="auto" w:fill="FFFFFF"/>
        </w:rPr>
        <w:t>British Journal of Community Nursing</w:t>
      </w:r>
      <w:r>
        <w:rPr>
          <w:shd w:val="clear" w:color="auto" w:fill="FFFFFF"/>
        </w:rPr>
        <w:t>, </w:t>
      </w:r>
      <w:r>
        <w:rPr>
          <w:i/>
          <w:iCs/>
          <w:shd w:val="clear" w:color="auto" w:fill="FFFFFF"/>
        </w:rPr>
        <w:t>23</w:t>
      </w:r>
      <w:r>
        <w:rPr>
          <w:shd w:val="clear" w:color="auto" w:fill="FFFFFF"/>
        </w:rPr>
        <w:t>(8), pp.407-409.</w:t>
      </w:r>
    </w:p>
    <w:p w14:paraId="5DC9C8F7" w14:textId="77777777" w:rsidR="004F168C" w:rsidRDefault="00C42D25" w:rsidP="004F168C">
      <w:pPr>
        <w:pStyle w:val="Bibliography"/>
        <w:rPr>
          <w:noProof/>
        </w:rPr>
      </w:pPr>
      <w:r>
        <w:rPr>
          <w:noProof/>
        </w:rPr>
        <w:t xml:space="preserve">ICLR, </w:t>
      </w:r>
      <w:r w:rsidR="00711EF3">
        <w:rPr>
          <w:noProof/>
        </w:rPr>
        <w:t>(</w:t>
      </w:r>
      <w:r>
        <w:rPr>
          <w:noProof/>
        </w:rPr>
        <w:t>2022</w:t>
      </w:r>
      <w:r w:rsidR="00711EF3">
        <w:rPr>
          <w:noProof/>
        </w:rPr>
        <w:t>)</w:t>
      </w:r>
      <w:r>
        <w:rPr>
          <w:noProof/>
        </w:rPr>
        <w:t>. Mens rea and actus reus. [Online] Available at: https://www.iclr.co.uk/knowledge/glossary/mens-rea-and-actus-reus/</w:t>
      </w:r>
    </w:p>
    <w:p w14:paraId="212F84F9" w14:textId="77777777" w:rsidR="004F168C" w:rsidRDefault="00C42D25" w:rsidP="00C12A14">
      <w:pPr>
        <w:rPr>
          <w:shd w:val="clear" w:color="auto" w:fill="FFFFFF"/>
        </w:rPr>
      </w:pPr>
      <w:r>
        <w:rPr>
          <w:shd w:val="clear" w:color="auto" w:fill="FFFFFF"/>
        </w:rPr>
        <w:t>Keene, A.C.E.R. and Lee, A., (2019). Withdrawing life-sustaining treatment: a stock-take of the legal and ethical position. </w:t>
      </w:r>
      <w:r>
        <w:rPr>
          <w:i/>
          <w:iCs/>
          <w:shd w:val="clear" w:color="auto" w:fill="FFFFFF"/>
        </w:rPr>
        <w:t>Journal of Medical Ethics</w:t>
      </w:r>
      <w:r>
        <w:rPr>
          <w:shd w:val="clear" w:color="auto" w:fill="FFFFFF"/>
        </w:rPr>
        <w:t>, </w:t>
      </w:r>
      <w:r>
        <w:rPr>
          <w:i/>
          <w:iCs/>
          <w:shd w:val="clear" w:color="auto" w:fill="FFFFFF"/>
        </w:rPr>
        <w:t>45</w:t>
      </w:r>
      <w:r>
        <w:rPr>
          <w:shd w:val="clear" w:color="auto" w:fill="FFFFFF"/>
        </w:rPr>
        <w:t>(12), pp.794-799.</w:t>
      </w:r>
    </w:p>
    <w:p w14:paraId="370D04BF" w14:textId="77777777" w:rsidR="004F168C" w:rsidRDefault="00C42D25" w:rsidP="004F168C">
      <w:pPr>
        <w:pStyle w:val="Bibliography"/>
        <w:rPr>
          <w:noProof/>
        </w:rPr>
      </w:pPr>
      <w:r>
        <w:rPr>
          <w:noProof/>
        </w:rPr>
        <w:t xml:space="preserve">Legal Match, </w:t>
      </w:r>
      <w:r w:rsidR="00711EF3">
        <w:rPr>
          <w:noProof/>
        </w:rPr>
        <w:t>(</w:t>
      </w:r>
      <w:r>
        <w:rPr>
          <w:noProof/>
        </w:rPr>
        <w:t>2022</w:t>
      </w:r>
      <w:r w:rsidR="00711EF3">
        <w:rPr>
          <w:noProof/>
        </w:rPr>
        <w:t>)</w:t>
      </w:r>
      <w:r>
        <w:rPr>
          <w:noProof/>
        </w:rPr>
        <w:t>. Duty to Act. [Online] Available at: https://www.legalmatch.com/law-library/article/duty-to-act.html</w:t>
      </w:r>
    </w:p>
    <w:p w14:paraId="097BE763" w14:textId="77777777" w:rsidR="004F168C" w:rsidRDefault="00C42D25" w:rsidP="004F168C">
      <w:pPr>
        <w:pStyle w:val="Bibliography"/>
        <w:rPr>
          <w:noProof/>
        </w:rPr>
      </w:pPr>
      <w:r>
        <w:rPr>
          <w:noProof/>
        </w:rPr>
        <w:lastRenderedPageBreak/>
        <w:t xml:space="preserve">Lexis Nexis, </w:t>
      </w:r>
      <w:r w:rsidR="00301027">
        <w:rPr>
          <w:noProof/>
        </w:rPr>
        <w:t>(</w:t>
      </w:r>
      <w:r>
        <w:rPr>
          <w:noProof/>
        </w:rPr>
        <w:t>2022</w:t>
      </w:r>
      <w:r w:rsidR="00301027">
        <w:rPr>
          <w:noProof/>
        </w:rPr>
        <w:t>)</w:t>
      </w:r>
      <w:r>
        <w:rPr>
          <w:noProof/>
        </w:rPr>
        <w:t>. Criminal act or omission — 2022. [Online] Available at: https://www.lexisnexis.co.uk/legal/guidance/criminal-act-or-omission</w:t>
      </w:r>
    </w:p>
    <w:p w14:paraId="716865D4" w14:textId="77777777" w:rsidR="004F168C" w:rsidRDefault="00C42D25" w:rsidP="004F168C">
      <w:pPr>
        <w:pStyle w:val="Bibliography"/>
        <w:rPr>
          <w:noProof/>
        </w:rPr>
      </w:pPr>
      <w:r>
        <w:rPr>
          <w:noProof/>
        </w:rPr>
        <w:t xml:space="preserve">Parsons, S., </w:t>
      </w:r>
      <w:r w:rsidR="00301027">
        <w:rPr>
          <w:noProof/>
        </w:rPr>
        <w:t>(</w:t>
      </w:r>
      <w:r>
        <w:rPr>
          <w:noProof/>
        </w:rPr>
        <w:t>2021</w:t>
      </w:r>
      <w:r w:rsidR="00301027">
        <w:rPr>
          <w:noProof/>
        </w:rPr>
        <w:t>)</w:t>
      </w:r>
      <w:r>
        <w:rPr>
          <w:noProof/>
        </w:rPr>
        <w:t>. REVISITING MISCONDUCT IN PUBLIC OFFICE. [Online] Available at: https://www.newlawjournal.co.uk/content/revisiting-misconduct-in-public-office</w:t>
      </w:r>
    </w:p>
    <w:p w14:paraId="4D175DF1" w14:textId="77777777" w:rsidR="004F168C" w:rsidRDefault="00C42D25" w:rsidP="004F168C">
      <w:pPr>
        <w:pStyle w:val="Bibliography"/>
        <w:rPr>
          <w:noProof/>
        </w:rPr>
      </w:pPr>
      <w:r>
        <w:rPr>
          <w:noProof/>
        </w:rPr>
        <w:t xml:space="preserve">Shalchi, A., </w:t>
      </w:r>
      <w:r w:rsidR="00301027">
        <w:rPr>
          <w:noProof/>
        </w:rPr>
        <w:t>(</w:t>
      </w:r>
      <w:r>
        <w:rPr>
          <w:noProof/>
        </w:rPr>
        <w:t>2022</w:t>
      </w:r>
      <w:r w:rsidR="00301027">
        <w:rPr>
          <w:noProof/>
        </w:rPr>
        <w:t>)</w:t>
      </w:r>
      <w:r>
        <w:rPr>
          <w:noProof/>
        </w:rPr>
        <w:t>. Corporate criminal liability in England and Wales. [Online] Available at: https://researchbriefings.files.parliament.uk/documents/CBP-9027/CBP-9027.pdf</w:t>
      </w:r>
    </w:p>
    <w:p w14:paraId="147BBDFF" w14:textId="77777777" w:rsidR="004F168C" w:rsidRDefault="00C42D25" w:rsidP="004F168C">
      <w:pPr>
        <w:rPr>
          <w:shd w:val="clear" w:color="auto" w:fill="FFFFFF"/>
        </w:rPr>
      </w:pPr>
      <w:proofErr w:type="spellStart"/>
      <w:r>
        <w:rPr>
          <w:shd w:val="clear" w:color="auto" w:fill="FFFFFF"/>
        </w:rPr>
        <w:t>Simester</w:t>
      </w:r>
      <w:proofErr w:type="spellEnd"/>
      <w:r>
        <w:rPr>
          <w:shd w:val="clear" w:color="auto" w:fill="FFFFFF"/>
        </w:rPr>
        <w:t>, A., (2021). </w:t>
      </w:r>
      <w:r>
        <w:rPr>
          <w:i/>
          <w:iCs/>
          <w:shd w:val="clear" w:color="auto" w:fill="FFFFFF"/>
        </w:rPr>
        <w:t>Fundamentals of criminal law: responsibility, culpability, and wrongdoing</w:t>
      </w:r>
      <w:r>
        <w:rPr>
          <w:shd w:val="clear" w:color="auto" w:fill="FFFFFF"/>
        </w:rPr>
        <w:t>. Oxford University Press, USA.</w:t>
      </w:r>
    </w:p>
    <w:p w14:paraId="6A349223" w14:textId="77777777" w:rsidR="004F168C" w:rsidRPr="004F168C" w:rsidRDefault="00C42D25" w:rsidP="004F168C">
      <w:pPr>
        <w:pStyle w:val="Bibliography"/>
        <w:rPr>
          <w:noProof/>
        </w:rPr>
      </w:pPr>
      <w:r>
        <w:rPr>
          <w:noProof/>
        </w:rPr>
        <w:t xml:space="preserve">The Law Society, </w:t>
      </w:r>
      <w:r w:rsidR="00301027">
        <w:rPr>
          <w:noProof/>
        </w:rPr>
        <w:t>(</w:t>
      </w:r>
      <w:r>
        <w:rPr>
          <w:noProof/>
        </w:rPr>
        <w:t>2022</w:t>
      </w:r>
      <w:r w:rsidR="00301027">
        <w:rPr>
          <w:noProof/>
        </w:rPr>
        <w:t>)</w:t>
      </w:r>
      <w:r>
        <w:rPr>
          <w:noProof/>
        </w:rPr>
        <w:t>. Criminal law. [Online] Available at: https://www.lawsociety.org.uk/public/for-public-visitors/common-legal-issues/criminal-law</w:t>
      </w:r>
    </w:p>
    <w:sectPr w:rsidR="004F168C" w:rsidRPr="004F168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31D04" w14:textId="77777777" w:rsidR="00270CDB" w:rsidRDefault="00270CDB" w:rsidP="00B37848">
      <w:pPr>
        <w:spacing w:after="0" w:line="240" w:lineRule="auto"/>
      </w:pPr>
      <w:r>
        <w:separator/>
      </w:r>
    </w:p>
  </w:endnote>
  <w:endnote w:type="continuationSeparator" w:id="0">
    <w:p w14:paraId="78E743E5" w14:textId="77777777" w:rsidR="00270CDB" w:rsidRDefault="00270CDB" w:rsidP="00B37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8C542" w14:textId="77777777" w:rsidR="00B37848" w:rsidRDefault="00B378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1873C" w14:textId="77777777" w:rsidR="00B37848" w:rsidRDefault="00B378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32D61" w14:textId="77777777" w:rsidR="00B37848" w:rsidRDefault="00B37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7F891" w14:textId="77777777" w:rsidR="00270CDB" w:rsidRDefault="00270CDB" w:rsidP="00B37848">
      <w:pPr>
        <w:spacing w:after="0" w:line="240" w:lineRule="auto"/>
      </w:pPr>
      <w:r>
        <w:separator/>
      </w:r>
    </w:p>
  </w:footnote>
  <w:footnote w:type="continuationSeparator" w:id="0">
    <w:p w14:paraId="1D0A53D1" w14:textId="77777777" w:rsidR="00270CDB" w:rsidRDefault="00270CDB" w:rsidP="00B378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23B78" w14:textId="77777777" w:rsidR="00B37848" w:rsidRDefault="00B378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D2709" w14:textId="77777777" w:rsidR="00B37848" w:rsidRDefault="00B378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1A6A7" w14:textId="77777777" w:rsidR="00B37848" w:rsidRDefault="00B378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579ED"/>
    <w:multiLevelType w:val="hybridMultilevel"/>
    <w:tmpl w:val="F2F8CD24"/>
    <w:lvl w:ilvl="0" w:tplc="3056D17C">
      <w:numFmt w:val="bullet"/>
      <w:lvlText w:val="-"/>
      <w:lvlJc w:val="left"/>
      <w:pPr>
        <w:ind w:left="720" w:hanging="360"/>
      </w:pPr>
      <w:rPr>
        <w:rFonts w:ascii="Calibri" w:eastAsiaTheme="minorEastAsia" w:hAnsi="Calibri" w:cs="Calibri" w:hint="default"/>
      </w:rPr>
    </w:lvl>
    <w:lvl w:ilvl="1" w:tplc="20BAE908" w:tentative="1">
      <w:start w:val="1"/>
      <w:numFmt w:val="bullet"/>
      <w:lvlText w:val="o"/>
      <w:lvlJc w:val="left"/>
      <w:pPr>
        <w:ind w:left="1440" w:hanging="360"/>
      </w:pPr>
      <w:rPr>
        <w:rFonts w:ascii="Courier New" w:hAnsi="Courier New" w:cs="Courier New" w:hint="default"/>
      </w:rPr>
    </w:lvl>
    <w:lvl w:ilvl="2" w:tplc="66EE3516" w:tentative="1">
      <w:start w:val="1"/>
      <w:numFmt w:val="bullet"/>
      <w:lvlText w:val=""/>
      <w:lvlJc w:val="left"/>
      <w:pPr>
        <w:ind w:left="2160" w:hanging="360"/>
      </w:pPr>
      <w:rPr>
        <w:rFonts w:ascii="Wingdings" w:hAnsi="Wingdings" w:hint="default"/>
      </w:rPr>
    </w:lvl>
    <w:lvl w:ilvl="3" w:tplc="DFBA5E68" w:tentative="1">
      <w:start w:val="1"/>
      <w:numFmt w:val="bullet"/>
      <w:lvlText w:val=""/>
      <w:lvlJc w:val="left"/>
      <w:pPr>
        <w:ind w:left="2880" w:hanging="360"/>
      </w:pPr>
      <w:rPr>
        <w:rFonts w:ascii="Symbol" w:hAnsi="Symbol" w:hint="default"/>
      </w:rPr>
    </w:lvl>
    <w:lvl w:ilvl="4" w:tplc="104818C2" w:tentative="1">
      <w:start w:val="1"/>
      <w:numFmt w:val="bullet"/>
      <w:lvlText w:val="o"/>
      <w:lvlJc w:val="left"/>
      <w:pPr>
        <w:ind w:left="3600" w:hanging="360"/>
      </w:pPr>
      <w:rPr>
        <w:rFonts w:ascii="Courier New" w:hAnsi="Courier New" w:cs="Courier New" w:hint="default"/>
      </w:rPr>
    </w:lvl>
    <w:lvl w:ilvl="5" w:tplc="4466912E" w:tentative="1">
      <w:start w:val="1"/>
      <w:numFmt w:val="bullet"/>
      <w:lvlText w:val=""/>
      <w:lvlJc w:val="left"/>
      <w:pPr>
        <w:ind w:left="4320" w:hanging="360"/>
      </w:pPr>
      <w:rPr>
        <w:rFonts w:ascii="Wingdings" w:hAnsi="Wingdings" w:hint="default"/>
      </w:rPr>
    </w:lvl>
    <w:lvl w:ilvl="6" w:tplc="F852FB12" w:tentative="1">
      <w:start w:val="1"/>
      <w:numFmt w:val="bullet"/>
      <w:lvlText w:val=""/>
      <w:lvlJc w:val="left"/>
      <w:pPr>
        <w:ind w:left="5040" w:hanging="360"/>
      </w:pPr>
      <w:rPr>
        <w:rFonts w:ascii="Symbol" w:hAnsi="Symbol" w:hint="default"/>
      </w:rPr>
    </w:lvl>
    <w:lvl w:ilvl="7" w:tplc="AB72E944" w:tentative="1">
      <w:start w:val="1"/>
      <w:numFmt w:val="bullet"/>
      <w:lvlText w:val="o"/>
      <w:lvlJc w:val="left"/>
      <w:pPr>
        <w:ind w:left="5760" w:hanging="360"/>
      </w:pPr>
      <w:rPr>
        <w:rFonts w:ascii="Courier New" w:hAnsi="Courier New" w:cs="Courier New" w:hint="default"/>
      </w:rPr>
    </w:lvl>
    <w:lvl w:ilvl="8" w:tplc="8AE01FAA" w:tentative="1">
      <w:start w:val="1"/>
      <w:numFmt w:val="bullet"/>
      <w:lvlText w:val=""/>
      <w:lvlJc w:val="left"/>
      <w:pPr>
        <w:ind w:left="6480" w:hanging="360"/>
      </w:pPr>
      <w:rPr>
        <w:rFonts w:ascii="Wingdings" w:hAnsi="Wingdings" w:hint="default"/>
      </w:rPr>
    </w:lvl>
  </w:abstractNum>
  <w:num w:numId="1" w16cid:durableId="1446387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DF8"/>
    <w:rsid w:val="00033426"/>
    <w:rsid w:val="000C65D6"/>
    <w:rsid w:val="0011717D"/>
    <w:rsid w:val="0012367F"/>
    <w:rsid w:val="00127DF8"/>
    <w:rsid w:val="00270CDB"/>
    <w:rsid w:val="002973CB"/>
    <w:rsid w:val="00301027"/>
    <w:rsid w:val="003E276A"/>
    <w:rsid w:val="00460E06"/>
    <w:rsid w:val="004A7B90"/>
    <w:rsid w:val="004E0E4F"/>
    <w:rsid w:val="004E326D"/>
    <w:rsid w:val="004F168C"/>
    <w:rsid w:val="0051386A"/>
    <w:rsid w:val="00590367"/>
    <w:rsid w:val="00593A22"/>
    <w:rsid w:val="00625604"/>
    <w:rsid w:val="00671AE8"/>
    <w:rsid w:val="0067683C"/>
    <w:rsid w:val="00696800"/>
    <w:rsid w:val="006E6596"/>
    <w:rsid w:val="00703225"/>
    <w:rsid w:val="00711EF3"/>
    <w:rsid w:val="007A46D0"/>
    <w:rsid w:val="00886CAC"/>
    <w:rsid w:val="008C1E44"/>
    <w:rsid w:val="00937823"/>
    <w:rsid w:val="009606B0"/>
    <w:rsid w:val="00A559F4"/>
    <w:rsid w:val="00B37848"/>
    <w:rsid w:val="00B45DEE"/>
    <w:rsid w:val="00B82829"/>
    <w:rsid w:val="00C07027"/>
    <w:rsid w:val="00C1280D"/>
    <w:rsid w:val="00C12A14"/>
    <w:rsid w:val="00C42D25"/>
    <w:rsid w:val="00CB1470"/>
    <w:rsid w:val="00D347B5"/>
    <w:rsid w:val="00D7285E"/>
    <w:rsid w:val="00EC548A"/>
    <w:rsid w:val="00F05DD3"/>
    <w:rsid w:val="00F46646"/>
    <w:rsid w:val="00FE3B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64FF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B77"/>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E3B77"/>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FE3B77"/>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FE3B77"/>
    <w:pPr>
      <w:keepNext/>
      <w:keepLines/>
      <w:spacing w:before="40" w:after="0"/>
      <w:outlineLvl w:val="2"/>
    </w:pPr>
    <w:rPr>
      <w:rFonts w:eastAsiaTheme="majorEastAsia" w:cstheme="majorBidi"/>
      <w:i/>
      <w:color w:val="000000" w:themeColor="text1"/>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B77"/>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FE3B77"/>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rsid w:val="00FE3B77"/>
    <w:rPr>
      <w:rFonts w:ascii="Times New Roman" w:eastAsiaTheme="majorEastAsia" w:hAnsi="Times New Roman" w:cstheme="majorBidi"/>
      <w:i/>
      <w:color w:val="000000" w:themeColor="text1"/>
      <w:sz w:val="24"/>
      <w:szCs w:val="24"/>
      <w:u w:val="single"/>
      <w:lang w:val="en-GB"/>
    </w:rPr>
  </w:style>
  <w:style w:type="paragraph" w:styleId="ListParagraph">
    <w:name w:val="List Paragraph"/>
    <w:basedOn w:val="Normal"/>
    <w:uiPriority w:val="34"/>
    <w:qFormat/>
    <w:rsid w:val="00B82829"/>
    <w:pPr>
      <w:spacing w:after="160" w:line="259" w:lineRule="auto"/>
      <w:ind w:left="720"/>
      <w:contextualSpacing/>
      <w:jc w:val="left"/>
    </w:pPr>
    <w:rPr>
      <w:rFonts w:asciiTheme="minorHAnsi" w:eastAsiaTheme="minorEastAsia" w:hAnsiTheme="minorHAnsi"/>
      <w:sz w:val="22"/>
      <w:lang w:eastAsia="zh-CN"/>
    </w:rPr>
  </w:style>
  <w:style w:type="paragraph" w:styleId="NoSpacing">
    <w:name w:val="No Spacing"/>
    <w:uiPriority w:val="1"/>
    <w:qFormat/>
    <w:rsid w:val="00CB1470"/>
    <w:pPr>
      <w:spacing w:after="0" w:line="240" w:lineRule="auto"/>
    </w:pPr>
    <w:rPr>
      <w:rFonts w:eastAsiaTheme="minorEastAsia"/>
      <w:lang w:val="en-GB" w:eastAsia="zh-CN"/>
    </w:rPr>
  </w:style>
  <w:style w:type="paragraph" w:styleId="TOCHeading">
    <w:name w:val="TOC Heading"/>
    <w:basedOn w:val="Heading1"/>
    <w:next w:val="Normal"/>
    <w:uiPriority w:val="39"/>
    <w:unhideWhenUsed/>
    <w:qFormat/>
    <w:rsid w:val="004F168C"/>
    <w:pPr>
      <w:spacing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4F168C"/>
    <w:pPr>
      <w:spacing w:after="100"/>
    </w:pPr>
  </w:style>
  <w:style w:type="paragraph" w:styleId="TOC2">
    <w:name w:val="toc 2"/>
    <w:basedOn w:val="Normal"/>
    <w:next w:val="Normal"/>
    <w:autoRedefine/>
    <w:uiPriority w:val="39"/>
    <w:unhideWhenUsed/>
    <w:rsid w:val="004F168C"/>
    <w:pPr>
      <w:spacing w:after="100"/>
      <w:ind w:left="240"/>
    </w:pPr>
  </w:style>
  <w:style w:type="character" w:styleId="Hyperlink">
    <w:name w:val="Hyperlink"/>
    <w:basedOn w:val="DefaultParagraphFont"/>
    <w:uiPriority w:val="99"/>
    <w:unhideWhenUsed/>
    <w:rsid w:val="004F168C"/>
    <w:rPr>
      <w:color w:val="0000FF" w:themeColor="hyperlink"/>
      <w:u w:val="single"/>
    </w:rPr>
  </w:style>
  <w:style w:type="paragraph" w:styleId="Bibliography">
    <w:name w:val="Bibliography"/>
    <w:basedOn w:val="Normal"/>
    <w:next w:val="Normal"/>
    <w:uiPriority w:val="37"/>
    <w:unhideWhenUsed/>
    <w:rsid w:val="004F168C"/>
  </w:style>
  <w:style w:type="paragraph" w:styleId="Header">
    <w:name w:val="header"/>
    <w:basedOn w:val="Normal"/>
    <w:link w:val="HeaderChar"/>
    <w:uiPriority w:val="99"/>
    <w:unhideWhenUsed/>
    <w:rsid w:val="00B378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848"/>
    <w:rPr>
      <w:rFonts w:ascii="Times New Roman" w:hAnsi="Times New Roman"/>
      <w:sz w:val="24"/>
      <w:lang w:val="en-GB"/>
    </w:rPr>
  </w:style>
  <w:style w:type="paragraph" w:styleId="Footer">
    <w:name w:val="footer"/>
    <w:basedOn w:val="Normal"/>
    <w:link w:val="FooterChar"/>
    <w:uiPriority w:val="99"/>
    <w:unhideWhenUsed/>
    <w:rsid w:val="00B378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848"/>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Wil22</b:Tag>
    <b:SourceType>InternetSite</b:SourceType>
    <b:Guid>{11CA2488-5ED5-4320-93FF-85F2509137C9}</b:Guid>
    <b:Author>
      <b:Author>
        <b:NameList>
          <b:Person>
            <b:Last>Chen</b:Last>
            <b:First>Will</b:First>
          </b:Person>
        </b:NameList>
      </b:Author>
    </b:Author>
    <b:Title>R v Miller [1983] 2 AC 161, [1983] Crim LR 466</b:Title>
    <b:Year>2022</b:Year>
    <b:URL>https://lawprof.co/criminal-law/general-part-cases/r-v-miller-1983-2-ac-161-1983-crim-lr-466/</b:URL>
    <b:RefOrder>2</b:RefOrder>
  </b:Source>
  <b:Source>
    <b:Tag>Ali22</b:Tag>
    <b:SourceType>InternetSite</b:SourceType>
    <b:Guid>{6984D077-47D4-4EB5-9E8D-9F4122872D24}</b:Guid>
    <b:Author>
      <b:Author>
        <b:NameList>
          <b:Person>
            <b:Last>Shalchi</b:Last>
            <b:First>Ali</b:First>
          </b:Person>
        </b:NameList>
      </b:Author>
    </b:Author>
    <b:Title>Corporate criminal liability in England and Wales</b:Title>
    <b:Year>2022</b:Year>
    <b:URL>https://researchbriefings.files.parliament.uk/documents/CBP-9027/CBP-9027.pdf</b:URL>
    <b:RefOrder>8</b:RefOrder>
  </b:Source>
  <b:Source>
    <b:Tag>The22</b:Tag>
    <b:SourceType>InternetSite</b:SourceType>
    <b:Guid>{0B3330C4-FEF0-409D-9BD4-FCCA4DC9F037}</b:Guid>
    <b:Author>
      <b:Author>
        <b:Corporate>The Law Society</b:Corporate>
      </b:Author>
    </b:Author>
    <b:Title>Criminal law</b:Title>
    <b:Year>2022</b:Year>
    <b:URL>https://www.lawsociety.org.uk/public/for-public-visitors/common-legal-issues/criminal-law</b:URL>
    <b:RefOrder>9</b:RefOrder>
  </b:Source>
  <b:Source>
    <b:Tag>Lex22</b:Tag>
    <b:SourceType>InternetSite</b:SourceType>
    <b:Guid>{5CF19C14-9038-48DD-9A15-5EDCAB0BE1B9}</b:Guid>
    <b:Author>
      <b:Author>
        <b:Corporate>Lexis Nexis</b:Corporate>
      </b:Author>
    </b:Author>
    <b:Title>Criminal act or omission — 2022</b:Title>
    <b:Year>2022</b:Year>
    <b:URL>https://www.lexisnexis.co.uk/legal/guidance/criminal-act-or-omission</b:URL>
    <b:RefOrder>4</b:RefOrder>
  </b:Source>
  <b:Source>
    <b:Tag>Sim21</b:Tag>
    <b:SourceType>InternetSite</b:SourceType>
    <b:Guid>{823EF05F-74F9-40D2-AA5E-2F914E8BC0F7}</b:Guid>
    <b:Author>
      <b:Author>
        <b:NameList>
          <b:Person>
            <b:Last>Parsons</b:Last>
            <b:First>Simon</b:First>
          </b:Person>
        </b:NameList>
      </b:Author>
    </b:Author>
    <b:Title>REVISITING MISCONDUCT IN PUBLIC OFFICE</b:Title>
    <b:Year>2021</b:Year>
    <b:URL>https://www.newlawjournal.co.uk/content/revisiting-misconduct-in-public-office</b:URL>
    <b:RefOrder>5</b:RefOrder>
  </b:Source>
  <b:Source>
    <b:Tag>Dav22</b:Tag>
    <b:SourceType>InternetSite</b:SourceType>
    <b:Guid>{57F12E49-7DA0-4869-8FE1-009AB5A22524}</b:Guid>
    <b:Author>
      <b:Author>
        <b:NameList>
          <b:Person>
            <b:Last>Givot</b:Last>
            <b:First>David</b:First>
          </b:Person>
        </b:NameList>
      </b:Author>
    </b:Author>
    <b:Title>Duty to act, assess, treat and transport: A legal refresher for EMS providers</b:Title>
    <b:Year>2022</b:Year>
    <b:URL>https://www.ems1.com/ems-products/consulting-management-and-legal-services/articles/duty-to-act-assess-treat-and-transport-a-legal-refresher-for-ems-providers-ioTzu8rfkGeu7BhH/</b:URL>
    <b:RefOrder>6</b:RefOrder>
  </b:Source>
  <b:Source>
    <b:Tag>Leg22</b:Tag>
    <b:SourceType>InternetSite</b:SourceType>
    <b:Guid>{D7EA179D-CE07-44F6-B8FB-548E5CBFC83E}</b:Guid>
    <b:Author>
      <b:Author>
        <b:Corporate>Legal Match</b:Corporate>
      </b:Author>
    </b:Author>
    <b:Title>Duty to Act</b:Title>
    <b:Year>2022</b:Year>
    <b:URL>https://www.legalmatch.com/law-library/article/duty-to-act.html</b:URL>
    <b:RefOrder>3</b:RefOrder>
  </b:Source>
  <b:Source>
    <b:Tag>CPS19</b:Tag>
    <b:SourceType>InternetSite</b:SourceType>
    <b:Guid>{4765B560-422C-4C85-9C93-4E8EE0E7035E}</b:Guid>
    <b:Author>
      <b:Author>
        <b:NameList>
          <b:Person>
            <b:Last>CPS</b:Last>
          </b:Person>
        </b:NameList>
      </b:Author>
    </b:Author>
    <b:Title>Homicide: Murder and Manslaughter</b:Title>
    <b:Year>2019</b:Year>
    <b:URL>https://www.cps.gov.uk/legal-guidance/homicide-murder-and-manslaughter</b:URL>
    <b:RefOrder>7</b:RefOrder>
  </b:Source>
  <b:Source>
    <b:Tag>ICL22</b:Tag>
    <b:SourceType>InternetSite</b:SourceType>
    <b:Guid>{C2D8FC54-C540-4344-AD2E-051A824B5732}</b:Guid>
    <b:Author>
      <b:Author>
        <b:NameList>
          <b:Person>
            <b:Last>ICLR</b:Last>
          </b:Person>
        </b:NameList>
      </b:Author>
    </b:Author>
    <b:Title>Mens rea and actus reus</b:Title>
    <b:Year>2022</b:Year>
    <b:URL>https://www.iclr.co.uk/knowledge/glossary/mens-rea-and-actus-reus/</b:URL>
    <b:RefOrder>1</b:RefOrder>
  </b:Source>
</b:Sources>
</file>

<file path=customXml/itemProps1.xml><?xml version="1.0" encoding="utf-8"?>
<ds:datastoreItem xmlns:ds="http://schemas.openxmlformats.org/officeDocument/2006/customXml" ds:itemID="{75DADAB1-10FE-4FF3-A691-265DA619D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1928</Words>
  <Characters>10991</Characters>
  <Application>Microsoft Office Word</Application>
  <DocSecurity>0</DocSecurity>
  <Lines>91</Lines>
  <Paragraphs>25</Paragraphs>
  <ScaleCrop>false</ScaleCrop>
  <Company/>
  <LinksUpToDate>false</LinksUpToDate>
  <CharactersWithSpaces>12894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2022-10-22T15:31:00Z</dcterms:created>
  <dcterms:modified xsi:type="dcterms:W3CDTF">2022-11-10T18:10:00Z</dcterms:modified>
</cp:coreProperties>
</file>