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723" w:rsidRPr="00F709AC" w:rsidRDefault="00B25723" w:rsidP="00954979">
      <w:pPr>
        <w:spacing w:after="0" w:line="360" w:lineRule="auto"/>
        <w:jc w:val="center"/>
        <w:rPr>
          <w:rFonts w:ascii="Times New Roman" w:eastAsia="Times New Roman" w:hAnsi="Times New Roman" w:cs="Times New Roman"/>
          <w:sz w:val="28"/>
          <w:szCs w:val="28"/>
          <w:lang w:eastAsia="en-GB"/>
        </w:rPr>
      </w:pPr>
      <w:r w:rsidRPr="00F709AC">
        <w:rPr>
          <w:rFonts w:ascii="Times New Roman" w:eastAsia="Times New Roman" w:hAnsi="Times New Roman" w:cs="Times New Roman"/>
          <w:b/>
          <w:bCs/>
          <w:color w:val="000000"/>
          <w:sz w:val="28"/>
          <w:szCs w:val="28"/>
          <w:u w:val="single"/>
          <w:lang w:eastAsia="en-GB"/>
        </w:rPr>
        <w:t xml:space="preserve">A Critical Reflection of Learning </w:t>
      </w:r>
      <w:r w:rsidR="00590119" w:rsidRPr="00F709AC">
        <w:rPr>
          <w:rFonts w:ascii="Times New Roman" w:eastAsia="Times New Roman" w:hAnsi="Times New Roman" w:cs="Times New Roman"/>
          <w:b/>
          <w:bCs/>
          <w:color w:val="000000"/>
          <w:sz w:val="28"/>
          <w:szCs w:val="28"/>
          <w:u w:val="single"/>
          <w:lang w:eastAsia="en-GB"/>
        </w:rPr>
        <w:t>through</w:t>
      </w:r>
      <w:r w:rsidRPr="00F709AC">
        <w:rPr>
          <w:rFonts w:ascii="Times New Roman" w:eastAsia="Times New Roman" w:hAnsi="Times New Roman" w:cs="Times New Roman"/>
          <w:b/>
          <w:bCs/>
          <w:color w:val="000000"/>
          <w:sz w:val="28"/>
          <w:szCs w:val="28"/>
          <w:u w:val="single"/>
          <w:lang w:eastAsia="en-GB"/>
        </w:rPr>
        <w:t xml:space="preserve"> the Medium of Blog Writing</w:t>
      </w:r>
    </w:p>
    <w:p w:rsidR="00B25723" w:rsidRPr="00F709AC" w:rsidRDefault="00B25723" w:rsidP="00954979">
      <w:pPr>
        <w:spacing w:after="0" w:line="360" w:lineRule="auto"/>
        <w:ind w:firstLine="720"/>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Writing a blog has proven to test the nature of personal writing, balancing the requirement for ‘authenticity and liveliness,’ with the risk of being ‘tedious,’ ‘bigoted’ and publishing non-reviewed content (Eastment, 2005, p. 358). It is essential to navigate the process without compromising confidentiality (especially in education) whilst taking into account the lack of ‘quality control of the information provided’ (Thuang, 2018, p. 48). Considering these elements, the writing process initially led to doubt in confidence in the validity and relevance of content, questioning the conviction of personal opinion due to lack of review and reference to literature. The benefit of blog writing was its ability to deepen reflective understanding and </w:t>
      </w:r>
      <w:r w:rsidR="00097B2F">
        <w:rPr>
          <w:rFonts w:ascii="Times New Roman" w:eastAsia="Times New Roman" w:hAnsi="Times New Roman" w:cs="Times New Roman"/>
          <w:color w:val="000000"/>
          <w:sz w:val="24"/>
          <w:szCs w:val="24"/>
          <w:lang w:eastAsia="en-GB"/>
        </w:rPr>
        <w:t xml:space="preserve">to use </w:t>
      </w:r>
      <w:r w:rsidRPr="00F709AC">
        <w:rPr>
          <w:rFonts w:ascii="Times New Roman" w:eastAsia="Times New Roman" w:hAnsi="Times New Roman" w:cs="Times New Roman"/>
          <w:color w:val="000000"/>
          <w:sz w:val="24"/>
          <w:szCs w:val="24"/>
          <w:lang w:eastAsia="en-GB"/>
        </w:rPr>
        <w:t xml:space="preserve">as a basis for discussion amongst teaching professionals. The main drawback was its time consuming nature, and lack of potential to inspire action in teaching practice, serving mainly as a depository for </w:t>
      </w:r>
      <w:r w:rsidR="008E3924">
        <w:rPr>
          <w:rFonts w:ascii="Times New Roman" w:eastAsia="Times New Roman" w:hAnsi="Times New Roman" w:cs="Times New Roman"/>
          <w:color w:val="000000"/>
          <w:sz w:val="24"/>
          <w:szCs w:val="24"/>
          <w:lang w:eastAsia="en-GB"/>
        </w:rPr>
        <w:t xml:space="preserve">thoughts and </w:t>
      </w:r>
      <w:r w:rsidRPr="00F709AC">
        <w:rPr>
          <w:rFonts w:ascii="Times New Roman" w:eastAsia="Times New Roman" w:hAnsi="Times New Roman" w:cs="Times New Roman"/>
          <w:color w:val="000000"/>
          <w:sz w:val="24"/>
          <w:szCs w:val="24"/>
          <w:lang w:eastAsia="en-GB"/>
        </w:rPr>
        <w:t>opinion</w:t>
      </w:r>
      <w:r w:rsidR="008E3924">
        <w:rPr>
          <w:rFonts w:ascii="Times New Roman" w:eastAsia="Times New Roman" w:hAnsi="Times New Roman" w:cs="Times New Roman"/>
          <w:color w:val="000000"/>
          <w:sz w:val="24"/>
          <w:szCs w:val="24"/>
          <w:lang w:eastAsia="en-GB"/>
        </w:rPr>
        <w:t>s</w:t>
      </w:r>
      <w:r w:rsidR="004D4170">
        <w:rPr>
          <w:rFonts w:ascii="Times New Roman" w:eastAsia="Times New Roman" w:hAnsi="Times New Roman" w:cs="Times New Roman"/>
          <w:color w:val="000000"/>
          <w:sz w:val="24"/>
          <w:szCs w:val="24"/>
          <w:lang w:eastAsia="en-GB"/>
        </w:rPr>
        <w:t>.</w:t>
      </w:r>
    </w:p>
    <w:p w:rsidR="004749F6" w:rsidRDefault="004749F6" w:rsidP="00954979">
      <w:pPr>
        <w:spacing w:after="0" w:line="360" w:lineRule="auto"/>
        <w:ind w:firstLine="720"/>
        <w:jc w:val="both"/>
        <w:rPr>
          <w:rFonts w:ascii="Times New Roman" w:eastAsia="Times New Roman" w:hAnsi="Times New Roman" w:cs="Times New Roman"/>
          <w:color w:val="000000"/>
          <w:sz w:val="24"/>
          <w:szCs w:val="24"/>
          <w:lang w:eastAsia="en-GB"/>
        </w:rPr>
      </w:pPr>
    </w:p>
    <w:p w:rsidR="00B25723" w:rsidRPr="00F709AC" w:rsidRDefault="00B25723" w:rsidP="00954979">
      <w:pPr>
        <w:spacing w:after="0" w:line="360" w:lineRule="auto"/>
        <w:ind w:firstLine="720"/>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The blogging process encouraged a reflective ‘questioning approach’ (Bassot, 2016, p. 145), delving into </w:t>
      </w:r>
      <w:r w:rsidRPr="00F709AC">
        <w:rPr>
          <w:rFonts w:ascii="Times New Roman" w:eastAsia="Times New Roman" w:hAnsi="Times New Roman" w:cs="Times New Roman"/>
          <w:b/>
          <w:bCs/>
          <w:i/>
          <w:iCs/>
          <w:color w:val="000000"/>
          <w:sz w:val="24"/>
          <w:szCs w:val="24"/>
          <w:lang w:eastAsia="en-GB"/>
        </w:rPr>
        <w:t xml:space="preserve">why </w:t>
      </w:r>
      <w:r w:rsidRPr="00F709AC">
        <w:rPr>
          <w:rFonts w:ascii="Times New Roman" w:eastAsia="Times New Roman" w:hAnsi="Times New Roman" w:cs="Times New Roman"/>
          <w:color w:val="000000"/>
          <w:sz w:val="24"/>
          <w:szCs w:val="24"/>
          <w:lang w:eastAsia="en-GB"/>
        </w:rPr>
        <w:t>and</w:t>
      </w:r>
      <w:r w:rsidRPr="00F709AC">
        <w:rPr>
          <w:rFonts w:ascii="Times New Roman" w:eastAsia="Times New Roman" w:hAnsi="Times New Roman" w:cs="Times New Roman"/>
          <w:b/>
          <w:bCs/>
          <w:i/>
          <w:iCs/>
          <w:color w:val="000000"/>
          <w:sz w:val="24"/>
          <w:szCs w:val="24"/>
          <w:lang w:eastAsia="en-GB"/>
        </w:rPr>
        <w:t xml:space="preserve"> how</w:t>
      </w:r>
      <w:r w:rsidR="007C3D97">
        <w:rPr>
          <w:rFonts w:ascii="Times New Roman" w:eastAsia="Times New Roman" w:hAnsi="Times New Roman" w:cs="Times New Roman"/>
          <w:color w:val="000000"/>
          <w:sz w:val="24"/>
          <w:szCs w:val="24"/>
          <w:lang w:eastAsia="en-GB"/>
        </w:rPr>
        <w:t xml:space="preserve"> in professional practice</w:t>
      </w:r>
      <w:r w:rsidRPr="00F709AC">
        <w:rPr>
          <w:rFonts w:ascii="Times New Roman" w:eastAsia="Times New Roman" w:hAnsi="Times New Roman" w:cs="Times New Roman"/>
          <w:color w:val="000000"/>
          <w:sz w:val="24"/>
          <w:szCs w:val="24"/>
          <w:lang w:eastAsia="en-GB"/>
        </w:rPr>
        <w:t xml:space="preserve">, thus drawing conclusions based on specific educational contexts. This held value in formulating questions that led to solutions for issues and discussions between colleagues to further develop teaching, based on the informal sharing nature of the blog itself. This questioning approach mirrors formal reflective models; Kolb (1984, p. 43) in the ‘reflective observation’ stage, Schon’s (1983, p.47) ‘reflection in action,’ and Driscoll’s (2007, p.49) </w:t>
      </w:r>
      <w:r w:rsidRPr="00F709AC">
        <w:rPr>
          <w:rFonts w:ascii="Times New Roman" w:eastAsia="Times New Roman" w:hAnsi="Times New Roman" w:cs="Times New Roman"/>
          <w:i/>
          <w:iCs/>
          <w:color w:val="000000"/>
          <w:sz w:val="24"/>
          <w:szCs w:val="24"/>
          <w:lang w:eastAsia="en-GB"/>
        </w:rPr>
        <w:t>What?</w:t>
      </w:r>
      <w:r w:rsidRPr="00F709AC">
        <w:rPr>
          <w:rFonts w:ascii="Times New Roman" w:eastAsia="Times New Roman" w:hAnsi="Times New Roman" w:cs="Times New Roman"/>
          <w:color w:val="000000"/>
          <w:sz w:val="24"/>
          <w:szCs w:val="24"/>
          <w:lang w:eastAsia="en-GB"/>
        </w:rPr>
        <w:t xml:space="preserve"> model, based on questioning and therefore highlighting the importance of reflection upon contexts that have ‘no single correct response to any [encountered] situation’ (Bassot, 2016, p. 48). There is often no right answer to issues in education and therefore the reflective questioning facilitated by the blogging process was valuable. A deliberate decision to avoid reflective models in the blogging process proved to be positive, as models can be over-prescriptive, capable of restricting thinking (Coward, 2011, p.883) and susceptible to overly formalising a structure that is not characterised by the informal process of blog writing. Models of reflection can often be two dimensional and lack the social contexts (Kuk and Holst, 2018, p. 151) needed to fully learn from experience. The blog allowed for a process of experiential learning based on the thorough reflection of an experience, based on prior knowledge and learned experience (Kuk and Holst, 2018, p. 151)</w:t>
      </w:r>
      <w:r w:rsidR="006D1628">
        <w:rPr>
          <w:rFonts w:ascii="Times New Roman" w:eastAsia="Times New Roman" w:hAnsi="Times New Roman" w:cs="Times New Roman"/>
          <w:color w:val="000000"/>
          <w:sz w:val="24"/>
          <w:szCs w:val="24"/>
          <w:lang w:eastAsia="en-GB"/>
        </w:rPr>
        <w:t>,</w:t>
      </w:r>
      <w:r w:rsidRPr="00F709AC">
        <w:rPr>
          <w:rFonts w:ascii="Times New Roman" w:eastAsia="Times New Roman" w:hAnsi="Times New Roman" w:cs="Times New Roman"/>
          <w:color w:val="000000"/>
          <w:sz w:val="24"/>
          <w:szCs w:val="24"/>
          <w:lang w:eastAsia="en-GB"/>
        </w:rPr>
        <w:t xml:space="preserve"> to mediate the relationship between what happens in teaching and the personal learning drawn from this. The process encouraged an organic process of </w:t>
      </w:r>
      <w:r w:rsidR="00A80C7F" w:rsidRPr="00F709AC">
        <w:rPr>
          <w:rFonts w:ascii="Times New Roman" w:eastAsia="Times New Roman" w:hAnsi="Times New Roman" w:cs="Times New Roman"/>
          <w:color w:val="000000"/>
          <w:sz w:val="24"/>
          <w:szCs w:val="24"/>
          <w:lang w:eastAsia="en-GB"/>
        </w:rPr>
        <w:t>reflection that</w:t>
      </w:r>
      <w:r w:rsidRPr="00F709AC">
        <w:rPr>
          <w:rFonts w:ascii="Times New Roman" w:eastAsia="Times New Roman" w:hAnsi="Times New Roman" w:cs="Times New Roman"/>
          <w:color w:val="000000"/>
          <w:sz w:val="24"/>
          <w:szCs w:val="24"/>
          <w:lang w:eastAsia="en-GB"/>
        </w:rPr>
        <w:t xml:space="preserve"> was not pressured by referencing literature or open for scrutiny, instead a serendipitous and open sharing of ideas, linking to an </w:t>
      </w:r>
      <w:r w:rsidRPr="00F709AC">
        <w:rPr>
          <w:rFonts w:ascii="Times New Roman" w:eastAsia="Times New Roman" w:hAnsi="Times New Roman" w:cs="Times New Roman"/>
          <w:color w:val="000000"/>
          <w:sz w:val="24"/>
          <w:szCs w:val="24"/>
          <w:lang w:eastAsia="en-GB"/>
        </w:rPr>
        <w:lastRenderedPageBreak/>
        <w:t xml:space="preserve">idealised view of education through a personal lens on </w:t>
      </w:r>
      <w:r w:rsidR="00142E4D">
        <w:rPr>
          <w:rFonts w:ascii="Times New Roman" w:eastAsia="Times New Roman" w:hAnsi="Times New Roman" w:cs="Times New Roman"/>
          <w:color w:val="000000"/>
          <w:sz w:val="24"/>
          <w:szCs w:val="24"/>
          <w:lang w:eastAsia="en-GB"/>
        </w:rPr>
        <w:t>professional</w:t>
      </w:r>
      <w:r w:rsidRPr="00F709AC">
        <w:rPr>
          <w:rFonts w:ascii="Times New Roman" w:eastAsia="Times New Roman" w:hAnsi="Times New Roman" w:cs="Times New Roman"/>
          <w:color w:val="000000"/>
          <w:sz w:val="24"/>
          <w:szCs w:val="24"/>
          <w:lang w:eastAsia="en-GB"/>
        </w:rPr>
        <w:t xml:space="preserve"> practice. A rigid structure to this process could have choked </w:t>
      </w:r>
      <w:r w:rsidR="00F709AC" w:rsidRPr="00F709AC">
        <w:rPr>
          <w:rFonts w:ascii="Times New Roman" w:eastAsia="Times New Roman" w:hAnsi="Times New Roman" w:cs="Times New Roman"/>
          <w:color w:val="000000"/>
          <w:sz w:val="24"/>
          <w:szCs w:val="24"/>
          <w:lang w:eastAsia="en-GB"/>
        </w:rPr>
        <w:t>its</w:t>
      </w:r>
      <w:r w:rsidRPr="00F709AC">
        <w:rPr>
          <w:rFonts w:ascii="Times New Roman" w:eastAsia="Times New Roman" w:hAnsi="Times New Roman" w:cs="Times New Roman"/>
          <w:color w:val="000000"/>
          <w:sz w:val="24"/>
          <w:szCs w:val="24"/>
          <w:lang w:eastAsia="en-GB"/>
        </w:rPr>
        <w:t xml:space="preserve"> potential to be as effective as it was an</w:t>
      </w:r>
      <w:r w:rsidR="00AC201E">
        <w:rPr>
          <w:rFonts w:ascii="Times New Roman" w:eastAsia="Times New Roman" w:hAnsi="Times New Roman" w:cs="Times New Roman"/>
          <w:color w:val="000000"/>
          <w:sz w:val="24"/>
          <w:szCs w:val="24"/>
          <w:lang w:eastAsia="en-GB"/>
        </w:rPr>
        <w:t>d thus something to be avoided</w:t>
      </w:r>
      <w:r w:rsidRPr="00F709AC">
        <w:rPr>
          <w:rFonts w:ascii="Times New Roman" w:eastAsia="Times New Roman" w:hAnsi="Times New Roman" w:cs="Times New Roman"/>
          <w:color w:val="000000"/>
          <w:sz w:val="24"/>
          <w:szCs w:val="24"/>
          <w:lang w:eastAsia="en-GB"/>
        </w:rPr>
        <w:t xml:space="preserve">. </w:t>
      </w:r>
    </w:p>
    <w:p w:rsidR="00B25723" w:rsidRPr="00F709AC" w:rsidRDefault="00B25723" w:rsidP="00954979">
      <w:pPr>
        <w:spacing w:after="0" w:line="360" w:lineRule="auto"/>
        <w:ind w:firstLine="720"/>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One weakness from the blog process was </w:t>
      </w:r>
      <w:r w:rsidR="00F709AC" w:rsidRPr="00F709AC">
        <w:rPr>
          <w:rFonts w:ascii="Times New Roman" w:eastAsia="Times New Roman" w:hAnsi="Times New Roman" w:cs="Times New Roman"/>
          <w:color w:val="000000"/>
          <w:sz w:val="24"/>
          <w:szCs w:val="24"/>
          <w:lang w:eastAsia="en-GB"/>
        </w:rPr>
        <w:t>its</w:t>
      </w:r>
      <w:r w:rsidRPr="00F709AC">
        <w:rPr>
          <w:rFonts w:ascii="Times New Roman" w:eastAsia="Times New Roman" w:hAnsi="Times New Roman" w:cs="Times New Roman"/>
          <w:color w:val="000000"/>
          <w:sz w:val="24"/>
          <w:szCs w:val="24"/>
          <w:lang w:eastAsia="en-GB"/>
        </w:rPr>
        <w:t xml:space="preserve"> ineffectiveness to inspire action, serving mostly as a tool to deepen understanding. The approach taken was </w:t>
      </w:r>
      <w:r w:rsidR="0042261A">
        <w:rPr>
          <w:rFonts w:ascii="Times New Roman" w:eastAsia="Times New Roman" w:hAnsi="Times New Roman" w:cs="Times New Roman"/>
          <w:color w:val="000000"/>
          <w:sz w:val="24"/>
          <w:szCs w:val="24"/>
          <w:lang w:eastAsia="en-GB"/>
        </w:rPr>
        <w:t>predominantly</w:t>
      </w:r>
      <w:r w:rsidRPr="00F709AC">
        <w:rPr>
          <w:rFonts w:ascii="Times New Roman" w:eastAsia="Times New Roman" w:hAnsi="Times New Roman" w:cs="Times New Roman"/>
          <w:color w:val="000000"/>
          <w:sz w:val="24"/>
          <w:szCs w:val="24"/>
          <w:lang w:eastAsia="en-GB"/>
        </w:rPr>
        <w:t xml:space="preserve"> about documenting and recommending, stemming </w:t>
      </w:r>
      <w:r w:rsidR="00F709AC" w:rsidRPr="00F709AC">
        <w:rPr>
          <w:rFonts w:ascii="Times New Roman" w:eastAsia="Times New Roman" w:hAnsi="Times New Roman" w:cs="Times New Roman"/>
          <w:color w:val="000000"/>
          <w:sz w:val="24"/>
          <w:szCs w:val="24"/>
          <w:lang w:eastAsia="en-GB"/>
        </w:rPr>
        <w:t>its</w:t>
      </w:r>
      <w:r w:rsidRPr="00F709AC">
        <w:rPr>
          <w:rFonts w:ascii="Times New Roman" w:eastAsia="Times New Roman" w:hAnsi="Times New Roman" w:cs="Times New Roman"/>
          <w:color w:val="000000"/>
          <w:sz w:val="24"/>
          <w:szCs w:val="24"/>
          <w:lang w:eastAsia="en-GB"/>
        </w:rPr>
        <w:t xml:space="preserve"> potential to inspire true reflective action (Venable, 2014, p. 38). The blog was written in a conversational manner and proved to ‘muse’ about ideas as opposed to change practice; possibly a consequence of the limited audience but a point to consider nonetheless. When used as a discussion point, it was clear that the blog held more value</w:t>
      </w:r>
      <w:r w:rsidR="00EB5454">
        <w:rPr>
          <w:rFonts w:ascii="Times New Roman" w:eastAsia="Times New Roman" w:hAnsi="Times New Roman" w:cs="Times New Roman"/>
          <w:color w:val="000000"/>
          <w:sz w:val="24"/>
          <w:szCs w:val="24"/>
          <w:lang w:eastAsia="en-GB"/>
        </w:rPr>
        <w:t>,</w:t>
      </w:r>
      <w:r w:rsidRPr="00F709AC">
        <w:rPr>
          <w:rFonts w:ascii="Times New Roman" w:eastAsia="Times New Roman" w:hAnsi="Times New Roman" w:cs="Times New Roman"/>
          <w:color w:val="000000"/>
          <w:sz w:val="24"/>
          <w:szCs w:val="24"/>
          <w:lang w:eastAsia="en-GB"/>
        </w:rPr>
        <w:t xml:space="preserve"> however this did not follow any clear procedure to measure effectiveness. Possibly following Venable’s (2014, p.40) system of an ‘origina</w:t>
      </w:r>
      <w:r w:rsidR="00EB5454">
        <w:rPr>
          <w:rFonts w:ascii="Times New Roman" w:eastAsia="Times New Roman" w:hAnsi="Times New Roman" w:cs="Times New Roman"/>
          <w:color w:val="000000"/>
          <w:sz w:val="24"/>
          <w:szCs w:val="24"/>
          <w:lang w:eastAsia="en-GB"/>
        </w:rPr>
        <w:t>l blog’ and a ‘response blog’ would</w:t>
      </w:r>
      <w:r w:rsidRPr="00F709AC">
        <w:rPr>
          <w:rFonts w:ascii="Times New Roman" w:eastAsia="Times New Roman" w:hAnsi="Times New Roman" w:cs="Times New Roman"/>
          <w:color w:val="000000"/>
          <w:sz w:val="24"/>
          <w:szCs w:val="24"/>
          <w:lang w:eastAsia="en-GB"/>
        </w:rPr>
        <w:t xml:space="preserve"> maximise </w:t>
      </w:r>
      <w:r w:rsidR="00F709AC" w:rsidRPr="00F709AC">
        <w:rPr>
          <w:rFonts w:ascii="Times New Roman" w:eastAsia="Times New Roman" w:hAnsi="Times New Roman" w:cs="Times New Roman"/>
          <w:color w:val="000000"/>
          <w:sz w:val="24"/>
          <w:szCs w:val="24"/>
          <w:lang w:eastAsia="en-GB"/>
        </w:rPr>
        <w:t>its</w:t>
      </w:r>
      <w:r w:rsidRPr="00F709AC">
        <w:rPr>
          <w:rFonts w:ascii="Times New Roman" w:eastAsia="Times New Roman" w:hAnsi="Times New Roman" w:cs="Times New Roman"/>
          <w:color w:val="000000"/>
          <w:sz w:val="24"/>
          <w:szCs w:val="24"/>
          <w:lang w:eastAsia="en-GB"/>
        </w:rPr>
        <w:t xml:space="preserve"> reflective potential</w:t>
      </w:r>
      <w:r w:rsidR="00EB5454">
        <w:rPr>
          <w:rFonts w:ascii="Times New Roman" w:eastAsia="Times New Roman" w:hAnsi="Times New Roman" w:cs="Times New Roman"/>
          <w:color w:val="000000"/>
          <w:sz w:val="24"/>
          <w:szCs w:val="24"/>
          <w:lang w:eastAsia="en-GB"/>
        </w:rPr>
        <w:t>, giving readers a chance to reflectively comment</w:t>
      </w:r>
      <w:r w:rsidRPr="00F709AC">
        <w:rPr>
          <w:rFonts w:ascii="Times New Roman" w:eastAsia="Times New Roman" w:hAnsi="Times New Roman" w:cs="Times New Roman"/>
          <w:color w:val="000000"/>
          <w:sz w:val="24"/>
          <w:szCs w:val="24"/>
          <w:lang w:eastAsia="en-GB"/>
        </w:rPr>
        <w:t>.  </w:t>
      </w:r>
    </w:p>
    <w:p w:rsidR="004749F6" w:rsidRDefault="004749F6" w:rsidP="00954979">
      <w:pPr>
        <w:spacing w:after="0" w:line="360" w:lineRule="auto"/>
        <w:ind w:firstLine="720"/>
        <w:jc w:val="both"/>
        <w:rPr>
          <w:rFonts w:ascii="Times New Roman" w:eastAsia="Times New Roman" w:hAnsi="Times New Roman" w:cs="Times New Roman"/>
          <w:color w:val="000000"/>
          <w:sz w:val="24"/>
          <w:szCs w:val="24"/>
          <w:lang w:eastAsia="en-GB"/>
        </w:rPr>
      </w:pPr>
    </w:p>
    <w:p w:rsidR="00B25723" w:rsidRPr="00F709AC" w:rsidRDefault="00B25723" w:rsidP="00954979">
      <w:pPr>
        <w:spacing w:after="0" w:line="360" w:lineRule="auto"/>
        <w:ind w:firstLine="720"/>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The blogging process lent itself to the concept of storytelling as a method of reflection; highlighting an important human tendency to ‘make sense of experiences,’ and truly emphasise ‘what it means to be human’ (Edwards, 2014, p.3). It proved to be powerful to reflect by storytelling, literally placing opinions and reflections in context, allowing for this to link up thoughts and opinions and by incorporating elements of humour. This also worked well as ‘humour in reflection is described by Stroobants (2009) as often resulting in a ‘click moment’ where things start to fall into place by looking at what we thought we understood from a slightly different angle (Coward, 2011, p.886). This was largely a positive experience and encouraged personal connection to my professional practice. Using storytelling, writing was at times emotive; link</w:t>
      </w:r>
      <w:r w:rsidR="001127E5">
        <w:rPr>
          <w:rFonts w:ascii="Times New Roman" w:eastAsia="Times New Roman" w:hAnsi="Times New Roman" w:cs="Times New Roman"/>
          <w:color w:val="000000"/>
          <w:sz w:val="24"/>
          <w:szCs w:val="24"/>
          <w:lang w:eastAsia="en-GB"/>
        </w:rPr>
        <w:t xml:space="preserve">ing </w:t>
      </w:r>
      <w:r w:rsidRPr="00F709AC">
        <w:rPr>
          <w:rFonts w:ascii="Times New Roman" w:eastAsia="Times New Roman" w:hAnsi="Times New Roman" w:cs="Times New Roman"/>
          <w:color w:val="000000"/>
          <w:sz w:val="24"/>
          <w:szCs w:val="24"/>
          <w:lang w:eastAsia="en-GB"/>
        </w:rPr>
        <w:t>personal connection to blog content and strengthening personal bonds to practice. The impact of the emotional aspect of stories, can ‘give rise to learning that is both transferable and reflective,’ (Christiansen and Jensen, 2008, p. 328), showing its value in person centred contexts but not dismissing its potential to be damaging if such emotions are not controlled (Edwards, 2014, p.3). Passionately, some issues in education can become a source of frustration</w:t>
      </w:r>
      <w:r w:rsidR="00F81A75">
        <w:rPr>
          <w:rFonts w:ascii="Times New Roman" w:eastAsia="Times New Roman" w:hAnsi="Times New Roman" w:cs="Times New Roman"/>
          <w:color w:val="000000"/>
          <w:sz w:val="24"/>
          <w:szCs w:val="24"/>
          <w:lang w:eastAsia="en-GB"/>
        </w:rPr>
        <w:t>,</w:t>
      </w:r>
      <w:r w:rsidRPr="00F709AC">
        <w:rPr>
          <w:rFonts w:ascii="Times New Roman" w:eastAsia="Times New Roman" w:hAnsi="Times New Roman" w:cs="Times New Roman"/>
          <w:color w:val="000000"/>
          <w:sz w:val="24"/>
          <w:szCs w:val="24"/>
          <w:lang w:eastAsia="en-GB"/>
        </w:rPr>
        <w:t xml:space="preserve"> so it was important to blog responsibly and not allow these to dominate the process. </w:t>
      </w:r>
    </w:p>
    <w:p w:rsidR="004749F6" w:rsidRPr="00784FFB" w:rsidRDefault="00B25723" w:rsidP="004749F6">
      <w:pPr>
        <w:spacing w:after="0" w:line="360" w:lineRule="auto"/>
        <w:ind w:firstLine="720"/>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To conclude, the blogging process was a powerful learning tool that, absent of rigid reflective models, proved to facilitate an organic and holistic process that will continue to be adopted in professional teaching practice. To articulate and informally write personal thoughts </w:t>
      </w:r>
      <w:r w:rsidRPr="00F709AC">
        <w:rPr>
          <w:rFonts w:ascii="Times New Roman" w:eastAsia="Times New Roman" w:hAnsi="Times New Roman" w:cs="Times New Roman"/>
          <w:color w:val="000000"/>
          <w:sz w:val="24"/>
          <w:szCs w:val="24"/>
          <w:lang w:eastAsia="en-GB"/>
        </w:rPr>
        <w:lastRenderedPageBreak/>
        <w:t xml:space="preserve">and opinions linked ideas to prior knowledge, deepened understanding and enhanced </w:t>
      </w:r>
      <w:r w:rsidRPr="00784FFB">
        <w:rPr>
          <w:rFonts w:ascii="Times New Roman" w:eastAsia="Times New Roman" w:hAnsi="Times New Roman" w:cs="Times New Roman"/>
          <w:color w:val="000000"/>
          <w:sz w:val="24"/>
          <w:szCs w:val="24"/>
          <w:lang w:eastAsia="en-GB"/>
        </w:rPr>
        <w:t xml:space="preserve">discussions with other professionals. </w:t>
      </w:r>
    </w:p>
    <w:p w:rsidR="004749F6" w:rsidRPr="00784FFB" w:rsidRDefault="004749F6" w:rsidP="004749F6">
      <w:pPr>
        <w:spacing w:after="0" w:line="360" w:lineRule="auto"/>
        <w:ind w:firstLine="720"/>
        <w:jc w:val="both"/>
        <w:rPr>
          <w:rFonts w:ascii="Times New Roman" w:eastAsia="Times New Roman" w:hAnsi="Times New Roman" w:cs="Times New Roman"/>
          <w:sz w:val="24"/>
          <w:szCs w:val="24"/>
          <w:lang w:eastAsia="en-GB"/>
        </w:rPr>
      </w:pPr>
    </w:p>
    <w:p w:rsidR="00B25723" w:rsidRPr="00B25723" w:rsidRDefault="00B25723" w:rsidP="004749F6">
      <w:pPr>
        <w:spacing w:after="240" w:line="360" w:lineRule="auto"/>
        <w:rPr>
          <w:rFonts w:ascii="Times New Roman" w:eastAsia="Times New Roman" w:hAnsi="Times New Roman" w:cs="Times New Roman"/>
          <w:sz w:val="24"/>
          <w:szCs w:val="24"/>
          <w:lang w:eastAsia="en-GB"/>
        </w:rPr>
      </w:pPr>
      <w:r w:rsidRPr="00784FFB">
        <w:rPr>
          <w:rFonts w:ascii="Times New Roman" w:eastAsia="Times New Roman" w:hAnsi="Times New Roman" w:cs="Times New Roman"/>
          <w:color w:val="000000"/>
          <w:sz w:val="24"/>
          <w:szCs w:val="24"/>
          <w:lang w:eastAsia="en-GB"/>
        </w:rPr>
        <w:t xml:space="preserve">Word Count: </w:t>
      </w:r>
      <w:r w:rsidR="00F80D46" w:rsidRPr="00784FFB">
        <w:rPr>
          <w:rFonts w:ascii="Times New Roman" w:eastAsia="Times New Roman" w:hAnsi="Times New Roman" w:cs="Times New Roman"/>
          <w:i/>
          <w:iCs/>
          <w:color w:val="000000"/>
          <w:sz w:val="24"/>
          <w:szCs w:val="24"/>
          <w:lang w:eastAsia="en-GB"/>
        </w:rPr>
        <w:t>863</w:t>
      </w:r>
      <w:r w:rsidRPr="00784FFB">
        <w:rPr>
          <w:rFonts w:ascii="Times New Roman" w:eastAsia="Times New Roman" w:hAnsi="Times New Roman" w:cs="Times New Roman"/>
          <w:i/>
          <w:iCs/>
          <w:color w:val="000000"/>
          <w:sz w:val="24"/>
          <w:szCs w:val="24"/>
          <w:lang w:eastAsia="en-GB"/>
        </w:rPr>
        <w:t xml:space="preserve"> words</w:t>
      </w:r>
      <w:r w:rsidRPr="00B25723">
        <w:rPr>
          <w:rFonts w:ascii="Times New Roman" w:eastAsia="Times New Roman" w:hAnsi="Times New Roman" w:cs="Times New Roman"/>
          <w:color w:val="000000"/>
          <w:lang w:eastAsia="en-GB"/>
        </w:rPr>
        <w:t xml:space="preserve"> </w:t>
      </w:r>
      <w:r w:rsidRPr="00B25723">
        <w:rPr>
          <w:rFonts w:ascii="Times New Roman" w:eastAsia="Times New Roman" w:hAnsi="Times New Roman" w:cs="Times New Roman"/>
          <w:sz w:val="24"/>
          <w:szCs w:val="24"/>
          <w:lang w:eastAsia="en-GB"/>
        </w:rPr>
        <w:br/>
      </w:r>
    </w:p>
    <w:p w:rsidR="00B25723" w:rsidRPr="00B25723" w:rsidRDefault="00B25723" w:rsidP="00F709AC">
      <w:pPr>
        <w:spacing w:after="0" w:line="240" w:lineRule="auto"/>
        <w:jc w:val="right"/>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P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Default="00B25723" w:rsidP="00B25723">
      <w:pPr>
        <w:spacing w:after="0" w:line="240" w:lineRule="auto"/>
        <w:rPr>
          <w:rFonts w:ascii="Times New Roman" w:eastAsia="Times New Roman" w:hAnsi="Times New Roman" w:cs="Times New Roman"/>
          <w:b/>
          <w:bCs/>
          <w:color w:val="000000"/>
          <w:u w:val="single"/>
          <w:lang w:eastAsia="en-GB"/>
        </w:rPr>
      </w:pPr>
    </w:p>
    <w:p w:rsidR="00B25723" w:rsidRDefault="00B25723" w:rsidP="00B25723">
      <w:pPr>
        <w:spacing w:after="0" w:line="240" w:lineRule="auto"/>
        <w:rPr>
          <w:rFonts w:ascii="Times New Roman" w:eastAsia="Times New Roman" w:hAnsi="Times New Roman" w:cs="Times New Roman"/>
          <w:b/>
          <w:bCs/>
          <w:color w:val="000000"/>
          <w:u w:val="single"/>
          <w:lang w:eastAsia="en-GB"/>
        </w:rPr>
      </w:pPr>
    </w:p>
    <w:p w:rsidR="00F709AC" w:rsidRDefault="00F709AC" w:rsidP="00B25723">
      <w:pPr>
        <w:spacing w:after="0" w:line="240" w:lineRule="auto"/>
        <w:rPr>
          <w:rFonts w:ascii="Times New Roman" w:eastAsia="Times New Roman" w:hAnsi="Times New Roman" w:cs="Times New Roman"/>
          <w:b/>
          <w:bCs/>
          <w:color w:val="000000"/>
          <w:u w:val="single"/>
          <w:lang w:eastAsia="en-GB"/>
        </w:rPr>
      </w:pPr>
    </w:p>
    <w:p w:rsidR="00F709AC" w:rsidRDefault="00F709AC" w:rsidP="00B25723">
      <w:pPr>
        <w:spacing w:after="0" w:line="240" w:lineRule="auto"/>
        <w:rPr>
          <w:rFonts w:ascii="Times New Roman" w:eastAsia="Times New Roman" w:hAnsi="Times New Roman" w:cs="Times New Roman"/>
          <w:b/>
          <w:bCs/>
          <w:color w:val="000000"/>
          <w:u w:val="single"/>
          <w:lang w:eastAsia="en-GB"/>
        </w:rPr>
      </w:pPr>
    </w:p>
    <w:p w:rsidR="00F709AC" w:rsidRDefault="00F709AC" w:rsidP="00B25723">
      <w:pPr>
        <w:spacing w:after="0" w:line="240" w:lineRule="auto"/>
        <w:rPr>
          <w:rFonts w:ascii="Times New Roman" w:eastAsia="Times New Roman" w:hAnsi="Times New Roman" w:cs="Times New Roman"/>
          <w:b/>
          <w:bCs/>
          <w:color w:val="000000"/>
          <w:u w:val="single"/>
          <w:lang w:eastAsia="en-GB"/>
        </w:rPr>
      </w:pPr>
    </w:p>
    <w:p w:rsidR="00F709AC" w:rsidRDefault="00F709AC" w:rsidP="00B25723">
      <w:pPr>
        <w:spacing w:after="0" w:line="240" w:lineRule="auto"/>
        <w:rPr>
          <w:rFonts w:ascii="Times New Roman" w:eastAsia="Times New Roman" w:hAnsi="Times New Roman" w:cs="Times New Roman"/>
          <w:b/>
          <w:bCs/>
          <w:color w:val="000000"/>
          <w:u w:val="single"/>
          <w:lang w:eastAsia="en-GB"/>
        </w:rPr>
      </w:pPr>
    </w:p>
    <w:p w:rsidR="00F709AC" w:rsidRDefault="00F709AC" w:rsidP="00B25723">
      <w:pPr>
        <w:spacing w:after="0" w:line="240" w:lineRule="auto"/>
        <w:rPr>
          <w:rFonts w:ascii="Times New Roman" w:eastAsia="Times New Roman" w:hAnsi="Times New Roman" w:cs="Times New Roman"/>
          <w:b/>
          <w:bCs/>
          <w:color w:val="000000"/>
          <w:u w:val="single"/>
          <w:lang w:eastAsia="en-GB"/>
        </w:rPr>
      </w:pPr>
    </w:p>
    <w:p w:rsidR="00F709AC" w:rsidRDefault="00F709AC" w:rsidP="00B25723">
      <w:pPr>
        <w:spacing w:after="0" w:line="240" w:lineRule="auto"/>
        <w:rPr>
          <w:rFonts w:ascii="Times New Roman" w:eastAsia="Times New Roman" w:hAnsi="Times New Roman" w:cs="Times New Roman"/>
          <w:b/>
          <w:bCs/>
          <w:color w:val="000000"/>
          <w:u w:val="single"/>
          <w:lang w:eastAsia="en-GB"/>
        </w:rPr>
      </w:pPr>
    </w:p>
    <w:p w:rsidR="00F709AC" w:rsidRDefault="00F709AC" w:rsidP="00B25723">
      <w:pPr>
        <w:spacing w:after="0" w:line="240" w:lineRule="auto"/>
        <w:rPr>
          <w:rFonts w:ascii="Times New Roman" w:eastAsia="Times New Roman" w:hAnsi="Times New Roman" w:cs="Times New Roman"/>
          <w:b/>
          <w:bCs/>
          <w:color w:val="000000"/>
          <w:u w:val="single"/>
          <w:lang w:eastAsia="en-GB"/>
        </w:rPr>
      </w:pPr>
    </w:p>
    <w:p w:rsidR="000D2069" w:rsidRDefault="000D2069" w:rsidP="00B25723">
      <w:pPr>
        <w:spacing w:after="0" w:line="240" w:lineRule="auto"/>
        <w:rPr>
          <w:rFonts w:ascii="Times New Roman" w:eastAsia="Times New Roman" w:hAnsi="Times New Roman" w:cs="Times New Roman"/>
          <w:b/>
          <w:bCs/>
          <w:color w:val="000000"/>
          <w:u w:val="single"/>
          <w:lang w:eastAsia="en-GB"/>
        </w:rPr>
      </w:pPr>
    </w:p>
    <w:p w:rsidR="00B25723" w:rsidRPr="00F709AC" w:rsidRDefault="00023979" w:rsidP="00B25723">
      <w:pPr>
        <w:spacing w:after="0" w:line="240" w:lineRule="auto"/>
        <w:rPr>
          <w:rFonts w:ascii="Times New Roman" w:eastAsia="Times New Roman" w:hAnsi="Times New Roman" w:cs="Times New Roman"/>
          <w:sz w:val="24"/>
          <w:szCs w:val="24"/>
          <w:lang w:eastAsia="en-GB"/>
        </w:rPr>
      </w:pPr>
      <w:bookmarkStart w:id="0" w:name="_GoBack"/>
      <w:bookmarkEnd w:id="0"/>
      <w:r>
        <w:rPr>
          <w:rFonts w:ascii="Times New Roman" w:eastAsia="Times New Roman" w:hAnsi="Times New Roman" w:cs="Times New Roman"/>
          <w:b/>
          <w:bCs/>
          <w:color w:val="000000"/>
          <w:sz w:val="24"/>
          <w:szCs w:val="24"/>
          <w:u w:val="single"/>
          <w:lang w:eastAsia="en-GB"/>
        </w:rPr>
        <w:lastRenderedPageBreak/>
        <w:t>REFERENCES</w:t>
      </w:r>
    </w:p>
    <w:p w:rsidR="00B25723" w:rsidRPr="00F709AC" w:rsidRDefault="00B25723" w:rsidP="00B25723">
      <w:pPr>
        <w:spacing w:after="0" w:line="240" w:lineRule="auto"/>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Bassot, B. (2016) </w:t>
      </w:r>
      <w:r w:rsidRPr="00F709AC">
        <w:rPr>
          <w:rFonts w:ascii="Times New Roman" w:eastAsia="Times New Roman" w:hAnsi="Times New Roman" w:cs="Times New Roman"/>
          <w:i/>
          <w:iCs/>
          <w:color w:val="000000"/>
          <w:sz w:val="24"/>
          <w:szCs w:val="24"/>
          <w:lang w:eastAsia="en-GB"/>
        </w:rPr>
        <w:t xml:space="preserve">The Reflective Practice Guide: An Interdisciplinary Approach to Critical Reflection </w:t>
      </w:r>
      <w:r w:rsidRPr="00F709AC">
        <w:rPr>
          <w:rFonts w:ascii="Times New Roman" w:eastAsia="Times New Roman" w:hAnsi="Times New Roman" w:cs="Times New Roman"/>
          <w:color w:val="000000"/>
          <w:sz w:val="24"/>
          <w:szCs w:val="24"/>
          <w:lang w:eastAsia="en-GB"/>
        </w:rPr>
        <w:t xml:space="preserve">London: Routledge </w:t>
      </w:r>
    </w:p>
    <w:p w:rsidR="00B25723" w:rsidRPr="00F709AC" w:rsidRDefault="00B25723" w:rsidP="00B25723">
      <w:pPr>
        <w:spacing w:after="0" w:line="240" w:lineRule="auto"/>
        <w:jc w:val="both"/>
        <w:rPr>
          <w:rFonts w:ascii="Times New Roman" w:eastAsia="Times New Roman" w:hAnsi="Times New Roman" w:cs="Times New Roman"/>
          <w:color w:val="000000"/>
          <w:sz w:val="24"/>
          <w:szCs w:val="24"/>
          <w:lang w:eastAsia="en-GB"/>
        </w:rPr>
      </w:pPr>
    </w:p>
    <w:p w:rsidR="00B25723" w:rsidRPr="00F709AC" w:rsidRDefault="00B25723" w:rsidP="00B25723">
      <w:pPr>
        <w:spacing w:after="0" w:line="240" w:lineRule="auto"/>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Christiansen, B. and Jensen, K. (2008) Emotional Learning Within the Framework of Nursing Education, </w:t>
      </w:r>
      <w:r w:rsidRPr="00F709AC">
        <w:rPr>
          <w:rFonts w:ascii="Times New Roman" w:eastAsia="Times New Roman" w:hAnsi="Times New Roman" w:cs="Times New Roman"/>
          <w:i/>
          <w:iCs/>
          <w:color w:val="000000"/>
          <w:sz w:val="24"/>
          <w:szCs w:val="24"/>
          <w:lang w:eastAsia="en-GB"/>
        </w:rPr>
        <w:t>Nurse Education in Practice</w:t>
      </w:r>
      <w:r w:rsidRPr="00F709AC">
        <w:rPr>
          <w:rFonts w:ascii="Times New Roman" w:eastAsia="Times New Roman" w:hAnsi="Times New Roman" w:cs="Times New Roman"/>
          <w:color w:val="000000"/>
          <w:sz w:val="24"/>
          <w:szCs w:val="24"/>
          <w:lang w:eastAsia="en-GB"/>
        </w:rPr>
        <w:t xml:space="preserve"> Vol. 8. Issue. 5. (pp. 328-334)</w:t>
      </w:r>
    </w:p>
    <w:p w:rsidR="00B25723" w:rsidRPr="00F709AC" w:rsidRDefault="00B25723" w:rsidP="00B25723">
      <w:pPr>
        <w:spacing w:after="0" w:line="240" w:lineRule="auto"/>
        <w:jc w:val="both"/>
        <w:rPr>
          <w:rFonts w:ascii="Times New Roman" w:eastAsia="Times New Roman" w:hAnsi="Times New Roman" w:cs="Times New Roman"/>
          <w:color w:val="000000"/>
          <w:sz w:val="24"/>
          <w:szCs w:val="24"/>
          <w:lang w:eastAsia="en-GB"/>
        </w:rPr>
      </w:pPr>
    </w:p>
    <w:p w:rsidR="00B25723" w:rsidRPr="00F709AC" w:rsidRDefault="00B25723" w:rsidP="00B25723">
      <w:pPr>
        <w:spacing w:after="0" w:line="240" w:lineRule="auto"/>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Coward, M. (2011) Does the Use of Reflective Models Restrict Critical Thinking and Therefore Learning in Nurse Education? What Have we Done? </w:t>
      </w:r>
      <w:r w:rsidRPr="00F709AC">
        <w:rPr>
          <w:rFonts w:ascii="Times New Roman" w:eastAsia="Times New Roman" w:hAnsi="Times New Roman" w:cs="Times New Roman"/>
          <w:i/>
          <w:iCs/>
          <w:color w:val="000000"/>
          <w:sz w:val="24"/>
          <w:szCs w:val="24"/>
          <w:lang w:eastAsia="en-GB"/>
        </w:rPr>
        <w:t xml:space="preserve">Nurse Education Today </w:t>
      </w:r>
      <w:r w:rsidRPr="00F709AC">
        <w:rPr>
          <w:rFonts w:ascii="Times New Roman" w:eastAsia="Times New Roman" w:hAnsi="Times New Roman" w:cs="Times New Roman"/>
          <w:color w:val="000000"/>
          <w:sz w:val="24"/>
          <w:szCs w:val="24"/>
          <w:lang w:eastAsia="en-GB"/>
        </w:rPr>
        <w:t xml:space="preserve">Vol. 31, Issue 8 (pp. 883-886) </w:t>
      </w:r>
    </w:p>
    <w:p w:rsidR="00B25723" w:rsidRPr="00F709AC" w:rsidRDefault="00B25723" w:rsidP="00B25723">
      <w:pPr>
        <w:spacing w:after="0" w:line="240" w:lineRule="auto"/>
        <w:jc w:val="both"/>
        <w:rPr>
          <w:rFonts w:ascii="Times New Roman" w:eastAsia="Times New Roman" w:hAnsi="Times New Roman" w:cs="Times New Roman"/>
          <w:color w:val="000000"/>
          <w:sz w:val="24"/>
          <w:szCs w:val="24"/>
          <w:lang w:eastAsia="en-GB"/>
        </w:rPr>
      </w:pPr>
    </w:p>
    <w:p w:rsidR="00B25723" w:rsidRPr="00F709AC" w:rsidRDefault="00B25723" w:rsidP="00B25723">
      <w:pPr>
        <w:spacing w:after="0" w:line="240" w:lineRule="auto"/>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Driscoll, J. (2007) in Bassot, B. (2016) </w:t>
      </w:r>
      <w:r w:rsidRPr="00F709AC">
        <w:rPr>
          <w:rFonts w:ascii="Times New Roman" w:eastAsia="Times New Roman" w:hAnsi="Times New Roman" w:cs="Times New Roman"/>
          <w:i/>
          <w:iCs/>
          <w:color w:val="000000"/>
          <w:sz w:val="24"/>
          <w:szCs w:val="24"/>
          <w:lang w:eastAsia="en-GB"/>
        </w:rPr>
        <w:t xml:space="preserve">The Reflective Practice Guide: An Interdisciplinary Approach to Critical Reflection </w:t>
      </w:r>
      <w:r w:rsidRPr="00F709AC">
        <w:rPr>
          <w:rFonts w:ascii="Times New Roman" w:eastAsia="Times New Roman" w:hAnsi="Times New Roman" w:cs="Times New Roman"/>
          <w:color w:val="000000"/>
          <w:sz w:val="24"/>
          <w:szCs w:val="24"/>
          <w:lang w:eastAsia="en-GB"/>
        </w:rPr>
        <w:t xml:space="preserve">London: Routledge </w:t>
      </w:r>
    </w:p>
    <w:p w:rsidR="00B25723" w:rsidRPr="00F709AC" w:rsidRDefault="00B25723" w:rsidP="00B25723">
      <w:pPr>
        <w:spacing w:after="0" w:line="240" w:lineRule="auto"/>
        <w:jc w:val="both"/>
        <w:rPr>
          <w:rFonts w:ascii="Times New Roman" w:eastAsia="Times New Roman" w:hAnsi="Times New Roman" w:cs="Times New Roman"/>
          <w:color w:val="000000"/>
          <w:sz w:val="24"/>
          <w:szCs w:val="24"/>
          <w:lang w:eastAsia="en-GB"/>
        </w:rPr>
      </w:pPr>
    </w:p>
    <w:p w:rsidR="00B25723" w:rsidRPr="00F709AC" w:rsidRDefault="00B25723" w:rsidP="00B25723">
      <w:pPr>
        <w:spacing w:after="0" w:line="240" w:lineRule="auto"/>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Eastment, D. (2005) Websites for the Language Teacher: Blogging </w:t>
      </w:r>
      <w:r w:rsidRPr="00F709AC">
        <w:rPr>
          <w:rFonts w:ascii="Times New Roman" w:eastAsia="Times New Roman" w:hAnsi="Times New Roman" w:cs="Times New Roman"/>
          <w:i/>
          <w:iCs/>
          <w:color w:val="000000"/>
          <w:sz w:val="24"/>
          <w:szCs w:val="24"/>
          <w:lang w:eastAsia="en-GB"/>
        </w:rPr>
        <w:t xml:space="preserve">ELT Journal </w:t>
      </w:r>
      <w:r w:rsidRPr="00F709AC">
        <w:rPr>
          <w:rFonts w:ascii="Times New Roman" w:eastAsia="Times New Roman" w:hAnsi="Times New Roman" w:cs="Times New Roman"/>
          <w:color w:val="000000"/>
          <w:sz w:val="24"/>
          <w:szCs w:val="24"/>
          <w:lang w:eastAsia="en-GB"/>
        </w:rPr>
        <w:t>Vol. 59, Issue 4 (pp. 358-361)</w:t>
      </w:r>
    </w:p>
    <w:p w:rsidR="00B25723" w:rsidRPr="00F709AC" w:rsidRDefault="00B25723" w:rsidP="00B25723">
      <w:pPr>
        <w:spacing w:after="0" w:line="240" w:lineRule="auto"/>
        <w:jc w:val="both"/>
        <w:rPr>
          <w:rFonts w:ascii="Times New Roman" w:eastAsia="Times New Roman" w:hAnsi="Times New Roman" w:cs="Times New Roman"/>
          <w:color w:val="000000"/>
          <w:sz w:val="24"/>
          <w:szCs w:val="24"/>
          <w:lang w:eastAsia="en-GB"/>
        </w:rPr>
      </w:pPr>
    </w:p>
    <w:p w:rsidR="00B25723" w:rsidRPr="00F709AC" w:rsidRDefault="00B25723" w:rsidP="00B25723">
      <w:pPr>
        <w:spacing w:after="0" w:line="240" w:lineRule="auto"/>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Edwards, S. (2014) Finding a Place for Story: Looking Beyond Reflective Practice </w:t>
      </w:r>
      <w:r w:rsidRPr="00F709AC">
        <w:rPr>
          <w:rFonts w:ascii="Times New Roman" w:eastAsia="Times New Roman" w:hAnsi="Times New Roman" w:cs="Times New Roman"/>
          <w:i/>
          <w:iCs/>
          <w:color w:val="000000"/>
          <w:sz w:val="24"/>
          <w:szCs w:val="24"/>
          <w:lang w:eastAsia="en-GB"/>
        </w:rPr>
        <w:t>International Practice Development Journal  </w:t>
      </w:r>
      <w:r w:rsidRPr="00F709AC">
        <w:rPr>
          <w:rFonts w:ascii="Times New Roman" w:eastAsia="Times New Roman" w:hAnsi="Times New Roman" w:cs="Times New Roman"/>
          <w:color w:val="000000"/>
          <w:sz w:val="24"/>
          <w:szCs w:val="24"/>
          <w:lang w:eastAsia="en-GB"/>
        </w:rPr>
        <w:t>Vol. 4, Issue 2 (pp. 1-14)</w:t>
      </w:r>
    </w:p>
    <w:p w:rsidR="00B25723" w:rsidRPr="00F709AC" w:rsidRDefault="00B25723" w:rsidP="00B25723">
      <w:pPr>
        <w:spacing w:after="0" w:line="240" w:lineRule="auto"/>
        <w:jc w:val="both"/>
        <w:rPr>
          <w:rFonts w:ascii="Times New Roman" w:eastAsia="Times New Roman" w:hAnsi="Times New Roman" w:cs="Times New Roman"/>
          <w:color w:val="000000"/>
          <w:sz w:val="24"/>
          <w:szCs w:val="24"/>
          <w:lang w:eastAsia="en-GB"/>
        </w:rPr>
      </w:pPr>
    </w:p>
    <w:p w:rsidR="00B25723" w:rsidRPr="00F709AC" w:rsidRDefault="00B25723" w:rsidP="00B25723">
      <w:pPr>
        <w:spacing w:after="0" w:line="240" w:lineRule="auto"/>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Kolb, D. (1984) in Bassot, B. (2016) </w:t>
      </w:r>
      <w:r w:rsidRPr="00F709AC">
        <w:rPr>
          <w:rFonts w:ascii="Times New Roman" w:eastAsia="Times New Roman" w:hAnsi="Times New Roman" w:cs="Times New Roman"/>
          <w:i/>
          <w:iCs/>
          <w:color w:val="000000"/>
          <w:sz w:val="24"/>
          <w:szCs w:val="24"/>
          <w:lang w:eastAsia="en-GB"/>
        </w:rPr>
        <w:t xml:space="preserve">The Reflective Practice Guide: An Interdisciplinary Approach to Critical Reflection </w:t>
      </w:r>
      <w:r w:rsidRPr="00F709AC">
        <w:rPr>
          <w:rFonts w:ascii="Times New Roman" w:eastAsia="Times New Roman" w:hAnsi="Times New Roman" w:cs="Times New Roman"/>
          <w:color w:val="000000"/>
          <w:sz w:val="24"/>
          <w:szCs w:val="24"/>
          <w:lang w:eastAsia="en-GB"/>
        </w:rPr>
        <w:t xml:space="preserve">London: Routledge </w:t>
      </w:r>
    </w:p>
    <w:p w:rsidR="00B25723" w:rsidRPr="00F709AC" w:rsidRDefault="00B25723" w:rsidP="00B25723">
      <w:pPr>
        <w:spacing w:after="0" w:line="240" w:lineRule="auto"/>
        <w:jc w:val="both"/>
        <w:rPr>
          <w:rFonts w:ascii="Times New Roman" w:eastAsia="Times New Roman" w:hAnsi="Times New Roman" w:cs="Times New Roman"/>
          <w:color w:val="000000"/>
          <w:sz w:val="24"/>
          <w:szCs w:val="24"/>
          <w:lang w:eastAsia="en-GB"/>
        </w:rPr>
      </w:pPr>
    </w:p>
    <w:p w:rsidR="00B25723" w:rsidRPr="00F709AC" w:rsidRDefault="00B25723" w:rsidP="00B25723">
      <w:pPr>
        <w:spacing w:after="0" w:line="240" w:lineRule="auto"/>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Kuk, H. Holst, J. (2018) </w:t>
      </w:r>
      <w:r w:rsidRPr="00F709AC">
        <w:rPr>
          <w:rFonts w:ascii="Times New Roman" w:eastAsia="Times New Roman" w:hAnsi="Times New Roman" w:cs="Times New Roman"/>
          <w:i/>
          <w:iCs/>
          <w:color w:val="000000"/>
          <w:sz w:val="24"/>
          <w:szCs w:val="24"/>
          <w:lang w:eastAsia="en-GB"/>
        </w:rPr>
        <w:t xml:space="preserve">A Dissection of Experiential Learning Theory: Alternative Approaches to Reflection </w:t>
      </w:r>
      <w:r w:rsidRPr="00F709AC">
        <w:rPr>
          <w:rFonts w:ascii="Times New Roman" w:eastAsia="Times New Roman" w:hAnsi="Times New Roman" w:cs="Times New Roman"/>
          <w:color w:val="000000"/>
          <w:sz w:val="24"/>
          <w:szCs w:val="24"/>
          <w:lang w:eastAsia="en-GB"/>
        </w:rPr>
        <w:t>[Online] Available: https://journals.sagepub.com/doi/10.1177/1045159518779138 (Viewed 19th November 2018)</w:t>
      </w:r>
    </w:p>
    <w:p w:rsidR="00B25723" w:rsidRPr="00F709AC" w:rsidRDefault="00B25723" w:rsidP="00B25723">
      <w:pPr>
        <w:spacing w:after="0" w:line="240" w:lineRule="auto"/>
        <w:jc w:val="both"/>
        <w:rPr>
          <w:rFonts w:ascii="Times New Roman" w:eastAsia="Times New Roman" w:hAnsi="Times New Roman" w:cs="Times New Roman"/>
          <w:color w:val="000000"/>
          <w:sz w:val="24"/>
          <w:szCs w:val="24"/>
          <w:lang w:eastAsia="en-GB"/>
        </w:rPr>
      </w:pPr>
    </w:p>
    <w:p w:rsidR="00B25723" w:rsidRPr="00F709AC" w:rsidRDefault="00B25723" w:rsidP="00B25723">
      <w:pPr>
        <w:spacing w:after="0" w:line="240" w:lineRule="auto"/>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Schon, D. (1983) in Bassot, B. (2016) </w:t>
      </w:r>
      <w:r w:rsidRPr="00F709AC">
        <w:rPr>
          <w:rFonts w:ascii="Times New Roman" w:eastAsia="Times New Roman" w:hAnsi="Times New Roman" w:cs="Times New Roman"/>
          <w:i/>
          <w:iCs/>
          <w:color w:val="000000"/>
          <w:sz w:val="24"/>
          <w:szCs w:val="24"/>
          <w:lang w:eastAsia="en-GB"/>
        </w:rPr>
        <w:t xml:space="preserve">The Reflective Practice Guide: An Interdisciplinary Approach to Critical Reflection </w:t>
      </w:r>
      <w:r w:rsidRPr="00F709AC">
        <w:rPr>
          <w:rFonts w:ascii="Times New Roman" w:eastAsia="Times New Roman" w:hAnsi="Times New Roman" w:cs="Times New Roman"/>
          <w:color w:val="000000"/>
          <w:sz w:val="24"/>
          <w:szCs w:val="24"/>
          <w:lang w:eastAsia="en-GB"/>
        </w:rPr>
        <w:t xml:space="preserve">London: Routledge </w:t>
      </w:r>
    </w:p>
    <w:p w:rsidR="00B25723" w:rsidRPr="00F709AC" w:rsidRDefault="00B25723" w:rsidP="00B25723">
      <w:pPr>
        <w:spacing w:after="0" w:line="240" w:lineRule="auto"/>
        <w:jc w:val="both"/>
        <w:rPr>
          <w:rFonts w:ascii="Times New Roman" w:eastAsia="Times New Roman" w:hAnsi="Times New Roman" w:cs="Times New Roman"/>
          <w:color w:val="000000"/>
          <w:sz w:val="24"/>
          <w:szCs w:val="24"/>
          <w:lang w:eastAsia="en-GB"/>
        </w:rPr>
      </w:pPr>
    </w:p>
    <w:p w:rsidR="00B25723" w:rsidRPr="00F709AC" w:rsidRDefault="00B25723" w:rsidP="00B25723">
      <w:pPr>
        <w:spacing w:after="0" w:line="240" w:lineRule="auto"/>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Thuang, C. (2018) Blogging for Medical Education- A Personal View </w:t>
      </w:r>
      <w:r w:rsidRPr="00F709AC">
        <w:rPr>
          <w:rFonts w:ascii="Times New Roman" w:eastAsia="Times New Roman" w:hAnsi="Times New Roman" w:cs="Times New Roman"/>
          <w:i/>
          <w:iCs/>
          <w:color w:val="000000"/>
          <w:sz w:val="24"/>
          <w:szCs w:val="24"/>
          <w:lang w:eastAsia="en-GB"/>
        </w:rPr>
        <w:t xml:space="preserve">Journal of The Royal College of Physicians of Edinburgh </w:t>
      </w:r>
      <w:r w:rsidRPr="00F709AC">
        <w:rPr>
          <w:rFonts w:ascii="Times New Roman" w:eastAsia="Times New Roman" w:hAnsi="Times New Roman" w:cs="Times New Roman"/>
          <w:color w:val="000000"/>
          <w:sz w:val="24"/>
          <w:szCs w:val="24"/>
          <w:lang w:eastAsia="en-GB"/>
        </w:rPr>
        <w:t xml:space="preserve">Vol.48, Issue 1 (pp. 48-49) </w:t>
      </w:r>
    </w:p>
    <w:p w:rsidR="00B25723" w:rsidRPr="00F709AC" w:rsidRDefault="00B25723" w:rsidP="00B25723">
      <w:pPr>
        <w:spacing w:after="0" w:line="240" w:lineRule="auto"/>
        <w:jc w:val="both"/>
        <w:rPr>
          <w:rFonts w:ascii="Times New Roman" w:eastAsia="Times New Roman" w:hAnsi="Times New Roman" w:cs="Times New Roman"/>
          <w:color w:val="000000"/>
          <w:sz w:val="24"/>
          <w:szCs w:val="24"/>
          <w:lang w:eastAsia="en-GB"/>
        </w:rPr>
      </w:pPr>
    </w:p>
    <w:p w:rsidR="00B25723" w:rsidRPr="00F709AC" w:rsidRDefault="00B25723" w:rsidP="00B25723">
      <w:pPr>
        <w:spacing w:after="0" w:line="240" w:lineRule="auto"/>
        <w:jc w:val="both"/>
        <w:rPr>
          <w:rFonts w:ascii="Times New Roman" w:eastAsia="Times New Roman" w:hAnsi="Times New Roman" w:cs="Times New Roman"/>
          <w:sz w:val="24"/>
          <w:szCs w:val="24"/>
          <w:lang w:eastAsia="en-GB"/>
        </w:rPr>
      </w:pPr>
      <w:r w:rsidRPr="00F709AC">
        <w:rPr>
          <w:rFonts w:ascii="Times New Roman" w:eastAsia="Times New Roman" w:hAnsi="Times New Roman" w:cs="Times New Roman"/>
          <w:color w:val="000000"/>
          <w:sz w:val="24"/>
          <w:szCs w:val="24"/>
          <w:lang w:eastAsia="en-GB"/>
        </w:rPr>
        <w:t xml:space="preserve">Venable, S. (2014) Introducing the Implementation of Blogs as Reflection Tools for Teacher Education Candidates </w:t>
      </w:r>
      <w:r w:rsidRPr="00F709AC">
        <w:rPr>
          <w:rFonts w:ascii="Times New Roman" w:eastAsia="Times New Roman" w:hAnsi="Times New Roman" w:cs="Times New Roman"/>
          <w:i/>
          <w:iCs/>
          <w:color w:val="000000"/>
          <w:sz w:val="24"/>
          <w:szCs w:val="24"/>
          <w:lang w:eastAsia="en-GB"/>
        </w:rPr>
        <w:t xml:space="preserve">National teacher Education Journal </w:t>
      </w:r>
      <w:r w:rsidRPr="00F709AC">
        <w:rPr>
          <w:rFonts w:ascii="Times New Roman" w:eastAsia="Times New Roman" w:hAnsi="Times New Roman" w:cs="Times New Roman"/>
          <w:color w:val="000000"/>
          <w:sz w:val="24"/>
          <w:szCs w:val="24"/>
          <w:lang w:eastAsia="en-GB"/>
        </w:rPr>
        <w:t>Vol. 7, Issue 2, (pp. 37-41)</w:t>
      </w:r>
    </w:p>
    <w:p w:rsidR="0067122C" w:rsidRPr="00F709AC" w:rsidRDefault="00B25723" w:rsidP="00B25723">
      <w:pPr>
        <w:rPr>
          <w:rFonts w:ascii="Times New Roman" w:hAnsi="Times New Roman" w:cs="Times New Roman"/>
          <w:sz w:val="24"/>
          <w:szCs w:val="24"/>
        </w:rPr>
      </w:pPr>
      <w:r w:rsidRPr="00F709AC">
        <w:rPr>
          <w:rFonts w:ascii="Times New Roman" w:eastAsia="Times New Roman" w:hAnsi="Times New Roman" w:cs="Times New Roman"/>
          <w:sz w:val="24"/>
          <w:szCs w:val="24"/>
          <w:lang w:eastAsia="en-GB"/>
        </w:rPr>
        <w:br/>
      </w:r>
      <w:r w:rsidRPr="00F709AC">
        <w:rPr>
          <w:rFonts w:ascii="Times New Roman" w:eastAsia="Times New Roman" w:hAnsi="Times New Roman" w:cs="Times New Roman"/>
          <w:sz w:val="24"/>
          <w:szCs w:val="24"/>
          <w:lang w:eastAsia="en-GB"/>
        </w:rPr>
        <w:br/>
      </w:r>
      <w:r w:rsidRPr="00F709AC">
        <w:rPr>
          <w:rFonts w:ascii="Times New Roman" w:eastAsia="Times New Roman" w:hAnsi="Times New Roman" w:cs="Times New Roman"/>
          <w:sz w:val="24"/>
          <w:szCs w:val="24"/>
          <w:lang w:eastAsia="en-GB"/>
        </w:rPr>
        <w:br/>
      </w:r>
    </w:p>
    <w:sectPr w:rsidR="0067122C" w:rsidRPr="00F709A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D98" w:rsidRDefault="00963D98" w:rsidP="00F709AC">
      <w:pPr>
        <w:spacing w:after="0" w:line="240" w:lineRule="auto"/>
      </w:pPr>
      <w:r>
        <w:separator/>
      </w:r>
    </w:p>
  </w:endnote>
  <w:endnote w:type="continuationSeparator" w:id="0">
    <w:p w:rsidR="00963D98" w:rsidRDefault="00963D98" w:rsidP="00F70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D98" w:rsidRDefault="00963D98" w:rsidP="00F709AC">
      <w:pPr>
        <w:spacing w:after="0" w:line="240" w:lineRule="auto"/>
      </w:pPr>
      <w:r>
        <w:separator/>
      </w:r>
    </w:p>
  </w:footnote>
  <w:footnote w:type="continuationSeparator" w:id="0">
    <w:p w:rsidR="00963D98" w:rsidRDefault="00963D98" w:rsidP="00F709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9AC" w:rsidRPr="008D2E15" w:rsidRDefault="00F709AC" w:rsidP="00F709AC">
    <w:pPr>
      <w:pStyle w:val="Header"/>
      <w:rPr>
        <w:rFonts w:ascii="Times New Roman" w:hAnsi="Times New Roman" w:cs="Times New Roman"/>
      </w:rPr>
    </w:pPr>
    <w:r w:rsidRPr="008D2E15">
      <w:rPr>
        <w:rFonts w:ascii="Times New Roman" w:hAnsi="Times New Roman" w:cs="Times New Roman"/>
      </w:rPr>
      <w:t>Jodie Pinnell</w:t>
    </w:r>
  </w:p>
  <w:p w:rsidR="00F709AC" w:rsidRPr="008D2E15" w:rsidRDefault="00F709AC" w:rsidP="00F709AC">
    <w:pPr>
      <w:pStyle w:val="Header"/>
      <w:jc w:val="right"/>
      <w:rPr>
        <w:rFonts w:ascii="Times New Roman" w:hAnsi="Times New Roman" w:cs="Times New Roman"/>
      </w:rPr>
    </w:pPr>
    <w:r w:rsidRPr="008D2E15">
      <w:rPr>
        <w:rFonts w:ascii="Times New Roman" w:hAnsi="Times New Roman" w:cs="Times New Roman"/>
      </w:rPr>
      <w:t>1000227</w:t>
    </w:r>
    <w:r w:rsidRPr="008D2E15">
      <w:rPr>
        <w:rFonts w:ascii="Times New Roman" w:hAnsi="Times New Roman" w:cs="Times New Roman"/>
      </w:rPr>
      <w:tab/>
    </w:r>
    <w:r w:rsidRPr="008D2E15">
      <w:rPr>
        <w:rFonts w:ascii="Times New Roman" w:hAnsi="Times New Roman" w:cs="Times New Roman"/>
      </w:rPr>
      <w:tab/>
      <w:t>ECDE7001: Exploring Contemporary Issues in Education</w:t>
    </w:r>
  </w:p>
  <w:p w:rsidR="00F709AC" w:rsidRDefault="00F709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1F9"/>
    <w:rsid w:val="00023979"/>
    <w:rsid w:val="00097B2F"/>
    <w:rsid w:val="000D2069"/>
    <w:rsid w:val="001127E5"/>
    <w:rsid w:val="00142E4D"/>
    <w:rsid w:val="0042261A"/>
    <w:rsid w:val="004749F6"/>
    <w:rsid w:val="004D4170"/>
    <w:rsid w:val="00515518"/>
    <w:rsid w:val="00590119"/>
    <w:rsid w:val="005D70B2"/>
    <w:rsid w:val="005F7316"/>
    <w:rsid w:val="006B256F"/>
    <w:rsid w:val="006D1628"/>
    <w:rsid w:val="00711260"/>
    <w:rsid w:val="00784FFB"/>
    <w:rsid w:val="007C3D97"/>
    <w:rsid w:val="008621F9"/>
    <w:rsid w:val="008E3924"/>
    <w:rsid w:val="00954979"/>
    <w:rsid w:val="00963D98"/>
    <w:rsid w:val="00A80C7F"/>
    <w:rsid w:val="00AC201E"/>
    <w:rsid w:val="00B25723"/>
    <w:rsid w:val="00DC0204"/>
    <w:rsid w:val="00EB5454"/>
    <w:rsid w:val="00EE4569"/>
    <w:rsid w:val="00F709AC"/>
    <w:rsid w:val="00F80D46"/>
    <w:rsid w:val="00F81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FF1407-889D-4C06-9C66-18679587E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7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70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9AC"/>
  </w:style>
  <w:style w:type="paragraph" w:styleId="Footer">
    <w:name w:val="footer"/>
    <w:basedOn w:val="Normal"/>
    <w:link w:val="FooterChar"/>
    <w:uiPriority w:val="99"/>
    <w:unhideWhenUsed/>
    <w:rsid w:val="00F70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84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4</Pages>
  <Words>1126</Words>
  <Characters>6421</Characters>
  <Application>Microsoft Office Word</Application>
  <DocSecurity>0</DocSecurity>
  <Lines>53</Lines>
  <Paragraphs>15</Paragraphs>
  <ScaleCrop>false</ScaleCrop>
  <Company/>
  <LinksUpToDate>false</LinksUpToDate>
  <CharactersWithSpaces>7532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Pinnell</dc:creator>
  <cp:keywords/>
  <dc:description/>
  <cp:lastModifiedBy>Jodie Pinnell</cp:lastModifiedBy>
  <cp:revision>32</cp:revision>
  <dcterms:created xsi:type="dcterms:W3CDTF">2018-11-22T18:51:00Z</dcterms:created>
  <dcterms:modified xsi:type="dcterms:W3CDTF">2018-12-10T20:07:00Z</dcterms:modified>
</cp:coreProperties>
</file>