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FEC216C" w14:textId="77777777" w:rsidR="000D5026" w:rsidRDefault="00C14694">
      <w:pPr>
        <w:pStyle w:val="Title"/>
        <w:spacing w:line="360" w:lineRule="auto"/>
        <w:rPr>
          <w:b/>
          <w:bCs/>
          <w:sz w:val="40"/>
          <w:szCs w:val="48"/>
        </w:rPr>
      </w:pPr>
      <w:r>
        <w:rPr>
          <w:b/>
          <w:bCs/>
          <w:noProof/>
          <w:sz w:val="40"/>
          <w:szCs w:val="48"/>
        </w:rPr>
        <w:drawing>
          <wp:inline distT="0" distB="0" distL="0" distR="0" wp14:anchorId="590C207B" wp14:editId="4146E4A0">
            <wp:extent cx="1957070" cy="981710"/>
            <wp:effectExtent l="0" t="0" r="5080" b="889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1957070" cy="981710"/>
                    </a:xfrm>
                    <a:prstGeom prst="rect">
                      <a:avLst/>
                    </a:prstGeom>
                  </pic:spPr>
                </pic:pic>
              </a:graphicData>
            </a:graphic>
          </wp:inline>
        </w:drawing>
      </w:r>
    </w:p>
    <w:p w14:paraId="70CAD657" w14:textId="77777777" w:rsidR="000D5026" w:rsidRDefault="00C14694" w:rsidP="00E1326C">
      <w:pPr>
        <w:pStyle w:val="Title"/>
        <w:spacing w:line="360" w:lineRule="auto"/>
        <w:ind w:left="1440"/>
        <w:jc w:val="center"/>
        <w:rPr>
          <w:b/>
          <w:bCs/>
          <w:sz w:val="40"/>
          <w:szCs w:val="48"/>
        </w:rPr>
      </w:pPr>
      <w:r>
        <w:rPr>
          <w:b/>
          <w:bCs/>
          <w:sz w:val="40"/>
          <w:szCs w:val="48"/>
        </w:rPr>
        <w:t>Programme:</w:t>
      </w:r>
      <w:r>
        <w:rPr>
          <w:b/>
          <w:bCs/>
          <w:sz w:val="40"/>
          <w:szCs w:val="48"/>
        </w:rPr>
        <w:tab/>
        <w:t>Master of Business Administration (MBA)</w:t>
      </w:r>
    </w:p>
    <w:p w14:paraId="308DCAF5" w14:textId="773845FE" w:rsidR="000D5026" w:rsidRDefault="00C14694" w:rsidP="00E1326C">
      <w:pPr>
        <w:pStyle w:val="Title"/>
        <w:spacing w:line="360" w:lineRule="auto"/>
        <w:ind w:left="1440"/>
        <w:jc w:val="center"/>
        <w:rPr>
          <w:b/>
          <w:bCs/>
          <w:sz w:val="40"/>
          <w:szCs w:val="48"/>
        </w:rPr>
      </w:pPr>
      <w:r>
        <w:rPr>
          <w:b/>
          <w:bCs/>
          <w:sz w:val="40"/>
          <w:szCs w:val="48"/>
        </w:rPr>
        <w:t>Module Code &amp; Title: LCMB7034 International Business Concepts</w:t>
      </w:r>
    </w:p>
    <w:p w14:paraId="4AAFDC84" w14:textId="77777777" w:rsidR="000D5026" w:rsidRDefault="00C14694" w:rsidP="00E1326C">
      <w:pPr>
        <w:pStyle w:val="Title"/>
        <w:spacing w:line="360" w:lineRule="auto"/>
        <w:ind w:left="1440"/>
        <w:jc w:val="center"/>
        <w:rPr>
          <w:b/>
          <w:bCs/>
          <w:sz w:val="40"/>
          <w:szCs w:val="48"/>
        </w:rPr>
      </w:pPr>
      <w:r>
        <w:rPr>
          <w:b/>
          <w:bCs/>
          <w:sz w:val="40"/>
          <w:szCs w:val="48"/>
        </w:rPr>
        <w:t>Tesla, Inc.</w:t>
      </w:r>
    </w:p>
    <w:p w14:paraId="57AB80AE" w14:textId="77777777" w:rsidR="000D5026" w:rsidRDefault="00C14694" w:rsidP="00E1326C">
      <w:pPr>
        <w:ind w:left="1440"/>
        <w:jc w:val="center"/>
      </w:pPr>
      <w:r>
        <w:rPr>
          <w:b/>
          <w:bCs/>
          <w:sz w:val="40"/>
          <w:szCs w:val="48"/>
        </w:rPr>
        <w:t>Strategic Market Entry into Indonesia</w:t>
      </w:r>
    </w:p>
    <w:p w14:paraId="69746D0C" w14:textId="77777777" w:rsidR="000D5026" w:rsidRDefault="000D5026" w:rsidP="00E1326C">
      <w:pPr>
        <w:ind w:left="1440"/>
        <w:jc w:val="center"/>
      </w:pPr>
    </w:p>
    <w:p w14:paraId="32885D65" w14:textId="77777777" w:rsidR="000D5026" w:rsidRDefault="00C14694" w:rsidP="0054096D">
      <w:pPr>
        <w:ind w:left="1440"/>
        <w:jc w:val="center"/>
        <w:rPr>
          <w:b/>
          <w:bCs/>
        </w:rPr>
      </w:pPr>
      <w:r>
        <w:rPr>
          <w:b/>
          <w:bCs/>
        </w:rPr>
        <w:t xml:space="preserve">Student Name: </w:t>
      </w:r>
      <w:r>
        <w:rPr>
          <w:b/>
          <w:bCs/>
        </w:rPr>
        <w:t>Mohammed Masoom</w:t>
      </w:r>
    </w:p>
    <w:p w14:paraId="3473C515" w14:textId="71831A62" w:rsidR="000D5026" w:rsidRDefault="0013384C" w:rsidP="0013384C">
      <w:pPr>
        <w:jc w:val="center"/>
        <w:rPr>
          <w:b/>
          <w:bCs/>
        </w:rPr>
      </w:pPr>
      <w:r>
        <w:rPr>
          <w:b/>
          <w:bCs/>
        </w:rPr>
        <w:t xml:space="preserve">                         </w:t>
      </w:r>
      <w:r w:rsidR="00C14694">
        <w:rPr>
          <w:b/>
          <w:bCs/>
        </w:rPr>
        <w:t xml:space="preserve">Student ID: </w:t>
      </w:r>
      <w:r w:rsidR="00C14694">
        <w:rPr>
          <w:b/>
          <w:bCs/>
        </w:rPr>
        <w:t>2223129</w:t>
      </w:r>
    </w:p>
    <w:p w14:paraId="585C84DA" w14:textId="77777777" w:rsidR="000D5026" w:rsidRDefault="000D5026" w:rsidP="0054096D">
      <w:pPr>
        <w:ind w:left="1440"/>
        <w:jc w:val="center"/>
      </w:pPr>
    </w:p>
    <w:p w14:paraId="7061914F" w14:textId="77777777" w:rsidR="000D5026" w:rsidRDefault="000D5026">
      <w:pPr>
        <w:spacing w:line="276" w:lineRule="auto"/>
        <w:jc w:val="left"/>
        <w:rPr>
          <w:rFonts w:cs="Times New Roman"/>
        </w:rPr>
      </w:pPr>
    </w:p>
    <w:p w14:paraId="6A10760A" w14:textId="77777777" w:rsidR="000D5026" w:rsidRDefault="000D5026"/>
    <w:p w14:paraId="148D3E85" w14:textId="77777777" w:rsidR="000D5026" w:rsidRDefault="000D5026"/>
    <w:p w14:paraId="09A4227A" w14:textId="77777777" w:rsidR="000D5026" w:rsidRDefault="000D5026"/>
    <w:p w14:paraId="78CB5199" w14:textId="77777777" w:rsidR="000D5026" w:rsidRDefault="000D5026"/>
    <w:p w14:paraId="2B064C06" w14:textId="77777777" w:rsidR="000D5026" w:rsidRDefault="000D5026">
      <w:pPr>
        <w:pStyle w:val="TOCHeading"/>
      </w:pPr>
    </w:p>
    <w:p w14:paraId="2B9F5C2C" w14:textId="77777777" w:rsidR="000D5026" w:rsidRDefault="00C14694">
      <w:pPr>
        <w:pStyle w:val="TOCHeading"/>
      </w:pPr>
      <w:r>
        <w:br w:type="page"/>
      </w:r>
      <w:r>
        <w:lastRenderedPageBreak/>
        <w:t>Table of Contents</w:t>
      </w:r>
    </w:p>
    <w:p w14:paraId="1B9FBD3B" w14:textId="77777777" w:rsidR="000D5026" w:rsidRDefault="00C14694">
      <w:pPr>
        <w:pStyle w:val="TOC1"/>
        <w:tabs>
          <w:tab w:val="right" w:leader="dot" w:pos="9350"/>
        </w:tabs>
        <w:rPr>
          <w:noProof/>
        </w:rPr>
      </w:pPr>
      <w:r>
        <w:fldChar w:fldCharType="begin"/>
      </w:r>
      <w:r>
        <w:instrText xml:space="preserve"> TOC \o "1-3" \h \z \u </w:instrText>
      </w:r>
      <w:r>
        <w:fldChar w:fldCharType="separate"/>
      </w:r>
      <w:hyperlink w:anchor="_Toc234620889" w:history="1">
        <w:r>
          <w:rPr>
            <w:rStyle w:val="Hyperlink"/>
            <w:noProof/>
          </w:rPr>
          <w:t>Introduction</w:t>
        </w:r>
        <w:r>
          <w:rPr>
            <w:noProof/>
            <w:webHidden/>
          </w:rPr>
          <w:tab/>
        </w:r>
        <w:r>
          <w:rPr>
            <w:noProof/>
            <w:webHidden/>
          </w:rPr>
          <w:fldChar w:fldCharType="begin"/>
        </w:r>
        <w:r>
          <w:rPr>
            <w:noProof/>
            <w:webHidden/>
          </w:rPr>
          <w:instrText xml:space="preserve"> PAGEREF _Toc234620889 \h </w:instrText>
        </w:r>
        <w:r>
          <w:rPr>
            <w:noProof/>
            <w:webHidden/>
          </w:rPr>
        </w:r>
        <w:r>
          <w:rPr>
            <w:noProof/>
            <w:webHidden/>
          </w:rPr>
          <w:fldChar w:fldCharType="separate"/>
        </w:r>
        <w:r>
          <w:rPr>
            <w:noProof/>
            <w:webHidden/>
          </w:rPr>
          <w:t>1</w:t>
        </w:r>
        <w:r>
          <w:rPr>
            <w:noProof/>
            <w:webHidden/>
          </w:rPr>
          <w:fldChar w:fldCharType="end"/>
        </w:r>
      </w:hyperlink>
    </w:p>
    <w:p w14:paraId="5A2B5194" w14:textId="77777777" w:rsidR="000D5026" w:rsidRDefault="00C14694">
      <w:pPr>
        <w:pStyle w:val="TOC1"/>
        <w:tabs>
          <w:tab w:val="right" w:leader="dot" w:pos="9350"/>
        </w:tabs>
        <w:rPr>
          <w:noProof/>
        </w:rPr>
      </w:pPr>
      <w:hyperlink w:anchor="_Toc234620890" w:history="1">
        <w:r>
          <w:rPr>
            <w:rStyle w:val="Hyperlink"/>
            <w:noProof/>
          </w:rPr>
          <w:t>Organisational Classification and Global Strategy</w:t>
        </w:r>
        <w:r>
          <w:rPr>
            <w:noProof/>
            <w:webHidden/>
          </w:rPr>
          <w:tab/>
        </w:r>
        <w:r>
          <w:rPr>
            <w:noProof/>
            <w:webHidden/>
          </w:rPr>
          <w:fldChar w:fldCharType="begin"/>
        </w:r>
        <w:r>
          <w:rPr>
            <w:noProof/>
            <w:webHidden/>
          </w:rPr>
          <w:instrText xml:space="preserve"> PAGEREF _Toc234620890 \h </w:instrText>
        </w:r>
        <w:r>
          <w:rPr>
            <w:noProof/>
            <w:webHidden/>
          </w:rPr>
        </w:r>
        <w:r>
          <w:rPr>
            <w:noProof/>
            <w:webHidden/>
          </w:rPr>
          <w:fldChar w:fldCharType="separate"/>
        </w:r>
        <w:r>
          <w:rPr>
            <w:noProof/>
            <w:webHidden/>
          </w:rPr>
          <w:t>2</w:t>
        </w:r>
        <w:r>
          <w:rPr>
            <w:noProof/>
            <w:webHidden/>
          </w:rPr>
          <w:fldChar w:fldCharType="end"/>
        </w:r>
      </w:hyperlink>
    </w:p>
    <w:p w14:paraId="4AE5901A" w14:textId="77777777" w:rsidR="000D5026" w:rsidRDefault="00C14694">
      <w:pPr>
        <w:pStyle w:val="TOC2"/>
        <w:tabs>
          <w:tab w:val="right" w:leader="dot" w:pos="9350"/>
        </w:tabs>
        <w:rPr>
          <w:noProof/>
        </w:rPr>
      </w:pPr>
      <w:hyperlink w:anchor="_Toc234620891" w:history="1">
        <w:r>
          <w:rPr>
            <w:rStyle w:val="Hyperlink"/>
            <w:noProof/>
          </w:rPr>
          <w:t>Strategic Categorisation</w:t>
        </w:r>
        <w:r>
          <w:rPr>
            <w:noProof/>
            <w:webHidden/>
          </w:rPr>
          <w:tab/>
        </w:r>
        <w:r>
          <w:rPr>
            <w:noProof/>
            <w:webHidden/>
          </w:rPr>
          <w:fldChar w:fldCharType="begin"/>
        </w:r>
        <w:r>
          <w:rPr>
            <w:noProof/>
            <w:webHidden/>
          </w:rPr>
          <w:instrText xml:space="preserve"> PAGEREF _Toc234620891 \h </w:instrText>
        </w:r>
        <w:r>
          <w:rPr>
            <w:noProof/>
            <w:webHidden/>
          </w:rPr>
        </w:r>
        <w:r>
          <w:rPr>
            <w:noProof/>
            <w:webHidden/>
          </w:rPr>
          <w:fldChar w:fldCharType="separate"/>
        </w:r>
        <w:r>
          <w:rPr>
            <w:noProof/>
            <w:webHidden/>
          </w:rPr>
          <w:t>2</w:t>
        </w:r>
        <w:r>
          <w:rPr>
            <w:noProof/>
            <w:webHidden/>
          </w:rPr>
          <w:fldChar w:fldCharType="end"/>
        </w:r>
      </w:hyperlink>
    </w:p>
    <w:p w14:paraId="63D62084" w14:textId="77777777" w:rsidR="000D5026" w:rsidRDefault="00C14694">
      <w:pPr>
        <w:pStyle w:val="TOC2"/>
        <w:tabs>
          <w:tab w:val="right" w:leader="dot" w:pos="9350"/>
        </w:tabs>
        <w:rPr>
          <w:noProof/>
        </w:rPr>
      </w:pPr>
      <w:hyperlink w:anchor="_Toc234620892" w:history="1">
        <w:r>
          <w:rPr>
            <w:rStyle w:val="Hyperlink"/>
            <w:noProof/>
          </w:rPr>
          <w:t>Global Configuration</w:t>
        </w:r>
        <w:r>
          <w:rPr>
            <w:noProof/>
            <w:webHidden/>
          </w:rPr>
          <w:tab/>
        </w:r>
        <w:r>
          <w:rPr>
            <w:noProof/>
            <w:webHidden/>
          </w:rPr>
          <w:fldChar w:fldCharType="begin"/>
        </w:r>
        <w:r>
          <w:rPr>
            <w:noProof/>
            <w:webHidden/>
          </w:rPr>
          <w:instrText xml:space="preserve"> PAGEREF _Toc234620892 \h </w:instrText>
        </w:r>
        <w:r>
          <w:rPr>
            <w:noProof/>
            <w:webHidden/>
          </w:rPr>
        </w:r>
        <w:r>
          <w:rPr>
            <w:noProof/>
            <w:webHidden/>
          </w:rPr>
          <w:fldChar w:fldCharType="separate"/>
        </w:r>
        <w:r>
          <w:rPr>
            <w:noProof/>
            <w:webHidden/>
          </w:rPr>
          <w:t>3</w:t>
        </w:r>
        <w:r>
          <w:rPr>
            <w:noProof/>
            <w:webHidden/>
          </w:rPr>
          <w:fldChar w:fldCharType="end"/>
        </w:r>
      </w:hyperlink>
    </w:p>
    <w:p w14:paraId="28AA5773" w14:textId="77777777" w:rsidR="000D5026" w:rsidRDefault="00C14694">
      <w:pPr>
        <w:pStyle w:val="TOC1"/>
        <w:tabs>
          <w:tab w:val="right" w:leader="dot" w:pos="9350"/>
        </w:tabs>
        <w:rPr>
          <w:noProof/>
        </w:rPr>
      </w:pPr>
      <w:hyperlink w:anchor="_Toc234620893" w:history="1">
        <w:r>
          <w:rPr>
            <w:rStyle w:val="Hyperlink"/>
            <w:noProof/>
          </w:rPr>
          <w:t>Macro-Environmental Appraisal and Market Attractiveness</w:t>
        </w:r>
        <w:r>
          <w:rPr>
            <w:noProof/>
            <w:webHidden/>
          </w:rPr>
          <w:tab/>
        </w:r>
        <w:r>
          <w:rPr>
            <w:noProof/>
            <w:webHidden/>
          </w:rPr>
          <w:fldChar w:fldCharType="begin"/>
        </w:r>
        <w:r>
          <w:rPr>
            <w:noProof/>
            <w:webHidden/>
          </w:rPr>
          <w:instrText xml:space="preserve"> PAGEREF _Toc234620893 \h </w:instrText>
        </w:r>
        <w:r>
          <w:rPr>
            <w:noProof/>
            <w:webHidden/>
          </w:rPr>
        </w:r>
        <w:r>
          <w:rPr>
            <w:noProof/>
            <w:webHidden/>
          </w:rPr>
          <w:fldChar w:fldCharType="separate"/>
        </w:r>
        <w:r>
          <w:rPr>
            <w:noProof/>
            <w:webHidden/>
          </w:rPr>
          <w:t>4</w:t>
        </w:r>
        <w:r>
          <w:rPr>
            <w:noProof/>
            <w:webHidden/>
          </w:rPr>
          <w:fldChar w:fldCharType="end"/>
        </w:r>
      </w:hyperlink>
    </w:p>
    <w:p w14:paraId="29E9950B" w14:textId="77777777" w:rsidR="000D5026" w:rsidRDefault="00C14694">
      <w:pPr>
        <w:pStyle w:val="TOC2"/>
        <w:tabs>
          <w:tab w:val="right" w:leader="dot" w:pos="9350"/>
        </w:tabs>
        <w:rPr>
          <w:noProof/>
        </w:rPr>
      </w:pPr>
      <w:hyperlink w:anchor="_Toc234620894" w:history="1">
        <w:r>
          <w:rPr>
            <w:rStyle w:val="Hyperlink"/>
            <w:noProof/>
          </w:rPr>
          <w:t>Political Factors</w:t>
        </w:r>
        <w:r>
          <w:rPr>
            <w:noProof/>
            <w:webHidden/>
          </w:rPr>
          <w:tab/>
        </w:r>
        <w:r>
          <w:rPr>
            <w:noProof/>
            <w:webHidden/>
          </w:rPr>
          <w:fldChar w:fldCharType="begin"/>
        </w:r>
        <w:r>
          <w:rPr>
            <w:noProof/>
            <w:webHidden/>
          </w:rPr>
          <w:instrText xml:space="preserve"> PAGEREF _Toc234620894 \h </w:instrText>
        </w:r>
        <w:r>
          <w:rPr>
            <w:noProof/>
            <w:webHidden/>
          </w:rPr>
        </w:r>
        <w:r>
          <w:rPr>
            <w:noProof/>
            <w:webHidden/>
          </w:rPr>
          <w:fldChar w:fldCharType="separate"/>
        </w:r>
        <w:r>
          <w:rPr>
            <w:noProof/>
            <w:webHidden/>
          </w:rPr>
          <w:t>4</w:t>
        </w:r>
        <w:r>
          <w:rPr>
            <w:noProof/>
            <w:webHidden/>
          </w:rPr>
          <w:fldChar w:fldCharType="end"/>
        </w:r>
      </w:hyperlink>
    </w:p>
    <w:p w14:paraId="01079EAB" w14:textId="77777777" w:rsidR="000D5026" w:rsidRDefault="00C14694">
      <w:pPr>
        <w:pStyle w:val="TOC2"/>
        <w:tabs>
          <w:tab w:val="right" w:leader="dot" w:pos="9350"/>
        </w:tabs>
        <w:rPr>
          <w:noProof/>
        </w:rPr>
      </w:pPr>
      <w:hyperlink w:anchor="_Toc234620895" w:history="1">
        <w:r>
          <w:rPr>
            <w:rStyle w:val="Hyperlink"/>
            <w:noProof/>
          </w:rPr>
          <w:t>Economic Factors</w:t>
        </w:r>
        <w:r>
          <w:rPr>
            <w:noProof/>
            <w:webHidden/>
          </w:rPr>
          <w:tab/>
        </w:r>
        <w:r>
          <w:rPr>
            <w:noProof/>
            <w:webHidden/>
          </w:rPr>
          <w:fldChar w:fldCharType="begin"/>
        </w:r>
        <w:r>
          <w:rPr>
            <w:noProof/>
            <w:webHidden/>
          </w:rPr>
          <w:instrText xml:space="preserve"> PAGEREF _Toc234620895 \h </w:instrText>
        </w:r>
        <w:r>
          <w:rPr>
            <w:noProof/>
            <w:webHidden/>
          </w:rPr>
        </w:r>
        <w:r>
          <w:rPr>
            <w:noProof/>
            <w:webHidden/>
          </w:rPr>
          <w:fldChar w:fldCharType="separate"/>
        </w:r>
        <w:r>
          <w:rPr>
            <w:noProof/>
            <w:webHidden/>
          </w:rPr>
          <w:t>5</w:t>
        </w:r>
        <w:r>
          <w:rPr>
            <w:noProof/>
            <w:webHidden/>
          </w:rPr>
          <w:fldChar w:fldCharType="end"/>
        </w:r>
      </w:hyperlink>
    </w:p>
    <w:p w14:paraId="1C5EA72B" w14:textId="77777777" w:rsidR="000D5026" w:rsidRDefault="00C14694">
      <w:pPr>
        <w:pStyle w:val="TOC2"/>
        <w:tabs>
          <w:tab w:val="right" w:leader="dot" w:pos="9350"/>
        </w:tabs>
        <w:rPr>
          <w:noProof/>
        </w:rPr>
      </w:pPr>
      <w:hyperlink w:anchor="_Toc234620896" w:history="1">
        <w:r>
          <w:rPr>
            <w:rStyle w:val="Hyperlink"/>
            <w:noProof/>
          </w:rPr>
          <w:t>Legal Factors</w:t>
        </w:r>
        <w:r>
          <w:rPr>
            <w:noProof/>
            <w:webHidden/>
          </w:rPr>
          <w:tab/>
        </w:r>
        <w:r>
          <w:rPr>
            <w:noProof/>
            <w:webHidden/>
          </w:rPr>
          <w:fldChar w:fldCharType="begin"/>
        </w:r>
        <w:r>
          <w:rPr>
            <w:noProof/>
            <w:webHidden/>
          </w:rPr>
          <w:instrText xml:space="preserve"> PAGEREF _Toc234620896 \h </w:instrText>
        </w:r>
        <w:r>
          <w:rPr>
            <w:noProof/>
            <w:webHidden/>
          </w:rPr>
        </w:r>
        <w:r>
          <w:rPr>
            <w:noProof/>
            <w:webHidden/>
          </w:rPr>
          <w:fldChar w:fldCharType="separate"/>
        </w:r>
        <w:r>
          <w:rPr>
            <w:noProof/>
            <w:webHidden/>
          </w:rPr>
          <w:t>7</w:t>
        </w:r>
        <w:r>
          <w:rPr>
            <w:noProof/>
            <w:webHidden/>
          </w:rPr>
          <w:fldChar w:fldCharType="end"/>
        </w:r>
      </w:hyperlink>
    </w:p>
    <w:p w14:paraId="763FD411" w14:textId="77777777" w:rsidR="000D5026" w:rsidRDefault="00C14694">
      <w:pPr>
        <w:pStyle w:val="TOC2"/>
        <w:tabs>
          <w:tab w:val="right" w:leader="dot" w:pos="9350"/>
        </w:tabs>
        <w:rPr>
          <w:noProof/>
        </w:rPr>
      </w:pPr>
      <w:hyperlink w:anchor="_Toc234620897" w:history="1">
        <w:r>
          <w:rPr>
            <w:rStyle w:val="Hyperlink"/>
            <w:noProof/>
          </w:rPr>
          <w:t>Cultural Factors</w:t>
        </w:r>
        <w:r>
          <w:rPr>
            <w:noProof/>
            <w:webHidden/>
          </w:rPr>
          <w:tab/>
        </w:r>
        <w:r>
          <w:rPr>
            <w:noProof/>
            <w:webHidden/>
          </w:rPr>
          <w:fldChar w:fldCharType="begin"/>
        </w:r>
        <w:r>
          <w:rPr>
            <w:noProof/>
            <w:webHidden/>
          </w:rPr>
          <w:instrText xml:space="preserve"> PAGEREF _Toc234620897 \h </w:instrText>
        </w:r>
        <w:r>
          <w:rPr>
            <w:noProof/>
            <w:webHidden/>
          </w:rPr>
        </w:r>
        <w:r>
          <w:rPr>
            <w:noProof/>
            <w:webHidden/>
          </w:rPr>
          <w:fldChar w:fldCharType="separate"/>
        </w:r>
        <w:r>
          <w:rPr>
            <w:noProof/>
            <w:webHidden/>
          </w:rPr>
          <w:t>9</w:t>
        </w:r>
        <w:r>
          <w:rPr>
            <w:noProof/>
            <w:webHidden/>
          </w:rPr>
          <w:fldChar w:fldCharType="end"/>
        </w:r>
      </w:hyperlink>
    </w:p>
    <w:p w14:paraId="09B78568" w14:textId="77777777" w:rsidR="000D5026" w:rsidRDefault="00C14694">
      <w:pPr>
        <w:pStyle w:val="TOC2"/>
        <w:tabs>
          <w:tab w:val="right" w:leader="dot" w:pos="9350"/>
        </w:tabs>
        <w:rPr>
          <w:noProof/>
        </w:rPr>
      </w:pPr>
      <w:hyperlink w:anchor="_Toc234620898" w:history="1">
        <w:r>
          <w:rPr>
            <w:rStyle w:val="Hyperlink"/>
            <w:noProof/>
          </w:rPr>
          <w:t>Market Entry: OLI (Eclectic Paradigm) Synthesis</w:t>
        </w:r>
        <w:r>
          <w:rPr>
            <w:noProof/>
            <w:webHidden/>
          </w:rPr>
          <w:tab/>
        </w:r>
        <w:r>
          <w:rPr>
            <w:noProof/>
            <w:webHidden/>
          </w:rPr>
          <w:fldChar w:fldCharType="begin"/>
        </w:r>
        <w:r>
          <w:rPr>
            <w:noProof/>
            <w:webHidden/>
          </w:rPr>
          <w:instrText xml:space="preserve"> PAGEREF _Toc234620898 \h </w:instrText>
        </w:r>
        <w:r>
          <w:rPr>
            <w:noProof/>
            <w:webHidden/>
          </w:rPr>
        </w:r>
        <w:r>
          <w:rPr>
            <w:noProof/>
            <w:webHidden/>
          </w:rPr>
          <w:fldChar w:fldCharType="separate"/>
        </w:r>
        <w:r>
          <w:rPr>
            <w:noProof/>
            <w:webHidden/>
          </w:rPr>
          <w:t>10</w:t>
        </w:r>
        <w:r>
          <w:rPr>
            <w:noProof/>
            <w:webHidden/>
          </w:rPr>
          <w:fldChar w:fldCharType="end"/>
        </w:r>
      </w:hyperlink>
    </w:p>
    <w:p w14:paraId="60858DD1" w14:textId="77777777" w:rsidR="000D5026" w:rsidRDefault="00C14694">
      <w:pPr>
        <w:pStyle w:val="TOC1"/>
        <w:tabs>
          <w:tab w:val="right" w:leader="dot" w:pos="9350"/>
        </w:tabs>
        <w:rPr>
          <w:noProof/>
        </w:rPr>
      </w:pPr>
      <w:hyperlink w:anchor="_Toc234620899" w:history="1">
        <w:r>
          <w:rPr>
            <w:rStyle w:val="Hyperlink"/>
            <w:noProof/>
          </w:rPr>
          <w:t>Entry Mode Strategy and Strategic Synthesis</w:t>
        </w:r>
        <w:r>
          <w:rPr>
            <w:noProof/>
            <w:webHidden/>
          </w:rPr>
          <w:tab/>
        </w:r>
        <w:r>
          <w:rPr>
            <w:noProof/>
            <w:webHidden/>
          </w:rPr>
          <w:fldChar w:fldCharType="begin"/>
        </w:r>
        <w:r>
          <w:rPr>
            <w:noProof/>
            <w:webHidden/>
          </w:rPr>
          <w:instrText xml:space="preserve"> PAGEREF _Toc234620899 \h </w:instrText>
        </w:r>
        <w:r>
          <w:rPr>
            <w:noProof/>
            <w:webHidden/>
          </w:rPr>
        </w:r>
        <w:r>
          <w:rPr>
            <w:noProof/>
            <w:webHidden/>
          </w:rPr>
          <w:fldChar w:fldCharType="separate"/>
        </w:r>
        <w:r>
          <w:rPr>
            <w:noProof/>
            <w:webHidden/>
          </w:rPr>
          <w:t>12</w:t>
        </w:r>
        <w:r>
          <w:rPr>
            <w:noProof/>
            <w:webHidden/>
          </w:rPr>
          <w:fldChar w:fldCharType="end"/>
        </w:r>
      </w:hyperlink>
    </w:p>
    <w:p w14:paraId="7E9E7D1D" w14:textId="77777777" w:rsidR="000D5026" w:rsidRDefault="00C14694">
      <w:pPr>
        <w:pStyle w:val="TOC1"/>
        <w:tabs>
          <w:tab w:val="right" w:leader="dot" w:pos="9350"/>
        </w:tabs>
        <w:rPr>
          <w:noProof/>
        </w:rPr>
      </w:pPr>
      <w:hyperlink w:anchor="_Toc234620900" w:history="1">
        <w:r>
          <w:rPr>
            <w:rStyle w:val="Hyperlink"/>
            <w:noProof/>
          </w:rPr>
          <w:t>Conclusion &amp; Recommendations</w:t>
        </w:r>
        <w:r>
          <w:rPr>
            <w:noProof/>
            <w:webHidden/>
          </w:rPr>
          <w:tab/>
        </w:r>
        <w:r>
          <w:rPr>
            <w:noProof/>
            <w:webHidden/>
          </w:rPr>
          <w:fldChar w:fldCharType="begin"/>
        </w:r>
        <w:r>
          <w:rPr>
            <w:noProof/>
            <w:webHidden/>
          </w:rPr>
          <w:instrText xml:space="preserve"> PAGEREF _Toc234620900 \h </w:instrText>
        </w:r>
        <w:r>
          <w:rPr>
            <w:noProof/>
            <w:webHidden/>
          </w:rPr>
        </w:r>
        <w:r>
          <w:rPr>
            <w:noProof/>
            <w:webHidden/>
          </w:rPr>
          <w:fldChar w:fldCharType="separate"/>
        </w:r>
        <w:r>
          <w:rPr>
            <w:noProof/>
            <w:webHidden/>
          </w:rPr>
          <w:t>15</w:t>
        </w:r>
        <w:r>
          <w:rPr>
            <w:noProof/>
            <w:webHidden/>
          </w:rPr>
          <w:fldChar w:fldCharType="end"/>
        </w:r>
      </w:hyperlink>
    </w:p>
    <w:p w14:paraId="2132BAD9" w14:textId="77777777" w:rsidR="000D5026" w:rsidRDefault="00C14694">
      <w:pPr>
        <w:pStyle w:val="TOC1"/>
        <w:tabs>
          <w:tab w:val="right" w:leader="dot" w:pos="9350"/>
        </w:tabs>
        <w:rPr>
          <w:noProof/>
        </w:rPr>
      </w:pPr>
      <w:hyperlink w:anchor="_Toc234620901" w:history="1">
        <w:r>
          <w:rPr>
            <w:rStyle w:val="Hyperlink"/>
            <w:noProof/>
          </w:rPr>
          <w:t>Section 2: Reflective Account</w:t>
        </w:r>
        <w:r>
          <w:rPr>
            <w:noProof/>
            <w:webHidden/>
          </w:rPr>
          <w:tab/>
        </w:r>
        <w:r>
          <w:rPr>
            <w:noProof/>
            <w:webHidden/>
          </w:rPr>
          <w:fldChar w:fldCharType="begin"/>
        </w:r>
        <w:r>
          <w:rPr>
            <w:noProof/>
            <w:webHidden/>
          </w:rPr>
          <w:instrText xml:space="preserve"> PAGEREF _Toc234620901 \h </w:instrText>
        </w:r>
        <w:r>
          <w:rPr>
            <w:noProof/>
            <w:webHidden/>
          </w:rPr>
        </w:r>
        <w:r>
          <w:rPr>
            <w:noProof/>
            <w:webHidden/>
          </w:rPr>
          <w:fldChar w:fldCharType="separate"/>
        </w:r>
        <w:r>
          <w:rPr>
            <w:noProof/>
            <w:webHidden/>
          </w:rPr>
          <w:t>16</w:t>
        </w:r>
        <w:r>
          <w:rPr>
            <w:noProof/>
            <w:webHidden/>
          </w:rPr>
          <w:fldChar w:fldCharType="end"/>
        </w:r>
      </w:hyperlink>
    </w:p>
    <w:p w14:paraId="3236CD4E" w14:textId="77777777" w:rsidR="000D5026" w:rsidRDefault="00C14694">
      <w:pPr>
        <w:pStyle w:val="TOC2"/>
        <w:tabs>
          <w:tab w:val="right" w:leader="dot" w:pos="9350"/>
        </w:tabs>
        <w:rPr>
          <w:noProof/>
        </w:rPr>
      </w:pPr>
      <w:hyperlink w:anchor="_Toc234620902" w:history="1">
        <w:r>
          <w:rPr>
            <w:rStyle w:val="Hyperlink"/>
            <w:noProof/>
          </w:rPr>
          <w:t>Description</w:t>
        </w:r>
        <w:r>
          <w:rPr>
            <w:noProof/>
            <w:webHidden/>
          </w:rPr>
          <w:tab/>
        </w:r>
        <w:r>
          <w:rPr>
            <w:noProof/>
            <w:webHidden/>
          </w:rPr>
          <w:fldChar w:fldCharType="begin"/>
        </w:r>
        <w:r>
          <w:rPr>
            <w:noProof/>
            <w:webHidden/>
          </w:rPr>
          <w:instrText xml:space="preserve"> PAGEREF _Toc234620902 \h </w:instrText>
        </w:r>
        <w:r>
          <w:rPr>
            <w:noProof/>
            <w:webHidden/>
          </w:rPr>
        </w:r>
        <w:r>
          <w:rPr>
            <w:noProof/>
            <w:webHidden/>
          </w:rPr>
          <w:fldChar w:fldCharType="separate"/>
        </w:r>
        <w:r>
          <w:rPr>
            <w:noProof/>
            <w:webHidden/>
          </w:rPr>
          <w:t>16</w:t>
        </w:r>
        <w:r>
          <w:rPr>
            <w:noProof/>
            <w:webHidden/>
          </w:rPr>
          <w:fldChar w:fldCharType="end"/>
        </w:r>
      </w:hyperlink>
    </w:p>
    <w:p w14:paraId="7B6F0532" w14:textId="77777777" w:rsidR="000D5026" w:rsidRDefault="00C14694">
      <w:pPr>
        <w:pStyle w:val="TOC2"/>
        <w:tabs>
          <w:tab w:val="right" w:leader="dot" w:pos="9350"/>
        </w:tabs>
        <w:rPr>
          <w:noProof/>
        </w:rPr>
      </w:pPr>
      <w:hyperlink w:anchor="_Toc234620903" w:history="1">
        <w:r>
          <w:rPr>
            <w:rStyle w:val="Hyperlink"/>
            <w:noProof/>
          </w:rPr>
          <w:t>Feelings</w:t>
        </w:r>
        <w:r>
          <w:rPr>
            <w:noProof/>
            <w:webHidden/>
          </w:rPr>
          <w:tab/>
        </w:r>
        <w:r>
          <w:rPr>
            <w:noProof/>
            <w:webHidden/>
          </w:rPr>
          <w:fldChar w:fldCharType="begin"/>
        </w:r>
        <w:r>
          <w:rPr>
            <w:noProof/>
            <w:webHidden/>
          </w:rPr>
          <w:instrText xml:space="preserve"> PAGEREF _Toc234620903 \h </w:instrText>
        </w:r>
        <w:r>
          <w:rPr>
            <w:noProof/>
            <w:webHidden/>
          </w:rPr>
        </w:r>
        <w:r>
          <w:rPr>
            <w:noProof/>
            <w:webHidden/>
          </w:rPr>
          <w:fldChar w:fldCharType="separate"/>
        </w:r>
        <w:r>
          <w:rPr>
            <w:noProof/>
            <w:webHidden/>
          </w:rPr>
          <w:t>16</w:t>
        </w:r>
        <w:r>
          <w:rPr>
            <w:noProof/>
            <w:webHidden/>
          </w:rPr>
          <w:fldChar w:fldCharType="end"/>
        </w:r>
      </w:hyperlink>
    </w:p>
    <w:p w14:paraId="6D274386" w14:textId="77777777" w:rsidR="000D5026" w:rsidRDefault="00C14694">
      <w:pPr>
        <w:pStyle w:val="TOC2"/>
        <w:tabs>
          <w:tab w:val="right" w:leader="dot" w:pos="9350"/>
        </w:tabs>
        <w:rPr>
          <w:noProof/>
        </w:rPr>
      </w:pPr>
      <w:hyperlink w:anchor="_Toc234620904" w:history="1">
        <w:r>
          <w:rPr>
            <w:rStyle w:val="Hyperlink"/>
            <w:noProof/>
          </w:rPr>
          <w:t>Evaluation</w:t>
        </w:r>
        <w:r>
          <w:rPr>
            <w:noProof/>
            <w:webHidden/>
          </w:rPr>
          <w:tab/>
        </w:r>
        <w:r>
          <w:rPr>
            <w:noProof/>
            <w:webHidden/>
          </w:rPr>
          <w:fldChar w:fldCharType="begin"/>
        </w:r>
        <w:r>
          <w:rPr>
            <w:noProof/>
            <w:webHidden/>
          </w:rPr>
          <w:instrText xml:space="preserve"> PAGEREF _Toc234620904 \h </w:instrText>
        </w:r>
        <w:r>
          <w:rPr>
            <w:noProof/>
            <w:webHidden/>
          </w:rPr>
        </w:r>
        <w:r>
          <w:rPr>
            <w:noProof/>
            <w:webHidden/>
          </w:rPr>
          <w:fldChar w:fldCharType="separate"/>
        </w:r>
        <w:r>
          <w:rPr>
            <w:noProof/>
            <w:webHidden/>
          </w:rPr>
          <w:t>17</w:t>
        </w:r>
        <w:r>
          <w:rPr>
            <w:noProof/>
            <w:webHidden/>
          </w:rPr>
          <w:fldChar w:fldCharType="end"/>
        </w:r>
      </w:hyperlink>
    </w:p>
    <w:p w14:paraId="16566F55" w14:textId="77777777" w:rsidR="000D5026" w:rsidRDefault="00C14694">
      <w:pPr>
        <w:pStyle w:val="TOC2"/>
        <w:tabs>
          <w:tab w:val="right" w:leader="dot" w:pos="9350"/>
        </w:tabs>
        <w:rPr>
          <w:noProof/>
        </w:rPr>
      </w:pPr>
      <w:hyperlink w:anchor="_Toc234620905" w:history="1">
        <w:r>
          <w:rPr>
            <w:rStyle w:val="Hyperlink"/>
            <w:noProof/>
          </w:rPr>
          <w:t>Analysis</w:t>
        </w:r>
        <w:r>
          <w:rPr>
            <w:noProof/>
            <w:webHidden/>
          </w:rPr>
          <w:tab/>
        </w:r>
        <w:r>
          <w:rPr>
            <w:noProof/>
            <w:webHidden/>
          </w:rPr>
          <w:fldChar w:fldCharType="begin"/>
        </w:r>
        <w:r>
          <w:rPr>
            <w:noProof/>
            <w:webHidden/>
          </w:rPr>
          <w:instrText xml:space="preserve"> PAGEREF _Toc234620905 \h </w:instrText>
        </w:r>
        <w:r>
          <w:rPr>
            <w:noProof/>
            <w:webHidden/>
          </w:rPr>
        </w:r>
        <w:r>
          <w:rPr>
            <w:noProof/>
            <w:webHidden/>
          </w:rPr>
          <w:fldChar w:fldCharType="separate"/>
        </w:r>
        <w:r>
          <w:rPr>
            <w:noProof/>
            <w:webHidden/>
          </w:rPr>
          <w:t>17</w:t>
        </w:r>
        <w:r>
          <w:rPr>
            <w:noProof/>
            <w:webHidden/>
          </w:rPr>
          <w:fldChar w:fldCharType="end"/>
        </w:r>
      </w:hyperlink>
    </w:p>
    <w:p w14:paraId="0CF9C8E7" w14:textId="77777777" w:rsidR="000D5026" w:rsidRDefault="00C14694">
      <w:pPr>
        <w:pStyle w:val="TOC2"/>
        <w:tabs>
          <w:tab w:val="right" w:leader="dot" w:pos="9350"/>
        </w:tabs>
        <w:rPr>
          <w:noProof/>
        </w:rPr>
      </w:pPr>
      <w:hyperlink w:anchor="_Toc234620906" w:history="1">
        <w:r>
          <w:rPr>
            <w:rStyle w:val="Hyperlink"/>
            <w:noProof/>
          </w:rPr>
          <w:t>Conclusion</w:t>
        </w:r>
        <w:r>
          <w:rPr>
            <w:noProof/>
            <w:webHidden/>
          </w:rPr>
          <w:tab/>
        </w:r>
        <w:r>
          <w:rPr>
            <w:noProof/>
            <w:webHidden/>
          </w:rPr>
          <w:fldChar w:fldCharType="begin"/>
        </w:r>
        <w:r>
          <w:rPr>
            <w:noProof/>
            <w:webHidden/>
          </w:rPr>
          <w:instrText xml:space="preserve"> PAGEREF _Toc234620906 \h </w:instrText>
        </w:r>
        <w:r>
          <w:rPr>
            <w:noProof/>
            <w:webHidden/>
          </w:rPr>
        </w:r>
        <w:r>
          <w:rPr>
            <w:noProof/>
            <w:webHidden/>
          </w:rPr>
          <w:fldChar w:fldCharType="separate"/>
        </w:r>
        <w:r>
          <w:rPr>
            <w:noProof/>
            <w:webHidden/>
          </w:rPr>
          <w:t>18</w:t>
        </w:r>
        <w:r>
          <w:rPr>
            <w:noProof/>
            <w:webHidden/>
          </w:rPr>
          <w:fldChar w:fldCharType="end"/>
        </w:r>
      </w:hyperlink>
    </w:p>
    <w:p w14:paraId="659D0229" w14:textId="77777777" w:rsidR="000D5026" w:rsidRDefault="00C14694">
      <w:pPr>
        <w:pStyle w:val="TOC2"/>
        <w:tabs>
          <w:tab w:val="right" w:leader="dot" w:pos="9350"/>
        </w:tabs>
        <w:rPr>
          <w:noProof/>
        </w:rPr>
      </w:pPr>
      <w:hyperlink w:anchor="_Toc234620907" w:history="1">
        <w:r>
          <w:rPr>
            <w:rStyle w:val="Hyperlink"/>
            <w:noProof/>
          </w:rPr>
          <w:t>Action Plan</w:t>
        </w:r>
        <w:r>
          <w:rPr>
            <w:noProof/>
            <w:webHidden/>
          </w:rPr>
          <w:tab/>
        </w:r>
        <w:r>
          <w:rPr>
            <w:noProof/>
            <w:webHidden/>
          </w:rPr>
          <w:fldChar w:fldCharType="begin"/>
        </w:r>
        <w:r>
          <w:rPr>
            <w:noProof/>
            <w:webHidden/>
          </w:rPr>
          <w:instrText xml:space="preserve"> PAGEREF _Toc234620907 \h </w:instrText>
        </w:r>
        <w:r>
          <w:rPr>
            <w:noProof/>
            <w:webHidden/>
          </w:rPr>
        </w:r>
        <w:r>
          <w:rPr>
            <w:noProof/>
            <w:webHidden/>
          </w:rPr>
          <w:fldChar w:fldCharType="separate"/>
        </w:r>
        <w:r>
          <w:rPr>
            <w:noProof/>
            <w:webHidden/>
          </w:rPr>
          <w:t>18</w:t>
        </w:r>
        <w:r>
          <w:rPr>
            <w:noProof/>
            <w:webHidden/>
          </w:rPr>
          <w:fldChar w:fldCharType="end"/>
        </w:r>
      </w:hyperlink>
    </w:p>
    <w:p w14:paraId="5368BA3B" w14:textId="77777777" w:rsidR="000D5026" w:rsidRDefault="00C14694">
      <w:pPr>
        <w:pStyle w:val="TOC1"/>
        <w:tabs>
          <w:tab w:val="right" w:leader="dot" w:pos="9350"/>
        </w:tabs>
        <w:rPr>
          <w:noProof/>
        </w:rPr>
      </w:pPr>
      <w:hyperlink w:anchor="_Toc234620908" w:history="1">
        <w:r>
          <w:rPr>
            <w:rStyle w:val="Hyperlink"/>
            <w:noProof/>
          </w:rPr>
          <w:t>References</w:t>
        </w:r>
        <w:r>
          <w:rPr>
            <w:noProof/>
            <w:webHidden/>
          </w:rPr>
          <w:tab/>
        </w:r>
        <w:r>
          <w:rPr>
            <w:noProof/>
            <w:webHidden/>
          </w:rPr>
          <w:fldChar w:fldCharType="begin"/>
        </w:r>
        <w:r>
          <w:rPr>
            <w:noProof/>
            <w:webHidden/>
          </w:rPr>
          <w:instrText xml:space="preserve"> PAGEREF _Toc234620908 \h </w:instrText>
        </w:r>
        <w:r>
          <w:rPr>
            <w:noProof/>
            <w:webHidden/>
          </w:rPr>
        </w:r>
        <w:r>
          <w:rPr>
            <w:noProof/>
            <w:webHidden/>
          </w:rPr>
          <w:fldChar w:fldCharType="separate"/>
        </w:r>
        <w:r>
          <w:rPr>
            <w:noProof/>
            <w:webHidden/>
          </w:rPr>
          <w:t>19</w:t>
        </w:r>
        <w:r>
          <w:rPr>
            <w:noProof/>
            <w:webHidden/>
          </w:rPr>
          <w:fldChar w:fldCharType="end"/>
        </w:r>
      </w:hyperlink>
    </w:p>
    <w:p w14:paraId="73BD5361" w14:textId="77777777" w:rsidR="000D5026" w:rsidRDefault="00C14694">
      <w:r>
        <w:rPr>
          <w:b/>
          <w:bCs/>
          <w:noProof/>
        </w:rPr>
        <w:fldChar w:fldCharType="end"/>
      </w:r>
    </w:p>
    <w:p w14:paraId="4134AA4C" w14:textId="77777777" w:rsidR="000D5026" w:rsidRDefault="000D5026"/>
    <w:p w14:paraId="1C75FB68" w14:textId="77777777" w:rsidR="000D5026" w:rsidRDefault="000D5026"/>
    <w:p w14:paraId="753A776E" w14:textId="77777777" w:rsidR="000D5026" w:rsidRDefault="000D5026">
      <w:pPr>
        <w:pStyle w:val="Heading1"/>
        <w:sectPr w:rsidR="000D5026">
          <w:footerReference w:type="default" r:id="rId9"/>
          <w:pgSz w:w="12240" w:h="15840"/>
          <w:pgMar w:top="1440" w:right="1440" w:bottom="1440" w:left="1440" w:header="720" w:footer="720" w:gutter="0"/>
          <w:pgNumType w:fmt="lowerRoman" w:start="1"/>
          <w:cols w:space="720"/>
          <w:titlePg/>
          <w:docGrid w:linePitch="360"/>
        </w:sectPr>
      </w:pPr>
    </w:p>
    <w:p w14:paraId="5F04AF12" w14:textId="77777777" w:rsidR="000D5026" w:rsidRDefault="00C14694">
      <w:pPr>
        <w:pStyle w:val="Heading1"/>
      </w:pPr>
      <w:bookmarkStart w:id="0" w:name="_Toc234620889"/>
      <w:r>
        <w:lastRenderedPageBreak/>
        <w:t>Introduction</w:t>
      </w:r>
      <w:bookmarkEnd w:id="0"/>
    </w:p>
    <w:p w14:paraId="51BD25F9" w14:textId="77777777" w:rsidR="000D5026" w:rsidRDefault="00C14694">
      <w:r>
        <w:t>The report assesses the strategic international market entry dynamics of Tesla, Inc. into Indonesia which is an economy with a fast growth of electric vehicles (EVs) adoption but with complex entry barriers. As of today, Tesla has no real operational footprint in the country, and that it will only be engaged in arm's length contracts for raw materials.</w:t>
      </w:r>
    </w:p>
    <w:p w14:paraId="60669287" w14:textId="77777777" w:rsidR="000D5026" w:rsidRDefault="00C14694">
      <w:pPr>
        <w:jc w:val="center"/>
      </w:pPr>
      <w:r>
        <w:rPr>
          <w:noProof/>
        </w:rPr>
        <w:drawing>
          <wp:inline distT="0" distB="0" distL="0" distR="0" wp14:anchorId="57BDB513" wp14:editId="23D889C6">
            <wp:extent cx="4739640" cy="2666048"/>
            <wp:effectExtent l="0" t="0" r="3810" b="1270"/>
            <wp:docPr id="1027" name="Picture 3" descr="Tesla: a major player in the energy transition - Découvrez la Greentech"/>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10" cstate="print"/>
                    <a:srcRect/>
                    <a:stretch/>
                  </pic:blipFill>
                  <pic:spPr>
                    <a:xfrm>
                      <a:off x="0" y="0"/>
                      <a:ext cx="4739640" cy="2666048"/>
                    </a:xfrm>
                    <a:prstGeom prst="rect">
                      <a:avLst/>
                    </a:prstGeom>
                    <a:ln>
                      <a:noFill/>
                    </a:ln>
                  </pic:spPr>
                </pic:pic>
              </a:graphicData>
            </a:graphic>
          </wp:inline>
        </w:drawing>
      </w:r>
    </w:p>
    <w:p w14:paraId="5A103369" w14:textId="77777777" w:rsidR="000D5026" w:rsidRDefault="00C14694">
      <w:pPr>
        <w:jc w:val="center"/>
      </w:pPr>
      <w:r>
        <w:t>Figure 1: Logo of Tesla Inc. (Tesla, 2025)</w:t>
      </w:r>
    </w:p>
    <w:p w14:paraId="3A913257" w14:textId="77777777" w:rsidR="000D5026" w:rsidRDefault="00C14694">
      <w:r>
        <w:t xml:space="preserve"> The study begins by using the typology proposed by Bartlett and Ghoshal to categorize Tesla's global strategy and configuration, which is very centralized. Then, it presents a focused macro-environmental assessment, focusing on politics, economics, culture and legal local content (TKDN) requirements, synthesized using John Dunning's OLI Eclectic Paradigm. Lastly, this brief analyzes Tesla's past global entry-mode signatures to come up with a risk-adjust, evidence-based strategic recommendation that will be</w:t>
      </w:r>
      <w:r>
        <w:t xml:space="preserve">st maximize commercial flexibility and minimize sunk-cost exposure.  </w:t>
      </w:r>
      <w:r>
        <w:t xml:space="preserve"> </w:t>
      </w:r>
    </w:p>
    <w:p w14:paraId="6F44FC5C" w14:textId="77777777" w:rsidR="000D5026" w:rsidRDefault="000D5026"/>
    <w:p w14:paraId="44923D92" w14:textId="77777777" w:rsidR="000D5026" w:rsidRDefault="000D5026"/>
    <w:p w14:paraId="3950F650" w14:textId="77777777" w:rsidR="000D5026" w:rsidRDefault="000D5026"/>
    <w:p w14:paraId="72062098" w14:textId="77777777" w:rsidR="000D5026" w:rsidRDefault="000D5026"/>
    <w:p w14:paraId="701D56A2" w14:textId="77777777" w:rsidR="000D5026" w:rsidRDefault="00C14694">
      <w:pPr>
        <w:pStyle w:val="Heading1"/>
      </w:pPr>
      <w:bookmarkStart w:id="1" w:name="_Toc234620890"/>
      <w:r>
        <w:lastRenderedPageBreak/>
        <w:t>Organisational Classification and Global Strategy</w:t>
      </w:r>
      <w:bookmarkEnd w:id="1"/>
    </w:p>
    <w:p w14:paraId="309188F4" w14:textId="77777777" w:rsidR="000D5026" w:rsidRDefault="00C14694">
      <w:pPr>
        <w:pStyle w:val="Heading2"/>
      </w:pPr>
      <w:bookmarkStart w:id="2" w:name="_Toc234620891"/>
      <w:r>
        <w:t>Strategic Categorisation</w:t>
      </w:r>
      <w:bookmarkEnd w:id="2"/>
    </w:p>
    <w:p w14:paraId="5A3FB51B" w14:textId="77777777" w:rsidR="000D5026" w:rsidRDefault="00C14694">
      <w:r>
        <w:t xml:space="preserve">Bartlett and Ghoshal (1989) categorize MNCs based on the pressure to integrate with global markets and pressure to respond locally. In light of this framework, the Tesla company is best classified as engaging in a Global Strategy, but with some signs of progress in the direction of a Transnational Strategy. </w:t>
      </w:r>
    </w:p>
    <w:p w14:paraId="5913BD0D" w14:textId="77777777" w:rsidR="000D5026" w:rsidRDefault="00C14694">
      <w:r>
        <w:t>The emphasis on global standardisation and centralised</w:t>
      </w:r>
      <w:r>
        <w:t xml:space="preserve"> control are key aspects of Tesla's global strategy. The company does not build region-specific vehicles, but instead builds vehicles based on a common global platform, especially the Model 3 and Model Y architectures. Significant economies of scale in production, procurement and research and development (R&amp;D) are achieved with this standardisation</w:t>
      </w:r>
      <w:r>
        <w:t xml:space="preserve">. Second, Tesla's software environment, including over-the-air (OTA) updates and Full Self-Driving (FSD) features, are developed in the United States and rolled out in the same way throughout the world. Third, Tesla sells directly to consumers, eliminating the need for a network of dealers, which results in a more consistent customer experience and pricing globally. Lastly, the company's strategic decisions, capital allocation and technological innovations are very centralized at the company's headquarters </w:t>
      </w:r>
      <w:r>
        <w:t xml:space="preserve">in Austin, Texas, with overseas subsidiaries acting as manufacturing and distribution </w:t>
      </w:r>
      <w:r>
        <w:t xml:space="preserve">centres instead of independent business units. </w:t>
      </w:r>
    </w:p>
    <w:p w14:paraId="6548794E" w14:textId="77777777" w:rsidR="000D5026" w:rsidRDefault="00C14694">
      <w:r>
        <w:t>However, there are also examples of characteristics of a transnational strategy that are present in Tesla. Gigafactory Shanghai procures more than 95% of its components locally and is the main export hub for Asia and Europe for the company. This demonstrates local embeddedness which helps to increase operational efficiency and supply chain resilience. But these adaptations are mainly about improving the efficiency of global production and not market responsiveness. The core technologies, product architectur</w:t>
      </w:r>
      <w:r>
        <w:t>e and strategic decision-making are still centrally managed and there is little evidence of a transfer of knowledge between international subsidiaries. Thus, it would be more appropriate to call Tesla a global company with transnational aspects rather than a transnational company.</w:t>
      </w:r>
    </w:p>
    <w:p w14:paraId="2862A085" w14:textId="77777777" w:rsidR="000D5026" w:rsidRDefault="000D5026"/>
    <w:p w14:paraId="6AB4D978" w14:textId="77777777" w:rsidR="000D5026" w:rsidRDefault="000D5026"/>
    <w:p w14:paraId="3707B18D" w14:textId="77777777" w:rsidR="000D5026" w:rsidRDefault="00C14694">
      <w:pPr>
        <w:pStyle w:val="Heading2"/>
      </w:pPr>
      <w:bookmarkStart w:id="3" w:name="_Toc234620892"/>
      <w:r>
        <w:lastRenderedPageBreak/>
        <w:t>Global Configuration</w:t>
      </w:r>
      <w:bookmarkEnd w:id="3"/>
    </w:p>
    <w:p w14:paraId="3D3349B6" w14:textId="77777777" w:rsidR="000D5026" w:rsidRDefault="00C14694">
      <w:r>
        <w:t>Tesla's global operations are structured into a purposefully focused manufacturing system with a few large-scale Gigafactories that are strategically placed in the right places. The production capacity is located in Fremont (USA), Austin (USA), Shanghai (China) and Berlin-Brandenburg (Germany) and is currently over 2.35 million vehicles per year. Gigafactory Mexico is a part of Tesla's international capital allocation strategy, as announced in 2023, but the investment has been stalled since late 2024 due to</w:t>
      </w:r>
      <w:r>
        <w:t xml:space="preserve"> the uncertainty over the tariff policy in the United States.</w:t>
      </w:r>
    </w:p>
    <w:p w14:paraId="739F9CA3" w14:textId="77777777" w:rsidR="000D5026" w:rsidRDefault="00C14694">
      <w:r>
        <w:t xml:space="preserve">This geographic layout is a large part of Tesla's competitive edge and value-add. The Gigafactory serves as a regional production and export hub, which helps to lower transportation costs, limit exposure to tariffs, and shorten delivery times, while simultaneously keeping production volumes high. For instance, Gigafactory Shanghai caters to both the Chinese market and export destinations worldwide, optimizing manufacturing processes by leveraging extensive local sourcing while ensuring global distribution. </w:t>
      </w:r>
      <w:r>
        <w:t xml:space="preserve">By focusing production in a few very efficient factories, Tesla can reap economies of scale, achieve uniformity of quality and speed innovation across markets. This approach reduces flexibility for local product customization when compared with many traditional automotive companies, but increases the cost leadership, efficiency and uniformity of operations. Tesla's overall configuration confirms its global strategy by generating value based on </w:t>
      </w:r>
      <w:r>
        <w:t>centralised production capabilities, globalised supply chains and standardised technological platforms, instead of being very localised.</w:t>
      </w:r>
    </w:p>
    <w:p w14:paraId="4D490B08" w14:textId="77777777" w:rsidR="000D5026" w:rsidRDefault="000D5026"/>
    <w:p w14:paraId="06390874" w14:textId="77777777" w:rsidR="000D5026" w:rsidRDefault="000D5026"/>
    <w:p w14:paraId="5505F5BF" w14:textId="77777777" w:rsidR="000D5026" w:rsidRDefault="000D5026"/>
    <w:p w14:paraId="60B195A6" w14:textId="77777777" w:rsidR="000D5026" w:rsidRDefault="000D5026"/>
    <w:p w14:paraId="17C6E569" w14:textId="77777777" w:rsidR="000D5026" w:rsidRDefault="000D5026"/>
    <w:p w14:paraId="445BBA65" w14:textId="77777777" w:rsidR="000D5026" w:rsidRDefault="000D5026"/>
    <w:p w14:paraId="0E0A98F3" w14:textId="77777777" w:rsidR="000D5026" w:rsidRDefault="000D5026"/>
    <w:p w14:paraId="479A571A" w14:textId="77777777" w:rsidR="000D5026" w:rsidRDefault="000D5026"/>
    <w:p w14:paraId="070C5C76" w14:textId="77777777" w:rsidR="000D5026" w:rsidRDefault="00C14694">
      <w:pPr>
        <w:pStyle w:val="Heading1"/>
      </w:pPr>
      <w:bookmarkStart w:id="4" w:name="_Toc234620893"/>
      <w:r>
        <w:lastRenderedPageBreak/>
        <w:t>Macro-Environmental Appraisal and Market Attractiveness</w:t>
      </w:r>
      <w:bookmarkEnd w:id="4"/>
    </w:p>
    <w:p w14:paraId="0043D072" w14:textId="3A92A395" w:rsidR="000D5026" w:rsidRDefault="00C14694">
      <w:r>
        <w:t xml:space="preserve">This appraisal focuses on the Political, Economic, Legal and Cultural factors as they relate to a representative decision for market entry of this </w:t>
      </w:r>
      <w:r w:rsidR="008F3E37">
        <w:t>type and</w:t>
      </w:r>
      <w:r>
        <w:t xml:space="preserve"> does not aim to provide a comprehensive descriptive overview of the business climate in Indonesia. Each factor is critically assessed as it relates to the particular choice Tesla is considering: to make the current arm's-length nickel deal in Indonesia more of a market presence.</w:t>
      </w:r>
    </w:p>
    <w:p w14:paraId="44A05405" w14:textId="77777777" w:rsidR="000D5026" w:rsidRDefault="00C14694">
      <w:pPr>
        <w:pStyle w:val="Heading2"/>
      </w:pPr>
      <w:bookmarkStart w:id="5" w:name="_Toc234620894"/>
      <w:r>
        <w:t>Political Factors</w:t>
      </w:r>
      <w:bookmarkEnd w:id="5"/>
    </w:p>
    <w:p w14:paraId="55C41CE8" w14:textId="77777777" w:rsidR="000D5026" w:rsidRDefault="00C14694">
      <w:r>
        <w:t>F</w:t>
      </w:r>
      <w:r>
        <w:t>ormer President Joko Widodo made several visits to Tesla personally to explore the potential of the downstream EV investment in Indonesia based on its nickel endowment between 2020 and 2024</w:t>
      </w:r>
      <w:r>
        <w:t xml:space="preserve"> (Yahoo Finance/AEI, 2024). This continuous executive-level interest is an indicator that the policy interest of EV-related FDI is not on the fringe of Indonesia's industrial policy, but rather right at the heart, which should in principle reduce political risk for engaging with the policy. But a simple static interpretation of political will would fail to capture another element of policy continuity and change that can be gleaned from the succession from Widodo to President Prabowo Subianto (since October </w:t>
      </w:r>
      <w:r>
        <w:t xml:space="preserve">2024): Prabowo has generally continued Widodo's resource-nationalist policy, while also </w:t>
      </w:r>
      <w:r>
        <w:t>signalling in 2025 a desire to review the Local Content (TKDN) framework to ensure it remains "appealing to investors" (ARMA Law, 2025). It's a sign of an environment that may not remain consistent in a single presidential administration, let alone over the span of a manufacturing asset's lifecycle—such as a car, a solar panel, or a wind turbine—with its long payback period.</w:t>
      </w:r>
    </w:p>
    <w:p w14:paraId="5F95D762" w14:textId="43F122A8" w:rsidR="000D5026" w:rsidRDefault="00C14694">
      <w:r>
        <w:t xml:space="preserve">The most important policy change confirmed in December 2025 is that the government will not continue to fund import-based EV incentives past </w:t>
      </w:r>
      <w:r w:rsidR="00F02567">
        <w:t>31 December 2025 but</w:t>
      </w:r>
      <w:r>
        <w:t xml:space="preserve"> instead will instead create a more protectionist "national car" programme</w:t>
      </w:r>
      <w:r>
        <w:t xml:space="preserve"> (IESR, 2025). This is an important political sign of the times for Tesla, as it shows the policy focus has shifted from bringing in any foreign EV brand to safeguarding and developing local manufacturing capability, which is a significant political risk that Tesla may prefer to avoid (see Section 3).</w:t>
      </w:r>
    </w:p>
    <w:p w14:paraId="1274A20C" w14:textId="77777777" w:rsidR="000D5026" w:rsidRDefault="00C14694">
      <w:r>
        <w:t xml:space="preserve">Another political factor is the ability of the Indonesian institutions to consistently implement the policy in the various ministries and regional governments. Three different bodies – the Ministry of Investment, the Ministry of Industry and the Ministry of Finance – have issued their own, and often overlapping, regulations in a rapid sequence (among them Presidential Regulation 55/2019, </w:t>
      </w:r>
      <w:r>
        <w:lastRenderedPageBreak/>
        <w:t>MoF Regulation 12/2025 and MOI Regulation 35/2025) for the nickel downstreaming programme</w:t>
      </w:r>
      <w:r>
        <w:t>, the TKDN certification regime and the EV incentive scheme. This policy discontinuity is only one type of political risk that an entrant not familiar with the Indonesian government's policy coordination would face, and it is not the only type of political risk that stems from the policy fragmentation.</w:t>
      </w:r>
    </w:p>
    <w:p w14:paraId="1F7958DD" w14:textId="77777777" w:rsidR="000D5026" w:rsidRDefault="00C14694">
      <w:r>
        <w:t>However, it is crucial not to overestimate country political risk without taking into account firm specific risk. Indonesia's rank in the FDI Confidence Index 2025, which features more than 500 executives of global companies, shows the country is in the middle of the pack on the Emerging Markets Index, with workforce talent as the top reason for investing in Indonesia cited by 32% of those surveyed (Kearney, 2025). This suggests Indonesia's international investor image is good in general, so the obstacles m</w:t>
      </w:r>
      <w:r>
        <w:t>entioned in this evaluation are only obstacles that are specific to Tesla's premium, import-dependent, low volume business model.</w:t>
      </w:r>
    </w:p>
    <w:p w14:paraId="0D52DA19" w14:textId="77777777" w:rsidR="000D5026" w:rsidRDefault="00C14694">
      <w:pPr>
        <w:pStyle w:val="Heading2"/>
      </w:pPr>
      <w:bookmarkStart w:id="6" w:name="_Toc234620895"/>
      <w:r>
        <w:t>Economic Factors</w:t>
      </w:r>
      <w:bookmarkEnd w:id="6"/>
    </w:p>
    <w:p w14:paraId="3E85B352" w14:textId="77777777" w:rsidR="000D5026" w:rsidRDefault="00C14694">
      <w:r>
        <w:t>While the Indonesian market is growing fast in relative terms, with BEV and PHEV sold accounting for 15.2% of all passenger car sales in Q2 2025 (REGlobal, 2026), the market is largely dominated by mass-market players: SAIC (Wuling) and BYD accounted for more than 60% of all cumulative BEV sales (REGlobal</w:t>
      </w:r>
      <w:r>
        <w:t>, 2026). This is a structurally different segment from Tesla's positioning as a premium brand; the price difference is so wide that even if World Bank data is accurate (2025 GDP per capita of Indonesia at US$5,082), even a successful launch would likely only cater to a small niche of high-income, urban customers, whereas Wuling and BYD have been able to sell in volumes due to their lower prices.</w:t>
      </w:r>
    </w:p>
    <w:p w14:paraId="2A3D1A25" w14:textId="77777777" w:rsidR="000D5026" w:rsidRDefault="00C14694">
      <w:r>
        <w:t>However</w:t>
      </w:r>
      <w:r>
        <w:t>, the macroeconomic environment is supportive and not near-term concerns. The current Account deficit will be around 0.5-1.0% of GDP, foreign exchange reserves will be around six months of imports, inflation will be well within the target range and growth in 2025 and 2026 are projected at 5.0% and 5.1% respectively by the IMF in its January 2026 Article IV Consultation. Escalating trade-policy tensions and extended uncertainty in the world remain the key negative risk to this otherwise robust forecast (IMF,</w:t>
      </w:r>
      <w:r>
        <w:t xml:space="preserve"> 2026), which is true for any Tesla-like decision that would be sensitive to tariff and trade-policy changes. The investment side sees Indonesian FDI inflows of US$21.5 billion in 2023 and US$24.2 billion in 2024 in the Southeast Asian region where FDI inflows reached a record US$225 billion in 2024, increasing 10% year-on-year </w:t>
      </w:r>
      <w:r>
        <w:lastRenderedPageBreak/>
        <w:t>(UNCTAD, 2025). Tesla's absence is thus not a general rule for Indonesia, as an investment destination, but is more of an anomaly at the firm level in a highly capitalised investment environment in the region.</w:t>
      </w:r>
    </w:p>
    <w:p w14:paraId="0520D09E" w14:textId="77777777" w:rsidR="000D5026" w:rsidRDefault="00C14694">
      <w:r>
        <w:t xml:space="preserve">The post-2025 incentive cliff is another economic consideration, which is outlined below with the equivalent legal consideration. If it doesn't meet the 40% threshold, an imported Tesla would be subject to all of the import duty, luxury tax and VAT, which would not only increase the ex-factory price, but also the landed cost at the time (2026) Tesla would want to consider importing it. </w:t>
      </w:r>
    </w:p>
    <w:p w14:paraId="56EFE256" w14:textId="77777777" w:rsidR="000D5026" w:rsidRDefault="00C14694">
      <w:pPr>
        <w:rPr>
          <w:i/>
          <w:iCs/>
          <w:sz w:val="22"/>
          <w:szCs w:val="20"/>
        </w:rPr>
      </w:pPr>
      <w:r>
        <w:rPr>
          <w:i/>
          <w:iCs/>
          <w:sz w:val="22"/>
          <w:szCs w:val="20"/>
        </w:rPr>
        <w:t xml:space="preserve">Table 1: Indicative Indonesian EV Tax/Duty Stack, With and Without TKDN Compliance. </w:t>
      </w:r>
    </w:p>
    <w:tbl>
      <w:tblPr>
        <w:tblW w:w="9400" w:type="dxa"/>
        <w:tblInd w:w="105" w:type="dxa"/>
        <w:tblLayout w:type="fixed"/>
        <w:tblCellMar>
          <w:top w:w="80" w:type="dxa"/>
          <w:left w:w="100" w:type="dxa"/>
          <w:bottom w:w="80" w:type="dxa"/>
          <w:right w:w="100" w:type="dxa"/>
        </w:tblCellMar>
        <w:tblLook w:val="0000" w:firstRow="0" w:lastRow="0" w:firstColumn="0" w:lastColumn="0" w:noHBand="0" w:noVBand="0"/>
      </w:tblPr>
      <w:tblGrid>
        <w:gridCol w:w="2999"/>
        <w:gridCol w:w="3201"/>
        <w:gridCol w:w="3200"/>
      </w:tblGrid>
      <w:tr w:rsidR="000D5026" w14:paraId="2A3EDFFD" w14:textId="77777777">
        <w:trPr>
          <w:tblHeader/>
        </w:trPr>
        <w:tc>
          <w:tcPr>
            <w:tcW w:w="2999" w:type="dxa"/>
            <w:tcBorders>
              <w:top w:val="single" w:sz="4" w:space="0" w:color="AAAAAA"/>
              <w:left w:val="single" w:sz="4" w:space="0" w:color="AAAAAA"/>
              <w:bottom w:val="single" w:sz="2" w:space="0" w:color="CCCCCC"/>
              <w:right w:val="single" w:sz="2" w:space="0" w:color="CCCCCC"/>
            </w:tcBorders>
            <w:shd w:val="clear" w:color="auto" w:fill="0B2545"/>
            <w:vAlign w:val="center"/>
          </w:tcPr>
          <w:p w14:paraId="4BCAEC23" w14:textId="77777777" w:rsidR="000D5026" w:rsidRDefault="00C14694">
            <w:pPr>
              <w:jc w:val="center"/>
            </w:pPr>
            <w:r>
              <w:rPr>
                <w:b/>
                <w:bCs/>
                <w:color w:val="FFFFFF"/>
                <w:sz w:val="19"/>
                <w:szCs w:val="19"/>
              </w:rPr>
              <w:t>Cost component</w:t>
            </w:r>
          </w:p>
        </w:tc>
        <w:tc>
          <w:tcPr>
            <w:tcW w:w="3201" w:type="dxa"/>
            <w:tcBorders>
              <w:top w:val="single" w:sz="4" w:space="0" w:color="AAAAAA"/>
              <w:left w:val="single" w:sz="2" w:space="0" w:color="CCCCCC"/>
              <w:bottom w:val="single" w:sz="2" w:space="0" w:color="CCCCCC"/>
              <w:right w:val="single" w:sz="2" w:space="0" w:color="CCCCCC"/>
            </w:tcBorders>
            <w:shd w:val="clear" w:color="auto" w:fill="0B2545"/>
            <w:vAlign w:val="center"/>
          </w:tcPr>
          <w:p w14:paraId="42D1CDF6" w14:textId="77777777" w:rsidR="000D5026" w:rsidRDefault="00C14694">
            <w:pPr>
              <w:jc w:val="center"/>
            </w:pPr>
            <w:r>
              <w:rPr>
                <w:b/>
                <w:bCs/>
                <w:color w:val="FFFFFF"/>
                <w:sz w:val="19"/>
                <w:szCs w:val="19"/>
              </w:rPr>
              <w:t>With ≥40% TKDN (locally assembled)</w:t>
            </w:r>
          </w:p>
        </w:tc>
        <w:tc>
          <w:tcPr>
            <w:tcW w:w="3200" w:type="dxa"/>
            <w:tcBorders>
              <w:top w:val="single" w:sz="4" w:space="0" w:color="AAAAAA"/>
              <w:left w:val="single" w:sz="2" w:space="0" w:color="CCCCCC"/>
              <w:bottom w:val="single" w:sz="2" w:space="0" w:color="CCCCCC"/>
              <w:right w:val="single" w:sz="4" w:space="0" w:color="AAAAAA"/>
            </w:tcBorders>
            <w:shd w:val="clear" w:color="auto" w:fill="0B2545"/>
            <w:vAlign w:val="center"/>
          </w:tcPr>
          <w:p w14:paraId="05D728A4" w14:textId="77777777" w:rsidR="000D5026" w:rsidRDefault="00C14694">
            <w:pPr>
              <w:jc w:val="center"/>
            </w:pPr>
            <w:r>
              <w:rPr>
                <w:b/>
                <w:bCs/>
                <w:color w:val="FFFFFF"/>
                <w:sz w:val="19"/>
                <w:szCs w:val="19"/>
              </w:rPr>
              <w:t>Without TKDN (CBU import, from 2026)</w:t>
            </w:r>
          </w:p>
        </w:tc>
      </w:tr>
      <w:tr w:rsidR="000D5026" w14:paraId="75A81C85" w14:textId="77777777">
        <w:tc>
          <w:tcPr>
            <w:tcW w:w="2999" w:type="dxa"/>
            <w:tcBorders>
              <w:top w:val="single" w:sz="2" w:space="0" w:color="CCCCCC"/>
              <w:left w:val="single" w:sz="4" w:space="0" w:color="AAAAAA"/>
              <w:bottom w:val="single" w:sz="2" w:space="0" w:color="CCCCCC"/>
              <w:right w:val="single" w:sz="2" w:space="0" w:color="CCCCCC"/>
            </w:tcBorders>
            <w:shd w:val="clear" w:color="auto" w:fill="FFFFFF"/>
            <w:vAlign w:val="center"/>
          </w:tcPr>
          <w:p w14:paraId="4923C088" w14:textId="77777777" w:rsidR="000D5026" w:rsidRDefault="00C14694">
            <w:r>
              <w:rPr>
                <w:sz w:val="19"/>
                <w:szCs w:val="19"/>
              </w:rPr>
              <w:t>Import duty</w:t>
            </w:r>
          </w:p>
        </w:tc>
        <w:tc>
          <w:tcPr>
            <w:tcW w:w="3201"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7B9DF027" w14:textId="77777777" w:rsidR="000D5026" w:rsidRDefault="00C14694">
            <w:r>
              <w:rPr>
                <w:sz w:val="19"/>
                <w:szCs w:val="19"/>
              </w:rPr>
              <w:t>0% (if local content threshold met)</w:t>
            </w:r>
          </w:p>
        </w:tc>
        <w:tc>
          <w:tcPr>
            <w:tcW w:w="3200" w:type="dxa"/>
            <w:tcBorders>
              <w:top w:val="single" w:sz="2" w:space="0" w:color="CCCCCC"/>
              <w:left w:val="single" w:sz="2" w:space="0" w:color="CCCCCC"/>
              <w:bottom w:val="single" w:sz="2" w:space="0" w:color="CCCCCC"/>
              <w:right w:val="single" w:sz="4" w:space="0" w:color="AAAAAA"/>
            </w:tcBorders>
            <w:shd w:val="clear" w:color="auto" w:fill="FFFFFF"/>
            <w:vAlign w:val="center"/>
          </w:tcPr>
          <w:p w14:paraId="751304B2" w14:textId="77777777" w:rsidR="000D5026" w:rsidRDefault="00C14694">
            <w:r>
              <w:rPr>
                <w:sz w:val="19"/>
                <w:szCs w:val="19"/>
              </w:rPr>
              <w:t>Up to 50%</w:t>
            </w:r>
          </w:p>
        </w:tc>
      </w:tr>
      <w:tr w:rsidR="000D5026" w14:paraId="1FB264A2" w14:textId="77777777">
        <w:tc>
          <w:tcPr>
            <w:tcW w:w="2999" w:type="dxa"/>
            <w:tcBorders>
              <w:top w:val="single" w:sz="2" w:space="0" w:color="CCCCCC"/>
              <w:left w:val="single" w:sz="4" w:space="0" w:color="AAAAAA"/>
              <w:bottom w:val="single" w:sz="2" w:space="0" w:color="CCCCCC"/>
              <w:right w:val="single" w:sz="2" w:space="0" w:color="CCCCCC"/>
            </w:tcBorders>
            <w:shd w:val="clear" w:color="auto" w:fill="EDF2F4"/>
            <w:vAlign w:val="center"/>
          </w:tcPr>
          <w:p w14:paraId="4D5AFDE5" w14:textId="77777777" w:rsidR="000D5026" w:rsidRDefault="00C14694">
            <w:r>
              <w:rPr>
                <w:sz w:val="19"/>
                <w:szCs w:val="19"/>
              </w:rPr>
              <w:t>Luxury sales tax (PPnBM)</w:t>
            </w:r>
          </w:p>
        </w:tc>
        <w:tc>
          <w:tcPr>
            <w:tcW w:w="3201" w:type="dxa"/>
            <w:tcBorders>
              <w:top w:val="single" w:sz="2" w:space="0" w:color="CCCCCC"/>
              <w:left w:val="single" w:sz="2" w:space="0" w:color="CCCCCC"/>
              <w:bottom w:val="single" w:sz="2" w:space="0" w:color="CCCCCC"/>
              <w:right w:val="single" w:sz="2" w:space="0" w:color="CCCCCC"/>
            </w:tcBorders>
            <w:shd w:val="clear" w:color="auto" w:fill="EDF2F4"/>
            <w:vAlign w:val="center"/>
          </w:tcPr>
          <w:p w14:paraId="36CB2377" w14:textId="77777777" w:rsidR="000D5026" w:rsidRDefault="00C14694">
            <w:r>
              <w:rPr>
                <w:sz w:val="19"/>
                <w:szCs w:val="19"/>
              </w:rPr>
              <w:t>Exempted/reduced</w:t>
            </w:r>
          </w:p>
        </w:tc>
        <w:tc>
          <w:tcPr>
            <w:tcW w:w="3200" w:type="dxa"/>
            <w:tcBorders>
              <w:top w:val="single" w:sz="2" w:space="0" w:color="CCCCCC"/>
              <w:left w:val="single" w:sz="2" w:space="0" w:color="CCCCCC"/>
              <w:bottom w:val="single" w:sz="2" w:space="0" w:color="CCCCCC"/>
              <w:right w:val="single" w:sz="4" w:space="0" w:color="AAAAAA"/>
            </w:tcBorders>
            <w:shd w:val="clear" w:color="auto" w:fill="EDF2F4"/>
            <w:vAlign w:val="center"/>
          </w:tcPr>
          <w:p w14:paraId="2A1C6DF0" w14:textId="77777777" w:rsidR="000D5026" w:rsidRDefault="00C14694">
            <w:r>
              <w:rPr>
                <w:sz w:val="19"/>
                <w:szCs w:val="19"/>
              </w:rPr>
              <w:t>15%</w:t>
            </w:r>
          </w:p>
        </w:tc>
      </w:tr>
      <w:tr w:rsidR="000D5026" w14:paraId="58C91CD8" w14:textId="77777777">
        <w:tc>
          <w:tcPr>
            <w:tcW w:w="2999" w:type="dxa"/>
            <w:tcBorders>
              <w:top w:val="single" w:sz="2" w:space="0" w:color="CCCCCC"/>
              <w:left w:val="single" w:sz="4" w:space="0" w:color="AAAAAA"/>
              <w:bottom w:val="single" w:sz="2" w:space="0" w:color="CCCCCC"/>
              <w:right w:val="single" w:sz="2" w:space="0" w:color="CCCCCC"/>
            </w:tcBorders>
            <w:shd w:val="clear" w:color="auto" w:fill="FFFFFF"/>
            <w:vAlign w:val="center"/>
          </w:tcPr>
          <w:p w14:paraId="19CB6987" w14:textId="77777777" w:rsidR="000D5026" w:rsidRDefault="00C14694">
            <w:r>
              <w:rPr>
                <w:sz w:val="19"/>
                <w:szCs w:val="19"/>
              </w:rPr>
              <w:t>VAT</w:t>
            </w:r>
          </w:p>
        </w:tc>
        <w:tc>
          <w:tcPr>
            <w:tcW w:w="3201"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2B9C2F3E" w14:textId="77777777" w:rsidR="000D5026" w:rsidRDefault="00C14694">
            <w:r>
              <w:rPr>
                <w:sz w:val="19"/>
                <w:szCs w:val="19"/>
              </w:rPr>
              <w:t>1% (reduced rate)</w:t>
            </w:r>
          </w:p>
        </w:tc>
        <w:tc>
          <w:tcPr>
            <w:tcW w:w="3200" w:type="dxa"/>
            <w:tcBorders>
              <w:top w:val="single" w:sz="2" w:space="0" w:color="CCCCCC"/>
              <w:left w:val="single" w:sz="2" w:space="0" w:color="CCCCCC"/>
              <w:bottom w:val="single" w:sz="2" w:space="0" w:color="CCCCCC"/>
              <w:right w:val="single" w:sz="4" w:space="0" w:color="AAAAAA"/>
            </w:tcBorders>
            <w:shd w:val="clear" w:color="auto" w:fill="FFFFFF"/>
            <w:vAlign w:val="center"/>
          </w:tcPr>
          <w:p w14:paraId="21CD3724" w14:textId="77777777" w:rsidR="000D5026" w:rsidRDefault="00C14694">
            <w:r>
              <w:rPr>
                <w:sz w:val="19"/>
                <w:szCs w:val="19"/>
              </w:rPr>
              <w:t>11% (standard rate)</w:t>
            </w:r>
          </w:p>
        </w:tc>
      </w:tr>
      <w:tr w:rsidR="000D5026" w14:paraId="4203B962" w14:textId="77777777">
        <w:tc>
          <w:tcPr>
            <w:tcW w:w="2999" w:type="dxa"/>
            <w:tcBorders>
              <w:top w:val="single" w:sz="2" w:space="0" w:color="CCCCCC"/>
              <w:left w:val="single" w:sz="4" w:space="0" w:color="AAAAAA"/>
              <w:bottom w:val="single" w:sz="4" w:space="0" w:color="AAAAAA"/>
              <w:right w:val="single" w:sz="2" w:space="0" w:color="CCCCCC"/>
            </w:tcBorders>
            <w:shd w:val="clear" w:color="auto" w:fill="EDF2F4"/>
            <w:vAlign w:val="center"/>
          </w:tcPr>
          <w:p w14:paraId="36647039" w14:textId="77777777" w:rsidR="000D5026" w:rsidRDefault="00C14694">
            <w:r>
              <w:rPr>
                <w:sz w:val="19"/>
                <w:szCs w:val="19"/>
              </w:rPr>
              <w:t>Approx. cumulative effect vs. ex-factory price</w:t>
            </w:r>
          </w:p>
        </w:tc>
        <w:tc>
          <w:tcPr>
            <w:tcW w:w="3201" w:type="dxa"/>
            <w:tcBorders>
              <w:top w:val="single" w:sz="2" w:space="0" w:color="CCCCCC"/>
              <w:left w:val="single" w:sz="2" w:space="0" w:color="CCCCCC"/>
              <w:bottom w:val="single" w:sz="4" w:space="0" w:color="AAAAAA"/>
              <w:right w:val="single" w:sz="2" w:space="0" w:color="CCCCCC"/>
            </w:tcBorders>
            <w:shd w:val="clear" w:color="auto" w:fill="EDF2F4"/>
            <w:vAlign w:val="center"/>
          </w:tcPr>
          <w:p w14:paraId="463207CF" w14:textId="77777777" w:rsidR="000D5026" w:rsidRDefault="00C14694">
            <w:r>
              <w:rPr>
                <w:sz w:val="19"/>
                <w:szCs w:val="19"/>
              </w:rPr>
              <w:t>Minimal uplift</w:t>
            </w:r>
          </w:p>
        </w:tc>
        <w:tc>
          <w:tcPr>
            <w:tcW w:w="3200" w:type="dxa"/>
            <w:tcBorders>
              <w:top w:val="single" w:sz="2" w:space="0" w:color="CCCCCC"/>
              <w:left w:val="single" w:sz="2" w:space="0" w:color="CCCCCC"/>
              <w:bottom w:val="single" w:sz="4" w:space="0" w:color="AAAAAA"/>
              <w:right w:val="single" w:sz="4" w:space="0" w:color="AAAAAA"/>
            </w:tcBorders>
            <w:shd w:val="clear" w:color="auto" w:fill="EDF2F4"/>
            <w:vAlign w:val="center"/>
          </w:tcPr>
          <w:p w14:paraId="08626685" w14:textId="77777777" w:rsidR="000D5026" w:rsidRDefault="00C14694">
            <w:r>
              <w:rPr>
                <w:sz w:val="19"/>
                <w:szCs w:val="19"/>
              </w:rPr>
              <w:t>Estimated 70–90%+ uplift</w:t>
            </w:r>
          </w:p>
        </w:tc>
      </w:tr>
    </w:tbl>
    <w:p w14:paraId="23EBBFDE" w14:textId="77777777" w:rsidR="000D5026" w:rsidRDefault="00C14694">
      <w:pPr>
        <w:rPr>
          <w:i/>
          <w:iCs/>
          <w:sz w:val="22"/>
          <w:szCs w:val="20"/>
        </w:rPr>
      </w:pPr>
      <w:r>
        <w:rPr>
          <w:i/>
          <w:iCs/>
          <w:sz w:val="22"/>
          <w:szCs w:val="20"/>
        </w:rPr>
        <w:t>Source: compiled from SSEK Law Firm (2025), Autoini (2025) and Chery Indonesia (2025).</w:t>
      </w:r>
    </w:p>
    <w:p w14:paraId="262C6444" w14:textId="62BC8134" w:rsidR="000D5026" w:rsidRDefault="00C14694">
      <w:r>
        <w:t xml:space="preserve">A separate, but related, economic consideration is currency and macroeconomic risk. In the past, the rupiah has been quite volatile against the US dollar, and this has a disproportionate impact on a firm that prices its inputs in </w:t>
      </w:r>
      <w:r w:rsidR="00854298">
        <w:t>dollars but</w:t>
      </w:r>
      <w:r>
        <w:t xml:space="preserve"> receives its revenue in local currency from any locally sold vehicle. Tesla's current economic relationship with Indonesia is the nickel offtake contracts signed in 2022, which were part of an Indonesian nickel export industry that estimated US$16.5 billion in revenues in the </w:t>
      </w:r>
      <w:r w:rsidR="00854298">
        <w:t>first half of 2025</w:t>
      </w:r>
      <w:r>
        <w:t xml:space="preserve"> alone – demonstrating that the relationship remains commercially significant despite the lack of a downstream manufacturing or retail commitment. Indeed, the asymmetry is analytically important: While Indonesia is already a materially important economic partner of Tesla on the input side of the business, there is no Indonesia on the output (vehicle sales) side, something that a conventional, single dimension market-attractiveness score would not be able to capture.</w:t>
      </w:r>
    </w:p>
    <w:p w14:paraId="100F5C86" w14:textId="77777777" w:rsidR="000D5026" w:rsidRDefault="00C14694">
      <w:r>
        <w:lastRenderedPageBreak/>
        <w:t>Also to be noted is the risk of incentives being withdrawn, which adds to the demand side risk. The policy switch in December 2025 has been analysed independently by the authors and is estimated to have a negative impact on the overall growth of EV sales and the development of related industries like battery and component manufacturers, as most of the growth in 2024-2025 is expected to be in incentivised</w:t>
      </w:r>
      <w:r>
        <w:t xml:space="preserve"> models. A market that is recent growth, significantly subsidy-driven and not organically demand-driven is inherently more fragile and more so in the case of Tesla, which would not be able to enjoy the same softening effect of a policy change as Hyundai, Wuling and BYD would.</w:t>
      </w:r>
    </w:p>
    <w:p w14:paraId="385D2FA9" w14:textId="77777777" w:rsidR="000D5026" w:rsidRDefault="00C14694">
      <w:r>
        <w:t>The Economic factor is thus a true paradox for Tesla: The overall trend of EV adoption in Indonesia is positive, the economics of its input side (nickel) have become significant, while the economics of its output side (vehicle sales) have now become more unfavorable for any external player not ready to invest in local assembly. Such a market-attractiveness analysis, which looks solely at the growth-rate headline numbers, would greatly overestimate the near-term attractiveness of the Indonesian market to a h</w:t>
      </w:r>
      <w:r>
        <w:t>igh-value, high-quality import player like Tesla.</w:t>
      </w:r>
      <w:r>
        <w:t xml:space="preserve"> </w:t>
      </w:r>
    </w:p>
    <w:p w14:paraId="69FA3BF6" w14:textId="77777777" w:rsidR="000D5026" w:rsidRDefault="00C14694">
      <w:pPr>
        <w:pStyle w:val="Heading2"/>
      </w:pPr>
      <w:bookmarkStart w:id="7" w:name="_Toc234620896"/>
      <w:r>
        <w:t>Legal Factors</w:t>
      </w:r>
      <w:bookmarkEnd w:id="7"/>
    </w:p>
    <w:p w14:paraId="3FDB36D7" w14:textId="77777777" w:rsidR="000D5026" w:rsidRDefault="00C14694">
      <w:pPr>
        <w:rPr>
          <w:i/>
          <w:iCs/>
          <w:sz w:val="22"/>
          <w:szCs w:val="20"/>
        </w:rPr>
      </w:pPr>
      <w:r>
        <w:t>The Local Content Requirement (TKDN) is the most important law that has influenced Tesla's decision to enter Indonesia. In Presidential Regulation No. 55/2019 (as amended) and Ministry of Finance Regulation No. 12/2025, EVs that meet a minimum 40% TKDN will be subject to a lower 1% VAT rate (down from 11%) and this threshold will increase to 60% by 2027-2029 and 80% from 2030 (SSEK Law Firm, 2025; Chery Indonesia, 2025).</w:t>
      </w:r>
    </w:p>
    <w:p w14:paraId="57D3B437" w14:textId="77777777" w:rsidR="000D5026" w:rsidRDefault="00C14694">
      <w:pPr>
        <w:rPr>
          <w:i/>
          <w:iCs/>
          <w:sz w:val="22"/>
          <w:szCs w:val="20"/>
        </w:rPr>
      </w:pPr>
      <w:r>
        <w:rPr>
          <w:i/>
          <w:iCs/>
          <w:sz w:val="22"/>
          <w:szCs w:val="20"/>
        </w:rPr>
        <w:t>Table 2: Indonesia's Scheduled TKDN (Local Content) Thresholds</w:t>
      </w:r>
    </w:p>
    <w:tbl>
      <w:tblPr>
        <w:tblW w:w="9400" w:type="dxa"/>
        <w:tblInd w:w="105" w:type="dxa"/>
        <w:tblLayout w:type="fixed"/>
        <w:tblCellMar>
          <w:top w:w="80" w:type="dxa"/>
          <w:left w:w="100" w:type="dxa"/>
          <w:bottom w:w="80" w:type="dxa"/>
          <w:right w:w="100" w:type="dxa"/>
        </w:tblCellMar>
        <w:tblLook w:val="0000" w:firstRow="0" w:lastRow="0" w:firstColumn="0" w:lastColumn="0" w:noHBand="0" w:noVBand="0"/>
      </w:tblPr>
      <w:tblGrid>
        <w:gridCol w:w="2399"/>
        <w:gridCol w:w="3200"/>
        <w:gridCol w:w="3801"/>
      </w:tblGrid>
      <w:tr w:rsidR="000D5026" w14:paraId="2101454E" w14:textId="77777777">
        <w:trPr>
          <w:tblHeader/>
        </w:trPr>
        <w:tc>
          <w:tcPr>
            <w:tcW w:w="2399" w:type="dxa"/>
            <w:tcBorders>
              <w:top w:val="single" w:sz="4" w:space="0" w:color="AAAAAA"/>
              <w:left w:val="single" w:sz="4" w:space="0" w:color="AAAAAA"/>
              <w:bottom w:val="single" w:sz="2" w:space="0" w:color="CCCCCC"/>
              <w:right w:val="single" w:sz="2" w:space="0" w:color="CCCCCC"/>
            </w:tcBorders>
            <w:shd w:val="clear" w:color="auto" w:fill="0B2545"/>
            <w:vAlign w:val="center"/>
          </w:tcPr>
          <w:p w14:paraId="6FB58136" w14:textId="77777777" w:rsidR="000D5026" w:rsidRDefault="00C14694">
            <w:pPr>
              <w:suppressAutoHyphens/>
              <w:spacing w:after="0" w:line="240" w:lineRule="auto"/>
              <w:jc w:val="center"/>
              <w:rPr>
                <w:rFonts w:ascii="Calibri" w:hAnsi="Calibri" w:cs="Calibri"/>
                <w:sz w:val="22"/>
                <w:lang w:eastAsia="zh-CN" w:bidi="hi-IN"/>
              </w:rPr>
            </w:pPr>
            <w:r>
              <w:rPr>
                <w:rFonts w:ascii="Calibri" w:hAnsi="Calibri" w:cs="Calibri"/>
                <w:b/>
                <w:bCs/>
                <w:color w:val="FFFFFF"/>
                <w:sz w:val="19"/>
                <w:szCs w:val="19"/>
                <w:lang w:eastAsia="zh-CN" w:bidi="hi-IN"/>
              </w:rPr>
              <w:t>Period</w:t>
            </w:r>
          </w:p>
        </w:tc>
        <w:tc>
          <w:tcPr>
            <w:tcW w:w="3200" w:type="dxa"/>
            <w:tcBorders>
              <w:top w:val="single" w:sz="4" w:space="0" w:color="AAAAAA"/>
              <w:left w:val="single" w:sz="2" w:space="0" w:color="CCCCCC"/>
              <w:bottom w:val="single" w:sz="2" w:space="0" w:color="CCCCCC"/>
              <w:right w:val="single" w:sz="2" w:space="0" w:color="CCCCCC"/>
            </w:tcBorders>
            <w:shd w:val="clear" w:color="auto" w:fill="0B2545"/>
            <w:vAlign w:val="center"/>
          </w:tcPr>
          <w:p w14:paraId="212AEFA7" w14:textId="77777777" w:rsidR="000D5026" w:rsidRDefault="00C14694">
            <w:pPr>
              <w:suppressAutoHyphens/>
              <w:spacing w:after="0" w:line="240" w:lineRule="auto"/>
              <w:jc w:val="center"/>
              <w:rPr>
                <w:rFonts w:ascii="Calibri" w:hAnsi="Calibri" w:cs="Calibri"/>
                <w:sz w:val="22"/>
                <w:lang w:eastAsia="zh-CN" w:bidi="hi-IN"/>
              </w:rPr>
            </w:pPr>
            <w:r>
              <w:rPr>
                <w:rFonts w:ascii="Calibri" w:hAnsi="Calibri" w:cs="Calibri"/>
                <w:b/>
                <w:bCs/>
                <w:color w:val="FFFFFF"/>
                <w:sz w:val="19"/>
                <w:szCs w:val="19"/>
                <w:lang w:eastAsia="zh-CN" w:bidi="hi-IN"/>
              </w:rPr>
              <w:t>Minimum TKDN for incentive eligibility</w:t>
            </w:r>
          </w:p>
        </w:tc>
        <w:tc>
          <w:tcPr>
            <w:tcW w:w="3801" w:type="dxa"/>
            <w:tcBorders>
              <w:top w:val="single" w:sz="4" w:space="0" w:color="AAAAAA"/>
              <w:left w:val="single" w:sz="2" w:space="0" w:color="CCCCCC"/>
              <w:bottom w:val="single" w:sz="2" w:space="0" w:color="CCCCCC"/>
              <w:right w:val="single" w:sz="4" w:space="0" w:color="AAAAAA"/>
            </w:tcBorders>
            <w:shd w:val="clear" w:color="auto" w:fill="0B2545"/>
            <w:vAlign w:val="center"/>
          </w:tcPr>
          <w:p w14:paraId="073896E3" w14:textId="77777777" w:rsidR="000D5026" w:rsidRDefault="00C14694">
            <w:pPr>
              <w:suppressAutoHyphens/>
              <w:spacing w:after="0" w:line="240" w:lineRule="auto"/>
              <w:jc w:val="center"/>
              <w:rPr>
                <w:rFonts w:ascii="Calibri" w:hAnsi="Calibri" w:cs="Calibri"/>
                <w:sz w:val="22"/>
                <w:lang w:eastAsia="zh-CN" w:bidi="hi-IN"/>
              </w:rPr>
            </w:pPr>
            <w:r>
              <w:rPr>
                <w:rFonts w:ascii="Calibri" w:hAnsi="Calibri" w:cs="Calibri"/>
                <w:b/>
                <w:bCs/>
                <w:color w:val="FFFFFF"/>
                <w:sz w:val="19"/>
                <w:szCs w:val="19"/>
                <w:lang w:eastAsia="zh-CN" w:bidi="hi-IN"/>
              </w:rPr>
              <w:t>Policy instrument</w:t>
            </w:r>
          </w:p>
        </w:tc>
      </w:tr>
      <w:tr w:rsidR="000D5026" w14:paraId="2C71C619" w14:textId="77777777">
        <w:tc>
          <w:tcPr>
            <w:tcW w:w="2399" w:type="dxa"/>
            <w:tcBorders>
              <w:top w:val="single" w:sz="2" w:space="0" w:color="CCCCCC"/>
              <w:left w:val="single" w:sz="4" w:space="0" w:color="AAAAAA"/>
              <w:bottom w:val="single" w:sz="2" w:space="0" w:color="CCCCCC"/>
              <w:right w:val="single" w:sz="2" w:space="0" w:color="CCCCCC"/>
            </w:tcBorders>
            <w:shd w:val="clear" w:color="auto" w:fill="FFFFFF"/>
            <w:vAlign w:val="center"/>
          </w:tcPr>
          <w:p w14:paraId="48CC75B6"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Up to 2023</w:t>
            </w:r>
          </w:p>
        </w:tc>
        <w:tc>
          <w:tcPr>
            <w:tcW w:w="3200"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66CC9FAE"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40%</w:t>
            </w:r>
          </w:p>
        </w:tc>
        <w:tc>
          <w:tcPr>
            <w:tcW w:w="3801" w:type="dxa"/>
            <w:tcBorders>
              <w:top w:val="single" w:sz="2" w:space="0" w:color="CCCCCC"/>
              <w:left w:val="single" w:sz="2" w:space="0" w:color="CCCCCC"/>
              <w:bottom w:val="single" w:sz="2" w:space="0" w:color="CCCCCC"/>
              <w:right w:val="single" w:sz="4" w:space="0" w:color="AAAAAA"/>
            </w:tcBorders>
            <w:shd w:val="clear" w:color="auto" w:fill="FFFFFF"/>
            <w:vAlign w:val="center"/>
          </w:tcPr>
          <w:p w14:paraId="5316CAE0"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Presidential Regulation No. 55/2019</w:t>
            </w:r>
          </w:p>
        </w:tc>
      </w:tr>
      <w:tr w:rsidR="000D5026" w14:paraId="277E0D8D" w14:textId="77777777">
        <w:tc>
          <w:tcPr>
            <w:tcW w:w="2399" w:type="dxa"/>
            <w:tcBorders>
              <w:top w:val="single" w:sz="2" w:space="0" w:color="CCCCCC"/>
              <w:left w:val="single" w:sz="4" w:space="0" w:color="AAAAAA"/>
              <w:bottom w:val="single" w:sz="2" w:space="0" w:color="CCCCCC"/>
              <w:right w:val="single" w:sz="2" w:space="0" w:color="CCCCCC"/>
            </w:tcBorders>
            <w:shd w:val="clear" w:color="auto" w:fill="EDF2F4"/>
            <w:vAlign w:val="center"/>
          </w:tcPr>
          <w:p w14:paraId="23C974F1"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2024–2026</w:t>
            </w:r>
          </w:p>
        </w:tc>
        <w:tc>
          <w:tcPr>
            <w:tcW w:w="3200" w:type="dxa"/>
            <w:tcBorders>
              <w:top w:val="single" w:sz="2" w:space="0" w:color="CCCCCC"/>
              <w:left w:val="single" w:sz="2" w:space="0" w:color="CCCCCC"/>
              <w:bottom w:val="single" w:sz="2" w:space="0" w:color="CCCCCC"/>
              <w:right w:val="single" w:sz="2" w:space="0" w:color="CCCCCC"/>
            </w:tcBorders>
            <w:shd w:val="clear" w:color="auto" w:fill="EDF2F4"/>
            <w:vAlign w:val="center"/>
          </w:tcPr>
          <w:p w14:paraId="0297FC73"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40%</w:t>
            </w:r>
          </w:p>
        </w:tc>
        <w:tc>
          <w:tcPr>
            <w:tcW w:w="3801" w:type="dxa"/>
            <w:tcBorders>
              <w:top w:val="single" w:sz="2" w:space="0" w:color="CCCCCC"/>
              <w:left w:val="single" w:sz="2" w:space="0" w:color="CCCCCC"/>
              <w:bottom w:val="single" w:sz="2" w:space="0" w:color="CCCCCC"/>
              <w:right w:val="single" w:sz="4" w:space="0" w:color="AAAAAA"/>
            </w:tcBorders>
            <w:shd w:val="clear" w:color="auto" w:fill="EDF2F4"/>
            <w:vAlign w:val="center"/>
          </w:tcPr>
          <w:p w14:paraId="1BBC726A"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MoF Regulation No. 12/2025; MOI Regulation No. 35/2025 (new certification formula)</w:t>
            </w:r>
          </w:p>
        </w:tc>
      </w:tr>
      <w:tr w:rsidR="000D5026" w14:paraId="51ED2378" w14:textId="77777777">
        <w:tc>
          <w:tcPr>
            <w:tcW w:w="2399" w:type="dxa"/>
            <w:tcBorders>
              <w:top w:val="single" w:sz="2" w:space="0" w:color="CCCCCC"/>
              <w:left w:val="single" w:sz="4" w:space="0" w:color="AAAAAA"/>
              <w:bottom w:val="single" w:sz="2" w:space="0" w:color="CCCCCC"/>
              <w:right w:val="single" w:sz="2" w:space="0" w:color="CCCCCC"/>
            </w:tcBorders>
            <w:shd w:val="clear" w:color="auto" w:fill="FFFFFF"/>
            <w:vAlign w:val="center"/>
          </w:tcPr>
          <w:p w14:paraId="29DA97D1"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2027–2029</w:t>
            </w:r>
          </w:p>
        </w:tc>
        <w:tc>
          <w:tcPr>
            <w:tcW w:w="3200"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41FEEC3E"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60% (targeted)</w:t>
            </w:r>
          </w:p>
        </w:tc>
        <w:tc>
          <w:tcPr>
            <w:tcW w:w="3801" w:type="dxa"/>
            <w:tcBorders>
              <w:top w:val="single" w:sz="2" w:space="0" w:color="CCCCCC"/>
              <w:left w:val="single" w:sz="2" w:space="0" w:color="CCCCCC"/>
              <w:bottom w:val="single" w:sz="2" w:space="0" w:color="CCCCCC"/>
              <w:right w:val="single" w:sz="4" w:space="0" w:color="AAAAAA"/>
            </w:tcBorders>
            <w:shd w:val="clear" w:color="auto" w:fill="FFFFFF"/>
            <w:vAlign w:val="center"/>
          </w:tcPr>
          <w:p w14:paraId="6BB9CCA7"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EV Roadmap 2030 policy direction</w:t>
            </w:r>
          </w:p>
        </w:tc>
      </w:tr>
      <w:tr w:rsidR="000D5026" w14:paraId="57A88AE9" w14:textId="77777777">
        <w:tc>
          <w:tcPr>
            <w:tcW w:w="2399" w:type="dxa"/>
            <w:tcBorders>
              <w:top w:val="single" w:sz="2" w:space="0" w:color="CCCCCC"/>
              <w:left w:val="single" w:sz="4" w:space="0" w:color="AAAAAA"/>
              <w:bottom w:val="single" w:sz="4" w:space="0" w:color="AAAAAA"/>
              <w:right w:val="single" w:sz="2" w:space="0" w:color="CCCCCC"/>
            </w:tcBorders>
            <w:shd w:val="clear" w:color="auto" w:fill="EDF2F4"/>
            <w:vAlign w:val="center"/>
          </w:tcPr>
          <w:p w14:paraId="117695BA"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2030 onward</w:t>
            </w:r>
          </w:p>
        </w:tc>
        <w:tc>
          <w:tcPr>
            <w:tcW w:w="3200" w:type="dxa"/>
            <w:tcBorders>
              <w:top w:val="single" w:sz="2" w:space="0" w:color="CCCCCC"/>
              <w:left w:val="single" w:sz="2" w:space="0" w:color="CCCCCC"/>
              <w:bottom w:val="single" w:sz="4" w:space="0" w:color="AAAAAA"/>
              <w:right w:val="single" w:sz="2" w:space="0" w:color="CCCCCC"/>
            </w:tcBorders>
            <w:shd w:val="clear" w:color="auto" w:fill="EDF2F4"/>
            <w:vAlign w:val="center"/>
          </w:tcPr>
          <w:p w14:paraId="0D5ABFF7"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80% (targeted)</w:t>
            </w:r>
          </w:p>
        </w:tc>
        <w:tc>
          <w:tcPr>
            <w:tcW w:w="3801" w:type="dxa"/>
            <w:tcBorders>
              <w:top w:val="single" w:sz="2" w:space="0" w:color="CCCCCC"/>
              <w:left w:val="single" w:sz="2" w:space="0" w:color="CCCCCC"/>
              <w:bottom w:val="single" w:sz="4" w:space="0" w:color="AAAAAA"/>
              <w:right w:val="single" w:sz="4" w:space="0" w:color="AAAAAA"/>
            </w:tcBorders>
            <w:shd w:val="clear" w:color="auto" w:fill="EDF2F4"/>
            <w:vAlign w:val="center"/>
          </w:tcPr>
          <w:p w14:paraId="6D830D77"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EV Roadmap 2030 policy direction</w:t>
            </w:r>
          </w:p>
        </w:tc>
      </w:tr>
    </w:tbl>
    <w:p w14:paraId="77E5F012" w14:textId="77777777" w:rsidR="000D5026" w:rsidRDefault="00C14694">
      <w:pPr>
        <w:rPr>
          <w:i/>
          <w:iCs/>
          <w:sz w:val="22"/>
          <w:szCs w:val="20"/>
        </w:rPr>
      </w:pPr>
      <w:r>
        <w:rPr>
          <w:i/>
          <w:iCs/>
          <w:sz w:val="22"/>
          <w:szCs w:val="20"/>
        </w:rPr>
        <w:t>Source: SSEK Law Firm (2025) and IESR (2025)</w:t>
      </w:r>
    </w:p>
    <w:p w14:paraId="4B37E42A" w14:textId="77777777" w:rsidR="000D5026" w:rsidRDefault="00C14694">
      <w:r>
        <w:lastRenderedPageBreak/>
        <w:t>Import based incentives will be phased out completely from 1 January 2026, leaving only locally produced or assembled EVs with preferential treatment (import duty, up to 50% of the import duty, PPnBM, 15% of the import duty, Autoini, 2025%). A new certification regime, Ministry of Industry Regulation No. 35/2025 (which will come into effect in December 2025), has been published which recalculates the TKDN, based on a formula that weighs 75% materials, 10% labour</w:t>
      </w:r>
      <w:r>
        <w:t xml:space="preserve"> and 15% overhead, making compliance even more stringent for any manufacturer who relies on imported components (Kusuma Law Firm, 2025). Together, these instruments make it so that no entry mode other than local assembly will be eligible for financial support for an unlimited time period, not just at entry.</w:t>
      </w:r>
    </w:p>
    <w:p w14:paraId="3A39023D" w14:textId="77777777" w:rsidR="000D5026" w:rsidRDefault="00C14694">
      <w:r>
        <w:t>This TKDN architecture is legally and structurally similar to India's SPMEPCI scheme, which offers import duty of 15% instead of as high as 110% for manufacturers who invest a minimum of US$500 million in local manufacturing, but Tesla rejected it, choosing instead to pay full duty under a "retail-first" approach (Eletric-Vehicles.com, 2026). This is exacerbated by a second legal factor: the nickel export ban and Domestic Processing Requirement were found to be inconsistent with WTO obligations in dispute D</w:t>
      </w:r>
      <w:r>
        <w:t>S592 (</w:t>
      </w:r>
      <w:r>
        <w:t>Borderlex, 2022; WTO, 2022) which Indonesia has, however, effectively neutralized, by filing an "appeal into the void" to the non-functioning WTO Appellate Body. Both indicate the regulatory groundwork supporting Indonesia's pitch to Tesla is legally questionable and ripe for unilateral policy change, a materially different legal climate than the established regulatory lines it's crossed in Germany and, more recently, India.</w:t>
      </w:r>
    </w:p>
    <w:p w14:paraId="3817B5FA" w14:textId="530299C9" w:rsidR="000D5026" w:rsidRDefault="00C14694">
      <w:r>
        <w:t xml:space="preserve">Thirdly, there is a narrower legal consideration: the quality of contractual and intellectual property enforcement. Tesla's current nickel purchase deals are designed as arm's-length business contracts, not equity stakes, because this approach reduces Tesla's risk of being caught up in Indonesian corporate and environmental lawsuits, such as those for alleged human-rights and pollution violations by some of the nickel processors in Sulawesi. A deeper level of involvement, such as a joint venture or a </w:t>
      </w:r>
      <w:r w:rsidR="00677F7E">
        <w:t>wholly owned</w:t>
      </w:r>
      <w:r>
        <w:t xml:space="preserve"> manufacturing subsidiary, would certainly mean that Tesla would be subject to more direct legal obligation to comply with environmental permitting, </w:t>
      </w:r>
      <w:r>
        <w:t xml:space="preserve">labour laws and land-use laws in Indonesia, which it does not currently have. The OECD's regional assessment of critical minerals in Southeast Asia shows that Indonesia hosts almost 90% of the global planned capacity for nickel refining, and that the country's policy dilemma of attempting to capture more value domestically has been facilitated partly by increasing the number of more environmentally </w:t>
      </w:r>
      <w:r>
        <w:lastRenderedPageBreak/>
        <w:t xml:space="preserve">damaging pathways for nickel processing, which are coal-powered (OECD, 2026). On top of the risks from TKDN and WTO, this is an extra environmental risk factor that has been documented by the OECD that could be an extra legal and reputational risk factor if Tesla's commitment in Indonesia is to be further deepened. </w:t>
      </w:r>
    </w:p>
    <w:p w14:paraId="00AD0D2B" w14:textId="77777777" w:rsidR="000D5026" w:rsidRDefault="00C14694">
      <w:pPr>
        <w:pStyle w:val="Heading2"/>
      </w:pPr>
      <w:bookmarkStart w:id="8" w:name="_Toc234620897"/>
      <w:r>
        <w:t>Cultural Factors</w:t>
      </w:r>
      <w:bookmarkEnd w:id="8"/>
    </w:p>
    <w:p w14:paraId="09DED9D4" w14:textId="77777777" w:rsidR="000D5026" w:rsidRDefault="00C14694">
      <w:r>
        <w:t xml:space="preserve">The cultural dimensions of Hofstede (2010) indicate significant differences between Indonesia and the U.S. on two dimensions that are most relevant to the FDI negotiation and </w:t>
      </w:r>
      <w:r>
        <w:t>organisational fit.</w:t>
      </w:r>
    </w:p>
    <w:p w14:paraId="45575E20" w14:textId="77777777" w:rsidR="000D5026" w:rsidRDefault="00C14694">
      <w:pPr>
        <w:rPr>
          <w:i/>
          <w:iCs/>
          <w:sz w:val="22"/>
          <w:szCs w:val="20"/>
        </w:rPr>
      </w:pPr>
      <w:r>
        <w:rPr>
          <w:i/>
          <w:iCs/>
          <w:sz w:val="22"/>
          <w:szCs w:val="20"/>
        </w:rPr>
        <w:t>Table 3: Selected Hofstede Cultural Dimensions — Indonesia vs. United States.</w:t>
      </w:r>
    </w:p>
    <w:tbl>
      <w:tblPr>
        <w:tblW w:w="9400" w:type="dxa"/>
        <w:tblInd w:w="105" w:type="dxa"/>
        <w:tblLayout w:type="fixed"/>
        <w:tblCellMar>
          <w:top w:w="80" w:type="dxa"/>
          <w:left w:w="100" w:type="dxa"/>
          <w:bottom w:w="80" w:type="dxa"/>
          <w:right w:w="100" w:type="dxa"/>
        </w:tblCellMar>
        <w:tblLook w:val="0000" w:firstRow="0" w:lastRow="0" w:firstColumn="0" w:lastColumn="0" w:noHBand="0" w:noVBand="0"/>
      </w:tblPr>
      <w:tblGrid>
        <w:gridCol w:w="2199"/>
        <w:gridCol w:w="1601"/>
        <w:gridCol w:w="1699"/>
        <w:gridCol w:w="3901"/>
      </w:tblGrid>
      <w:tr w:rsidR="000D5026" w14:paraId="59808B20" w14:textId="77777777">
        <w:trPr>
          <w:tblHeader/>
        </w:trPr>
        <w:tc>
          <w:tcPr>
            <w:tcW w:w="2199" w:type="dxa"/>
            <w:tcBorders>
              <w:top w:val="single" w:sz="4" w:space="0" w:color="AAAAAA"/>
              <w:left w:val="single" w:sz="4" w:space="0" w:color="AAAAAA"/>
              <w:bottom w:val="single" w:sz="2" w:space="0" w:color="CCCCCC"/>
              <w:right w:val="single" w:sz="2" w:space="0" w:color="CCCCCC"/>
            </w:tcBorders>
            <w:shd w:val="clear" w:color="auto" w:fill="0B2545"/>
            <w:vAlign w:val="center"/>
          </w:tcPr>
          <w:p w14:paraId="43C2DB3D" w14:textId="77777777" w:rsidR="000D5026" w:rsidRDefault="00C14694">
            <w:pPr>
              <w:jc w:val="center"/>
            </w:pPr>
            <w:r>
              <w:rPr>
                <w:b/>
                <w:bCs/>
                <w:color w:val="FFFFFF"/>
                <w:sz w:val="19"/>
                <w:szCs w:val="19"/>
              </w:rPr>
              <w:t>Dimension</w:t>
            </w:r>
          </w:p>
        </w:tc>
        <w:tc>
          <w:tcPr>
            <w:tcW w:w="1601" w:type="dxa"/>
            <w:tcBorders>
              <w:top w:val="single" w:sz="4" w:space="0" w:color="AAAAAA"/>
              <w:left w:val="single" w:sz="2" w:space="0" w:color="CCCCCC"/>
              <w:bottom w:val="single" w:sz="2" w:space="0" w:color="CCCCCC"/>
              <w:right w:val="single" w:sz="2" w:space="0" w:color="CCCCCC"/>
            </w:tcBorders>
            <w:shd w:val="clear" w:color="auto" w:fill="0B2545"/>
            <w:vAlign w:val="center"/>
          </w:tcPr>
          <w:p w14:paraId="25617AB8" w14:textId="77777777" w:rsidR="000D5026" w:rsidRDefault="00C14694">
            <w:pPr>
              <w:jc w:val="center"/>
            </w:pPr>
            <w:r>
              <w:rPr>
                <w:b/>
                <w:bCs/>
                <w:color w:val="FFFFFF"/>
                <w:sz w:val="19"/>
                <w:szCs w:val="19"/>
              </w:rPr>
              <w:t>Indonesia</w:t>
            </w:r>
          </w:p>
        </w:tc>
        <w:tc>
          <w:tcPr>
            <w:tcW w:w="1699" w:type="dxa"/>
            <w:tcBorders>
              <w:top w:val="single" w:sz="4" w:space="0" w:color="AAAAAA"/>
              <w:left w:val="single" w:sz="2" w:space="0" w:color="CCCCCC"/>
              <w:bottom w:val="single" w:sz="2" w:space="0" w:color="CCCCCC"/>
              <w:right w:val="single" w:sz="2" w:space="0" w:color="CCCCCC"/>
            </w:tcBorders>
            <w:shd w:val="clear" w:color="auto" w:fill="0B2545"/>
            <w:vAlign w:val="center"/>
          </w:tcPr>
          <w:p w14:paraId="27ADAA3B" w14:textId="77777777" w:rsidR="000D5026" w:rsidRDefault="00C14694">
            <w:pPr>
              <w:jc w:val="center"/>
            </w:pPr>
            <w:r>
              <w:rPr>
                <w:b/>
                <w:bCs/>
                <w:color w:val="FFFFFF"/>
                <w:sz w:val="19"/>
                <w:szCs w:val="19"/>
              </w:rPr>
              <w:t>United States</w:t>
            </w:r>
          </w:p>
        </w:tc>
        <w:tc>
          <w:tcPr>
            <w:tcW w:w="3901" w:type="dxa"/>
            <w:tcBorders>
              <w:top w:val="single" w:sz="4" w:space="0" w:color="AAAAAA"/>
              <w:left w:val="single" w:sz="2" w:space="0" w:color="CCCCCC"/>
              <w:bottom w:val="single" w:sz="2" w:space="0" w:color="CCCCCC"/>
              <w:right w:val="single" w:sz="4" w:space="0" w:color="AAAAAA"/>
            </w:tcBorders>
            <w:shd w:val="clear" w:color="auto" w:fill="0B2545"/>
            <w:vAlign w:val="center"/>
          </w:tcPr>
          <w:p w14:paraId="4C68548D" w14:textId="77777777" w:rsidR="000D5026" w:rsidRDefault="00C14694">
            <w:pPr>
              <w:jc w:val="center"/>
            </w:pPr>
            <w:r>
              <w:rPr>
                <w:b/>
                <w:bCs/>
                <w:color w:val="FFFFFF"/>
                <w:sz w:val="19"/>
                <w:szCs w:val="19"/>
              </w:rPr>
              <w:t>Relevance to Tesla's entry decision</w:t>
            </w:r>
          </w:p>
        </w:tc>
      </w:tr>
      <w:tr w:rsidR="000D5026" w14:paraId="0BD44AA1" w14:textId="77777777">
        <w:tc>
          <w:tcPr>
            <w:tcW w:w="2199" w:type="dxa"/>
            <w:tcBorders>
              <w:top w:val="single" w:sz="2" w:space="0" w:color="CCCCCC"/>
              <w:left w:val="single" w:sz="4" w:space="0" w:color="AAAAAA"/>
              <w:bottom w:val="single" w:sz="2" w:space="0" w:color="CCCCCC"/>
              <w:right w:val="single" w:sz="2" w:space="0" w:color="CCCCCC"/>
            </w:tcBorders>
            <w:shd w:val="clear" w:color="auto" w:fill="FFFFFF"/>
            <w:vAlign w:val="center"/>
          </w:tcPr>
          <w:p w14:paraId="336625AA" w14:textId="77777777" w:rsidR="000D5026" w:rsidRDefault="00C14694">
            <w:r>
              <w:rPr>
                <w:sz w:val="19"/>
                <w:szCs w:val="19"/>
              </w:rPr>
              <w:t>Power Distance</w:t>
            </w:r>
          </w:p>
        </w:tc>
        <w:tc>
          <w:tcPr>
            <w:tcW w:w="1601"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70BFB8D5" w14:textId="77777777" w:rsidR="000D5026" w:rsidRDefault="00C14694">
            <w:r>
              <w:rPr>
                <w:sz w:val="19"/>
                <w:szCs w:val="19"/>
              </w:rPr>
              <w:t>78</w:t>
            </w:r>
          </w:p>
        </w:tc>
        <w:tc>
          <w:tcPr>
            <w:tcW w:w="1699"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0622A790" w14:textId="77777777" w:rsidR="000D5026" w:rsidRDefault="00C14694">
            <w:r>
              <w:rPr>
                <w:sz w:val="19"/>
                <w:szCs w:val="19"/>
              </w:rPr>
              <w:t>40</w:t>
            </w:r>
          </w:p>
        </w:tc>
        <w:tc>
          <w:tcPr>
            <w:tcW w:w="3901" w:type="dxa"/>
            <w:tcBorders>
              <w:top w:val="single" w:sz="2" w:space="0" w:color="CCCCCC"/>
              <w:left w:val="single" w:sz="2" w:space="0" w:color="CCCCCC"/>
              <w:bottom w:val="single" w:sz="2" w:space="0" w:color="CCCCCC"/>
              <w:right w:val="single" w:sz="4" w:space="0" w:color="AAAAAA"/>
            </w:tcBorders>
            <w:shd w:val="clear" w:color="auto" w:fill="FFFFFF"/>
            <w:vAlign w:val="center"/>
          </w:tcPr>
          <w:p w14:paraId="7A82ED3E" w14:textId="77777777" w:rsidR="000D5026" w:rsidRDefault="00C14694">
            <w:r>
              <w:rPr>
                <w:sz w:val="19"/>
                <w:szCs w:val="19"/>
              </w:rPr>
              <w:t>Indonesian institutional counterparts expect deal authorisation and commitment signals from the  top of level of an organisation.</w:t>
            </w:r>
          </w:p>
        </w:tc>
      </w:tr>
      <w:tr w:rsidR="000D5026" w14:paraId="0ED3528C" w14:textId="77777777">
        <w:tc>
          <w:tcPr>
            <w:tcW w:w="2199" w:type="dxa"/>
            <w:tcBorders>
              <w:top w:val="single" w:sz="2" w:space="0" w:color="CCCCCC"/>
              <w:left w:val="single" w:sz="4" w:space="0" w:color="AAAAAA"/>
              <w:bottom w:val="single" w:sz="2" w:space="0" w:color="CCCCCC"/>
              <w:right w:val="single" w:sz="2" w:space="0" w:color="CCCCCC"/>
            </w:tcBorders>
            <w:shd w:val="clear" w:color="auto" w:fill="EDF2F4"/>
            <w:vAlign w:val="center"/>
          </w:tcPr>
          <w:p w14:paraId="6A3FB390" w14:textId="77777777" w:rsidR="000D5026" w:rsidRDefault="00C14694">
            <w:r>
              <w:rPr>
                <w:sz w:val="19"/>
                <w:szCs w:val="19"/>
              </w:rPr>
              <w:t>Individualism</w:t>
            </w:r>
          </w:p>
        </w:tc>
        <w:tc>
          <w:tcPr>
            <w:tcW w:w="1601" w:type="dxa"/>
            <w:tcBorders>
              <w:top w:val="single" w:sz="2" w:space="0" w:color="CCCCCC"/>
              <w:left w:val="single" w:sz="2" w:space="0" w:color="CCCCCC"/>
              <w:bottom w:val="single" w:sz="2" w:space="0" w:color="CCCCCC"/>
              <w:right w:val="single" w:sz="2" w:space="0" w:color="CCCCCC"/>
            </w:tcBorders>
            <w:shd w:val="clear" w:color="auto" w:fill="EDF2F4"/>
            <w:vAlign w:val="center"/>
          </w:tcPr>
          <w:p w14:paraId="28D89A8B" w14:textId="77777777" w:rsidR="000D5026" w:rsidRDefault="00C14694">
            <w:r>
              <w:rPr>
                <w:sz w:val="19"/>
                <w:szCs w:val="19"/>
              </w:rPr>
              <w:t>14 (collectivist)</w:t>
            </w:r>
          </w:p>
        </w:tc>
        <w:tc>
          <w:tcPr>
            <w:tcW w:w="1699" w:type="dxa"/>
            <w:tcBorders>
              <w:top w:val="single" w:sz="2" w:space="0" w:color="CCCCCC"/>
              <w:left w:val="single" w:sz="2" w:space="0" w:color="CCCCCC"/>
              <w:bottom w:val="single" w:sz="2" w:space="0" w:color="CCCCCC"/>
              <w:right w:val="single" w:sz="2" w:space="0" w:color="CCCCCC"/>
            </w:tcBorders>
            <w:shd w:val="clear" w:color="auto" w:fill="EDF2F4"/>
            <w:vAlign w:val="center"/>
          </w:tcPr>
          <w:p w14:paraId="18AD8A4F" w14:textId="77777777" w:rsidR="000D5026" w:rsidRDefault="00C14694">
            <w:r>
              <w:rPr>
                <w:sz w:val="19"/>
                <w:szCs w:val="19"/>
              </w:rPr>
              <w:t>91 (individualist)</w:t>
            </w:r>
          </w:p>
        </w:tc>
        <w:tc>
          <w:tcPr>
            <w:tcW w:w="3901" w:type="dxa"/>
            <w:tcBorders>
              <w:top w:val="single" w:sz="2" w:space="0" w:color="CCCCCC"/>
              <w:left w:val="single" w:sz="2" w:space="0" w:color="CCCCCC"/>
              <w:bottom w:val="single" w:sz="2" w:space="0" w:color="CCCCCC"/>
              <w:right w:val="single" w:sz="4" w:space="0" w:color="AAAAAA"/>
            </w:tcBorders>
            <w:shd w:val="clear" w:color="auto" w:fill="EDF2F4"/>
            <w:vAlign w:val="center"/>
          </w:tcPr>
          <w:p w14:paraId="549FBAEF" w14:textId="77777777" w:rsidR="000D5026" w:rsidRDefault="00C14694">
            <w:r>
              <w:rPr>
                <w:sz w:val="19"/>
                <w:szCs w:val="19"/>
              </w:rPr>
              <w:t xml:space="preserve">Favours durable, relationship-based commitments over one-off transactional deals  </w:t>
            </w:r>
          </w:p>
        </w:tc>
      </w:tr>
      <w:tr w:rsidR="000D5026" w14:paraId="31A84712" w14:textId="77777777">
        <w:tc>
          <w:tcPr>
            <w:tcW w:w="2199" w:type="dxa"/>
            <w:tcBorders>
              <w:top w:val="single" w:sz="2" w:space="0" w:color="CCCCCC"/>
              <w:left w:val="single" w:sz="4" w:space="0" w:color="AAAAAA"/>
              <w:bottom w:val="single" w:sz="4" w:space="0" w:color="AAAAAA"/>
              <w:right w:val="single" w:sz="2" w:space="0" w:color="CCCCCC"/>
            </w:tcBorders>
            <w:shd w:val="clear" w:color="auto" w:fill="FFFFFF"/>
            <w:vAlign w:val="center"/>
          </w:tcPr>
          <w:p w14:paraId="5C1271AA" w14:textId="77777777" w:rsidR="000D5026" w:rsidRDefault="00C14694">
            <w:r>
              <w:rPr>
                <w:sz w:val="19"/>
                <w:szCs w:val="19"/>
              </w:rPr>
              <w:t>Long-Term Orientation</w:t>
            </w:r>
          </w:p>
        </w:tc>
        <w:tc>
          <w:tcPr>
            <w:tcW w:w="1601" w:type="dxa"/>
            <w:tcBorders>
              <w:top w:val="single" w:sz="2" w:space="0" w:color="CCCCCC"/>
              <w:left w:val="single" w:sz="2" w:space="0" w:color="CCCCCC"/>
              <w:bottom w:val="single" w:sz="4" w:space="0" w:color="AAAAAA"/>
              <w:right w:val="single" w:sz="2" w:space="0" w:color="CCCCCC"/>
            </w:tcBorders>
            <w:shd w:val="clear" w:color="auto" w:fill="FFFFFF"/>
            <w:vAlign w:val="center"/>
          </w:tcPr>
          <w:p w14:paraId="4A9F786C" w14:textId="77777777" w:rsidR="000D5026" w:rsidRDefault="00C14694">
            <w:r>
              <w:rPr>
                <w:sz w:val="19"/>
                <w:szCs w:val="19"/>
              </w:rPr>
              <w:t>62</w:t>
            </w:r>
          </w:p>
        </w:tc>
        <w:tc>
          <w:tcPr>
            <w:tcW w:w="1699" w:type="dxa"/>
            <w:tcBorders>
              <w:top w:val="single" w:sz="2" w:space="0" w:color="CCCCCC"/>
              <w:left w:val="single" w:sz="2" w:space="0" w:color="CCCCCC"/>
              <w:bottom w:val="single" w:sz="4" w:space="0" w:color="AAAAAA"/>
              <w:right w:val="single" w:sz="2" w:space="0" w:color="CCCCCC"/>
            </w:tcBorders>
            <w:shd w:val="clear" w:color="auto" w:fill="FFFFFF"/>
            <w:vAlign w:val="center"/>
          </w:tcPr>
          <w:p w14:paraId="62DBB620" w14:textId="77777777" w:rsidR="000D5026" w:rsidRDefault="00C14694">
            <w:r>
              <w:rPr>
                <w:sz w:val="19"/>
                <w:szCs w:val="19"/>
              </w:rPr>
              <w:t>26</w:t>
            </w:r>
          </w:p>
        </w:tc>
        <w:tc>
          <w:tcPr>
            <w:tcW w:w="3901" w:type="dxa"/>
            <w:tcBorders>
              <w:top w:val="single" w:sz="2" w:space="0" w:color="CCCCCC"/>
              <w:left w:val="single" w:sz="2" w:space="0" w:color="CCCCCC"/>
              <w:bottom w:val="single" w:sz="4" w:space="0" w:color="AAAAAA"/>
              <w:right w:val="single" w:sz="4" w:space="0" w:color="AAAAAA"/>
            </w:tcBorders>
            <w:shd w:val="clear" w:color="auto" w:fill="FFFFFF"/>
            <w:vAlign w:val="center"/>
          </w:tcPr>
          <w:p w14:paraId="21E6E33C" w14:textId="77777777" w:rsidR="000D5026" w:rsidRDefault="00C14694">
            <w:r>
              <w:rPr>
                <w:sz w:val="19"/>
                <w:szCs w:val="19"/>
              </w:rPr>
              <w:t xml:space="preserve">Indonesia's multi-decade industrial policy horizon contrasts with the shorter capital-allocation </w:t>
            </w:r>
          </w:p>
        </w:tc>
      </w:tr>
    </w:tbl>
    <w:p w14:paraId="1FBB41F3" w14:textId="77777777" w:rsidR="000D5026" w:rsidRDefault="00C14694">
      <w:pPr>
        <w:rPr>
          <w:i/>
          <w:iCs/>
          <w:sz w:val="22"/>
          <w:szCs w:val="20"/>
        </w:rPr>
      </w:pPr>
      <w:r>
        <w:rPr>
          <w:i/>
          <w:iCs/>
          <w:sz w:val="22"/>
          <w:szCs w:val="20"/>
        </w:rPr>
        <w:t>Source: Hofstede, Hofstede and Minkov (2010).</w:t>
      </w:r>
    </w:p>
    <w:p w14:paraId="6DDDDAE5" w14:textId="72A5CB4F" w:rsidR="000D5026" w:rsidRDefault="00C14694">
      <w:r>
        <w:t xml:space="preserve">Indonesian counterparts are looking for credible commitment to be demonstrated through consistent, high-level, relationship-based efforts, rather than one-off transactions — consistent with repeated presidential-level outreach efforts that have yet to be matched with a similar gesture from Tesla (Hofstede, Hofstede and Minkov, 2010; Yahoo Finance/AEI, 2024). This mismatch in the relationship is not an alternative to the economic and legal problems outlined </w:t>
      </w:r>
      <w:r w:rsidR="008B6C2A">
        <w:t>above but</w:t>
      </w:r>
      <w:r>
        <w:t xml:space="preserve"> rather adds to them; in the absence of a high-level, symmetrical relationship, any effort to move toward a deeper level in the market would likely be slowed. Another cultural factor at the retail level is that since 2015, the small number of Tesla owners in Indonesia have built a level of familiarity with the brand through the work of one independent importer, Prestige Image Motorcars — a latent </w:t>
      </w:r>
      <w:r>
        <w:lastRenderedPageBreak/>
        <w:t>asset that Tesla can tap into at a relatively low cost if it decides to officially enter the market, as it would not be introducing a totally unknown brand.</w:t>
      </w:r>
    </w:p>
    <w:p w14:paraId="7323784D" w14:textId="77777777" w:rsidR="000D5026" w:rsidRDefault="00C14694">
      <w:pPr>
        <w:pStyle w:val="Heading2"/>
      </w:pPr>
      <w:bookmarkStart w:id="9" w:name="_Toc234620898"/>
      <w:r>
        <w:t>Market Entry: OLI (Eclectic Paradigm) Synthesis</w:t>
      </w:r>
      <w:bookmarkEnd w:id="9"/>
    </w:p>
    <w:p w14:paraId="32CB1E94" w14:textId="77777777" w:rsidR="000D5026" w:rsidRDefault="00C14694">
      <w:r>
        <w:t>According to Dunning's eclectic paradigm, if FDI is to be the rational choice, then all three factors namely Ownership, Location and Internalisation have to be present together, which is not the case with Tesla (Dunning and Lundan, 2008)</w:t>
      </w:r>
      <w:r>
        <w:t>. Proprietary battery and software technology, global brand equity and a direct-sales retail format which can be transferred without the need for a local partner. These are benefits that Tesla brings, and not, as such, a justification to invest in Indonesia.</w:t>
      </w:r>
    </w:p>
    <w:p w14:paraId="3560F04E" w14:textId="77777777" w:rsidR="000D5026" w:rsidRDefault="000D5026"/>
    <w:p w14:paraId="62EFA053" w14:textId="77777777" w:rsidR="000D5026" w:rsidRDefault="00C14694">
      <w:pPr>
        <w:jc w:val="center"/>
      </w:pPr>
      <w:r>
        <w:rPr>
          <w:noProof/>
        </w:rPr>
        <mc:AlternateContent>
          <mc:Choice Requires="wps">
            <w:drawing>
              <wp:anchor distT="0" distB="0" distL="0" distR="0" simplePos="0" relativeHeight="4" behindDoc="0" locked="0" layoutInCell="1" allowOverlap="1" wp14:anchorId="452A2BAC" wp14:editId="7DDA4EE8">
                <wp:simplePos x="0" y="0"/>
                <wp:positionH relativeFrom="margin">
                  <wp:posOffset>4495800</wp:posOffset>
                </wp:positionH>
                <wp:positionV relativeFrom="paragraph">
                  <wp:posOffset>2313940</wp:posOffset>
                </wp:positionV>
                <wp:extent cx="403859" cy="182879"/>
                <wp:effectExtent l="0" t="0" r="0" b="0"/>
                <wp:wrapNone/>
                <wp:docPr id="1028" name="Minus Sign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403859" cy="182879"/>
                        </a:xfrm>
                        <a:prstGeom prst="mathMinus">
                          <a:avLst/>
                        </a:prstGeom>
                        <a:solidFill>
                          <a:srgbClr val="C00000"/>
                        </a:solidFill>
                        <a:ln w="12700" cap="flat" cmpd="sng">
                          <a:solidFill>
                            <a:srgbClr val="1C3053"/>
                          </a:solidFill>
                          <a:prstDash val="solid"/>
                          <a:miter/>
                          <a:headEnd/>
                          <a:tailEnd/>
                        </a:ln>
                      </wps:spPr>
                      <wps:bodyPr>
                        <a:prstTxWarp prst="textNoShape">
                          <a:avLst/>
                        </a:prstTxWarp>
                      </wps:bodyPr>
                    </wps:wsp>
                  </a:graphicData>
                </a:graphic>
              </wp:anchor>
            </w:drawing>
          </mc:Choice>
          <mc:Fallback xmlns:wpsCustomData="http://www.wps.cn/officeDocument/2013/wpsCustomData">
            <w:pict>
              <v:shape id="1028" coordsize="403859,182879" path="m53532,69933l350328,69933l350328,112947l53532,112947xe" adj="5080," fillcolor="#c00000" stroked="t" style="position:absolute;margin-left:354.0pt;margin-top:182.2pt;width:31.8pt;height:14.4pt;z-index:4;mso-position-horizontal-relative:margin;mso-position-vertical-relative:text;mso-width-relative:page;mso-height-relative:page;mso-wrap-distance-left:0.0pt;mso-wrap-distance-right:0.0pt;visibility:visible;">
                <v:stroke joinstyle="miter" color="#1c3053" weight="1.0pt"/>
                <v:fill/>
                <v:path o:connecttype="custom"/>
              </v:shape>
            </w:pict>
          </mc:Fallback>
        </mc:AlternateContent>
      </w:r>
      <w:r>
        <w:rPr>
          <w:noProof/>
        </w:rPr>
        <mc:AlternateContent>
          <mc:Choice Requires="wps">
            <w:drawing>
              <wp:anchor distT="0" distB="0" distL="0" distR="0" simplePos="0" relativeHeight="3" behindDoc="0" locked="0" layoutInCell="1" allowOverlap="1" wp14:anchorId="3B1209ED" wp14:editId="3E13954D">
                <wp:simplePos x="0" y="0"/>
                <wp:positionH relativeFrom="margin">
                  <wp:align>center</wp:align>
                </wp:positionH>
                <wp:positionV relativeFrom="paragraph">
                  <wp:posOffset>2321560</wp:posOffset>
                </wp:positionV>
                <wp:extent cx="403860" cy="182879"/>
                <wp:effectExtent l="0" t="0" r="0" b="0"/>
                <wp:wrapNone/>
                <wp:docPr id="1029" name="Minus Sign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403860" cy="182879"/>
                        </a:xfrm>
                        <a:prstGeom prst="mathMinus">
                          <a:avLst/>
                        </a:prstGeom>
                        <a:solidFill>
                          <a:srgbClr val="C00000"/>
                        </a:solidFill>
                        <a:ln w="12700" cap="flat" cmpd="sng">
                          <a:solidFill>
                            <a:srgbClr val="1C3053"/>
                          </a:solidFill>
                          <a:prstDash val="solid"/>
                          <a:miter/>
                          <a:headEnd/>
                          <a:tailEnd/>
                        </a:ln>
                      </wps:spPr>
                      <wps:bodyPr>
                        <a:prstTxWarp prst="textNoShape">
                          <a:avLst/>
                        </a:prstTxWarp>
                      </wps:bodyPr>
                    </wps:wsp>
                  </a:graphicData>
                </a:graphic>
              </wp:anchor>
            </w:drawing>
          </mc:Choice>
          <mc:Fallback xmlns:wpsCustomData="http://www.wps.cn/officeDocument/2013/wpsCustomData">
            <w:pict>
              <v:shape id="1029" coordsize="403860,182879" path="m53532,69933l350328,69933l350328,112947l53532,112947xe" adj="5080," fillcolor="#c00000" stroked="t" style="position:absolute;margin-left:0.0pt;margin-top:182.8pt;width:31.8pt;height:14.4pt;z-index:3;mso-position-horizontal:center;mso-position-horizontal-relative:margin;mso-position-vertical-relative:text;mso-width-relative:page;mso-height-relative:page;mso-wrap-distance-left:0.0pt;mso-wrap-distance-right:0.0pt;visibility:visible;">
                <v:stroke joinstyle="miter" color="#1c3053" weight="1.0pt"/>
                <v:fill/>
                <v:path o:connecttype="custom"/>
              </v:shape>
            </w:pict>
          </mc:Fallback>
        </mc:AlternateContent>
      </w:r>
      <w:r>
        <w:rPr>
          <w:noProof/>
        </w:rPr>
        <mc:AlternateContent>
          <mc:Choice Requires="wps">
            <w:drawing>
              <wp:anchor distT="0" distB="0" distL="0" distR="0" simplePos="0" relativeHeight="2" behindDoc="0" locked="0" layoutInCell="1" allowOverlap="1" wp14:anchorId="10537A66" wp14:editId="6D8B6335">
                <wp:simplePos x="0" y="0"/>
                <wp:positionH relativeFrom="column">
                  <wp:posOffset>822959</wp:posOffset>
                </wp:positionH>
                <wp:positionV relativeFrom="paragraph">
                  <wp:posOffset>2283460</wp:posOffset>
                </wp:positionV>
                <wp:extent cx="342900" cy="228600"/>
                <wp:effectExtent l="0" t="0" r="0" b="0"/>
                <wp:wrapNone/>
                <wp:docPr id="1030" name="Plus Sign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342900" cy="228600"/>
                        </a:xfrm>
                        <a:prstGeom prst="mathPlus">
                          <a:avLst/>
                        </a:prstGeom>
                        <a:solidFill>
                          <a:srgbClr val="70AD47"/>
                        </a:solidFill>
                        <a:ln w="12700" cap="flat" cmpd="sng">
                          <a:solidFill>
                            <a:srgbClr val="1C3053"/>
                          </a:solidFill>
                          <a:prstDash val="solid"/>
                          <a:miter/>
                          <a:headEnd/>
                          <a:tailEnd/>
                        </a:ln>
                      </wps:spPr>
                      <wps:bodyPr>
                        <a:prstTxWarp prst="textNoShape">
                          <a:avLst/>
                        </a:prstTxWarp>
                      </wps:bodyPr>
                    </wps:wsp>
                  </a:graphicData>
                </a:graphic>
              </wp:anchor>
            </w:drawing>
          </mc:Choice>
          <mc:Fallback xmlns:wpsCustomData="http://www.wps.cn/officeDocument/2013/wpsCustomData">
            <w:pict>
              <v:shape id="1030" coordsize="342900,228600" path="m45451,87417l144567,87417l144567,30301l198333,30301l198333,87417l297449,87417l297449,141183l198333,141183l198333,198299l144567,198299l144567,141183l45451,141183xe" adj="5080," fillcolor="#70ad47" stroked="t" style="position:absolute;margin-left:64.8pt;margin-top:179.8pt;width:27.0pt;height:18.0pt;z-index:2;mso-position-horizontal-relative:text;mso-position-vertical-relative:text;mso-width-relative:page;mso-height-relative:page;mso-wrap-distance-left:0.0pt;mso-wrap-distance-right:0.0pt;visibility:visible;">
                <v:stroke joinstyle="miter" color="#1c3053" weight="1.0pt"/>
                <v:fill/>
                <v:path o:connecttype="custom"/>
              </v:shape>
            </w:pict>
          </mc:Fallback>
        </mc:AlternateContent>
      </w:r>
      <w:r>
        <w:rPr>
          <w:noProof/>
        </w:rPr>
        <w:drawing>
          <wp:inline distT="0" distB="0" distL="0" distR="0" wp14:anchorId="1769E563" wp14:editId="5491C77A">
            <wp:extent cx="5554980" cy="2426743"/>
            <wp:effectExtent l="0" t="0" r="7620" b="0"/>
            <wp:docPr id="1031" name="Picture 2" descr="Eclectic Paradigm - Definition, Advantages, Exampl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srcRect/>
                    <a:stretch/>
                  </pic:blipFill>
                  <pic:spPr>
                    <a:xfrm>
                      <a:off x="0" y="0"/>
                      <a:ext cx="5554980" cy="2426743"/>
                    </a:xfrm>
                    <a:prstGeom prst="rect">
                      <a:avLst/>
                    </a:prstGeom>
                    <a:ln>
                      <a:noFill/>
                    </a:ln>
                  </pic:spPr>
                </pic:pic>
              </a:graphicData>
            </a:graphic>
          </wp:inline>
        </w:drawing>
      </w:r>
    </w:p>
    <w:p w14:paraId="1DE66EA4" w14:textId="77777777" w:rsidR="000D5026" w:rsidRDefault="00C14694">
      <w:pPr>
        <w:jc w:val="center"/>
        <w:rPr>
          <w:i/>
          <w:iCs/>
          <w:sz w:val="22"/>
          <w:szCs w:val="20"/>
        </w:rPr>
      </w:pPr>
      <w:r>
        <w:rPr>
          <w:i/>
          <w:iCs/>
          <w:sz w:val="22"/>
          <w:szCs w:val="20"/>
        </w:rPr>
        <w:t xml:space="preserve">Figure 2: OLI (Eclectic) Paradigm Applied to Tesla's Indonesia Entry Decision </w:t>
      </w:r>
      <w:r>
        <w:t>(Dunning and Lundan, 2008)</w:t>
      </w:r>
    </w:p>
    <w:p w14:paraId="2C2F3EEE" w14:textId="77777777" w:rsidR="000D5026" w:rsidRDefault="00C14694">
      <w:r>
        <w:t>Location advantages are weak once the 2026 incentive cliff is priced in. Indonesia's demand growth and nickel endowment are actual locational pulls, but a manufacturing free entry loses all the fiscal supports (Tables 1 and 2) and is based on a WTO challenged regulatory basis (Legal Factors above). Whether Tesla will make the local-manufacturing promise to qualify for incentives, however, hinges on whether it will make the same promise in India, as it has twice recently in Mexico, which it has paused, and i</w:t>
      </w:r>
      <w:r>
        <w:t>n India, where it has rejected and gone for retail-first instead.</w:t>
      </w:r>
    </w:p>
    <w:p w14:paraId="2B8DF087" w14:textId="77777777" w:rsidR="000D5026" w:rsidRDefault="00C14694">
      <w:r>
        <w:lastRenderedPageBreak/>
        <w:t>The benefits of internalisation</w:t>
      </w:r>
      <w:r>
        <w:t xml:space="preserve"> are also slight, not through lack of ability, but because of strategic choice. The Tesla pattern is consistent across the board: in some markets, such as Shanghai and Berlin, the company chooses to own the entire business; in others, such as Mexico and India, it enters the market as an arm's-length/retail-only venture; and never does it opt for a shared-ownership joint venture like those of legacy automakers in Indonesia. Applied in this context, the OLI framework does not suggest that Tesla does not have </w:t>
      </w:r>
      <w:r>
        <w:t>an entry strategy into Indonesia, it suggests that the entry strategy is low commitment.</w:t>
      </w:r>
      <w:r>
        <w:t xml:space="preserve"> </w:t>
      </w:r>
    </w:p>
    <w:p w14:paraId="7F512A21" w14:textId="77777777" w:rsidR="000D5026" w:rsidRDefault="00C14694">
      <w:r>
        <w:t>Based on the findings from the Political, Economic, Legal and Cultural analyses above, OLI predicts that the rational mode of entry for Tesla in Indonesia is not equity manufacturing, but would most likely be a low commitment, retail first approach — a strategy that is quite similar to the one Tesla took in India with its entry in 2025 — until the TKDN incentive framework is further stabilized, the legal uncertainty regarding WTO is overcome, or the demand for Tesla's premium segment in Indonesia grows suff</w:t>
      </w:r>
      <w:r>
        <w:t>iciently to warrant the fixed costs of local assembly.</w:t>
      </w:r>
      <w:r>
        <w:t xml:space="preserve"> </w:t>
      </w:r>
    </w:p>
    <w:p w14:paraId="67CA31F1" w14:textId="77777777" w:rsidR="000D5026" w:rsidRDefault="00C14694">
      <w:r>
        <w:t xml:space="preserve">Finally, this predicted outcome by OLI is not a failure of the Indonesian policy itself, but a failure by its own standards. The successful pull-in of major local-manufacturing FDI by Hyundai, LG, CATL and Wuling is actually because their business model and target market suit the low-volume, high-margin direct-sales model that works in China's market, rather than Tesla's high-volume, low-margin assembly model. </w:t>
      </w:r>
    </w:p>
    <w:p w14:paraId="52EAD16D" w14:textId="77777777" w:rsidR="000D5026" w:rsidRDefault="000D5026"/>
    <w:p w14:paraId="15712B80" w14:textId="77777777" w:rsidR="000D5026" w:rsidRDefault="000D5026"/>
    <w:p w14:paraId="319E8C5E" w14:textId="77777777" w:rsidR="000D5026" w:rsidRDefault="000D5026"/>
    <w:p w14:paraId="2A7BB4D6" w14:textId="77777777" w:rsidR="000D5026" w:rsidRDefault="000D5026"/>
    <w:p w14:paraId="66D5428B" w14:textId="77777777" w:rsidR="000D5026" w:rsidRDefault="000D5026"/>
    <w:p w14:paraId="1E66AF4E" w14:textId="77777777" w:rsidR="000D5026" w:rsidRDefault="000D5026"/>
    <w:p w14:paraId="646010E3" w14:textId="77777777" w:rsidR="000D5026" w:rsidRDefault="000D5026"/>
    <w:p w14:paraId="5474AE3A" w14:textId="77777777" w:rsidR="000D5026" w:rsidRDefault="000D5026"/>
    <w:p w14:paraId="1B4CD824" w14:textId="77777777" w:rsidR="000D5026" w:rsidRDefault="000D5026"/>
    <w:p w14:paraId="6E0C9439" w14:textId="77777777" w:rsidR="000D5026" w:rsidRDefault="00C14694">
      <w:pPr>
        <w:pStyle w:val="Heading1"/>
      </w:pPr>
      <w:bookmarkStart w:id="10" w:name="_Toc234620899"/>
      <w:r>
        <w:lastRenderedPageBreak/>
        <w:t>Entry Mode Strategy and Strategic Synthesis</w:t>
      </w:r>
      <w:bookmarkEnd w:id="10"/>
    </w:p>
    <w:p w14:paraId="739F42EB" w14:textId="2C1E5A93" w:rsidR="000D5026" w:rsidRDefault="00C14694">
      <w:r>
        <w:t xml:space="preserve">The signature of Tesla's global expansion is quite uniform. First of all, it has never employed franchised </w:t>
      </w:r>
      <w:r w:rsidR="0018544D">
        <w:t>dealerships and</w:t>
      </w:r>
      <w:r>
        <w:t xml:space="preserve"> instead has relied on its own direct-sales retail and service centres</w:t>
      </w:r>
      <w:r>
        <w:t xml:space="preserve"> in every market, a stance it championed via litigation against U.S. state franchise laws. Second, Tesla has only established wholly owned subsidiaries abroad, never joint ventures: Tesla's Gigafactory Shanghai was actually picked up in 2019, but it was deliberately delayed for several years until China lifted the requirement for EV manufacturers to form joint ventures in 2018, at which point Tesla became the first 100% foreign owned vehicle maker in China's history (Harwit</w:t>
      </w:r>
      <w:r>
        <w:t xml:space="preserve">, 2023). Gigafactory Berlin (2022) was a 100% greenfield project of the same type. </w:t>
      </w:r>
    </w:p>
    <w:p w14:paraId="3FD72715" w14:textId="77777777" w:rsidR="000D5026" w:rsidRDefault="00C14694">
      <w:r>
        <w:rPr>
          <w:noProof/>
        </w:rPr>
        <mc:AlternateContent>
          <mc:Choice Requires="wps">
            <w:drawing>
              <wp:anchor distT="0" distB="0" distL="0" distR="0" simplePos="0" relativeHeight="5" behindDoc="0" locked="0" layoutInCell="1" allowOverlap="1" wp14:anchorId="779E7C38" wp14:editId="16105593">
                <wp:simplePos x="0" y="0"/>
                <wp:positionH relativeFrom="column">
                  <wp:posOffset>3859530</wp:posOffset>
                </wp:positionH>
                <wp:positionV relativeFrom="paragraph">
                  <wp:posOffset>363220</wp:posOffset>
                </wp:positionV>
                <wp:extent cx="1501139" cy="537210"/>
                <wp:effectExtent l="19050" t="19050" r="22860" b="15240"/>
                <wp:wrapNone/>
                <wp:docPr id="1032" name="Oval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1501139" cy="537210"/>
                        </a:xfrm>
                        <a:prstGeom prst="ellipse">
                          <a:avLst/>
                        </a:prstGeom>
                        <a:ln w="28575" cap="flat" cmpd="sng">
                          <a:solidFill>
                            <a:srgbClr val="1C3053"/>
                          </a:solidFill>
                          <a:prstDash val="solid"/>
                          <a:miter/>
                          <a:headEnd/>
                          <a:tailEnd/>
                        </a:ln>
                      </wps:spPr>
                      <wps:bodyPr>
                        <a:prstTxWarp prst="textNoShape">
                          <a:avLst/>
                        </a:prstTxWarp>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oval id="1032" filled="f" stroked="t" style="position:absolute;margin-left:303.9pt;margin-top:28.6pt;width:118.2pt;height:42.3pt;z-index:5;mso-position-horizontal-relative:text;mso-position-vertical-relative:text;mso-width-percent:0;mso-height-percent:0;mso-width-relative:margin;mso-height-relative:margin;mso-wrap-distance-left:0.0pt;mso-wrap-distance-right:0.0pt;visibility:visible;">
                <v:stroke joinstyle="miter" color="#1c3053" weight="2.25pt"/>
                <v:fill/>
              </v:oval>
            </w:pict>
          </mc:Fallback>
        </mc:AlternateContent>
      </w:r>
      <w:r>
        <w:rPr>
          <w:noProof/>
        </w:rPr>
        <w:drawing>
          <wp:inline distT="0" distB="0" distL="0" distR="0" wp14:anchorId="0BAFAB2B" wp14:editId="6D463E06">
            <wp:extent cx="5943600" cy="3393440"/>
            <wp:effectExtent l="0" t="0" r="0" b="0"/>
            <wp:docPr id="1033" name="Picture 6" descr="Modes of Entry into International Business [Advantages &amp; Disadvantages] -  Super Heuristic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6"/>
                    <pic:cNvPicPr/>
                  </pic:nvPicPr>
                  <pic:blipFill>
                    <a:blip r:embed="rId12" cstate="print"/>
                    <a:srcRect/>
                    <a:stretch/>
                  </pic:blipFill>
                  <pic:spPr>
                    <a:xfrm>
                      <a:off x="0" y="0"/>
                      <a:ext cx="5943600" cy="3393440"/>
                    </a:xfrm>
                    <a:prstGeom prst="rect">
                      <a:avLst/>
                    </a:prstGeom>
                    <a:ln>
                      <a:noFill/>
                    </a:ln>
                  </pic:spPr>
                </pic:pic>
              </a:graphicData>
            </a:graphic>
          </wp:inline>
        </w:drawing>
      </w:r>
    </w:p>
    <w:p w14:paraId="3C033841" w14:textId="77777777" w:rsidR="000D5026" w:rsidRDefault="00C14694">
      <w:pPr>
        <w:rPr>
          <w:i/>
          <w:iCs/>
          <w:sz w:val="22"/>
          <w:szCs w:val="20"/>
        </w:rPr>
      </w:pPr>
      <w:r>
        <w:rPr>
          <w:i/>
          <w:iCs/>
          <w:sz w:val="22"/>
          <w:szCs w:val="20"/>
        </w:rPr>
        <w:t>Figure 3: Tesla's Historical Entry-Mode Pattern - Consistently Full-Control (Harwit, 2023)</w:t>
      </w:r>
    </w:p>
    <w:p w14:paraId="6291F778" w14:textId="581F4144" w:rsidR="000D5026" w:rsidRDefault="00C14694">
      <w:r>
        <w:t xml:space="preserve">Third, and most instructive for Indonesia, is Tesla's caution and reversibility in truly uncertain markets, as opposed to commitment. Planned to be a US$5-10 billion investment, Gigafactory Mexico has been stalled since October 2024 because of uncertainty regarding tariff policy of the incoming US administration, and Musk was explicit that the project is not at risk of </w:t>
      </w:r>
      <w:r w:rsidR="00021CFB">
        <w:t>cancellation but</w:t>
      </w:r>
      <w:r>
        <w:t xml:space="preserve"> rather is paused while he waits for clarity (Automotive Logistics, 2024). This shows that Tesla does not see its large-scale manufacturing commitments as a real choice or a commitment that </w:t>
      </w:r>
      <w:r>
        <w:lastRenderedPageBreak/>
        <w:t>cannot be reversed until they are built, even with the formal government commitments and permits in place. In July 2025, after about a decade of back-and-forth hesitation, Tesla finally decided to go ahead with its entry into India, and it chose not to avail itself of the government's SPMEPCI incentive, which had been offering a discount on import duty if it made a commitment to produce US$500 million worth of cars locally (Eletric-Vehicles.com, 2026). This is the most immediate real-life parallel to the di</w:t>
      </w:r>
      <w:r>
        <w:t>lemma that Tesla is facing in Indonesia: Both schemes require fiscal relief in exchange for a commitment to produce locally, one that is much larger than what you would need to make to justify the current sales volume.</w:t>
      </w:r>
    </w:p>
    <w:p w14:paraId="14CF98FA" w14:textId="77777777" w:rsidR="000D5026" w:rsidRDefault="00C14694">
      <w:pPr>
        <w:rPr>
          <w:i/>
          <w:iCs/>
          <w:sz w:val="22"/>
          <w:szCs w:val="20"/>
        </w:rPr>
      </w:pPr>
      <w:r>
        <w:rPr>
          <w:i/>
          <w:iCs/>
          <w:sz w:val="22"/>
          <w:szCs w:val="20"/>
        </w:rPr>
        <w:t>Table 4: Tesla's Entry Mode by Market — A Consistent Full-Control Pattern</w:t>
      </w:r>
    </w:p>
    <w:tbl>
      <w:tblPr>
        <w:tblW w:w="8153" w:type="dxa"/>
        <w:jc w:val="center"/>
        <w:tblLayout w:type="fixed"/>
        <w:tblCellMar>
          <w:top w:w="80" w:type="dxa"/>
          <w:left w:w="100" w:type="dxa"/>
          <w:bottom w:w="80" w:type="dxa"/>
          <w:right w:w="100" w:type="dxa"/>
        </w:tblCellMar>
        <w:tblLook w:val="0000" w:firstRow="0" w:lastRow="0" w:firstColumn="0" w:lastColumn="0" w:noHBand="0" w:noVBand="0"/>
      </w:tblPr>
      <w:tblGrid>
        <w:gridCol w:w="2497"/>
        <w:gridCol w:w="2631"/>
        <w:gridCol w:w="3025"/>
      </w:tblGrid>
      <w:tr w:rsidR="000D5026" w14:paraId="41E8AA55" w14:textId="77777777">
        <w:trPr>
          <w:trHeight w:val="210"/>
          <w:tblHeader/>
          <w:jc w:val="center"/>
        </w:trPr>
        <w:tc>
          <w:tcPr>
            <w:tcW w:w="2497" w:type="dxa"/>
            <w:tcBorders>
              <w:top w:val="single" w:sz="4" w:space="0" w:color="AAAAAA"/>
              <w:left w:val="single" w:sz="4" w:space="0" w:color="AAAAAA"/>
              <w:bottom w:val="single" w:sz="2" w:space="0" w:color="CCCCCC"/>
              <w:right w:val="single" w:sz="2" w:space="0" w:color="CCCCCC"/>
            </w:tcBorders>
            <w:shd w:val="clear" w:color="auto" w:fill="0B2545"/>
            <w:vAlign w:val="center"/>
          </w:tcPr>
          <w:p w14:paraId="7B2C7540" w14:textId="77777777" w:rsidR="000D5026" w:rsidRDefault="00C14694">
            <w:pPr>
              <w:suppressAutoHyphens/>
              <w:spacing w:after="0" w:line="240" w:lineRule="auto"/>
              <w:rPr>
                <w:rFonts w:ascii="Calibri" w:hAnsi="Calibri" w:cs="Calibri"/>
                <w:sz w:val="22"/>
                <w:lang w:eastAsia="zh-CN" w:bidi="hi-IN"/>
              </w:rPr>
            </w:pPr>
            <w:r>
              <w:rPr>
                <w:rFonts w:ascii="Calibri" w:hAnsi="Calibri" w:cs="Calibri"/>
                <w:b/>
                <w:bCs/>
                <w:color w:val="FFFFFF"/>
                <w:sz w:val="19"/>
                <w:szCs w:val="19"/>
                <w:lang w:eastAsia="zh-CN" w:bidi="hi-IN"/>
              </w:rPr>
              <w:t>Market</w:t>
            </w:r>
          </w:p>
        </w:tc>
        <w:tc>
          <w:tcPr>
            <w:tcW w:w="2631" w:type="dxa"/>
            <w:tcBorders>
              <w:top w:val="single" w:sz="4" w:space="0" w:color="AAAAAA"/>
              <w:left w:val="single" w:sz="2" w:space="0" w:color="CCCCCC"/>
              <w:bottom w:val="single" w:sz="2" w:space="0" w:color="CCCCCC"/>
              <w:right w:val="single" w:sz="2" w:space="0" w:color="CCCCCC"/>
            </w:tcBorders>
            <w:shd w:val="clear" w:color="auto" w:fill="0B2545"/>
            <w:vAlign w:val="center"/>
          </w:tcPr>
          <w:p w14:paraId="739B0E8F" w14:textId="77777777" w:rsidR="000D5026" w:rsidRDefault="00C14694">
            <w:pPr>
              <w:suppressAutoHyphens/>
              <w:spacing w:after="0" w:line="240" w:lineRule="auto"/>
              <w:jc w:val="center"/>
              <w:rPr>
                <w:rFonts w:ascii="Calibri" w:hAnsi="Calibri" w:cs="Calibri"/>
                <w:sz w:val="22"/>
                <w:lang w:eastAsia="zh-CN" w:bidi="hi-IN"/>
              </w:rPr>
            </w:pPr>
            <w:r>
              <w:rPr>
                <w:rFonts w:ascii="Calibri" w:hAnsi="Calibri" w:cs="Calibri"/>
                <w:b/>
                <w:bCs/>
                <w:color w:val="FFFFFF"/>
                <w:sz w:val="19"/>
                <w:szCs w:val="19"/>
                <w:lang w:eastAsia="zh-CN" w:bidi="hi-IN"/>
              </w:rPr>
              <w:t>Entry mode used</w:t>
            </w:r>
          </w:p>
        </w:tc>
        <w:tc>
          <w:tcPr>
            <w:tcW w:w="3025" w:type="dxa"/>
            <w:tcBorders>
              <w:top w:val="single" w:sz="4" w:space="0" w:color="AAAAAA"/>
              <w:left w:val="single" w:sz="2" w:space="0" w:color="CCCCCC"/>
              <w:bottom w:val="single" w:sz="2" w:space="0" w:color="CCCCCC"/>
              <w:right w:val="single" w:sz="2" w:space="0" w:color="CCCCCC"/>
            </w:tcBorders>
            <w:shd w:val="clear" w:color="auto" w:fill="0B2545"/>
            <w:vAlign w:val="center"/>
          </w:tcPr>
          <w:p w14:paraId="1E8A7CF6" w14:textId="77777777" w:rsidR="000D5026" w:rsidRDefault="00C14694">
            <w:pPr>
              <w:suppressAutoHyphens/>
              <w:spacing w:after="0" w:line="240" w:lineRule="auto"/>
              <w:jc w:val="center"/>
              <w:rPr>
                <w:rFonts w:ascii="Calibri" w:hAnsi="Calibri" w:cs="Calibri"/>
                <w:sz w:val="22"/>
                <w:lang w:eastAsia="zh-CN" w:bidi="hi-IN"/>
              </w:rPr>
            </w:pPr>
            <w:r>
              <w:rPr>
                <w:rFonts w:ascii="Calibri" w:hAnsi="Calibri" w:cs="Calibri"/>
                <w:b/>
                <w:bCs/>
                <w:color w:val="FFFFFF"/>
                <w:sz w:val="19"/>
                <w:szCs w:val="19"/>
                <w:lang w:eastAsia="zh-CN" w:bidi="hi-IN"/>
              </w:rPr>
              <w:t>Ownership structure</w:t>
            </w:r>
          </w:p>
        </w:tc>
      </w:tr>
      <w:tr w:rsidR="000D5026" w14:paraId="766EB175" w14:textId="77777777">
        <w:trPr>
          <w:trHeight w:val="456"/>
          <w:jc w:val="center"/>
        </w:trPr>
        <w:tc>
          <w:tcPr>
            <w:tcW w:w="2497" w:type="dxa"/>
            <w:tcBorders>
              <w:top w:val="single" w:sz="2" w:space="0" w:color="CCCCCC"/>
              <w:left w:val="single" w:sz="4" w:space="0" w:color="AAAAAA"/>
              <w:bottom w:val="single" w:sz="2" w:space="0" w:color="CCCCCC"/>
              <w:right w:val="single" w:sz="2" w:space="0" w:color="CCCCCC"/>
            </w:tcBorders>
            <w:shd w:val="clear" w:color="auto" w:fill="FFFFFF"/>
            <w:vAlign w:val="center"/>
          </w:tcPr>
          <w:p w14:paraId="15DB44DD"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China (Shanghai, 2019)</w:t>
            </w:r>
          </w:p>
        </w:tc>
        <w:tc>
          <w:tcPr>
            <w:tcW w:w="2631"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17ED9ECA"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Local manufacturing</w:t>
            </w:r>
          </w:p>
        </w:tc>
        <w:tc>
          <w:tcPr>
            <w:tcW w:w="3025"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11F17052"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100% wholly-owned subsidiary</w:t>
            </w:r>
          </w:p>
        </w:tc>
      </w:tr>
      <w:tr w:rsidR="000D5026" w14:paraId="76153BE0" w14:textId="77777777">
        <w:trPr>
          <w:trHeight w:val="445"/>
          <w:jc w:val="center"/>
        </w:trPr>
        <w:tc>
          <w:tcPr>
            <w:tcW w:w="2497" w:type="dxa"/>
            <w:tcBorders>
              <w:top w:val="single" w:sz="2" w:space="0" w:color="CCCCCC"/>
              <w:left w:val="single" w:sz="4" w:space="0" w:color="AAAAAA"/>
              <w:bottom w:val="single" w:sz="2" w:space="0" w:color="CCCCCC"/>
              <w:right w:val="single" w:sz="2" w:space="0" w:color="CCCCCC"/>
            </w:tcBorders>
            <w:shd w:val="clear" w:color="auto" w:fill="EDF2F4"/>
            <w:vAlign w:val="center"/>
          </w:tcPr>
          <w:p w14:paraId="0F9AD423"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Germany (Berlin, 2022)</w:t>
            </w:r>
          </w:p>
        </w:tc>
        <w:tc>
          <w:tcPr>
            <w:tcW w:w="2631" w:type="dxa"/>
            <w:tcBorders>
              <w:top w:val="single" w:sz="2" w:space="0" w:color="CCCCCC"/>
              <w:left w:val="single" w:sz="2" w:space="0" w:color="CCCCCC"/>
              <w:bottom w:val="single" w:sz="2" w:space="0" w:color="CCCCCC"/>
              <w:right w:val="single" w:sz="2" w:space="0" w:color="CCCCCC"/>
            </w:tcBorders>
            <w:shd w:val="clear" w:color="auto" w:fill="EDF2F4"/>
            <w:vAlign w:val="center"/>
          </w:tcPr>
          <w:p w14:paraId="41C8F524"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Local manufacturing</w:t>
            </w:r>
          </w:p>
        </w:tc>
        <w:tc>
          <w:tcPr>
            <w:tcW w:w="3025" w:type="dxa"/>
            <w:tcBorders>
              <w:top w:val="single" w:sz="2" w:space="0" w:color="CCCCCC"/>
              <w:left w:val="single" w:sz="2" w:space="0" w:color="CCCCCC"/>
              <w:bottom w:val="single" w:sz="2" w:space="0" w:color="CCCCCC"/>
              <w:right w:val="single" w:sz="2" w:space="0" w:color="CCCCCC"/>
            </w:tcBorders>
            <w:shd w:val="clear" w:color="auto" w:fill="EDF2F4"/>
            <w:vAlign w:val="center"/>
          </w:tcPr>
          <w:p w14:paraId="55714948"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100% wholly-owned subsidiary (greenfield)</w:t>
            </w:r>
          </w:p>
        </w:tc>
      </w:tr>
      <w:tr w:rsidR="000D5026" w14:paraId="18CD60DF" w14:textId="77777777">
        <w:trPr>
          <w:trHeight w:val="456"/>
          <w:jc w:val="center"/>
        </w:trPr>
        <w:tc>
          <w:tcPr>
            <w:tcW w:w="2497" w:type="dxa"/>
            <w:tcBorders>
              <w:top w:val="single" w:sz="2" w:space="0" w:color="CCCCCC"/>
              <w:left w:val="single" w:sz="4" w:space="0" w:color="AAAAAA"/>
              <w:bottom w:val="single" w:sz="2" w:space="0" w:color="CCCCCC"/>
              <w:right w:val="single" w:sz="2" w:space="0" w:color="CCCCCC"/>
            </w:tcBorders>
            <w:shd w:val="clear" w:color="auto" w:fill="FFFFFF"/>
            <w:vAlign w:val="center"/>
          </w:tcPr>
          <w:p w14:paraId="27A6EFB8"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Mexico (announced, 2023)</w:t>
            </w:r>
          </w:p>
        </w:tc>
        <w:tc>
          <w:tcPr>
            <w:tcW w:w="2631"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4A473C89"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Planned local manufacturing</w:t>
            </w:r>
          </w:p>
        </w:tc>
        <w:tc>
          <w:tcPr>
            <w:tcW w:w="3025" w:type="dxa"/>
            <w:tcBorders>
              <w:top w:val="single" w:sz="2" w:space="0" w:color="CCCCCC"/>
              <w:left w:val="single" w:sz="2" w:space="0" w:color="CCCCCC"/>
              <w:bottom w:val="single" w:sz="2" w:space="0" w:color="CCCCCC"/>
              <w:right w:val="single" w:sz="2" w:space="0" w:color="CCCCCC"/>
            </w:tcBorders>
            <w:shd w:val="clear" w:color="auto" w:fill="FFFFFF"/>
            <w:vAlign w:val="center"/>
          </w:tcPr>
          <w:p w14:paraId="29EA33AE"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Wholly-owned (paused)</w:t>
            </w:r>
          </w:p>
        </w:tc>
      </w:tr>
      <w:tr w:rsidR="000D5026" w14:paraId="2909E9DA" w14:textId="77777777">
        <w:trPr>
          <w:trHeight w:val="445"/>
          <w:jc w:val="center"/>
        </w:trPr>
        <w:tc>
          <w:tcPr>
            <w:tcW w:w="2497" w:type="dxa"/>
            <w:tcBorders>
              <w:top w:val="single" w:sz="2" w:space="0" w:color="CCCCCC"/>
              <w:left w:val="single" w:sz="4" w:space="0" w:color="AAAAAA"/>
              <w:bottom w:val="single" w:sz="2" w:space="0" w:color="CCCCCC"/>
              <w:right w:val="single" w:sz="2" w:space="0" w:color="CCCCCC"/>
            </w:tcBorders>
            <w:shd w:val="clear" w:color="auto" w:fill="EDF2F4"/>
            <w:vAlign w:val="center"/>
          </w:tcPr>
          <w:p w14:paraId="1A0A0981"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India (2025)</w:t>
            </w:r>
          </w:p>
        </w:tc>
        <w:tc>
          <w:tcPr>
            <w:tcW w:w="2631" w:type="dxa"/>
            <w:tcBorders>
              <w:top w:val="single" w:sz="2" w:space="0" w:color="CCCCCC"/>
              <w:left w:val="single" w:sz="2" w:space="0" w:color="CCCCCC"/>
              <w:bottom w:val="single" w:sz="2" w:space="0" w:color="CCCCCC"/>
              <w:right w:val="single" w:sz="2" w:space="0" w:color="CCCCCC"/>
            </w:tcBorders>
            <w:shd w:val="clear" w:color="auto" w:fill="EDF2F4"/>
            <w:vAlign w:val="center"/>
          </w:tcPr>
          <w:p w14:paraId="0E1B6013"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Retail-first / CBU import</w:t>
            </w:r>
          </w:p>
        </w:tc>
        <w:tc>
          <w:tcPr>
            <w:tcW w:w="3025" w:type="dxa"/>
            <w:tcBorders>
              <w:top w:val="single" w:sz="2" w:space="0" w:color="CCCCCC"/>
              <w:left w:val="single" w:sz="2" w:space="0" w:color="CCCCCC"/>
              <w:bottom w:val="single" w:sz="2" w:space="0" w:color="CCCCCC"/>
              <w:right w:val="single" w:sz="2" w:space="0" w:color="CCCCCC"/>
            </w:tcBorders>
            <w:shd w:val="clear" w:color="auto" w:fill="EDF2F4"/>
            <w:vAlign w:val="center"/>
          </w:tcPr>
          <w:p w14:paraId="4B4173F2"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Wholly-owned retail entity; no manufacturing</w:t>
            </w:r>
          </w:p>
        </w:tc>
      </w:tr>
      <w:tr w:rsidR="000D5026" w14:paraId="6FCDCC39" w14:textId="77777777">
        <w:trPr>
          <w:trHeight w:val="445"/>
          <w:jc w:val="center"/>
        </w:trPr>
        <w:tc>
          <w:tcPr>
            <w:tcW w:w="2497" w:type="dxa"/>
            <w:tcBorders>
              <w:top w:val="single" w:sz="2" w:space="0" w:color="CCCCCC"/>
              <w:left w:val="single" w:sz="4" w:space="0" w:color="AAAAAA"/>
              <w:bottom w:val="single" w:sz="4" w:space="0" w:color="AAAAAA"/>
              <w:right w:val="single" w:sz="2" w:space="0" w:color="CCCCCC"/>
            </w:tcBorders>
            <w:shd w:val="clear" w:color="auto" w:fill="FFFFFF"/>
            <w:vAlign w:val="center"/>
          </w:tcPr>
          <w:p w14:paraId="7C5D08FD"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Indonesia (recommended)</w:t>
            </w:r>
          </w:p>
        </w:tc>
        <w:tc>
          <w:tcPr>
            <w:tcW w:w="2631" w:type="dxa"/>
            <w:tcBorders>
              <w:top w:val="single" w:sz="2" w:space="0" w:color="CCCCCC"/>
              <w:left w:val="single" w:sz="2" w:space="0" w:color="CCCCCC"/>
              <w:bottom w:val="single" w:sz="4" w:space="0" w:color="AAAAAA"/>
              <w:right w:val="single" w:sz="2" w:space="0" w:color="CCCCCC"/>
            </w:tcBorders>
            <w:shd w:val="clear" w:color="auto" w:fill="FFFFFF"/>
            <w:vAlign w:val="center"/>
          </w:tcPr>
          <w:p w14:paraId="182EC5FA"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Retail-first / CBU import</w:t>
            </w:r>
          </w:p>
        </w:tc>
        <w:tc>
          <w:tcPr>
            <w:tcW w:w="3025" w:type="dxa"/>
            <w:tcBorders>
              <w:top w:val="single" w:sz="2" w:space="0" w:color="CCCCCC"/>
              <w:left w:val="single" w:sz="2" w:space="0" w:color="CCCCCC"/>
              <w:bottom w:val="single" w:sz="4" w:space="0" w:color="AAAAAA"/>
              <w:right w:val="single" w:sz="2" w:space="0" w:color="CCCCCC"/>
            </w:tcBorders>
            <w:shd w:val="clear" w:color="auto" w:fill="FFFFFF"/>
            <w:vAlign w:val="center"/>
          </w:tcPr>
          <w:p w14:paraId="556DC93B" w14:textId="77777777" w:rsidR="000D5026" w:rsidRDefault="00C14694">
            <w:pPr>
              <w:suppressAutoHyphens/>
              <w:spacing w:after="0" w:line="240" w:lineRule="auto"/>
              <w:jc w:val="left"/>
              <w:rPr>
                <w:rFonts w:ascii="Calibri" w:hAnsi="Calibri" w:cs="Calibri"/>
                <w:sz w:val="22"/>
                <w:lang w:eastAsia="zh-CN" w:bidi="hi-IN"/>
              </w:rPr>
            </w:pPr>
            <w:r>
              <w:rPr>
                <w:rFonts w:ascii="Calibri" w:hAnsi="Calibri" w:cs="Calibri"/>
                <w:sz w:val="19"/>
                <w:szCs w:val="19"/>
                <w:lang w:eastAsia="zh-CN" w:bidi="hi-IN"/>
              </w:rPr>
              <w:t>Wholly-owned retail entity; no manufacturing</w:t>
            </w:r>
          </w:p>
        </w:tc>
      </w:tr>
    </w:tbl>
    <w:p w14:paraId="4520A736" w14:textId="77777777" w:rsidR="000D5026" w:rsidRDefault="00C14694">
      <w:r>
        <w:t>Strategic Fit and Justification</w:t>
      </w:r>
    </w:p>
    <w:p w14:paraId="10BB89E1" w14:textId="77777777" w:rsidR="000D5026" w:rsidRDefault="00C14694">
      <w:r>
        <w:t xml:space="preserve">Indonesia's historical context supports a manufacturing first approach (wholly owned Gigafactory or joint venture) as being poorly aligned, whereas a retail first approach is aligned with both the revealed preferences of Tesla and the risk profile of Indonesia. As for political and legal risk, the TKDN regime is logically the same as the Indian scheme, which Tesla already rejected, and is parallel to a recent WTO decision against the policy rationale behind Indonesia's nickel strategy, which is also beyond </w:t>
      </w:r>
      <w:r>
        <w:t>Tesla's reach to fix on its own.</w:t>
      </w:r>
    </w:p>
    <w:p w14:paraId="05A52641" w14:textId="77777777" w:rsidR="000D5026" w:rsidRDefault="00C14694">
      <w:r>
        <w:t xml:space="preserve">On the financial side, Indonesia's EV market is small and its growth is limited to the mass-market segment; for Tesla's premium market, the volumes are likely to be a small fraction of the 22,000 units sold per quarter in the market as a whole, and committing capital for Gigafactory scale in that market is not warranted. As for resource commitment versus flexibility, a retail-first entry is reversible at a relatively low cost, consistent with the caution shown by Tesla with regard to </w:t>
      </w:r>
      <w:r>
        <w:lastRenderedPageBreak/>
        <w:t>Mexico, while a local plant is a sunk, illiquid commitment that cannot be unwound if the WTO dispute turns out unfavourably for the underlying policy or if the targets for TKDN (currently 60% by 2029, and 80% by 2030, as listed in Table 2) are tightened further.</w:t>
      </w:r>
    </w:p>
    <w:p w14:paraId="2BB930DB" w14:textId="77777777" w:rsidR="000D5026" w:rsidRDefault="00C14694">
      <w:r>
        <w:t>On flexibility versus control, retail-first entry means that the brand retains its control, quality and pricing while avoiding the governance dilution of a joint venture, which is consistent with Tesla's Internalisation preference identified in</w:t>
      </w:r>
      <w:r>
        <w:rPr>
          <w:color w:val="EE0000"/>
        </w:rPr>
        <w:t xml:space="preserve"> </w:t>
      </w:r>
      <w:r>
        <w:t xml:space="preserve">the market entry section, and with the company's history of not sharing equity control of a production or retail asset in any market so far. Whether or not the battery company decides to sell or build, Indonesia's nickel endowment is still valuable to Tesla's global battery supply chain in the long-term strategic scenario, as evidenced by the battery company's offtake contracts in 2022, which show that access to resources and commitment to build or sell can be completely different strategic decisions. </w:t>
      </w:r>
    </w:p>
    <w:p w14:paraId="7A93FF99" w14:textId="77777777" w:rsidR="000D5026" w:rsidRDefault="000D5026"/>
    <w:p w14:paraId="1AC179B6" w14:textId="77777777" w:rsidR="000D5026" w:rsidRDefault="000D5026"/>
    <w:p w14:paraId="0B66E89A" w14:textId="77777777" w:rsidR="000D5026" w:rsidRDefault="000D5026"/>
    <w:p w14:paraId="05F6193E" w14:textId="77777777" w:rsidR="000D5026" w:rsidRDefault="000D5026"/>
    <w:p w14:paraId="4D3302F7" w14:textId="77777777" w:rsidR="000D5026" w:rsidRDefault="000D5026"/>
    <w:p w14:paraId="39059459" w14:textId="77777777" w:rsidR="000D5026" w:rsidRDefault="000D5026"/>
    <w:p w14:paraId="2618F346" w14:textId="77777777" w:rsidR="000D5026" w:rsidRDefault="000D5026"/>
    <w:p w14:paraId="26398F36" w14:textId="77777777" w:rsidR="000D5026" w:rsidRDefault="000D5026"/>
    <w:p w14:paraId="0937C8BD" w14:textId="77777777" w:rsidR="000D5026" w:rsidRDefault="000D5026"/>
    <w:p w14:paraId="3C1C9E07" w14:textId="77777777" w:rsidR="000D5026" w:rsidRDefault="000D5026"/>
    <w:p w14:paraId="30E74231" w14:textId="77777777" w:rsidR="000D5026" w:rsidRDefault="000D5026"/>
    <w:p w14:paraId="32E32EDD" w14:textId="77777777" w:rsidR="000D5026" w:rsidRDefault="000D5026"/>
    <w:p w14:paraId="50899EB0" w14:textId="77777777" w:rsidR="000D5026" w:rsidRDefault="00C14694">
      <w:pPr>
        <w:pStyle w:val="Heading1"/>
      </w:pPr>
      <w:bookmarkStart w:id="11" w:name="_Toc234620900"/>
      <w:r>
        <w:lastRenderedPageBreak/>
        <w:t>Conclusion &amp; Recommendations</w:t>
      </w:r>
      <w:bookmarkEnd w:id="11"/>
    </w:p>
    <w:p w14:paraId="4A99ADF0" w14:textId="3E8DC8AF" w:rsidR="000D5026" w:rsidRDefault="00C14694">
      <w:r>
        <w:t xml:space="preserve">The analysis shows that there is a mismatch between the protectionist policy that is applied in Indonesia and the centralized and premium business model adopted by Tesla. The removal of import incentive and the 40% materials-weighted thresholds for TKDN from 2026, however, makes non-manufacturing firms more vulnerable under the </w:t>
      </w:r>
      <w:r w:rsidR="00CA08F3">
        <w:t>law. Non</w:t>
      </w:r>
      <w:r>
        <w:t xml:space="preserve">-manufacturing firms, however, are less protected with the removal of import incentive and the implementation of 40% materials-weighted thresholds for TKDN from 2026. Tesla's track record shows it has never budged from its agenda to control the company through local joint </w:t>
      </w:r>
      <w:r w:rsidR="00B45D7C">
        <w:t>ventures and</w:t>
      </w:r>
      <w:r>
        <w:t xml:space="preserve"> has shown itself willing to wait for volume to justify multi-billion-dollar</w:t>
      </w:r>
      <w:r>
        <w:t xml:space="preserve"> greenfield investments, even when tariffs are high.  Therefore, the suggested approach is to separate out the sourcing of resources from retailing. Tesla has to follow its recent footsteps in India and launch a low-risk, 100 per cent equity retail brand that is dependent on Completely-Built-Up (CBU) imports, taking an initial hit on tariffs to measure the premium demand for these cars. Fixed capital investment in manufacturing should be carefully postponed until the premium market can be established on a s</w:t>
      </w:r>
      <w:r>
        <w:t xml:space="preserve">ustainable scale, the legal uncertainty surrounding nickel </w:t>
      </w:r>
      <w:r>
        <w:t>downstreaming, which has been caused by the WTO, is lifted, or there is political leadership that can create investor-friendly structural flexibilities in the local content regime. Decoupling allows to expand the brand instantly and keep essential capital flexibility.</w:t>
      </w:r>
    </w:p>
    <w:p w14:paraId="04B2AE87" w14:textId="77777777" w:rsidR="000D5026" w:rsidRDefault="000D5026"/>
    <w:p w14:paraId="55DE1874" w14:textId="77777777" w:rsidR="000D5026" w:rsidRDefault="000D5026"/>
    <w:p w14:paraId="445D08CF" w14:textId="77777777" w:rsidR="000D5026" w:rsidRDefault="000D5026"/>
    <w:p w14:paraId="4027D1E7" w14:textId="77777777" w:rsidR="000D5026" w:rsidRDefault="000D5026"/>
    <w:p w14:paraId="52AC698D" w14:textId="77777777" w:rsidR="000D5026" w:rsidRDefault="000D5026"/>
    <w:p w14:paraId="3B5A2FDF" w14:textId="77777777" w:rsidR="000D5026" w:rsidRDefault="000D5026"/>
    <w:p w14:paraId="0DEB5C33" w14:textId="77777777" w:rsidR="000D5026" w:rsidRDefault="000D5026"/>
    <w:p w14:paraId="193CD05E" w14:textId="77777777" w:rsidR="000D5026" w:rsidRDefault="000D5026"/>
    <w:p w14:paraId="4D1276B2" w14:textId="77777777" w:rsidR="000D5026" w:rsidRDefault="000D5026"/>
    <w:p w14:paraId="58606E9E" w14:textId="77777777" w:rsidR="000D5026" w:rsidRDefault="00C14694">
      <w:pPr>
        <w:pStyle w:val="Heading1"/>
        <w:spacing w:before="0"/>
      </w:pPr>
      <w:bookmarkStart w:id="12" w:name="_Toc234620901"/>
      <w:r>
        <w:lastRenderedPageBreak/>
        <w:t>Section 2: Reflective Account</w:t>
      </w:r>
      <w:bookmarkEnd w:id="12"/>
    </w:p>
    <w:p w14:paraId="06808914" w14:textId="77777777" w:rsidR="000D5026" w:rsidRDefault="00C14694">
      <w:r>
        <w:t>This is a reflective piece of work that uses Gibbs' Reflective Cycle to examine and critique the research, analysis and preparation process for the international business report. It reflects about the approach taken, research methods and analysis techniques employed, as well as difficulties faced and overcome. The reflection also considers how theories, lectures, academic reading and case discussion in the module helped them to analyze and gain insight into the international business strategy and market ent</w:t>
      </w:r>
      <w:r>
        <w:t>ry decision.</w:t>
      </w:r>
    </w:p>
    <w:p w14:paraId="0C178A67" w14:textId="77777777" w:rsidR="000D5026" w:rsidRDefault="00C14694">
      <w:pPr>
        <w:jc w:val="center"/>
      </w:pPr>
      <w:r>
        <w:rPr>
          <w:noProof/>
        </w:rPr>
        <w:drawing>
          <wp:inline distT="0" distB="0" distL="0" distR="0" wp14:anchorId="3AC66F3B" wp14:editId="69A5F86F">
            <wp:extent cx="2141220" cy="2141220"/>
            <wp:effectExtent l="0" t="0" r="0" b="0"/>
            <wp:docPr id="1034" name="Picture 8" descr="Gibbs' Reflective Cycle | Reflection Toolkit | Reflection Toolki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8"/>
                    <pic:cNvPicPr/>
                  </pic:nvPicPr>
                  <pic:blipFill>
                    <a:blip r:embed="rId13" cstate="print"/>
                    <a:srcRect/>
                    <a:stretch/>
                  </pic:blipFill>
                  <pic:spPr>
                    <a:xfrm>
                      <a:off x="0" y="0"/>
                      <a:ext cx="2141220" cy="2141220"/>
                    </a:xfrm>
                    <a:prstGeom prst="rect">
                      <a:avLst/>
                    </a:prstGeom>
                    <a:ln>
                      <a:noFill/>
                    </a:ln>
                  </pic:spPr>
                </pic:pic>
              </a:graphicData>
            </a:graphic>
          </wp:inline>
        </w:drawing>
      </w:r>
    </w:p>
    <w:p w14:paraId="7E25457D" w14:textId="77777777" w:rsidR="000D5026" w:rsidRDefault="00C14694">
      <w:pPr>
        <w:jc w:val="center"/>
      </w:pPr>
      <w:r>
        <w:t>Figure 4: Gibbs’ Reflective Framework (Bassot, 2024)</w:t>
      </w:r>
    </w:p>
    <w:p w14:paraId="76E7D5D3" w14:textId="77777777" w:rsidR="000D5026" w:rsidRDefault="00C14694">
      <w:pPr>
        <w:pStyle w:val="Heading2"/>
      </w:pPr>
      <w:bookmarkStart w:id="13" w:name="_Toc234620902"/>
      <w:r>
        <w:t>Description</w:t>
      </w:r>
      <w:bookmarkEnd w:id="13"/>
    </w:p>
    <w:p w14:paraId="370304CD" w14:textId="77777777" w:rsidR="000D5026" w:rsidRDefault="00C14694">
      <w:r>
        <w:t>In this assignment I chose the multinational company to be Tesla Inc. and the proposed host market to be Indonesia. For the report I needed to analyse</w:t>
      </w:r>
      <w:r>
        <w:t xml:space="preserve"> Tesla's global strategy, to critically discuss the political, economic, legal and cultural context of Indonesia, use Dunning's OLI paradigm and to suggest the best market entry for Tesla. To achieve these objectives, I undertook a search of academic literature, as well as corporate reports, publications of international organizations, government documents and more recent industry evidence. I wanted to connect the different requirements as much as possible in order to present a coherent argument with eviden</w:t>
      </w:r>
      <w:r>
        <w:t>ce in the report, rather than tackling each one individually.</w:t>
      </w:r>
    </w:p>
    <w:p w14:paraId="09DBFDC6" w14:textId="77777777" w:rsidR="000D5026" w:rsidRDefault="00C14694">
      <w:pPr>
        <w:pStyle w:val="Heading2"/>
      </w:pPr>
      <w:bookmarkStart w:id="14" w:name="_Toc234620903"/>
      <w:r>
        <w:t>Feelings</w:t>
      </w:r>
      <w:bookmarkEnd w:id="14"/>
    </w:p>
    <w:p w14:paraId="57A34B7A" w14:textId="77777777" w:rsidR="000D5026" w:rsidRDefault="00C14694">
      <w:r>
        <w:t xml:space="preserve">Initially, it was difficult to identify the amount of information that would be provided in each analytical framework of the assignment. The literature of international business offers an abundance of environmental factors and models of strategy, which might lead to the inclusion of </w:t>
      </w:r>
      <w:r>
        <w:lastRenderedPageBreak/>
        <w:t>all of them. But I knew that this would weaken the report if I did that, because then it wouldn't be as analytical. I also had to ensure that I had a balance between theory and contemporary evidence, as there was a danger that a strong reliance on one aspect would mean that the other was not credible. As I continued my research, I began to feel very sure that I would only use the political, economic, legal and cultural factors that directly affected Tesla's strategic decisions. This change of approach enabl</w:t>
      </w:r>
      <w:r>
        <w:t>ed me to work through the process of reviewing the information presented to determine its relevance and make the report more coherent and focused.</w:t>
      </w:r>
    </w:p>
    <w:p w14:paraId="2E936A27" w14:textId="77777777" w:rsidR="000D5026" w:rsidRDefault="00C14694">
      <w:pPr>
        <w:pStyle w:val="Heading2"/>
      </w:pPr>
      <w:bookmarkStart w:id="15" w:name="_Toc234620904"/>
      <w:r>
        <w:t>Evaluation</w:t>
      </w:r>
      <w:bookmarkEnd w:id="15"/>
    </w:p>
    <w:p w14:paraId="685C240C" w14:textId="77777777" w:rsidR="000D5026" w:rsidRDefault="00C14694">
      <w:r>
        <w:t>The use of a variety of and credible sources was one aspect that was very successful. I used academic journals, in addition to publications from organisations</w:t>
      </w:r>
      <w:r>
        <w:t xml:space="preserve"> like the IMF, World Bank, OECD, Indonesian government agencies, and Tesla's corporate disclosures, as sources, rather than just media reports. Using evidence from a range of sources added to my confidence in conclusions drawn and minimized the potential for conclusions based on one point of view. In addition, the analytical flow of the report was structured in such a way that each section was logical and flowed from the one before it, instead of repeating the same points.</w:t>
      </w:r>
    </w:p>
    <w:p w14:paraId="31DFBDF2" w14:textId="77777777" w:rsidR="000D5026" w:rsidRDefault="00C14694">
      <w:r>
        <w:t>However, there were a few challenges. There were some issues which were important for several frameworks, e.g. issues of regulation and investment conditions. Initially, I found myself discussing similar evidence in both the macro-environmental analysis and the OLI framework. Redrafting the report involved separating out external conditions from the implications for Tesla. The editing process helped to make the final report clearer and more important to keep a clear purpose for each analytical model.</w:t>
      </w:r>
    </w:p>
    <w:p w14:paraId="6F86C1BB" w14:textId="77777777" w:rsidR="000D5026" w:rsidRDefault="00C14694">
      <w:pPr>
        <w:pStyle w:val="Heading2"/>
      </w:pPr>
      <w:bookmarkStart w:id="16" w:name="_Toc234620905"/>
      <w:r>
        <w:t>Analysis</w:t>
      </w:r>
      <w:bookmarkEnd w:id="16"/>
    </w:p>
    <w:p w14:paraId="1FC31474" w14:textId="60C17CD6" w:rsidR="000D5026" w:rsidRDefault="00C14694">
      <w:r>
        <w:t xml:space="preserve">The assignment proved that international business structures are best utilized when used in combination with </w:t>
      </w:r>
      <w:r w:rsidR="00941B4B">
        <w:t>each other and</w:t>
      </w:r>
      <w:r>
        <w:t xml:space="preserve"> not used individually. The model developed by Bartlett and Ghoshal gave insights into the strategic direction of Tesla in the international market and the macro-environmental analysis revealed the external opportunities and constraints that would impact market entry. The OLI paradigm then linked these external factors to the advantages of Tesla which resulted in a more convincing justification for the mode of entry recommended.</w:t>
      </w:r>
    </w:p>
    <w:p w14:paraId="19F460D0" w14:textId="77777777" w:rsidR="000D5026" w:rsidRDefault="00C14694">
      <w:r>
        <w:lastRenderedPageBreak/>
        <w:t>This experience also helped to reinforce the vital role of critical evaluation rather than descriptive reporting. At first, I thought that the most challenging aspect of the assignment was the data collection. But I found the real challenge was knowing which evidence did support the argument and which information was interesting, but not really relevant to the argument. As a result, I didn't try to use all the statistics and/or policy development that I could find. This method resulted in a deeper discussio</w:t>
      </w:r>
      <w:r>
        <w:t>n and made it possible to provide empirical evidence for each theoretical concept, rather than just one without the other.</w:t>
      </w:r>
    </w:p>
    <w:p w14:paraId="4F32C7A8" w14:textId="77777777" w:rsidR="000D5026" w:rsidRDefault="00C14694">
      <w:pPr>
        <w:pStyle w:val="Heading2"/>
      </w:pPr>
      <w:bookmarkStart w:id="17" w:name="_Toc234620906"/>
      <w:r>
        <w:t>Conclusion</w:t>
      </w:r>
      <w:bookmarkEnd w:id="17"/>
    </w:p>
    <w:p w14:paraId="6A22456E" w14:textId="5ED4459E" w:rsidR="000D5026" w:rsidRDefault="00C14694">
      <w:r>
        <w:t>This assignment helped me to get a better understanding of international business strategy and also to connect theory and practice. I learned that in order to be effective at analysing the information, it is not only necessary to use recognised</w:t>
      </w:r>
      <w:r>
        <w:t xml:space="preserve"> frameworks, but also to use judgement in selecting the appropriate information and presenting a coherent strategic argument. For a re-do, I would start by creating a diagram of the relationships among various analytical </w:t>
      </w:r>
      <w:r w:rsidR="00F542D3">
        <w:t>frameworks and</w:t>
      </w:r>
      <w:r>
        <w:t xml:space="preserve"> then do in-depth research. In doing so, there would be a reduction in the overlapping of </w:t>
      </w:r>
      <w:r w:rsidR="00F542D3">
        <w:t>sections,</w:t>
      </w:r>
      <w:r>
        <w:t xml:space="preserve"> and the structure would be more efficient from the start.</w:t>
      </w:r>
    </w:p>
    <w:p w14:paraId="3FCE7F27" w14:textId="77777777" w:rsidR="000D5026" w:rsidRDefault="00C14694">
      <w:pPr>
        <w:pStyle w:val="Heading2"/>
      </w:pPr>
      <w:bookmarkStart w:id="18" w:name="_Toc234620907"/>
      <w:r>
        <w:t>Action Plan</w:t>
      </w:r>
      <w:bookmarkEnd w:id="18"/>
    </w:p>
    <w:p w14:paraId="6FF0CE1C" w14:textId="77777777" w:rsidR="000D5026" w:rsidRDefault="00C14694">
      <w:r>
        <w:t>For future international business assignments, I plan to take more time to plan the analytical structure before starting the extensive research. I will also continue to focus on good quality institutional and academic sources and compare and contrast evidence from different viewpoints, rather than only one source. Last but not least, I will work on developing my skills on applying multiple strategic models in one strategic argument instead of working with each one separately. This will enhance my academic s</w:t>
      </w:r>
      <w:r>
        <w:t>tudies and help me to build the skills to carry out evidence-based strategic analysis in a professional business setting.</w:t>
      </w:r>
      <w:r>
        <w:t xml:space="preserve"> </w:t>
      </w:r>
    </w:p>
    <w:p w14:paraId="04200B4D" w14:textId="77777777" w:rsidR="000D5026" w:rsidRDefault="000D5026"/>
    <w:p w14:paraId="5C5E3780" w14:textId="77777777" w:rsidR="000D5026" w:rsidRDefault="000D5026"/>
    <w:p w14:paraId="258421FD" w14:textId="77777777" w:rsidR="000D5026" w:rsidRDefault="000D5026"/>
    <w:p w14:paraId="59189D62" w14:textId="77777777" w:rsidR="000D5026" w:rsidRDefault="000D5026"/>
    <w:p w14:paraId="205A9477" w14:textId="77777777" w:rsidR="000D5026" w:rsidRDefault="000D5026"/>
    <w:p w14:paraId="4DFE673B" w14:textId="77777777" w:rsidR="000D5026" w:rsidRDefault="00C14694">
      <w:pPr>
        <w:pStyle w:val="Heading1"/>
      </w:pPr>
      <w:bookmarkStart w:id="19" w:name="_Toc234620908"/>
      <w:r>
        <w:lastRenderedPageBreak/>
        <w:t>References</w:t>
      </w:r>
      <w:bookmarkEnd w:id="19"/>
    </w:p>
    <w:p w14:paraId="33CB1FA5" w14:textId="77777777" w:rsidR="000D5026" w:rsidRDefault="00C14694">
      <w:r>
        <w:t xml:space="preserve">ARMA Law (2025) </w:t>
      </w:r>
      <w:r>
        <w:rPr>
          <w:i/>
          <w:iCs/>
        </w:rPr>
        <w:t>Understanding Indonesia's local content (TKDN) framework</w:t>
      </w:r>
      <w:r>
        <w:t xml:space="preserve">. Available at: </w:t>
      </w:r>
      <w:hyperlink r:id="rId14" w:tgtFrame="_new" w:history="1">
        <w:r>
          <w:rPr>
            <w:rStyle w:val="Hyperlink"/>
          </w:rPr>
          <w:t>https://www.arma-law.com/news-event/newsflash/understanding-indonesias-local-content-tkdn-framework</w:t>
        </w:r>
      </w:hyperlink>
      <w:r>
        <w:t xml:space="preserve"> (Accessed: 30 June 2026).</w:t>
      </w:r>
    </w:p>
    <w:p w14:paraId="1289D549" w14:textId="77777777" w:rsidR="000D5026" w:rsidRDefault="00C14694">
      <w:r>
        <w:t xml:space="preserve">Autoini (2025) </w:t>
      </w:r>
      <w:r>
        <w:rPr>
          <w:i/>
          <w:iCs/>
        </w:rPr>
        <w:t>Electric car incentive Indonesia – will it continue in 2026?</w:t>
      </w:r>
      <w:r>
        <w:t xml:space="preserve"> Available at: </w:t>
      </w:r>
      <w:hyperlink r:id="rId15" w:tgtFrame="_new" w:history="1">
        <w:r>
          <w:rPr>
            <w:rStyle w:val="Hyperlink"/>
          </w:rPr>
          <w:t>https://www.autoini.com/auto-news/electric-car-incentive-indonesia/</w:t>
        </w:r>
      </w:hyperlink>
      <w:r>
        <w:t xml:space="preserve"> (Accessed: 28 June 2026).</w:t>
      </w:r>
    </w:p>
    <w:p w14:paraId="4CC80AEA" w14:textId="77777777" w:rsidR="000D5026" w:rsidRDefault="00C14694">
      <w:r>
        <w:t xml:space="preserve">Automotive Logistics (2024) </w:t>
      </w:r>
      <w:r>
        <w:rPr>
          <w:i/>
          <w:iCs/>
        </w:rPr>
        <w:t>Tesla pauses Mexico gigafactory until after US election due to Trump EV tariffs</w:t>
      </w:r>
      <w:r>
        <w:t xml:space="preserve">. Available at: </w:t>
      </w:r>
      <w:hyperlink r:id="rId16" w:tgtFrame="_new" w:history="1">
        <w:r>
          <w:rPr>
            <w:rStyle w:val="Hyperlink"/>
          </w:rPr>
          <w:t>https://www.automotivelogistics.media/ev-and-battery/tesla-pauses-mexico-gigafactory-until-after-us-election/186460</w:t>
        </w:r>
      </w:hyperlink>
      <w:r>
        <w:t xml:space="preserve"> (Accessed: 1 July 2026).</w:t>
      </w:r>
    </w:p>
    <w:p w14:paraId="31579218" w14:textId="77777777" w:rsidR="000D5026" w:rsidRDefault="00C14694">
      <w:r>
        <w:t xml:space="preserve">Baidu Baike (2026) </w:t>
      </w:r>
      <w:r>
        <w:rPr>
          <w:i/>
          <w:iCs/>
        </w:rPr>
        <w:t>Tesla Shanghai Gigafactory</w:t>
      </w:r>
      <w:r>
        <w:t xml:space="preserve">. Available at: </w:t>
      </w:r>
      <w:hyperlink r:id="rId17" w:tgtFrame="_new" w:history="1">
        <w:r>
          <w:rPr>
            <w:rStyle w:val="Hyperlink"/>
          </w:rPr>
          <w:t>https://baike.baidu.com/en/item/Tesla%20Shanghai%20Gigafactory/17881</w:t>
        </w:r>
      </w:hyperlink>
      <w:r>
        <w:t xml:space="preserve"> (Accessed: 5 July 2026).</w:t>
      </w:r>
    </w:p>
    <w:p w14:paraId="078C6974" w14:textId="77777777" w:rsidR="000D5026" w:rsidRDefault="00C14694">
      <w:r>
        <w:t xml:space="preserve">Bartlett, C.A. and Ghoshal, S. (1989) </w:t>
      </w:r>
      <w:r>
        <w:rPr>
          <w:i/>
          <w:iCs/>
        </w:rPr>
        <w:t>Managing across borders: the transnational solution</w:t>
      </w:r>
      <w:r>
        <w:t>. Boston: Harvard Business School Press.</w:t>
      </w:r>
    </w:p>
    <w:p w14:paraId="30B64C9A" w14:textId="77777777" w:rsidR="000D5026" w:rsidRDefault="00C14694">
      <w:r>
        <w:t xml:space="preserve">Bassot, B. (2024) </w:t>
      </w:r>
      <w:r>
        <w:rPr>
          <w:i/>
          <w:iCs/>
        </w:rPr>
        <w:t>The reflective journal</w:t>
      </w:r>
      <w:r>
        <w:t>. 4th edn. London: Palgrave Macmillan.</w:t>
      </w:r>
    </w:p>
    <w:p w14:paraId="5CA57208" w14:textId="77777777" w:rsidR="000D5026" w:rsidRDefault="00C14694">
      <w:r>
        <w:t xml:space="preserve">Benar News (2022) </w:t>
      </w:r>
      <w:r>
        <w:rPr>
          <w:i/>
          <w:iCs/>
        </w:rPr>
        <w:t>Tesla signs $5B deal to buy nickel from Indonesia, minister says</w:t>
      </w:r>
      <w:r>
        <w:t xml:space="preserve">. Available at: </w:t>
      </w:r>
      <w:hyperlink r:id="rId18" w:tgtFrame="_new" w:history="1">
        <w:r>
          <w:rPr>
            <w:rStyle w:val="Hyperlink"/>
          </w:rPr>
          <w:t>https://www.benarnews.org/english/news/indonesian/tesla-nickel-indonesia-08082022151550.html</w:t>
        </w:r>
      </w:hyperlink>
      <w:r>
        <w:t xml:space="preserve"> (Accessed: 4 July 2026).</w:t>
      </w:r>
    </w:p>
    <w:p w14:paraId="52147EB0" w14:textId="77777777" w:rsidR="000D5026" w:rsidRDefault="00C14694">
      <w:r>
        <w:t xml:space="preserve">Borderlex (2022) </w:t>
      </w:r>
      <w:r>
        <w:rPr>
          <w:i/>
          <w:iCs/>
        </w:rPr>
        <w:t>Indonesia nickel export ban: another WTO appeal into the void?</w:t>
      </w:r>
      <w:r>
        <w:t xml:space="preserve"> Available at: </w:t>
      </w:r>
      <w:hyperlink r:id="rId19" w:tgtFrame="_new" w:history="1">
        <w:r>
          <w:rPr>
            <w:rStyle w:val="Hyperlink"/>
          </w:rPr>
          <w:t>https://borderlex.net/2022/11/30/indonesia-nickel-export-ban-another-wto-appeal-into-the-void/</w:t>
        </w:r>
      </w:hyperlink>
      <w:r>
        <w:t xml:space="preserve"> (Accessed:7 July 2026).</w:t>
      </w:r>
    </w:p>
    <w:p w14:paraId="774D0159" w14:textId="77777777" w:rsidR="000D5026" w:rsidRDefault="00C14694">
      <w:r>
        <w:t xml:space="preserve">Chery Indonesia (2025) </w:t>
      </w:r>
      <w:r>
        <w:rPr>
          <w:i/>
          <w:iCs/>
        </w:rPr>
        <w:t>Electric car subsidy in Indonesia 2025: requirements and how to get it</w:t>
      </w:r>
      <w:r>
        <w:t xml:space="preserve">. Available at: </w:t>
      </w:r>
      <w:hyperlink r:id="rId20" w:tgtFrame="_new" w:history="1">
        <w:r>
          <w:rPr>
            <w:rStyle w:val="Hyperlink"/>
          </w:rPr>
          <w:t>https://chery.co.id/en/tips-and-tricks/electric-car-subsidy-in-indonesia</w:t>
        </w:r>
      </w:hyperlink>
      <w:r>
        <w:t xml:space="preserve"> (Accessed: 2 July 2026).</w:t>
      </w:r>
    </w:p>
    <w:p w14:paraId="6039A43F" w14:textId="77777777" w:rsidR="000D5026" w:rsidRDefault="00C14694">
      <w:r>
        <w:t xml:space="preserve">Dunning, J.H. and Lundan, S.M. (2008) </w:t>
      </w:r>
      <w:r>
        <w:rPr>
          <w:i/>
          <w:iCs/>
        </w:rPr>
        <w:t>Multinational enterprises and the global economy</w:t>
      </w:r>
      <w:r>
        <w:t>. 2nd edn. Cheltenham: Edward Elgar Publishing.</w:t>
      </w:r>
    </w:p>
    <w:p w14:paraId="1E5EFAE7" w14:textId="77777777" w:rsidR="000D5026" w:rsidRDefault="00C14694">
      <w:r>
        <w:lastRenderedPageBreak/>
        <w:t xml:space="preserve">Electric-Vehicles.com (2026) </w:t>
      </w:r>
      <w:r>
        <w:rPr>
          <w:i/>
          <w:iCs/>
        </w:rPr>
        <w:t>Tesla India sales remain below 50 units in April as fourth showroom opens</w:t>
      </w:r>
      <w:r>
        <w:t xml:space="preserve">. Available at: </w:t>
      </w:r>
      <w:hyperlink r:id="rId21" w:tgtFrame="_new" w:history="1">
        <w:r>
          <w:rPr>
            <w:rStyle w:val="Hyperlink"/>
          </w:rPr>
          <w:t>https://eletric-vehicles.com/tesla/tesla-india-sales-remain-below-50-units-in-april-as-fourth-showroom-opens/</w:t>
        </w:r>
      </w:hyperlink>
      <w:r>
        <w:t xml:space="preserve"> (Accessed: 8 July 2026).</w:t>
      </w:r>
    </w:p>
    <w:p w14:paraId="3CCC269E" w14:textId="77777777" w:rsidR="000D5026" w:rsidRDefault="00C14694">
      <w:r>
        <w:t xml:space="preserve">Griffin, R.W. and Pustay, M.W. (2020) </w:t>
      </w:r>
      <w:r>
        <w:rPr>
          <w:i/>
          <w:iCs/>
        </w:rPr>
        <w:t>International business: a managerial perspective</w:t>
      </w:r>
      <w:r>
        <w:t>. 9th Global edn. Harlow: Pearson.</w:t>
      </w:r>
    </w:p>
    <w:p w14:paraId="7EF245CC" w14:textId="77777777" w:rsidR="000D5026" w:rsidRDefault="00C14694">
      <w:r>
        <w:t xml:space="preserve">Harwit, E. (2023) </w:t>
      </w:r>
      <w:r>
        <w:rPr>
          <w:i/>
          <w:iCs/>
        </w:rPr>
        <w:t>Tesla goes to China</w:t>
      </w:r>
      <w:r>
        <w:t xml:space="preserve">. East-West Center Issues Brief. Available at: </w:t>
      </w:r>
      <w:hyperlink r:id="rId22" w:tgtFrame="_new" w:history="1">
        <w:r>
          <w:rPr>
            <w:rStyle w:val="Hyperlink"/>
          </w:rPr>
          <w:t>https://www.eastwestcenter.org/sites/default/files/private/apb152harwit.pdf</w:t>
        </w:r>
      </w:hyperlink>
      <w:r>
        <w:t xml:space="preserve"> (Accessed: 30 June 2026).</w:t>
      </w:r>
    </w:p>
    <w:p w14:paraId="2F6CB179" w14:textId="77777777" w:rsidR="000D5026" w:rsidRDefault="00C14694">
      <w:r>
        <w:t xml:space="preserve">Hofstede, G., Hofstede, G.J. and Minkov, M. (2010) </w:t>
      </w:r>
      <w:r>
        <w:rPr>
          <w:i/>
          <w:iCs/>
        </w:rPr>
        <w:t>Cultures and organizations: software of the mind</w:t>
      </w:r>
      <w:r>
        <w:t>. 3rd edn. New York: McGraw-Hill.</w:t>
      </w:r>
    </w:p>
    <w:p w14:paraId="77E14D4A" w14:textId="77777777" w:rsidR="000D5026" w:rsidRDefault="00C14694">
      <w:r>
        <w:t xml:space="preserve">Institute for Essential Services Reform (IESR) (2025) </w:t>
      </w:r>
      <w:r>
        <w:rPr>
          <w:i/>
          <w:iCs/>
        </w:rPr>
        <w:t>Economic benefits of up to Rp544 trillion per year vanish as EV incentives end</w:t>
      </w:r>
      <w:r>
        <w:t xml:space="preserve">. Available at: </w:t>
      </w:r>
      <w:hyperlink r:id="rId23" w:tgtFrame="_new" w:history="1">
        <w:r>
          <w:rPr>
            <w:rStyle w:val="Hyperlink"/>
          </w:rPr>
          <w:t>https://iesr.or.id/en/economic-benefits-of-up-to-rp544-trillion-per-year-vanish-as-ev-incentives-end/</w:t>
        </w:r>
      </w:hyperlink>
      <w:r>
        <w:t xml:space="preserve"> (Accessed: 8 July 2026).</w:t>
      </w:r>
    </w:p>
    <w:p w14:paraId="195F0406" w14:textId="77777777" w:rsidR="000D5026" w:rsidRDefault="00C14694">
      <w:r>
        <w:t xml:space="preserve">International Monetary Fund (2026) </w:t>
      </w:r>
      <w:r>
        <w:rPr>
          <w:i/>
          <w:iCs/>
        </w:rPr>
        <w:t>IMF Executive Board concludes 2025 Article IV consultation with Indonesia</w:t>
      </w:r>
      <w:r>
        <w:t xml:space="preserve">. Press Release No. 26/010. Available at: </w:t>
      </w:r>
      <w:hyperlink r:id="rId24" w:tgtFrame="_new" w:history="1">
        <w:r>
          <w:rPr>
            <w:rStyle w:val="Hyperlink"/>
          </w:rPr>
          <w:t>https://www.imf.org/en/news/articles/2026/01/21/pr-26010-indnonesia-imf-executive-board-concludes-2025-article-iv-consultation</w:t>
        </w:r>
      </w:hyperlink>
      <w:r>
        <w:t xml:space="preserve"> (Accessed: 5 July 2026).</w:t>
      </w:r>
    </w:p>
    <w:p w14:paraId="6D2A227C" w14:textId="77777777" w:rsidR="000D5026" w:rsidRDefault="00C14694">
      <w:r>
        <w:t xml:space="preserve">Kearney (2025) </w:t>
      </w:r>
      <w:r>
        <w:rPr>
          <w:i/>
          <w:iCs/>
        </w:rPr>
        <w:t>The 2025 Kearney foreign direct investment confidence index: world at inflection</w:t>
      </w:r>
      <w:r>
        <w:t xml:space="preserve">. Available at: </w:t>
      </w:r>
      <w:hyperlink r:id="rId25" w:tgtFrame="_new" w:history="1">
        <w:r>
          <w:rPr>
            <w:rStyle w:val="Hyperlink"/>
          </w:rPr>
          <w:t>https://www.kearney.com/service/global-business-policy-council/foreign-direct-investment-confidence-index/2025-full-report</w:t>
        </w:r>
      </w:hyperlink>
      <w:r>
        <w:t xml:space="preserve"> (Accessed: 7 July 2026).</w:t>
      </w:r>
    </w:p>
    <w:p w14:paraId="0479D3C1" w14:textId="77777777" w:rsidR="000D5026" w:rsidRDefault="00C14694">
      <w:r>
        <w:t xml:space="preserve">Kusuma Law Firm (2025) </w:t>
      </w:r>
      <w:r>
        <w:rPr>
          <w:i/>
          <w:iCs/>
        </w:rPr>
        <w:t>Indonesia's new local content rules: what businesses must know under MOI Regulation No. 35/2025</w:t>
      </w:r>
      <w:r>
        <w:t xml:space="preserve">. Available at: </w:t>
      </w:r>
      <w:hyperlink r:id="rId26" w:tgtFrame="_new" w:history="1">
        <w:r>
          <w:rPr>
            <w:rStyle w:val="Hyperlink"/>
          </w:rPr>
          <w:t>https://kusumalawfirm.com/regulatory-updates/indonesias-new-local-content-rules-what-businesses-must-know-under-moi-regulation-no-35-2025/</w:t>
        </w:r>
      </w:hyperlink>
      <w:r>
        <w:t xml:space="preserve"> (Accessed: 3 July 2026).</w:t>
      </w:r>
    </w:p>
    <w:p w14:paraId="50BD4B62" w14:textId="77777777" w:rsidR="000D5026" w:rsidRDefault="00C14694">
      <w:r>
        <w:t xml:space="preserve">Organisation for Economic Co-operation and Development (OECD) (2026) </w:t>
      </w:r>
      <w:r>
        <w:rPr>
          <w:i/>
          <w:iCs/>
        </w:rPr>
        <w:t>Regional note on critical minerals in Southeast Asia and India</w:t>
      </w:r>
      <w:r>
        <w:t xml:space="preserve">. OECD Critical Minerals Forum. Available at: </w:t>
      </w:r>
      <w:hyperlink r:id="rId27" w:tgtFrame="_new" w:history="1">
        <w:r>
          <w:rPr>
            <w:rStyle w:val="Hyperlink"/>
          </w:rPr>
          <w:t>https://www.oecd.org/content/dam/oecd/en/events/2026/04/critical-minerals-</w:t>
        </w:r>
        <w:r>
          <w:rPr>
            <w:rStyle w:val="Hyperlink"/>
          </w:rPr>
          <w:lastRenderedPageBreak/>
          <w:t>forum/CM%20Regional%20Note%20-%20Southeast%20Asia%20and%20India.pdf</w:t>
        </w:r>
      </w:hyperlink>
      <w:r>
        <w:t xml:space="preserve"> (Accessed: 28 June 2026).</w:t>
      </w:r>
    </w:p>
    <w:p w14:paraId="0901D841" w14:textId="77777777" w:rsidR="000D5026" w:rsidRDefault="00C14694">
      <w:r>
        <w:t xml:space="preserve">REGlobal (2026) </w:t>
      </w:r>
      <w:r>
        <w:rPr>
          <w:i/>
          <w:iCs/>
        </w:rPr>
        <w:t>Electric vehicle market trends in Indonesia</w:t>
      </w:r>
      <w:r>
        <w:t xml:space="preserve">. Available at: </w:t>
      </w:r>
      <w:hyperlink r:id="rId28" w:tgtFrame="_new" w:history="1">
        <w:r>
          <w:rPr>
            <w:rStyle w:val="Hyperlink"/>
          </w:rPr>
          <w:t>https://reglobal.org/electric-vehicle-market-in-indonesia/</w:t>
        </w:r>
      </w:hyperlink>
      <w:r>
        <w:t xml:space="preserve"> (Accessed: 29 June 2026).</w:t>
      </w:r>
    </w:p>
    <w:p w14:paraId="26D1ED70" w14:textId="77777777" w:rsidR="000D5026" w:rsidRDefault="00C14694">
      <w:r>
        <w:t xml:space="preserve">SSEK Law Firm (2025) </w:t>
      </w:r>
      <w:r>
        <w:rPr>
          <w:i/>
          <w:iCs/>
        </w:rPr>
        <w:t>Indonesia's green investment: regulations and incentives for renewable energy, electric vehicles, and green infrastructure</w:t>
      </w:r>
      <w:r>
        <w:t xml:space="preserve">. Available at: </w:t>
      </w:r>
      <w:hyperlink r:id="rId29" w:tgtFrame="_new" w:history="1">
        <w:r>
          <w:rPr>
            <w:rStyle w:val="Hyperlink"/>
          </w:rPr>
          <w:t>https://ssek.com/blog/indonesias-green-investment-regulations-and-incentives-for-renewable-energy-electric-vehicles-and-green-infrastructure/</w:t>
        </w:r>
      </w:hyperlink>
      <w:r>
        <w:t xml:space="preserve"> (Accessed: 26 June 2026).</w:t>
      </w:r>
    </w:p>
    <w:p w14:paraId="5E8EA186" w14:textId="77777777" w:rsidR="000D5026" w:rsidRDefault="00C14694">
      <w:r>
        <w:t xml:space="preserve">Tesla, Inc. (2023) </w:t>
      </w:r>
      <w:r>
        <w:rPr>
          <w:i/>
          <w:iCs/>
        </w:rPr>
        <w:t>Form 10-K, FY2023</w:t>
      </w:r>
      <w:r>
        <w:t>. U.S. Securities and Exchange Commission.</w:t>
      </w:r>
    </w:p>
    <w:p w14:paraId="20D78898" w14:textId="77777777" w:rsidR="000D5026" w:rsidRDefault="00C14694">
      <w:r>
        <w:t xml:space="preserve">Tesla, Inc. (2025) </w:t>
      </w:r>
      <w:r>
        <w:rPr>
          <w:i/>
          <w:iCs/>
        </w:rPr>
        <w:t>About Tesla</w:t>
      </w:r>
      <w:r>
        <w:t>. Available at: https://www.tesla.com/about [Accessed 11 July 2026].</w:t>
      </w:r>
    </w:p>
    <w:p w14:paraId="079FECD0" w14:textId="77777777" w:rsidR="000D5026" w:rsidRDefault="00C14694">
      <w:r>
        <w:t xml:space="preserve">Tesla, Inc. (2026) </w:t>
      </w:r>
      <w:r>
        <w:rPr>
          <w:i/>
          <w:iCs/>
        </w:rPr>
        <w:t>Form 8-K, FY2026, Exhibit 99.1 (Manufacturing &amp; Hardware capacity table)</w:t>
      </w:r>
      <w:r>
        <w:t xml:space="preserve">. U.S. Securities and Exchange Commission. Available at: </w:t>
      </w:r>
      <w:hyperlink r:id="rId30" w:tgtFrame="_new" w:history="1">
        <w:r>
          <w:rPr>
            <w:rStyle w:val="Hyperlink"/>
          </w:rPr>
          <w:t>https://www.sec.gov/Archives/edgar/data/1318605/000162828026003837/exhibit991.htm</w:t>
        </w:r>
      </w:hyperlink>
      <w:r>
        <w:t xml:space="preserve"> (Accessed: 5 July 2026).</w:t>
      </w:r>
    </w:p>
    <w:p w14:paraId="1D4CA6E1" w14:textId="77777777" w:rsidR="000D5026" w:rsidRDefault="00C14694">
      <w:r>
        <w:t xml:space="preserve">UN Trade and Development (UNCTAD) (2025) </w:t>
      </w:r>
      <w:r>
        <w:rPr>
          <w:i/>
          <w:iCs/>
        </w:rPr>
        <w:t>World investment report 2025: international investment in the digital economy</w:t>
      </w:r>
      <w:r>
        <w:t xml:space="preserve">. Geneva: United Nations. Available at: </w:t>
      </w:r>
      <w:hyperlink r:id="rId31" w:tgtFrame="_new" w:history="1">
        <w:r>
          <w:rPr>
            <w:rStyle w:val="Hyperlink"/>
          </w:rPr>
          <w:t>https://unctad.org/publication/world-investment-report-2025</w:t>
        </w:r>
      </w:hyperlink>
      <w:r>
        <w:t xml:space="preserve"> (Accessed: 6 July 2026).</w:t>
      </w:r>
    </w:p>
    <w:p w14:paraId="20AACBE0" w14:textId="77777777" w:rsidR="000D5026" w:rsidRDefault="00C14694">
      <w:r>
        <w:t xml:space="preserve">World Bank (2026) </w:t>
      </w:r>
      <w:r>
        <w:rPr>
          <w:i/>
          <w:iCs/>
        </w:rPr>
        <w:t>GDP per capita (current US$) — Indonesia</w:t>
      </w:r>
      <w:r>
        <w:t xml:space="preserve">. World Bank Open Data. Available at: </w:t>
      </w:r>
      <w:hyperlink r:id="rId32" w:tgtFrame="_new" w:history="1">
        <w:r>
          <w:rPr>
            <w:rStyle w:val="Hyperlink"/>
          </w:rPr>
          <w:t>https://data.worldbank.org/indicator/NY.GDP.PCAP.CD?locations=ID</w:t>
        </w:r>
      </w:hyperlink>
      <w:r>
        <w:t xml:space="preserve"> (Accessed: 5 July 2026).</w:t>
      </w:r>
    </w:p>
    <w:p w14:paraId="535C0473" w14:textId="77777777" w:rsidR="000D5026" w:rsidRDefault="00C14694">
      <w:r>
        <w:t xml:space="preserve">World Trade Organization (2022) </w:t>
      </w:r>
      <w:r>
        <w:rPr>
          <w:i/>
          <w:iCs/>
        </w:rPr>
        <w:t>DS592: Indonesia — measures relating to raw materials, panel report circulated 30 November 2022</w:t>
      </w:r>
      <w:r>
        <w:t xml:space="preserve">. Available at: </w:t>
      </w:r>
      <w:hyperlink r:id="rId33" w:tgtFrame="_new" w:history="1">
        <w:r>
          <w:rPr>
            <w:rStyle w:val="Hyperlink"/>
          </w:rPr>
          <w:t>https://www.wto.org/english/tratop_e/dispu_e/cases_e/ds592_e.htm</w:t>
        </w:r>
      </w:hyperlink>
      <w:r>
        <w:t xml:space="preserve"> (Accessed: 2 Ju;y 2026).</w:t>
      </w:r>
    </w:p>
    <w:p w14:paraId="0C2392D6" w14:textId="77777777" w:rsidR="000D5026" w:rsidRDefault="00C14694">
      <w:r>
        <w:t xml:space="preserve">Yahoo Finance/American Enterprise Institute (2024) </w:t>
      </w:r>
      <w:r>
        <w:rPr>
          <w:i/>
          <w:iCs/>
        </w:rPr>
        <w:t>Indonesia's $5 billion deal with Tesla is only part of its all-in strategy on nickel mining</w:t>
      </w:r>
      <w:r>
        <w:t xml:space="preserve">. Available at: </w:t>
      </w:r>
      <w:hyperlink r:id="rId34" w:tgtFrame="_new" w:history="1">
        <w:r>
          <w:rPr>
            <w:rStyle w:val="Hyperlink"/>
          </w:rPr>
          <w:t>https://finance.yahoo.com/news/indonesia-5-billion-deal-tesla-230000460.html</w:t>
        </w:r>
      </w:hyperlink>
      <w:r>
        <w:t xml:space="preserve"> (Accessed: 8 July 2026).</w:t>
      </w:r>
    </w:p>
    <w:p w14:paraId="4BC4D42A" w14:textId="77777777" w:rsidR="000D5026" w:rsidRDefault="000D5026"/>
    <w:sectPr w:rsidR="000D5026">
      <w:footerReference w:type="default" r:id="rId35"/>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33674C" w14:textId="77777777" w:rsidR="00C14694" w:rsidRDefault="00C14694">
      <w:pPr>
        <w:spacing w:after="0" w:line="240" w:lineRule="auto"/>
      </w:pPr>
      <w:r>
        <w:separator/>
      </w:r>
    </w:p>
  </w:endnote>
  <w:endnote w:type="continuationSeparator" w:id="0">
    <w:p w14:paraId="2E91C7BE" w14:textId="77777777" w:rsidR="00C14694" w:rsidRDefault="00C14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2729357" w14:textId="77777777" w:rsidR="000D5026" w:rsidRDefault="00C14694">
    <w:pPr>
      <w:pStyle w:val="Footer"/>
      <w:jc w:val="center"/>
    </w:pPr>
    <w:r>
      <w:fldChar w:fldCharType="begin"/>
    </w:r>
    <w:r>
      <w:instrText xml:space="preserve"> PAGE   \* MERGEFORMAT </w:instrText>
    </w:r>
    <w:r>
      <w:fldChar w:fldCharType="separate"/>
    </w:r>
    <w:r>
      <w:rPr>
        <w:noProof/>
      </w:rPr>
      <w:t>2</w:t>
    </w:r>
    <w:r>
      <w:rPr>
        <w:noProof/>
      </w:rPr>
      <w:fldChar w:fldCharType="end"/>
    </w:r>
  </w:p>
  <w:p w14:paraId="408B46B3" w14:textId="77777777" w:rsidR="000D5026" w:rsidRDefault="000D50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757BDA" w14:textId="77777777" w:rsidR="000D5026" w:rsidRDefault="00C14694">
    <w:pPr>
      <w:pStyle w:val="Footer"/>
      <w:jc w:val="center"/>
    </w:pPr>
    <w:r>
      <w:fldChar w:fldCharType="begin"/>
    </w:r>
    <w:r>
      <w:instrText xml:space="preserve"> PAGE   \* MERGEFORMAT </w:instrText>
    </w:r>
    <w:r>
      <w:fldChar w:fldCharType="separate"/>
    </w:r>
    <w:r>
      <w:rPr>
        <w:noProof/>
      </w:rPr>
      <w:t>2</w:t>
    </w:r>
    <w:r>
      <w:rPr>
        <w:noProof/>
      </w:rPr>
      <w:fldChar w:fldCharType="end"/>
    </w:r>
  </w:p>
  <w:p w14:paraId="7A1D15AF" w14:textId="77777777" w:rsidR="000D5026" w:rsidRDefault="000D5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5A80EE" w14:textId="77777777" w:rsidR="00C14694" w:rsidRDefault="00C14694">
      <w:pPr>
        <w:spacing w:after="0" w:line="240" w:lineRule="auto"/>
      </w:pPr>
      <w:r>
        <w:separator/>
      </w:r>
    </w:p>
  </w:footnote>
  <w:footnote w:type="continuationSeparator" w:id="0">
    <w:p w14:paraId="15A80698" w14:textId="77777777" w:rsidR="00C14694" w:rsidRDefault="00C146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multiLevelType w:val="hybridMultilevel"/>
    <w:tmpl w:val="58A8AF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93601748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026"/>
    <w:rsid w:val="00021CFB"/>
    <w:rsid w:val="000D5026"/>
    <w:rsid w:val="001106D9"/>
    <w:rsid w:val="0013384C"/>
    <w:rsid w:val="0018544D"/>
    <w:rsid w:val="00296B31"/>
    <w:rsid w:val="004F0EC3"/>
    <w:rsid w:val="0054096D"/>
    <w:rsid w:val="00677F7E"/>
    <w:rsid w:val="00854298"/>
    <w:rsid w:val="008B6C2A"/>
    <w:rsid w:val="008F3E37"/>
    <w:rsid w:val="00941B4B"/>
    <w:rsid w:val="00B45D7C"/>
    <w:rsid w:val="00BF4EFC"/>
    <w:rsid w:val="00C14694"/>
    <w:rsid w:val="00CA08F3"/>
    <w:rsid w:val="00D74D40"/>
    <w:rsid w:val="00DC2E9D"/>
    <w:rsid w:val="00E1326C"/>
    <w:rsid w:val="00F02567"/>
    <w:rsid w:val="00F542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66E45F0"/>
  <w15:docId w15:val="{8086766C-A6E3-9E40-885D-3FDDF7D63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jc w:val="left"/>
      <w:outlineLvl w:val="0"/>
    </w:pPr>
    <w:rPr>
      <w:rFonts w:eastAsia="SimSun"/>
      <w:b/>
      <w:color w:val="000000"/>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b/>
      <w:color w:val="00000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000000"/>
      <w:sz w:val="32"/>
      <w:szCs w:val="32"/>
    </w:rPr>
  </w:style>
  <w:style w:type="character" w:customStyle="1" w:styleId="Heading2Char">
    <w:name w:val="Heading 2 Char"/>
    <w:basedOn w:val="DefaultParagraphFont"/>
    <w:link w:val="Heading2"/>
    <w:uiPriority w:val="9"/>
    <w:rPr>
      <w:rFonts w:ascii="Times New Roman" w:eastAsia="SimSun" w:hAnsi="Times New Roman" w:cs="SimSun"/>
      <w:b/>
      <w:color w:val="000000"/>
      <w:sz w:val="26"/>
      <w:szCs w:val="26"/>
    </w:rPr>
  </w:style>
  <w:style w:type="paragraph" w:styleId="Title">
    <w:name w:val="Title"/>
    <w:basedOn w:val="Normal"/>
    <w:next w:val="Normal"/>
    <w:link w:val="TitleChar"/>
    <w:uiPriority w:val="10"/>
    <w:qFormat/>
    <w:pPr>
      <w:spacing w:after="0" w:line="240" w:lineRule="auto"/>
      <w:contextualSpacing/>
    </w:pPr>
    <w:rPr>
      <w:rFonts w:eastAsia="SimSun"/>
      <w:spacing w:val="-10"/>
      <w:kern w:val="28"/>
      <w:sz w:val="48"/>
      <w:szCs w:val="56"/>
    </w:rPr>
  </w:style>
  <w:style w:type="character" w:customStyle="1" w:styleId="TitleChar">
    <w:name w:val="Title Char"/>
    <w:basedOn w:val="DefaultParagraphFont"/>
    <w:link w:val="Title"/>
    <w:uiPriority w:val="10"/>
    <w:rPr>
      <w:rFonts w:ascii="Times New Roman" w:eastAsia="SimSun" w:hAnsi="Times New Roman" w:cs="SimSun"/>
      <w:spacing w:val="-10"/>
      <w:kern w:val="28"/>
      <w:sz w:val="48"/>
      <w:szCs w:val="56"/>
    </w:rPr>
  </w:style>
  <w:style w:type="paragraph" w:styleId="Subtitle">
    <w:name w:val="Subtitle"/>
    <w:basedOn w:val="Normal"/>
    <w:next w:val="Normal"/>
    <w:link w:val="SubtitleChar"/>
    <w:uiPriority w:val="11"/>
    <w:qFormat/>
    <w:pPr>
      <w:numPr>
        <w:ilvl w:val="1"/>
      </w:numPr>
    </w:pPr>
    <w:rPr>
      <w:rFonts w:eastAsia="SimSun"/>
      <w:color w:val="000000"/>
      <w:spacing w:val="15"/>
    </w:rPr>
  </w:style>
  <w:style w:type="character" w:customStyle="1" w:styleId="SubtitleChar">
    <w:name w:val="Subtitle Char"/>
    <w:basedOn w:val="DefaultParagraphFont"/>
    <w:link w:val="Subtitle"/>
    <w:uiPriority w:val="11"/>
    <w:rPr>
      <w:rFonts w:ascii="Times New Roman" w:eastAsia="SimSun" w:hAnsi="Times New Roman"/>
      <w:color w:val="000000"/>
      <w:spacing w:val="15"/>
      <w:sz w:val="24"/>
    </w:rPr>
  </w:style>
  <w:style w:type="paragraph" w:styleId="TOCHeading">
    <w:name w:val="TOC Heading"/>
    <w:basedOn w:val="Heading1"/>
    <w:next w:val="Normal"/>
    <w:uiPriority w:val="39"/>
    <w:qFormat/>
    <w:pPr>
      <w:spacing w:line="259" w:lineRule="auto"/>
      <w:outlineLvl w:val="9"/>
    </w:pPr>
    <w:rPr>
      <w:rFonts w:ascii="Calibri Light" w:hAnsi="Calibri Light"/>
      <w:b w:val="0"/>
      <w:color w:val="2F5496"/>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ListParagraph">
    <w:name w:val="List Paragraph"/>
    <w:basedOn w:val="Normal"/>
    <w:uiPriority w:val="34"/>
    <w:qFormat/>
    <w:pPr>
      <w:spacing w:after="200"/>
      <w:ind w:left="720"/>
      <w:contextualSpacing/>
    </w:pPr>
    <w:rPr>
      <w:rFonts w:ascii="Arial" w:hAnsi="Arial"/>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benarnews.org/english/news/indonesian/tesla-nickel-indonesia-08082022151550.html" TargetMode="External"/><Relationship Id="rId26" Type="http://schemas.openxmlformats.org/officeDocument/2006/relationships/hyperlink" Target="https://kusumalawfirm.com/regulatory-updates/indonesias-new-local-content-rules-what-businesses-must-know-under-moi-regulation-no-35-2025/" TargetMode="External"/><Relationship Id="rId21" Type="http://schemas.openxmlformats.org/officeDocument/2006/relationships/hyperlink" Target="https://eletric-vehicles.com/tesla/tesla-india-sales-remain-below-50-units-in-april-as-fourth-showroom-opens/" TargetMode="External"/><Relationship Id="rId34" Type="http://schemas.openxmlformats.org/officeDocument/2006/relationships/hyperlink" Target="https://finance.yahoo.com/news/indonesia-5-billion-deal-tesla-230000460.html"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baike.baidu.com/en/item/Tesla%20Shanghai%20Gigafactory/17881" TargetMode="External"/><Relationship Id="rId25" Type="http://schemas.openxmlformats.org/officeDocument/2006/relationships/hyperlink" Target="https://www.kearney.com/service/global-business-policy-council/foreign-direct-investment-confidence-index/2025-full-report" TargetMode="External"/><Relationship Id="rId33" Type="http://schemas.openxmlformats.org/officeDocument/2006/relationships/hyperlink" Target="https://www.wto.org/english/tratop_e/dispu_e/cases_e/ds592_e.htm" TargetMode="External"/><Relationship Id="rId2" Type="http://schemas.openxmlformats.org/officeDocument/2006/relationships/numbering" Target="numbering.xml"/><Relationship Id="rId16" Type="http://schemas.openxmlformats.org/officeDocument/2006/relationships/hyperlink" Target="https://www.automotivelogistics.media/ev-and-battery/tesla-pauses-mexico-gigafactory-until-after-us-election/186460" TargetMode="External"/><Relationship Id="rId20" Type="http://schemas.openxmlformats.org/officeDocument/2006/relationships/hyperlink" Target="https://chery.co.id/en/tips-and-tricks/electric-car-subsidy-in-indonesia" TargetMode="External"/><Relationship Id="rId29" Type="http://schemas.openxmlformats.org/officeDocument/2006/relationships/hyperlink" Target="https://ssek.com/blog/indonesias-green-investment-regulations-and-incentives-for-renewable-energy-electric-vehicles-and-green-infrastruc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imf.org/en/news/articles/2026/01/21/pr-26010-indnonesia-imf-executive-board-concludes-2025-article-iv-consultation" TargetMode="External"/><Relationship Id="rId32" Type="http://schemas.openxmlformats.org/officeDocument/2006/relationships/hyperlink" Target="https://data.worldbank.org/indicator/NY.GDP.PCAP.CD?locations=ID"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utoini.com/auto-news/electric-car-incentive-indonesia/" TargetMode="External"/><Relationship Id="rId23" Type="http://schemas.openxmlformats.org/officeDocument/2006/relationships/hyperlink" Target="https://iesr.or.id/en/economic-benefits-of-up-to-rp544-trillion-per-year-vanish-as-ev-incentives-end/" TargetMode="External"/><Relationship Id="rId28" Type="http://schemas.openxmlformats.org/officeDocument/2006/relationships/hyperlink" Target="https://reglobal.org/electric-vehicle-market-in-indonesia/" TargetMode="External"/><Relationship Id="rId36"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borderlex.net/2022/11/30/indonesia-nickel-export-ban-another-wto-appeal-into-the-void/" TargetMode="External"/><Relationship Id="rId31" Type="http://schemas.openxmlformats.org/officeDocument/2006/relationships/hyperlink" Target="https://unctad.org/publication/world-investment-report-202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arma-law.com/news-event/newsflash/understanding-indonesias-local-content-tkdn-framework" TargetMode="External"/><Relationship Id="rId22" Type="http://schemas.openxmlformats.org/officeDocument/2006/relationships/hyperlink" Target="https://www.eastwestcenter.org/sites/default/files/private/apb152harwit.pdf" TargetMode="External"/><Relationship Id="rId27" Type="http://schemas.openxmlformats.org/officeDocument/2006/relationships/hyperlink" Target="https://www.oecd.org/content/dam/oecd/en/events/2026/04/critical-minerals-forum/CM%20Regional%20Note%20-%20Southeast%20Asia%20and%20India.pdf" TargetMode="External"/><Relationship Id="rId30" Type="http://schemas.openxmlformats.org/officeDocument/2006/relationships/hyperlink" Target="https://www.sec.gov/Archives/edgar/data/1318605/000162828026003837/exhibit991.htm"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9F507-A729-41A1-9EEA-6AE684547E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6717</Words>
  <Characters>38290</Characters>
  <Application>Microsoft Office Word</Application>
  <DocSecurity>0</DocSecurity>
  <Lines>319</Lines>
  <Paragraphs>89</Paragraphs>
  <ScaleCrop>false</ScaleCrop>
  <Company/>
  <LinksUpToDate>false</LinksUpToDate>
  <CharactersWithSpaces>44918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max masoom</cp:lastModifiedBy>
  <cp:revision>2</cp:revision>
  <dcterms:created xsi:type="dcterms:W3CDTF">2026-07-28T00:31:00Z</dcterms:created>
  <dcterms:modified xsi:type="dcterms:W3CDTF">2026-07-28T00:31:00Z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ee8b7a72a6e04c7f9e5af8a709cb910b_23</vt:lpwstr>
  </property>
</Properties>
</file>