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061007" w14:textId="47A1933E" w:rsidR="003C1399" w:rsidRDefault="003C1399" w:rsidP="009A78CC">
      <w:pPr>
        <w:adjustRightInd w:val="0"/>
        <w:snapToGrid w:val="0"/>
        <w:contextualSpacing/>
        <w:jc w:val="center"/>
        <w:rPr>
          <w:sz w:val="20"/>
          <w:szCs w:val="20"/>
          <w:lang w:val="en-GB"/>
        </w:rPr>
      </w:pPr>
    </w:p>
    <w:p w14:paraId="72FCCD6A" w14:textId="77777777" w:rsidR="003C1399" w:rsidRPr="003C1399" w:rsidRDefault="003C1399" w:rsidP="009A78CC">
      <w:pPr>
        <w:adjustRightInd w:val="0"/>
        <w:snapToGrid w:val="0"/>
        <w:contextualSpacing/>
        <w:rPr>
          <w:b/>
          <w:sz w:val="26"/>
          <w:szCs w:val="24"/>
          <w:lang w:val="en-HK"/>
        </w:rPr>
      </w:pPr>
    </w:p>
    <w:p w14:paraId="67614CF2" w14:textId="77777777" w:rsidR="003C1399" w:rsidRPr="003C1399" w:rsidRDefault="003C1399" w:rsidP="009A78CC">
      <w:pPr>
        <w:adjustRightInd w:val="0"/>
        <w:snapToGrid w:val="0"/>
        <w:contextualSpacing/>
        <w:jc w:val="center"/>
        <w:rPr>
          <w:b/>
          <w:sz w:val="26"/>
          <w:szCs w:val="26"/>
          <w:lang w:val="en-HK"/>
        </w:rPr>
      </w:pPr>
    </w:p>
    <w:p w14:paraId="1AD1E06B" w14:textId="6E8F9DBD" w:rsidR="003C1399" w:rsidRPr="003C1399" w:rsidRDefault="00E45629" w:rsidP="009A78CC">
      <w:pPr>
        <w:adjustRightInd w:val="0"/>
        <w:snapToGrid w:val="0"/>
        <w:contextualSpacing/>
        <w:jc w:val="center"/>
        <w:rPr>
          <w:b/>
          <w:sz w:val="26"/>
          <w:szCs w:val="26"/>
          <w:lang w:val="en-HK"/>
        </w:rPr>
      </w:pPr>
      <w:r>
        <w:rPr>
          <w:noProof/>
          <w:lang w:val="en-AU" w:eastAsia="en-AU"/>
        </w:rPr>
        <w:drawing>
          <wp:inline distT="0" distB="0" distL="0" distR="0" wp14:anchorId="16A3519A" wp14:editId="127E30D4">
            <wp:extent cx="2218690" cy="882650"/>
            <wp:effectExtent l="0" t="0" r="0" b="0"/>
            <wp:docPr id="1" name="圖片 1" descr="一張含有 文字 的圖片&#10;&#10;自動產生的描述"/>
            <wp:cNvGraphicFramePr/>
            <a:graphic xmlns:a="http://schemas.openxmlformats.org/drawingml/2006/main">
              <a:graphicData uri="http://schemas.openxmlformats.org/drawingml/2006/picture">
                <pic:pic xmlns:pic="http://schemas.openxmlformats.org/drawingml/2006/picture">
                  <pic:nvPicPr>
                    <pic:cNvPr id="1" name="圖片 1" descr="一張含有 文字 的圖片&#10;&#10;自動產生的描述"/>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18690" cy="882650"/>
                    </a:xfrm>
                    <a:prstGeom prst="rect">
                      <a:avLst/>
                    </a:prstGeom>
                    <a:noFill/>
                    <a:ln>
                      <a:noFill/>
                    </a:ln>
                  </pic:spPr>
                </pic:pic>
              </a:graphicData>
            </a:graphic>
          </wp:inline>
        </w:drawing>
      </w:r>
    </w:p>
    <w:p w14:paraId="009B300F" w14:textId="77777777" w:rsidR="003C1399" w:rsidRPr="003C1399" w:rsidRDefault="003C1399" w:rsidP="009A78CC">
      <w:pPr>
        <w:adjustRightInd w:val="0"/>
        <w:snapToGrid w:val="0"/>
        <w:contextualSpacing/>
        <w:jc w:val="center"/>
        <w:rPr>
          <w:b/>
          <w:sz w:val="26"/>
          <w:szCs w:val="26"/>
          <w:lang w:val="en-HK"/>
        </w:rPr>
      </w:pPr>
    </w:p>
    <w:p w14:paraId="18C8F440" w14:textId="7DCC7D30" w:rsidR="00313CFB" w:rsidRPr="00E940F0" w:rsidRDefault="00E940F0" w:rsidP="009A78CC">
      <w:pPr>
        <w:adjustRightInd w:val="0"/>
        <w:snapToGrid w:val="0"/>
        <w:contextualSpacing/>
        <w:jc w:val="center"/>
        <w:rPr>
          <w:b/>
          <w:sz w:val="36"/>
          <w:szCs w:val="36"/>
          <w:lang w:val="en-HK"/>
        </w:rPr>
      </w:pPr>
      <w:r w:rsidRPr="00E940F0">
        <w:rPr>
          <w:color w:val="000000"/>
          <w:sz w:val="36"/>
          <w:szCs w:val="36"/>
        </w:rPr>
        <w:t>UWTSD MBA HKBM</w:t>
      </w:r>
      <w:r w:rsidR="00315483">
        <w:rPr>
          <w:color w:val="000000"/>
          <w:sz w:val="36"/>
          <w:szCs w:val="36"/>
        </w:rPr>
        <w:t xml:space="preserve"> </w:t>
      </w:r>
      <w:r w:rsidRPr="00E940F0">
        <w:rPr>
          <w:color w:val="000000"/>
          <w:sz w:val="36"/>
          <w:szCs w:val="36"/>
        </w:rPr>
        <w:t>7009</w:t>
      </w:r>
      <w:r w:rsidRPr="00E940F0">
        <w:rPr>
          <w:color w:val="000000"/>
          <w:sz w:val="36"/>
          <w:szCs w:val="36"/>
        </w:rPr>
        <w:br/>
        <w:t>(UWMBA-30013-202</w:t>
      </w:r>
      <w:r w:rsidR="008B389D">
        <w:rPr>
          <w:color w:val="000000"/>
          <w:sz w:val="36"/>
          <w:szCs w:val="36"/>
        </w:rPr>
        <w:t>4</w:t>
      </w:r>
      <w:r w:rsidRPr="00E940F0">
        <w:rPr>
          <w:color w:val="000000"/>
          <w:sz w:val="36"/>
          <w:szCs w:val="36"/>
        </w:rPr>
        <w:t>-1-SS)</w:t>
      </w:r>
    </w:p>
    <w:p w14:paraId="1E48F155" w14:textId="25999459" w:rsidR="00313CFB" w:rsidRPr="00E940F0" w:rsidRDefault="00CD7E3B" w:rsidP="009A78CC">
      <w:pPr>
        <w:adjustRightInd w:val="0"/>
        <w:snapToGrid w:val="0"/>
        <w:contextualSpacing/>
        <w:jc w:val="center"/>
        <w:rPr>
          <w:bCs/>
          <w:sz w:val="36"/>
          <w:szCs w:val="36"/>
          <w:lang w:val="en-HK"/>
        </w:rPr>
      </w:pPr>
      <w:r w:rsidRPr="00CD7E3B">
        <w:rPr>
          <w:bCs/>
          <w:sz w:val="36"/>
          <w:szCs w:val="36"/>
          <w:lang w:val="en-HK"/>
        </w:rPr>
        <w:t>HKBM7009</w:t>
      </w:r>
      <w:r>
        <w:rPr>
          <w:bCs/>
          <w:sz w:val="36"/>
          <w:szCs w:val="36"/>
          <w:lang w:val="en-HK"/>
        </w:rPr>
        <w:t xml:space="preserve"> </w:t>
      </w:r>
      <w:r w:rsidR="00E940F0" w:rsidRPr="00E940F0">
        <w:rPr>
          <w:bCs/>
          <w:sz w:val="36"/>
          <w:szCs w:val="36"/>
          <w:lang w:val="en-HK"/>
        </w:rPr>
        <w:t xml:space="preserve">Global Business Challenges </w:t>
      </w:r>
    </w:p>
    <w:p w14:paraId="2C46C56B" w14:textId="1E35C84E" w:rsidR="00313CFB" w:rsidRDefault="00313CFB" w:rsidP="009A78CC">
      <w:pPr>
        <w:adjustRightInd w:val="0"/>
        <w:snapToGrid w:val="0"/>
        <w:contextualSpacing/>
        <w:jc w:val="center"/>
        <w:rPr>
          <w:b/>
          <w:sz w:val="32"/>
          <w:szCs w:val="32"/>
          <w:lang w:val="en-HK"/>
        </w:rPr>
      </w:pPr>
    </w:p>
    <w:p w14:paraId="10522B82" w14:textId="6A1EBF65" w:rsidR="00E940F0" w:rsidRDefault="00E940F0" w:rsidP="009A78CC">
      <w:pPr>
        <w:adjustRightInd w:val="0"/>
        <w:snapToGrid w:val="0"/>
        <w:contextualSpacing/>
        <w:jc w:val="center"/>
        <w:rPr>
          <w:b/>
          <w:sz w:val="32"/>
          <w:szCs w:val="32"/>
          <w:lang w:val="en-HK"/>
        </w:rPr>
      </w:pPr>
    </w:p>
    <w:p w14:paraId="38A16873" w14:textId="2330C6B1" w:rsidR="00684616" w:rsidRDefault="00684616" w:rsidP="009A78CC">
      <w:pPr>
        <w:adjustRightInd w:val="0"/>
        <w:snapToGrid w:val="0"/>
        <w:contextualSpacing/>
        <w:jc w:val="center"/>
        <w:rPr>
          <w:b/>
          <w:sz w:val="32"/>
          <w:szCs w:val="32"/>
          <w:lang w:val="en-HK"/>
        </w:rPr>
      </w:pPr>
    </w:p>
    <w:p w14:paraId="21432FA5" w14:textId="4203E8F5" w:rsidR="00684616" w:rsidRPr="00293F31" w:rsidRDefault="008B389D" w:rsidP="009A78CC">
      <w:pPr>
        <w:adjustRightInd w:val="0"/>
        <w:snapToGrid w:val="0"/>
        <w:contextualSpacing/>
        <w:jc w:val="center"/>
        <w:rPr>
          <w:b/>
          <w:sz w:val="36"/>
          <w:szCs w:val="36"/>
          <w:lang w:val="en-HK"/>
        </w:rPr>
      </w:pPr>
      <w:r w:rsidRPr="008B389D">
        <w:rPr>
          <w:b/>
          <w:kern w:val="0"/>
          <w:sz w:val="36"/>
          <w:szCs w:val="36"/>
          <w:lang w:val="en-GB"/>
        </w:rPr>
        <w:t xml:space="preserve">An Analytical Report </w:t>
      </w:r>
      <w:proofErr w:type="gramStart"/>
      <w:r w:rsidR="00C15E56" w:rsidRPr="008B389D">
        <w:rPr>
          <w:b/>
          <w:kern w:val="0"/>
          <w:sz w:val="36"/>
          <w:szCs w:val="36"/>
          <w:lang w:val="en-GB"/>
        </w:rPr>
        <w:t>On</w:t>
      </w:r>
      <w:proofErr w:type="gramEnd"/>
      <w:r w:rsidR="00C15E56" w:rsidRPr="008B389D">
        <w:rPr>
          <w:b/>
          <w:kern w:val="0"/>
          <w:sz w:val="36"/>
          <w:szCs w:val="36"/>
          <w:lang w:val="en-GB"/>
        </w:rPr>
        <w:t xml:space="preserve"> </w:t>
      </w:r>
      <w:r w:rsidRPr="008B389D">
        <w:rPr>
          <w:b/>
          <w:kern w:val="0"/>
          <w:sz w:val="36"/>
          <w:szCs w:val="36"/>
          <w:lang w:val="en-GB"/>
        </w:rPr>
        <w:t>H</w:t>
      </w:r>
      <w:r w:rsidR="00062F07">
        <w:rPr>
          <w:b/>
          <w:kern w:val="0"/>
          <w:sz w:val="36"/>
          <w:szCs w:val="36"/>
          <w:lang w:val="en-GB"/>
        </w:rPr>
        <w:t xml:space="preserve">ow Global </w:t>
      </w:r>
      <w:r w:rsidR="00C15E56">
        <w:rPr>
          <w:b/>
          <w:kern w:val="0"/>
          <w:sz w:val="36"/>
          <w:szCs w:val="36"/>
          <w:lang w:val="en-GB"/>
        </w:rPr>
        <w:t xml:space="preserve">Price </w:t>
      </w:r>
      <w:r w:rsidR="00062F07">
        <w:rPr>
          <w:b/>
          <w:kern w:val="0"/>
          <w:sz w:val="36"/>
          <w:szCs w:val="36"/>
          <w:lang w:val="en-GB"/>
        </w:rPr>
        <w:t xml:space="preserve">Changes Affect </w:t>
      </w:r>
      <w:r w:rsidRPr="008B389D">
        <w:rPr>
          <w:b/>
          <w:kern w:val="0"/>
          <w:sz w:val="36"/>
          <w:szCs w:val="36"/>
          <w:lang w:val="en-GB"/>
        </w:rPr>
        <w:t xml:space="preserve">Domestic </w:t>
      </w:r>
      <w:r w:rsidR="00C15E56" w:rsidRPr="008B389D">
        <w:rPr>
          <w:b/>
          <w:kern w:val="0"/>
          <w:sz w:val="36"/>
          <w:szCs w:val="36"/>
          <w:lang w:val="en-GB"/>
        </w:rPr>
        <w:t>Market</w:t>
      </w:r>
    </w:p>
    <w:p w14:paraId="36DDE773" w14:textId="77777777" w:rsidR="004857C6" w:rsidRDefault="004857C6" w:rsidP="009A78CC">
      <w:pPr>
        <w:adjustRightInd w:val="0"/>
        <w:snapToGrid w:val="0"/>
        <w:contextualSpacing/>
        <w:jc w:val="center"/>
        <w:rPr>
          <w:b/>
          <w:sz w:val="32"/>
          <w:szCs w:val="32"/>
          <w:lang w:val="en-HK"/>
        </w:rPr>
      </w:pPr>
      <w:r>
        <w:rPr>
          <w:b/>
          <w:sz w:val="32"/>
          <w:szCs w:val="32"/>
          <w:lang w:val="en-HK"/>
        </w:rPr>
        <w:t xml:space="preserve"> </w:t>
      </w:r>
    </w:p>
    <w:p w14:paraId="6108190B" w14:textId="77777777" w:rsidR="003C1399" w:rsidRPr="003C1399" w:rsidRDefault="003C1399" w:rsidP="009A78CC">
      <w:pPr>
        <w:adjustRightInd w:val="0"/>
        <w:snapToGrid w:val="0"/>
        <w:contextualSpacing/>
        <w:jc w:val="center"/>
        <w:rPr>
          <w:b/>
          <w:sz w:val="26"/>
          <w:szCs w:val="26"/>
          <w:lang w:val="en-HK"/>
        </w:rPr>
      </w:pPr>
    </w:p>
    <w:p w14:paraId="741BC221" w14:textId="4CE14C2E" w:rsidR="003C1399" w:rsidRPr="003C1399" w:rsidRDefault="003C1399" w:rsidP="009A78CC">
      <w:pPr>
        <w:adjustRightInd w:val="0"/>
        <w:snapToGrid w:val="0"/>
        <w:contextualSpacing/>
        <w:jc w:val="center"/>
        <w:rPr>
          <w:b/>
          <w:sz w:val="32"/>
          <w:szCs w:val="32"/>
          <w:lang w:val="en-HK"/>
        </w:rPr>
      </w:pPr>
      <w:r w:rsidRPr="003C1399">
        <w:rPr>
          <w:b/>
          <w:sz w:val="32"/>
          <w:szCs w:val="32"/>
          <w:lang w:val="en-HK"/>
        </w:rPr>
        <w:t xml:space="preserve"> </w:t>
      </w:r>
    </w:p>
    <w:p w14:paraId="67F3509E" w14:textId="77777777" w:rsidR="003C1399" w:rsidRPr="003C1399" w:rsidRDefault="003C1399" w:rsidP="009A78CC">
      <w:pPr>
        <w:adjustRightInd w:val="0"/>
        <w:snapToGrid w:val="0"/>
        <w:contextualSpacing/>
        <w:jc w:val="center"/>
        <w:rPr>
          <w:b/>
          <w:sz w:val="26"/>
          <w:szCs w:val="24"/>
          <w:lang w:val="en-HK"/>
        </w:rPr>
      </w:pPr>
    </w:p>
    <w:p w14:paraId="0FD2F0AB" w14:textId="77777777" w:rsidR="003C1399" w:rsidRPr="003C1399" w:rsidRDefault="003C1399" w:rsidP="009A78CC">
      <w:pPr>
        <w:adjustRightInd w:val="0"/>
        <w:snapToGrid w:val="0"/>
        <w:contextualSpacing/>
        <w:rPr>
          <w:b/>
          <w:sz w:val="26"/>
          <w:szCs w:val="24"/>
          <w:lang w:val="en-HK"/>
        </w:rPr>
      </w:pPr>
    </w:p>
    <w:p w14:paraId="5D9608A1" w14:textId="77777777" w:rsidR="003C1399" w:rsidRPr="003C1399" w:rsidRDefault="003C1399" w:rsidP="009A78CC">
      <w:pPr>
        <w:adjustRightInd w:val="0"/>
        <w:snapToGrid w:val="0"/>
        <w:contextualSpacing/>
        <w:rPr>
          <w:b/>
          <w:sz w:val="26"/>
          <w:szCs w:val="24"/>
          <w:lang w:val="en-HK"/>
        </w:rPr>
      </w:pPr>
    </w:p>
    <w:p w14:paraId="5FD5EC24" w14:textId="77777777" w:rsidR="003C1399" w:rsidRPr="003C1399" w:rsidRDefault="003C1399" w:rsidP="009A78CC">
      <w:pPr>
        <w:adjustRightInd w:val="0"/>
        <w:snapToGrid w:val="0"/>
        <w:contextualSpacing/>
        <w:rPr>
          <w:b/>
          <w:sz w:val="26"/>
          <w:szCs w:val="24"/>
          <w:lang w:val="en-HK"/>
        </w:rPr>
      </w:pPr>
    </w:p>
    <w:p w14:paraId="1A89CACF" w14:textId="41370FF1" w:rsidR="00313CFB" w:rsidRPr="00684616" w:rsidRDefault="003C1399" w:rsidP="009A78CC">
      <w:pPr>
        <w:adjustRightInd w:val="0"/>
        <w:snapToGrid w:val="0"/>
        <w:contextualSpacing/>
        <w:jc w:val="center"/>
        <w:rPr>
          <w:sz w:val="28"/>
          <w:szCs w:val="28"/>
          <w:lang w:val="en-HK"/>
        </w:rPr>
      </w:pPr>
      <w:r w:rsidRPr="003C1399">
        <w:rPr>
          <w:sz w:val="28"/>
          <w:szCs w:val="28"/>
          <w:lang w:val="en-HK"/>
        </w:rPr>
        <w:t>A</w:t>
      </w:r>
      <w:r w:rsidR="00313CFB" w:rsidRPr="00684616">
        <w:rPr>
          <w:sz w:val="28"/>
          <w:szCs w:val="28"/>
          <w:lang w:val="en-HK"/>
        </w:rPr>
        <w:t>n</w:t>
      </w:r>
      <w:r w:rsidRPr="003C1399">
        <w:rPr>
          <w:sz w:val="28"/>
          <w:szCs w:val="28"/>
          <w:lang w:val="en-HK"/>
        </w:rPr>
        <w:t xml:space="preserve"> </w:t>
      </w:r>
      <w:r w:rsidR="00313CFB" w:rsidRPr="00684616">
        <w:rPr>
          <w:sz w:val="28"/>
          <w:szCs w:val="28"/>
          <w:lang w:val="en-HK"/>
        </w:rPr>
        <w:t xml:space="preserve">Analytical Report </w:t>
      </w:r>
      <w:r w:rsidRPr="003C1399">
        <w:rPr>
          <w:sz w:val="28"/>
          <w:szCs w:val="28"/>
          <w:lang w:val="en-HK"/>
        </w:rPr>
        <w:t xml:space="preserve">Submitted in </w:t>
      </w:r>
      <w:r w:rsidR="00313CFB" w:rsidRPr="00684616">
        <w:rPr>
          <w:sz w:val="28"/>
          <w:szCs w:val="28"/>
          <w:lang w:val="en-HK"/>
        </w:rPr>
        <w:t xml:space="preserve">Contribution to 100% </w:t>
      </w:r>
      <w:r w:rsidR="00E940F0" w:rsidRPr="00684616">
        <w:rPr>
          <w:sz w:val="28"/>
          <w:szCs w:val="28"/>
          <w:lang w:val="en-HK"/>
        </w:rPr>
        <w:t xml:space="preserve">Module </w:t>
      </w:r>
      <w:r w:rsidR="00313CFB" w:rsidRPr="00684616">
        <w:rPr>
          <w:sz w:val="28"/>
          <w:szCs w:val="28"/>
          <w:lang w:val="en-HK"/>
        </w:rPr>
        <w:t>Assessment</w:t>
      </w:r>
    </w:p>
    <w:p w14:paraId="2CD1113F" w14:textId="786B66B7" w:rsidR="003C1399" w:rsidRPr="003C1399" w:rsidRDefault="003C1399" w:rsidP="009A78CC">
      <w:pPr>
        <w:adjustRightInd w:val="0"/>
        <w:snapToGrid w:val="0"/>
        <w:contextualSpacing/>
        <w:jc w:val="center"/>
        <w:rPr>
          <w:szCs w:val="24"/>
          <w:lang w:val="en-HK"/>
        </w:rPr>
      </w:pPr>
    </w:p>
    <w:p w14:paraId="6B8F7480" w14:textId="77777777" w:rsidR="003C1399" w:rsidRPr="003C1399" w:rsidRDefault="003C1399" w:rsidP="009A78CC">
      <w:pPr>
        <w:adjustRightInd w:val="0"/>
        <w:snapToGrid w:val="0"/>
        <w:contextualSpacing/>
        <w:rPr>
          <w:b/>
          <w:sz w:val="26"/>
          <w:szCs w:val="24"/>
          <w:lang w:val="en-HK"/>
        </w:rPr>
      </w:pPr>
      <w:r w:rsidRPr="003C1399">
        <w:rPr>
          <w:b/>
          <w:sz w:val="26"/>
          <w:szCs w:val="24"/>
          <w:lang w:val="en-HK"/>
        </w:rPr>
        <w:t xml:space="preserve"> </w:t>
      </w:r>
    </w:p>
    <w:p w14:paraId="5E034975" w14:textId="2987A163" w:rsidR="003C1399" w:rsidRDefault="003C1399" w:rsidP="009A78CC">
      <w:pPr>
        <w:adjustRightInd w:val="0"/>
        <w:snapToGrid w:val="0"/>
        <w:contextualSpacing/>
        <w:rPr>
          <w:b/>
          <w:sz w:val="26"/>
          <w:szCs w:val="24"/>
          <w:lang w:val="en-HK"/>
        </w:rPr>
      </w:pPr>
    </w:p>
    <w:p w14:paraId="534721A4" w14:textId="6AE25FC6" w:rsidR="00684616" w:rsidRDefault="00684616" w:rsidP="009A78CC">
      <w:pPr>
        <w:adjustRightInd w:val="0"/>
        <w:snapToGrid w:val="0"/>
        <w:contextualSpacing/>
        <w:rPr>
          <w:b/>
          <w:sz w:val="26"/>
          <w:szCs w:val="24"/>
          <w:lang w:val="en-HK"/>
        </w:rPr>
      </w:pPr>
    </w:p>
    <w:p w14:paraId="09812EE9" w14:textId="3BF15D69" w:rsidR="00684616" w:rsidRDefault="00684616" w:rsidP="009A78CC">
      <w:pPr>
        <w:adjustRightInd w:val="0"/>
        <w:snapToGrid w:val="0"/>
        <w:contextualSpacing/>
        <w:rPr>
          <w:b/>
          <w:sz w:val="26"/>
          <w:szCs w:val="24"/>
          <w:lang w:val="en-HK"/>
        </w:rPr>
      </w:pPr>
    </w:p>
    <w:p w14:paraId="3F260072" w14:textId="77777777" w:rsidR="003C1399" w:rsidRPr="003C1399" w:rsidRDefault="003C1399" w:rsidP="009A78CC">
      <w:pPr>
        <w:adjustRightInd w:val="0"/>
        <w:snapToGrid w:val="0"/>
        <w:contextualSpacing/>
        <w:rPr>
          <w:b/>
          <w:sz w:val="26"/>
          <w:szCs w:val="24"/>
          <w:lang w:val="en-HK"/>
        </w:rPr>
      </w:pPr>
    </w:p>
    <w:p w14:paraId="2FEBE151" w14:textId="77777777" w:rsidR="003C1399" w:rsidRPr="003C1399" w:rsidRDefault="003C1399" w:rsidP="009A78CC">
      <w:pPr>
        <w:adjustRightInd w:val="0"/>
        <w:snapToGrid w:val="0"/>
        <w:contextualSpacing/>
        <w:rPr>
          <w:b/>
          <w:sz w:val="26"/>
          <w:szCs w:val="24"/>
          <w:lang w:val="en-HK"/>
        </w:rPr>
      </w:pPr>
    </w:p>
    <w:tbl>
      <w:tblPr>
        <w:tblW w:w="8610" w:type="dxa"/>
        <w:tblLayout w:type="fixed"/>
        <w:tblLook w:val="04A0" w:firstRow="1" w:lastRow="0" w:firstColumn="1" w:lastColumn="0" w:noHBand="0" w:noVBand="1"/>
      </w:tblPr>
      <w:tblGrid>
        <w:gridCol w:w="2942"/>
        <w:gridCol w:w="284"/>
        <w:gridCol w:w="5384"/>
      </w:tblGrid>
      <w:tr w:rsidR="003C1399" w:rsidRPr="003C1399" w14:paraId="1DAA85DD" w14:textId="77777777" w:rsidTr="00E940F0">
        <w:tc>
          <w:tcPr>
            <w:tcW w:w="2942" w:type="dxa"/>
            <w:hideMark/>
          </w:tcPr>
          <w:p w14:paraId="3C195889" w14:textId="77777777" w:rsidR="003C1399" w:rsidRPr="003C1399" w:rsidRDefault="003C1399" w:rsidP="009A78CC">
            <w:pPr>
              <w:tabs>
                <w:tab w:val="left" w:pos="4606"/>
              </w:tabs>
              <w:adjustRightInd w:val="0"/>
              <w:snapToGrid w:val="0"/>
              <w:contextualSpacing/>
              <w:rPr>
                <w:b/>
                <w:sz w:val="26"/>
                <w:szCs w:val="24"/>
                <w:lang w:val="en-HK"/>
              </w:rPr>
            </w:pPr>
            <w:r w:rsidRPr="003C1399">
              <w:rPr>
                <w:b/>
                <w:sz w:val="28"/>
                <w:szCs w:val="28"/>
                <w:lang w:val="en-HK"/>
              </w:rPr>
              <w:t>Student Name</w:t>
            </w:r>
          </w:p>
        </w:tc>
        <w:tc>
          <w:tcPr>
            <w:tcW w:w="284" w:type="dxa"/>
            <w:hideMark/>
          </w:tcPr>
          <w:p w14:paraId="33665D5B" w14:textId="77777777" w:rsidR="003C1399" w:rsidRPr="003C1399" w:rsidRDefault="003C1399" w:rsidP="009A78CC">
            <w:pPr>
              <w:tabs>
                <w:tab w:val="left" w:pos="4606"/>
              </w:tabs>
              <w:adjustRightInd w:val="0"/>
              <w:snapToGrid w:val="0"/>
              <w:contextualSpacing/>
              <w:rPr>
                <w:b/>
                <w:sz w:val="26"/>
                <w:szCs w:val="24"/>
                <w:lang w:val="en-HK"/>
              </w:rPr>
            </w:pPr>
            <w:r w:rsidRPr="003C1399">
              <w:rPr>
                <w:rFonts w:hint="eastAsia"/>
                <w:b/>
                <w:sz w:val="28"/>
                <w:szCs w:val="28"/>
                <w:lang w:val="en-HK"/>
              </w:rPr>
              <w:t>：</w:t>
            </w:r>
          </w:p>
        </w:tc>
        <w:tc>
          <w:tcPr>
            <w:tcW w:w="5384" w:type="dxa"/>
          </w:tcPr>
          <w:p w14:paraId="327DC2E4" w14:textId="4E78187D" w:rsidR="003C1399" w:rsidRPr="003C1399" w:rsidRDefault="00802F0A" w:rsidP="009A78CC">
            <w:pPr>
              <w:tabs>
                <w:tab w:val="left" w:pos="4606"/>
              </w:tabs>
              <w:adjustRightInd w:val="0"/>
              <w:snapToGrid w:val="0"/>
              <w:contextualSpacing/>
              <w:rPr>
                <w:sz w:val="16"/>
                <w:szCs w:val="16"/>
                <w:lang w:val="en-HK"/>
              </w:rPr>
            </w:pPr>
            <w:r>
              <w:rPr>
                <w:sz w:val="26"/>
                <w:szCs w:val="24"/>
                <w:lang w:val="en-HK"/>
              </w:rPr>
              <w:t>Tat Cheong LEE</w:t>
            </w:r>
          </w:p>
        </w:tc>
      </w:tr>
      <w:tr w:rsidR="003C1399" w:rsidRPr="003C1399" w14:paraId="32CBE455" w14:textId="77777777" w:rsidTr="00E940F0">
        <w:tc>
          <w:tcPr>
            <w:tcW w:w="2942" w:type="dxa"/>
            <w:hideMark/>
          </w:tcPr>
          <w:p w14:paraId="31DE2B61" w14:textId="77777777" w:rsidR="003C1399" w:rsidRPr="003C1399" w:rsidRDefault="003C1399" w:rsidP="009A78CC">
            <w:pPr>
              <w:tabs>
                <w:tab w:val="left" w:pos="4606"/>
              </w:tabs>
              <w:adjustRightInd w:val="0"/>
              <w:snapToGrid w:val="0"/>
              <w:contextualSpacing/>
              <w:rPr>
                <w:b/>
                <w:sz w:val="26"/>
                <w:szCs w:val="24"/>
                <w:lang w:val="en-HK"/>
              </w:rPr>
            </w:pPr>
            <w:r w:rsidRPr="003C1399">
              <w:rPr>
                <w:b/>
                <w:sz w:val="28"/>
                <w:szCs w:val="28"/>
                <w:lang w:val="en-HK"/>
              </w:rPr>
              <w:t>Student ID Number</w:t>
            </w:r>
          </w:p>
        </w:tc>
        <w:tc>
          <w:tcPr>
            <w:tcW w:w="284" w:type="dxa"/>
            <w:hideMark/>
          </w:tcPr>
          <w:p w14:paraId="3332F5A4" w14:textId="77777777" w:rsidR="003C1399" w:rsidRPr="003C1399" w:rsidRDefault="003C1399" w:rsidP="009A78CC">
            <w:pPr>
              <w:tabs>
                <w:tab w:val="left" w:pos="4606"/>
              </w:tabs>
              <w:adjustRightInd w:val="0"/>
              <w:snapToGrid w:val="0"/>
              <w:contextualSpacing/>
              <w:rPr>
                <w:b/>
                <w:sz w:val="26"/>
                <w:szCs w:val="24"/>
                <w:lang w:val="en-HK"/>
              </w:rPr>
            </w:pPr>
            <w:r w:rsidRPr="003C1399">
              <w:rPr>
                <w:rFonts w:hint="eastAsia"/>
                <w:b/>
                <w:sz w:val="28"/>
                <w:szCs w:val="28"/>
                <w:lang w:val="en-HK"/>
              </w:rPr>
              <w:t>：</w:t>
            </w:r>
          </w:p>
        </w:tc>
        <w:tc>
          <w:tcPr>
            <w:tcW w:w="5384" w:type="dxa"/>
          </w:tcPr>
          <w:p w14:paraId="20AD48BB" w14:textId="226D08D5" w:rsidR="003C1399" w:rsidRPr="003C1399" w:rsidRDefault="00802F0A" w:rsidP="009A78CC">
            <w:pPr>
              <w:tabs>
                <w:tab w:val="left" w:pos="4606"/>
              </w:tabs>
              <w:adjustRightInd w:val="0"/>
              <w:snapToGrid w:val="0"/>
              <w:contextualSpacing/>
              <w:rPr>
                <w:sz w:val="16"/>
                <w:szCs w:val="16"/>
                <w:lang w:val="en-HK"/>
              </w:rPr>
            </w:pPr>
            <w:r>
              <w:rPr>
                <w:sz w:val="26"/>
                <w:szCs w:val="24"/>
                <w:lang w:val="en-HK"/>
              </w:rPr>
              <w:t>2337378</w:t>
            </w:r>
          </w:p>
        </w:tc>
      </w:tr>
      <w:tr w:rsidR="003C1399" w:rsidRPr="003C1399" w14:paraId="0396F091" w14:textId="77777777" w:rsidTr="00E940F0">
        <w:tc>
          <w:tcPr>
            <w:tcW w:w="2942" w:type="dxa"/>
          </w:tcPr>
          <w:p w14:paraId="44642F0D" w14:textId="0D05ECAA" w:rsidR="003C1399" w:rsidRPr="001E2AE8" w:rsidRDefault="003C1399" w:rsidP="009A78CC">
            <w:pPr>
              <w:tabs>
                <w:tab w:val="left" w:pos="4606"/>
              </w:tabs>
              <w:adjustRightInd w:val="0"/>
              <w:snapToGrid w:val="0"/>
              <w:contextualSpacing/>
              <w:rPr>
                <w:b/>
                <w:sz w:val="28"/>
                <w:szCs w:val="28"/>
                <w:lang w:val="en-HK"/>
              </w:rPr>
            </w:pPr>
            <w:r w:rsidRPr="003C1399">
              <w:rPr>
                <w:b/>
                <w:sz w:val="28"/>
                <w:szCs w:val="28"/>
                <w:lang w:val="en-HK"/>
              </w:rPr>
              <w:t>Date of Submission</w:t>
            </w:r>
          </w:p>
        </w:tc>
        <w:tc>
          <w:tcPr>
            <w:tcW w:w="284" w:type="dxa"/>
            <w:hideMark/>
          </w:tcPr>
          <w:p w14:paraId="526DE28F" w14:textId="77777777" w:rsidR="003C1399" w:rsidRPr="003C1399" w:rsidRDefault="003C1399" w:rsidP="009A78CC">
            <w:pPr>
              <w:tabs>
                <w:tab w:val="left" w:pos="4606"/>
              </w:tabs>
              <w:adjustRightInd w:val="0"/>
              <w:snapToGrid w:val="0"/>
              <w:contextualSpacing/>
              <w:rPr>
                <w:b/>
                <w:sz w:val="26"/>
                <w:szCs w:val="24"/>
                <w:lang w:val="en-HK"/>
              </w:rPr>
            </w:pPr>
            <w:r w:rsidRPr="003C1399">
              <w:rPr>
                <w:rFonts w:hint="eastAsia"/>
                <w:b/>
                <w:sz w:val="28"/>
                <w:szCs w:val="28"/>
                <w:lang w:val="en-HK"/>
              </w:rPr>
              <w:t>：</w:t>
            </w:r>
          </w:p>
        </w:tc>
        <w:tc>
          <w:tcPr>
            <w:tcW w:w="5384" w:type="dxa"/>
            <w:hideMark/>
          </w:tcPr>
          <w:p w14:paraId="5C9963CF" w14:textId="71B5458C" w:rsidR="003C1399" w:rsidRPr="003C1399" w:rsidRDefault="00802F0A" w:rsidP="009A78CC">
            <w:pPr>
              <w:tabs>
                <w:tab w:val="left" w:pos="4606"/>
              </w:tabs>
              <w:adjustRightInd w:val="0"/>
              <w:snapToGrid w:val="0"/>
              <w:contextualSpacing/>
              <w:rPr>
                <w:sz w:val="26"/>
                <w:szCs w:val="24"/>
                <w:lang w:val="en-HK"/>
              </w:rPr>
            </w:pPr>
            <w:r>
              <w:rPr>
                <w:sz w:val="26"/>
                <w:szCs w:val="24"/>
                <w:lang w:val="en-HK"/>
              </w:rPr>
              <w:t>10 March 2025</w:t>
            </w:r>
          </w:p>
        </w:tc>
      </w:tr>
      <w:tr w:rsidR="00E940F0" w:rsidRPr="003C1399" w14:paraId="3D778F36" w14:textId="77777777" w:rsidTr="00E940F0">
        <w:tc>
          <w:tcPr>
            <w:tcW w:w="2942" w:type="dxa"/>
          </w:tcPr>
          <w:p w14:paraId="3C5CF1D2" w14:textId="0079BCEE" w:rsidR="00E940F0" w:rsidRPr="003C1399" w:rsidRDefault="00E940F0" w:rsidP="009A78CC">
            <w:pPr>
              <w:tabs>
                <w:tab w:val="left" w:pos="4606"/>
              </w:tabs>
              <w:adjustRightInd w:val="0"/>
              <w:snapToGrid w:val="0"/>
              <w:contextualSpacing/>
              <w:rPr>
                <w:b/>
                <w:sz w:val="28"/>
                <w:szCs w:val="28"/>
                <w:lang w:val="en-HK"/>
              </w:rPr>
            </w:pPr>
            <w:r>
              <w:rPr>
                <w:rFonts w:hint="eastAsia"/>
                <w:b/>
                <w:sz w:val="28"/>
                <w:szCs w:val="28"/>
                <w:lang w:val="en-HK"/>
              </w:rPr>
              <w:t>L</w:t>
            </w:r>
            <w:r>
              <w:rPr>
                <w:b/>
                <w:sz w:val="28"/>
                <w:szCs w:val="28"/>
                <w:lang w:val="en-HK"/>
              </w:rPr>
              <w:t>ecturer</w:t>
            </w:r>
          </w:p>
        </w:tc>
        <w:tc>
          <w:tcPr>
            <w:tcW w:w="284" w:type="dxa"/>
          </w:tcPr>
          <w:p w14:paraId="54B5CBA5" w14:textId="2B4F1065" w:rsidR="00E940F0" w:rsidRPr="003C1399" w:rsidRDefault="00E940F0" w:rsidP="009A78CC">
            <w:pPr>
              <w:tabs>
                <w:tab w:val="left" w:pos="4606"/>
              </w:tabs>
              <w:adjustRightInd w:val="0"/>
              <w:snapToGrid w:val="0"/>
              <w:contextualSpacing/>
              <w:rPr>
                <w:b/>
                <w:sz w:val="28"/>
                <w:szCs w:val="28"/>
                <w:lang w:val="en-HK"/>
              </w:rPr>
            </w:pPr>
            <w:r w:rsidRPr="003C1399">
              <w:rPr>
                <w:rFonts w:hint="eastAsia"/>
                <w:b/>
                <w:sz w:val="28"/>
                <w:szCs w:val="28"/>
                <w:lang w:val="en-HK"/>
              </w:rPr>
              <w:t>：</w:t>
            </w:r>
          </w:p>
        </w:tc>
        <w:tc>
          <w:tcPr>
            <w:tcW w:w="5384" w:type="dxa"/>
          </w:tcPr>
          <w:p w14:paraId="5D526849" w14:textId="04BB54A2" w:rsidR="00E940F0" w:rsidRPr="003C1399" w:rsidRDefault="00802F0A" w:rsidP="009A78CC">
            <w:pPr>
              <w:tabs>
                <w:tab w:val="left" w:pos="4606"/>
              </w:tabs>
              <w:adjustRightInd w:val="0"/>
              <w:snapToGrid w:val="0"/>
              <w:contextualSpacing/>
              <w:rPr>
                <w:sz w:val="26"/>
                <w:szCs w:val="24"/>
                <w:lang w:val="en-HK"/>
              </w:rPr>
            </w:pPr>
            <w:r>
              <w:rPr>
                <w:sz w:val="26"/>
                <w:szCs w:val="24"/>
                <w:lang w:val="en-HK"/>
              </w:rPr>
              <w:t>2337378</w:t>
            </w:r>
          </w:p>
        </w:tc>
      </w:tr>
    </w:tbl>
    <w:p w14:paraId="0FBA2A24" w14:textId="77777777" w:rsidR="004238D8" w:rsidRPr="0096250A" w:rsidRDefault="004238D8" w:rsidP="009A78CC">
      <w:pPr>
        <w:contextualSpacing/>
        <w:rPr>
          <w:rFonts w:eastAsia="DFKai-SB"/>
          <w:b/>
          <w:smallCaps/>
          <w:sz w:val="22"/>
          <w:u w:val="single"/>
          <w:lang w:val="en-GB"/>
        </w:rPr>
        <w:sectPr w:rsidR="004238D8" w:rsidRPr="0096250A" w:rsidSect="009E1053">
          <w:footerReference w:type="even" r:id="rId9"/>
          <w:footerReference w:type="default" r:id="rId10"/>
          <w:pgSz w:w="11906" w:h="16838"/>
          <w:pgMar w:top="1134" w:right="1134" w:bottom="1134" w:left="1134" w:header="851" w:footer="992" w:gutter="0"/>
          <w:pgNumType w:fmt="lowerRoman" w:start="1"/>
          <w:cols w:space="425"/>
          <w:titlePg/>
          <w:docGrid w:type="lines" w:linePitch="360"/>
        </w:sectPr>
      </w:pPr>
    </w:p>
    <w:p w14:paraId="270078E0" w14:textId="77777777" w:rsidR="00B638D9" w:rsidRPr="00311ADA" w:rsidRDefault="00B638D9" w:rsidP="00701BFB">
      <w:pPr>
        <w:adjustRightInd w:val="0"/>
        <w:contextualSpacing/>
        <w:rPr>
          <w:b/>
          <w:sz w:val="26"/>
          <w:szCs w:val="26"/>
          <w:u w:val="single"/>
        </w:rPr>
      </w:pPr>
    </w:p>
    <w:p w14:paraId="7C296744" w14:textId="224384FE" w:rsidR="00BB4C1B" w:rsidRDefault="00B751E7" w:rsidP="009A78CC">
      <w:pPr>
        <w:pStyle w:val="Heading1"/>
        <w:contextualSpacing/>
      </w:pPr>
      <w:bookmarkStart w:id="0" w:name="_Toc192522717"/>
      <w:r>
        <w:t>Declaration</w:t>
      </w:r>
      <w:bookmarkEnd w:id="0"/>
    </w:p>
    <w:p w14:paraId="0AB70F5B" w14:textId="21505E2F" w:rsidR="004238D8" w:rsidRPr="00B751E7" w:rsidRDefault="001E3F18" w:rsidP="003C0D62">
      <w:r>
        <w:t>"</w:t>
      </w:r>
      <w:r w:rsidR="008243C4">
        <w:t>I,</w:t>
      </w:r>
      <w:r w:rsidR="009A7025" w:rsidRPr="00B751E7">
        <w:t xml:space="preserve"> </w:t>
      </w:r>
      <w:r w:rsidR="003640C1">
        <w:t>LEE Tat Cheong</w:t>
      </w:r>
      <w:r w:rsidR="00285343">
        <w:t xml:space="preserve">, Student No. 2337378, </w:t>
      </w:r>
      <w:r w:rsidR="004238D8" w:rsidRPr="00B751E7">
        <w:t>certify</w:t>
      </w:r>
      <w:r w:rsidR="00E45629">
        <w:t xml:space="preserve"> that</w:t>
      </w:r>
      <w:r w:rsidR="004238D8" w:rsidRPr="00B751E7">
        <w:t xml:space="preserve"> this work is the result of my own investigations, </w:t>
      </w:r>
      <w:r w:rsidR="003D0502">
        <w:t xml:space="preserve">except where otherwise stated. </w:t>
      </w:r>
      <w:r w:rsidR="004238D8" w:rsidRPr="00B751E7">
        <w:t>All references have been duly cited</w:t>
      </w:r>
      <w:r w:rsidR="00062F07">
        <w:t>.</w:t>
      </w:r>
      <w:r>
        <w:t>"</w:t>
      </w:r>
    </w:p>
    <w:p w14:paraId="2001BEE3" w14:textId="77777777" w:rsidR="004238D8" w:rsidRDefault="004238D8" w:rsidP="009A78CC">
      <w:pPr>
        <w:contextualSpacing/>
      </w:pPr>
    </w:p>
    <w:p w14:paraId="1B6FA4C1" w14:textId="77777777" w:rsidR="00B638D9" w:rsidRDefault="00B638D9" w:rsidP="009A78CC">
      <w:pPr>
        <w:contextualSpacing/>
      </w:pPr>
    </w:p>
    <w:p w14:paraId="25103C95" w14:textId="77777777" w:rsidR="00B638D9" w:rsidRDefault="00B638D9" w:rsidP="009A78CC">
      <w:pPr>
        <w:contextualSpacing/>
      </w:pPr>
    </w:p>
    <w:p w14:paraId="7AF0EA01" w14:textId="77777777" w:rsidR="004238D8" w:rsidRDefault="004238D8" w:rsidP="009A78CC">
      <w:pPr>
        <w:contextualSpacing/>
        <w:rPr>
          <w:b/>
        </w:rPr>
      </w:pPr>
    </w:p>
    <w:p w14:paraId="074E2C51" w14:textId="1E0C5615" w:rsidR="004238D8" w:rsidRPr="00B751E7" w:rsidRDefault="004238D8" w:rsidP="009A78CC">
      <w:pPr>
        <w:contextualSpacing/>
        <w:rPr>
          <w:szCs w:val="24"/>
        </w:rPr>
      </w:pPr>
      <w:r w:rsidRPr="00B751E7">
        <w:rPr>
          <w:szCs w:val="24"/>
        </w:rPr>
        <w:t>Signed</w:t>
      </w:r>
      <w:r w:rsidR="000C61E4" w:rsidRPr="00B751E7">
        <w:rPr>
          <w:szCs w:val="24"/>
        </w:rPr>
        <w:t>:</w:t>
      </w:r>
      <w:r w:rsidR="00B25B3D" w:rsidRPr="00B751E7">
        <w:rPr>
          <w:szCs w:val="24"/>
        </w:rPr>
        <w:t xml:space="preserve"> </w:t>
      </w:r>
      <w:r w:rsidR="00285343">
        <w:rPr>
          <w:noProof/>
          <w:szCs w:val="24"/>
        </w:rPr>
        <w:drawing>
          <wp:inline distT="0" distB="0" distL="0" distR="0" wp14:anchorId="318F5E68" wp14:editId="19FBDB3D">
            <wp:extent cx="1257300" cy="702435"/>
            <wp:effectExtent l="0" t="0" r="0" b="2540"/>
            <wp:docPr id="16370058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60898" cy="704445"/>
                    </a:xfrm>
                    <a:prstGeom prst="rect">
                      <a:avLst/>
                    </a:prstGeom>
                    <a:noFill/>
                    <a:ln>
                      <a:noFill/>
                    </a:ln>
                  </pic:spPr>
                </pic:pic>
              </a:graphicData>
            </a:graphic>
          </wp:inline>
        </w:drawing>
      </w:r>
    </w:p>
    <w:p w14:paraId="5D06CDF4" w14:textId="77777777" w:rsidR="00FE6608" w:rsidRPr="00B751E7" w:rsidRDefault="00FE6608" w:rsidP="009A78CC">
      <w:pPr>
        <w:contextualSpacing/>
        <w:rPr>
          <w:szCs w:val="24"/>
        </w:rPr>
      </w:pPr>
    </w:p>
    <w:p w14:paraId="69180220" w14:textId="72DD96E8" w:rsidR="00603E07" w:rsidRPr="00B751E7" w:rsidRDefault="000C61E4" w:rsidP="009A78CC">
      <w:pPr>
        <w:contextualSpacing/>
        <w:rPr>
          <w:szCs w:val="24"/>
        </w:rPr>
      </w:pPr>
      <w:r w:rsidRPr="00B751E7">
        <w:rPr>
          <w:szCs w:val="24"/>
        </w:rPr>
        <w:t>D</w:t>
      </w:r>
      <w:r w:rsidR="00B25B3D" w:rsidRPr="00B751E7">
        <w:rPr>
          <w:szCs w:val="24"/>
        </w:rPr>
        <w:t>ate</w:t>
      </w:r>
      <w:proofErr w:type="gramStart"/>
      <w:r w:rsidRPr="00B751E7">
        <w:rPr>
          <w:szCs w:val="24"/>
        </w:rPr>
        <w:t>:</w:t>
      </w:r>
      <w:r w:rsidR="00FE6608" w:rsidRPr="00B751E7">
        <w:rPr>
          <w:szCs w:val="24"/>
        </w:rPr>
        <w:t xml:space="preserve">  </w:t>
      </w:r>
      <w:r w:rsidR="00285343">
        <w:rPr>
          <w:szCs w:val="24"/>
        </w:rPr>
        <w:t>10</w:t>
      </w:r>
      <w:proofErr w:type="gramEnd"/>
      <w:r w:rsidR="00285343">
        <w:rPr>
          <w:szCs w:val="24"/>
        </w:rPr>
        <w:t xml:space="preserve"> March 2025</w:t>
      </w:r>
    </w:p>
    <w:p w14:paraId="59166276" w14:textId="77777777" w:rsidR="00603E07" w:rsidRPr="00B751E7" w:rsidRDefault="00603E07" w:rsidP="009A78CC">
      <w:pPr>
        <w:contextualSpacing/>
        <w:jc w:val="center"/>
        <w:rPr>
          <w:szCs w:val="24"/>
        </w:rPr>
      </w:pPr>
    </w:p>
    <w:p w14:paraId="791BBD2D" w14:textId="77777777" w:rsidR="005F5BA8" w:rsidRDefault="005F5BA8" w:rsidP="009A78CC">
      <w:pPr>
        <w:widowControl/>
        <w:adjustRightInd w:val="0"/>
        <w:snapToGrid w:val="0"/>
        <w:contextualSpacing/>
        <w:jc w:val="center"/>
        <w:rPr>
          <w:sz w:val="26"/>
        </w:rPr>
      </w:pPr>
    </w:p>
    <w:p w14:paraId="711D9D36" w14:textId="77777777" w:rsidR="005F5BA8" w:rsidRDefault="005F5BA8" w:rsidP="009A78CC">
      <w:pPr>
        <w:widowControl/>
        <w:adjustRightInd w:val="0"/>
        <w:snapToGrid w:val="0"/>
        <w:contextualSpacing/>
        <w:jc w:val="center"/>
        <w:rPr>
          <w:sz w:val="26"/>
        </w:rPr>
      </w:pPr>
    </w:p>
    <w:p w14:paraId="5F0ABC6B" w14:textId="77777777" w:rsidR="005F5BA8" w:rsidRDefault="005F5BA8" w:rsidP="009A78CC">
      <w:pPr>
        <w:widowControl/>
        <w:adjustRightInd w:val="0"/>
        <w:snapToGrid w:val="0"/>
        <w:contextualSpacing/>
        <w:jc w:val="center"/>
        <w:rPr>
          <w:sz w:val="26"/>
        </w:rPr>
      </w:pPr>
    </w:p>
    <w:p w14:paraId="4ACC24BB" w14:textId="03929DE3" w:rsidR="00074B88" w:rsidRPr="001870C1" w:rsidRDefault="00074B88" w:rsidP="009A78CC">
      <w:pPr>
        <w:widowControl/>
        <w:adjustRightInd w:val="0"/>
        <w:snapToGrid w:val="0"/>
        <w:contextualSpacing/>
        <w:jc w:val="center"/>
        <w:rPr>
          <w:color w:val="0000CC"/>
          <w:sz w:val="26"/>
        </w:rPr>
      </w:pPr>
      <w:r w:rsidRPr="001870C1">
        <w:rPr>
          <w:color w:val="0000CC"/>
          <w:sz w:val="26"/>
        </w:rPr>
        <w:br w:type="page"/>
      </w:r>
    </w:p>
    <w:p w14:paraId="14A9E7F0" w14:textId="46B47DFC" w:rsidR="00074B88" w:rsidRPr="00C65A3F" w:rsidRDefault="00074B88" w:rsidP="009A78CC">
      <w:pPr>
        <w:pStyle w:val="Heading1"/>
        <w:contextualSpacing/>
        <w:rPr>
          <w:color w:val="0000CC"/>
        </w:rPr>
      </w:pPr>
      <w:bookmarkStart w:id="1" w:name="_Toc192522718"/>
      <w:r w:rsidRPr="008E7E17">
        <w:lastRenderedPageBreak/>
        <w:t>Synopsis</w:t>
      </w:r>
      <w:bookmarkEnd w:id="1"/>
      <w:r w:rsidR="00CA1589" w:rsidRPr="00C65A3F">
        <w:t xml:space="preserve"> </w:t>
      </w:r>
    </w:p>
    <w:p w14:paraId="2F0A2E6E" w14:textId="78F861FD" w:rsidR="00074B88" w:rsidRPr="00C65A3F" w:rsidRDefault="00062F07" w:rsidP="009A78CC">
      <w:pPr>
        <w:widowControl/>
        <w:adjustRightInd w:val="0"/>
        <w:snapToGrid w:val="0"/>
        <w:contextualSpacing/>
        <w:rPr>
          <w:b/>
          <w:sz w:val="26"/>
          <w:szCs w:val="26"/>
        </w:rPr>
      </w:pPr>
      <w:r w:rsidRPr="00062F07">
        <w:rPr>
          <w:szCs w:val="24"/>
        </w:rPr>
        <w:t xml:space="preserve">This report examines how global price changes impact domestic retailing markets through a comparative analysis of consumer inflation patterns and retail sales in Hong Kong and Taiwan, aiming to identify investment opportunities for </w:t>
      </w:r>
      <w:r w:rsidR="00F24CA2">
        <w:rPr>
          <w:szCs w:val="24"/>
        </w:rPr>
        <w:t>AB</w:t>
      </w:r>
      <w:r w:rsidRPr="00062F07">
        <w:rPr>
          <w:szCs w:val="24"/>
        </w:rPr>
        <w:t xml:space="preserve"> Stores (Hong Kon</w:t>
      </w:r>
      <w:r w:rsidR="00734100">
        <w:rPr>
          <w:szCs w:val="24"/>
        </w:rPr>
        <w:t xml:space="preserve">g) Co Ltd to expand globally. </w:t>
      </w:r>
      <w:r w:rsidRPr="00062F07">
        <w:rPr>
          <w:szCs w:val="24"/>
        </w:rPr>
        <w:t>The study employs correlation and trend analyses using statistical data from 2006 to 2023 to explore relationships between inflation and retail sales, focusing on the electronic device section. Findings reveal a volatile retail sales pattern in Hong Kong with a moderate inflation correlation, contrasted with Taiwan's stability, suggesting cautious expansion strategies by leveraging Taiwan's consistent market trends.</w:t>
      </w:r>
    </w:p>
    <w:p w14:paraId="34A4110C" w14:textId="77777777" w:rsidR="00074B88" w:rsidRPr="00C65A3F" w:rsidRDefault="00074B88" w:rsidP="009A78CC">
      <w:pPr>
        <w:widowControl/>
        <w:adjustRightInd w:val="0"/>
        <w:snapToGrid w:val="0"/>
        <w:contextualSpacing/>
        <w:rPr>
          <w:b/>
          <w:sz w:val="26"/>
          <w:szCs w:val="26"/>
        </w:rPr>
      </w:pPr>
    </w:p>
    <w:p w14:paraId="436E8CCC" w14:textId="77777777" w:rsidR="00074B88" w:rsidRPr="00C65A3F" w:rsidRDefault="00074B88" w:rsidP="009A78CC">
      <w:pPr>
        <w:widowControl/>
        <w:adjustRightInd w:val="0"/>
        <w:snapToGrid w:val="0"/>
        <w:contextualSpacing/>
        <w:rPr>
          <w:b/>
          <w:sz w:val="26"/>
          <w:szCs w:val="26"/>
        </w:rPr>
      </w:pPr>
    </w:p>
    <w:p w14:paraId="031C4FE5" w14:textId="77777777" w:rsidR="00074B88" w:rsidRPr="00C65A3F" w:rsidRDefault="00074B88" w:rsidP="009A78CC">
      <w:pPr>
        <w:widowControl/>
        <w:adjustRightInd w:val="0"/>
        <w:snapToGrid w:val="0"/>
        <w:contextualSpacing/>
        <w:rPr>
          <w:b/>
          <w:sz w:val="26"/>
          <w:szCs w:val="26"/>
        </w:rPr>
      </w:pPr>
    </w:p>
    <w:p w14:paraId="7031B93D" w14:textId="77777777" w:rsidR="00074B88" w:rsidRPr="00C65A3F" w:rsidRDefault="00074B88" w:rsidP="009A78CC">
      <w:pPr>
        <w:widowControl/>
        <w:adjustRightInd w:val="0"/>
        <w:snapToGrid w:val="0"/>
        <w:contextualSpacing/>
        <w:rPr>
          <w:b/>
          <w:sz w:val="26"/>
          <w:szCs w:val="26"/>
        </w:rPr>
      </w:pPr>
    </w:p>
    <w:p w14:paraId="3E9C4A14" w14:textId="77777777" w:rsidR="00074B88" w:rsidRPr="00C65A3F" w:rsidRDefault="00074B88" w:rsidP="009A78CC">
      <w:pPr>
        <w:widowControl/>
        <w:adjustRightInd w:val="0"/>
        <w:snapToGrid w:val="0"/>
        <w:contextualSpacing/>
        <w:rPr>
          <w:b/>
          <w:sz w:val="26"/>
          <w:szCs w:val="26"/>
        </w:rPr>
      </w:pPr>
    </w:p>
    <w:p w14:paraId="0CD2C7D9" w14:textId="77777777" w:rsidR="00074B88" w:rsidRPr="00C65A3F" w:rsidRDefault="00074B88" w:rsidP="009A78CC">
      <w:pPr>
        <w:widowControl/>
        <w:adjustRightInd w:val="0"/>
        <w:snapToGrid w:val="0"/>
        <w:contextualSpacing/>
        <w:rPr>
          <w:b/>
          <w:sz w:val="26"/>
          <w:szCs w:val="26"/>
        </w:rPr>
      </w:pPr>
    </w:p>
    <w:p w14:paraId="0D497680" w14:textId="77777777" w:rsidR="00074B88" w:rsidRPr="00C65A3F" w:rsidRDefault="00074B88" w:rsidP="009A78CC">
      <w:pPr>
        <w:widowControl/>
        <w:adjustRightInd w:val="0"/>
        <w:snapToGrid w:val="0"/>
        <w:contextualSpacing/>
        <w:rPr>
          <w:b/>
          <w:sz w:val="26"/>
          <w:szCs w:val="26"/>
        </w:rPr>
      </w:pPr>
    </w:p>
    <w:p w14:paraId="5653B57C" w14:textId="77777777" w:rsidR="00074B88" w:rsidRPr="00C65A3F" w:rsidRDefault="00074B88" w:rsidP="009A78CC">
      <w:pPr>
        <w:widowControl/>
        <w:adjustRightInd w:val="0"/>
        <w:snapToGrid w:val="0"/>
        <w:contextualSpacing/>
        <w:rPr>
          <w:b/>
          <w:sz w:val="26"/>
          <w:szCs w:val="26"/>
        </w:rPr>
      </w:pPr>
    </w:p>
    <w:p w14:paraId="64663D99" w14:textId="77777777" w:rsidR="00074B88" w:rsidRPr="00C65A3F" w:rsidRDefault="00074B88" w:rsidP="009A78CC">
      <w:pPr>
        <w:widowControl/>
        <w:adjustRightInd w:val="0"/>
        <w:snapToGrid w:val="0"/>
        <w:contextualSpacing/>
        <w:rPr>
          <w:b/>
          <w:sz w:val="26"/>
          <w:szCs w:val="26"/>
        </w:rPr>
      </w:pPr>
    </w:p>
    <w:p w14:paraId="4155F178" w14:textId="77777777" w:rsidR="00074B88" w:rsidRPr="00C65A3F" w:rsidRDefault="00074B88" w:rsidP="009A78CC">
      <w:pPr>
        <w:widowControl/>
        <w:adjustRightInd w:val="0"/>
        <w:snapToGrid w:val="0"/>
        <w:contextualSpacing/>
        <w:rPr>
          <w:b/>
          <w:sz w:val="26"/>
          <w:szCs w:val="26"/>
        </w:rPr>
      </w:pPr>
    </w:p>
    <w:p w14:paraId="191D6F19" w14:textId="77777777" w:rsidR="00074B88" w:rsidRPr="00C65A3F" w:rsidRDefault="00074B88" w:rsidP="009A78CC">
      <w:pPr>
        <w:widowControl/>
        <w:adjustRightInd w:val="0"/>
        <w:snapToGrid w:val="0"/>
        <w:contextualSpacing/>
        <w:rPr>
          <w:b/>
          <w:sz w:val="26"/>
          <w:szCs w:val="26"/>
        </w:rPr>
      </w:pPr>
    </w:p>
    <w:p w14:paraId="193BD825" w14:textId="77777777" w:rsidR="00074B88" w:rsidRPr="00C65A3F" w:rsidRDefault="00074B88" w:rsidP="009A78CC">
      <w:pPr>
        <w:widowControl/>
        <w:adjustRightInd w:val="0"/>
        <w:snapToGrid w:val="0"/>
        <w:contextualSpacing/>
        <w:rPr>
          <w:b/>
          <w:sz w:val="26"/>
          <w:szCs w:val="26"/>
        </w:rPr>
      </w:pPr>
    </w:p>
    <w:p w14:paraId="27DFB08D" w14:textId="77777777" w:rsidR="00074B88" w:rsidRPr="00C65A3F" w:rsidRDefault="00074B88" w:rsidP="009A78CC">
      <w:pPr>
        <w:widowControl/>
        <w:adjustRightInd w:val="0"/>
        <w:snapToGrid w:val="0"/>
        <w:contextualSpacing/>
        <w:rPr>
          <w:b/>
          <w:sz w:val="26"/>
          <w:szCs w:val="26"/>
        </w:rPr>
      </w:pPr>
    </w:p>
    <w:p w14:paraId="4B84D209" w14:textId="77777777" w:rsidR="00074B88" w:rsidRPr="00C65A3F" w:rsidRDefault="00074B88" w:rsidP="009A78CC">
      <w:pPr>
        <w:widowControl/>
        <w:adjustRightInd w:val="0"/>
        <w:snapToGrid w:val="0"/>
        <w:contextualSpacing/>
        <w:rPr>
          <w:b/>
          <w:sz w:val="26"/>
          <w:szCs w:val="26"/>
        </w:rPr>
      </w:pPr>
    </w:p>
    <w:p w14:paraId="417A81AE" w14:textId="77777777" w:rsidR="00074B88" w:rsidRPr="00C65A3F" w:rsidRDefault="00074B88" w:rsidP="009A78CC">
      <w:pPr>
        <w:widowControl/>
        <w:adjustRightInd w:val="0"/>
        <w:snapToGrid w:val="0"/>
        <w:contextualSpacing/>
        <w:rPr>
          <w:b/>
          <w:sz w:val="26"/>
          <w:szCs w:val="26"/>
        </w:rPr>
      </w:pPr>
    </w:p>
    <w:p w14:paraId="13CDC4F5" w14:textId="77777777" w:rsidR="00074B88" w:rsidRPr="00C65A3F" w:rsidRDefault="00074B88" w:rsidP="009A78CC">
      <w:pPr>
        <w:widowControl/>
        <w:adjustRightInd w:val="0"/>
        <w:snapToGrid w:val="0"/>
        <w:contextualSpacing/>
        <w:rPr>
          <w:b/>
          <w:sz w:val="26"/>
          <w:szCs w:val="26"/>
        </w:rPr>
      </w:pPr>
    </w:p>
    <w:p w14:paraId="4D6A4D7E" w14:textId="77777777" w:rsidR="00016413" w:rsidRDefault="00016413" w:rsidP="00E45629">
      <w:pPr>
        <w:adjustRightInd w:val="0"/>
        <w:snapToGrid w:val="0"/>
        <w:contextualSpacing/>
        <w:jc w:val="left"/>
        <w:rPr>
          <w:b/>
          <w:sz w:val="26"/>
        </w:rPr>
      </w:pPr>
    </w:p>
    <w:p w14:paraId="022BB61D" w14:textId="77777777" w:rsidR="00016413" w:rsidRDefault="00016413" w:rsidP="00E45629">
      <w:pPr>
        <w:adjustRightInd w:val="0"/>
        <w:snapToGrid w:val="0"/>
        <w:contextualSpacing/>
        <w:jc w:val="left"/>
        <w:rPr>
          <w:b/>
          <w:sz w:val="26"/>
        </w:rPr>
      </w:pPr>
    </w:p>
    <w:p w14:paraId="207E64B3" w14:textId="764E8764" w:rsidR="004238D8" w:rsidRPr="00C65A3F" w:rsidRDefault="004238D8" w:rsidP="00E45629">
      <w:pPr>
        <w:adjustRightInd w:val="0"/>
        <w:snapToGrid w:val="0"/>
        <w:contextualSpacing/>
        <w:jc w:val="left"/>
        <w:rPr>
          <w:b/>
          <w:sz w:val="26"/>
        </w:rPr>
      </w:pPr>
      <w:r w:rsidRPr="00C65A3F">
        <w:rPr>
          <w:b/>
          <w:sz w:val="26"/>
        </w:rPr>
        <w:lastRenderedPageBreak/>
        <w:t>Table of Contents</w:t>
      </w:r>
    </w:p>
    <w:sdt>
      <w:sdtPr>
        <w:rPr>
          <w:rFonts w:ascii="Times New Roman" w:eastAsia="PMingLiU" w:hAnsi="Times New Roman" w:cs="Times New Roman"/>
          <w:color w:val="auto"/>
          <w:kern w:val="2"/>
          <w:sz w:val="24"/>
          <w:szCs w:val="22"/>
          <w:lang w:eastAsia="zh-TW"/>
        </w:rPr>
        <w:id w:val="2039926082"/>
        <w:docPartObj>
          <w:docPartGallery w:val="Table of Contents"/>
          <w:docPartUnique/>
        </w:docPartObj>
      </w:sdtPr>
      <w:sdtEndPr>
        <w:rPr>
          <w:b/>
          <w:bCs/>
          <w:noProof/>
        </w:rPr>
      </w:sdtEndPr>
      <w:sdtContent>
        <w:p w14:paraId="1A2EBFFB" w14:textId="707472F6" w:rsidR="008243C4" w:rsidRDefault="008243C4" w:rsidP="009A78CC">
          <w:pPr>
            <w:pStyle w:val="TOCHeading"/>
            <w:spacing w:line="360" w:lineRule="auto"/>
            <w:contextualSpacing/>
          </w:pPr>
        </w:p>
        <w:p w14:paraId="61AC3CD1" w14:textId="1D2C5F7D" w:rsidR="00AF654C" w:rsidRDefault="008243C4">
          <w:pPr>
            <w:pStyle w:val="TOC1"/>
            <w:tabs>
              <w:tab w:val="right" w:leader="dot" w:pos="9060"/>
            </w:tabs>
            <w:rPr>
              <w:rFonts w:asciiTheme="minorHAnsi" w:eastAsiaTheme="minorEastAsia" w:hAnsiTheme="minorHAnsi" w:cstheme="minorBidi"/>
              <w:b w:val="0"/>
              <w:bCs w:val="0"/>
              <w:caps w:val="0"/>
              <w:noProof/>
              <w:lang w:val="en-HK" w:eastAsia="zh-CN"/>
              <w14:ligatures w14:val="standardContextual"/>
            </w:rPr>
          </w:pPr>
          <w:r>
            <w:rPr>
              <w:noProof/>
            </w:rPr>
            <w:fldChar w:fldCharType="begin"/>
          </w:r>
          <w:r>
            <w:rPr>
              <w:noProof/>
            </w:rPr>
            <w:instrText xml:space="preserve"> TOC \o "1-3" \h \z \u </w:instrText>
          </w:r>
          <w:r>
            <w:rPr>
              <w:noProof/>
            </w:rPr>
            <w:fldChar w:fldCharType="separate"/>
          </w:r>
          <w:hyperlink w:anchor="_Toc192522717" w:history="1">
            <w:r w:rsidR="00AF654C" w:rsidRPr="00BF366E">
              <w:rPr>
                <w:rStyle w:val="Hyperlink"/>
                <w:noProof/>
              </w:rPr>
              <w:t>Declaration</w:t>
            </w:r>
            <w:r w:rsidR="00AF654C">
              <w:rPr>
                <w:noProof/>
                <w:webHidden/>
              </w:rPr>
              <w:tab/>
            </w:r>
            <w:r w:rsidR="00AF654C">
              <w:rPr>
                <w:noProof/>
                <w:webHidden/>
              </w:rPr>
              <w:fldChar w:fldCharType="begin"/>
            </w:r>
            <w:r w:rsidR="00AF654C">
              <w:rPr>
                <w:noProof/>
                <w:webHidden/>
              </w:rPr>
              <w:instrText xml:space="preserve"> PAGEREF _Toc192522717 \h </w:instrText>
            </w:r>
            <w:r w:rsidR="00AF654C">
              <w:rPr>
                <w:noProof/>
                <w:webHidden/>
              </w:rPr>
            </w:r>
            <w:r w:rsidR="00AF654C">
              <w:rPr>
                <w:noProof/>
                <w:webHidden/>
              </w:rPr>
              <w:fldChar w:fldCharType="separate"/>
            </w:r>
            <w:r w:rsidR="00AF654C">
              <w:rPr>
                <w:noProof/>
                <w:webHidden/>
              </w:rPr>
              <w:t>i</w:t>
            </w:r>
            <w:r w:rsidR="00AF654C">
              <w:rPr>
                <w:noProof/>
                <w:webHidden/>
              </w:rPr>
              <w:fldChar w:fldCharType="end"/>
            </w:r>
          </w:hyperlink>
        </w:p>
        <w:p w14:paraId="27A5FBAA" w14:textId="5C9F345A" w:rsidR="00AF654C" w:rsidRDefault="00AF654C">
          <w:pPr>
            <w:pStyle w:val="TOC1"/>
            <w:tabs>
              <w:tab w:val="right" w:leader="dot" w:pos="9060"/>
            </w:tabs>
            <w:rPr>
              <w:rFonts w:asciiTheme="minorHAnsi" w:eastAsiaTheme="minorEastAsia" w:hAnsiTheme="minorHAnsi" w:cstheme="minorBidi"/>
              <w:b w:val="0"/>
              <w:bCs w:val="0"/>
              <w:caps w:val="0"/>
              <w:noProof/>
              <w:lang w:val="en-HK" w:eastAsia="zh-CN"/>
              <w14:ligatures w14:val="standardContextual"/>
            </w:rPr>
          </w:pPr>
          <w:hyperlink w:anchor="_Toc192522718" w:history="1">
            <w:r w:rsidRPr="00BF366E">
              <w:rPr>
                <w:rStyle w:val="Hyperlink"/>
                <w:noProof/>
              </w:rPr>
              <w:t>Synopsis</w:t>
            </w:r>
            <w:r>
              <w:rPr>
                <w:noProof/>
                <w:webHidden/>
              </w:rPr>
              <w:tab/>
            </w:r>
            <w:r>
              <w:rPr>
                <w:noProof/>
                <w:webHidden/>
              </w:rPr>
              <w:fldChar w:fldCharType="begin"/>
            </w:r>
            <w:r>
              <w:rPr>
                <w:noProof/>
                <w:webHidden/>
              </w:rPr>
              <w:instrText xml:space="preserve"> PAGEREF _Toc192522718 \h </w:instrText>
            </w:r>
            <w:r>
              <w:rPr>
                <w:noProof/>
                <w:webHidden/>
              </w:rPr>
            </w:r>
            <w:r>
              <w:rPr>
                <w:noProof/>
                <w:webHidden/>
              </w:rPr>
              <w:fldChar w:fldCharType="separate"/>
            </w:r>
            <w:r>
              <w:rPr>
                <w:noProof/>
                <w:webHidden/>
              </w:rPr>
              <w:t>ii</w:t>
            </w:r>
            <w:r>
              <w:rPr>
                <w:noProof/>
                <w:webHidden/>
              </w:rPr>
              <w:fldChar w:fldCharType="end"/>
            </w:r>
          </w:hyperlink>
        </w:p>
        <w:p w14:paraId="25B46527" w14:textId="3E870CA6" w:rsidR="00AF654C" w:rsidRDefault="00AF654C">
          <w:pPr>
            <w:pStyle w:val="TOC1"/>
            <w:tabs>
              <w:tab w:val="right" w:leader="dot" w:pos="9060"/>
            </w:tabs>
            <w:rPr>
              <w:rFonts w:asciiTheme="minorHAnsi" w:eastAsiaTheme="minorEastAsia" w:hAnsiTheme="minorHAnsi" w:cstheme="minorBidi"/>
              <w:b w:val="0"/>
              <w:bCs w:val="0"/>
              <w:caps w:val="0"/>
              <w:noProof/>
              <w:lang w:val="en-HK" w:eastAsia="zh-CN"/>
              <w14:ligatures w14:val="standardContextual"/>
            </w:rPr>
          </w:pPr>
          <w:hyperlink w:anchor="_Toc192522719" w:history="1">
            <w:r w:rsidRPr="00BF366E">
              <w:rPr>
                <w:rStyle w:val="Hyperlink"/>
                <w:noProof/>
              </w:rPr>
              <w:t>1.0   Introduction</w:t>
            </w:r>
            <w:r>
              <w:rPr>
                <w:noProof/>
                <w:webHidden/>
              </w:rPr>
              <w:tab/>
            </w:r>
            <w:r>
              <w:rPr>
                <w:noProof/>
                <w:webHidden/>
              </w:rPr>
              <w:fldChar w:fldCharType="begin"/>
            </w:r>
            <w:r>
              <w:rPr>
                <w:noProof/>
                <w:webHidden/>
              </w:rPr>
              <w:instrText xml:space="preserve"> PAGEREF _Toc192522719 \h </w:instrText>
            </w:r>
            <w:r>
              <w:rPr>
                <w:noProof/>
                <w:webHidden/>
              </w:rPr>
            </w:r>
            <w:r>
              <w:rPr>
                <w:noProof/>
                <w:webHidden/>
              </w:rPr>
              <w:fldChar w:fldCharType="separate"/>
            </w:r>
            <w:r>
              <w:rPr>
                <w:noProof/>
                <w:webHidden/>
              </w:rPr>
              <w:t>1</w:t>
            </w:r>
            <w:r>
              <w:rPr>
                <w:noProof/>
                <w:webHidden/>
              </w:rPr>
              <w:fldChar w:fldCharType="end"/>
            </w:r>
          </w:hyperlink>
        </w:p>
        <w:p w14:paraId="14994C15" w14:textId="437E29AC" w:rsidR="00AF654C" w:rsidRDefault="00AF654C" w:rsidP="00AF654C">
          <w:pPr>
            <w:pStyle w:val="TOC2"/>
            <w:rPr>
              <w:rFonts w:asciiTheme="minorHAnsi" w:eastAsiaTheme="minorEastAsia" w:hAnsiTheme="minorHAnsi" w:cstheme="minorBidi"/>
              <w:noProof/>
              <w:szCs w:val="24"/>
              <w:lang w:val="en-HK" w:eastAsia="zh-CN"/>
              <w14:ligatures w14:val="standardContextual"/>
            </w:rPr>
          </w:pPr>
          <w:hyperlink w:anchor="_Toc192522720" w:history="1">
            <w:r w:rsidRPr="00BF366E">
              <w:rPr>
                <w:rStyle w:val="Hyperlink"/>
                <w:noProof/>
              </w:rPr>
              <w:t>2.0   Research Background</w:t>
            </w:r>
            <w:r>
              <w:rPr>
                <w:noProof/>
                <w:webHidden/>
              </w:rPr>
              <w:tab/>
            </w:r>
            <w:r>
              <w:rPr>
                <w:noProof/>
                <w:webHidden/>
              </w:rPr>
              <w:fldChar w:fldCharType="begin"/>
            </w:r>
            <w:r>
              <w:rPr>
                <w:noProof/>
                <w:webHidden/>
              </w:rPr>
              <w:instrText xml:space="preserve"> PAGEREF _Toc192522720 \h </w:instrText>
            </w:r>
            <w:r>
              <w:rPr>
                <w:noProof/>
                <w:webHidden/>
              </w:rPr>
            </w:r>
            <w:r>
              <w:rPr>
                <w:noProof/>
                <w:webHidden/>
              </w:rPr>
              <w:fldChar w:fldCharType="separate"/>
            </w:r>
            <w:r>
              <w:rPr>
                <w:noProof/>
                <w:webHidden/>
              </w:rPr>
              <w:t>3</w:t>
            </w:r>
            <w:r>
              <w:rPr>
                <w:noProof/>
                <w:webHidden/>
              </w:rPr>
              <w:fldChar w:fldCharType="end"/>
            </w:r>
          </w:hyperlink>
        </w:p>
        <w:p w14:paraId="58087CF9" w14:textId="0F1DB8BF" w:rsidR="00AF654C" w:rsidRDefault="00AF654C" w:rsidP="00AF654C">
          <w:pPr>
            <w:pStyle w:val="TOC2"/>
            <w:rPr>
              <w:rFonts w:asciiTheme="minorHAnsi" w:eastAsiaTheme="minorEastAsia" w:hAnsiTheme="minorHAnsi" w:cstheme="minorBidi"/>
              <w:noProof/>
              <w:szCs w:val="24"/>
              <w:lang w:val="en-HK" w:eastAsia="zh-CN"/>
              <w14:ligatures w14:val="standardContextual"/>
            </w:rPr>
          </w:pPr>
          <w:hyperlink w:anchor="_Toc192522721" w:history="1">
            <w:r w:rsidRPr="00BF366E">
              <w:rPr>
                <w:rStyle w:val="Hyperlink"/>
                <w:noProof/>
              </w:rPr>
              <w:t>2.1 Theoretical Basis</w:t>
            </w:r>
            <w:r>
              <w:rPr>
                <w:noProof/>
                <w:webHidden/>
              </w:rPr>
              <w:tab/>
            </w:r>
            <w:r>
              <w:rPr>
                <w:noProof/>
                <w:webHidden/>
              </w:rPr>
              <w:fldChar w:fldCharType="begin"/>
            </w:r>
            <w:r>
              <w:rPr>
                <w:noProof/>
                <w:webHidden/>
              </w:rPr>
              <w:instrText xml:space="preserve"> PAGEREF _Toc192522721 \h </w:instrText>
            </w:r>
            <w:r>
              <w:rPr>
                <w:noProof/>
                <w:webHidden/>
              </w:rPr>
            </w:r>
            <w:r>
              <w:rPr>
                <w:noProof/>
                <w:webHidden/>
              </w:rPr>
              <w:fldChar w:fldCharType="separate"/>
            </w:r>
            <w:r>
              <w:rPr>
                <w:noProof/>
                <w:webHidden/>
              </w:rPr>
              <w:t>4</w:t>
            </w:r>
            <w:r>
              <w:rPr>
                <w:noProof/>
                <w:webHidden/>
              </w:rPr>
              <w:fldChar w:fldCharType="end"/>
            </w:r>
          </w:hyperlink>
        </w:p>
        <w:p w14:paraId="58AF30E6" w14:textId="0246EDA8" w:rsidR="00AF654C" w:rsidRDefault="00AF654C" w:rsidP="00AF654C">
          <w:pPr>
            <w:pStyle w:val="TOC2"/>
            <w:rPr>
              <w:rFonts w:asciiTheme="minorHAnsi" w:eastAsiaTheme="minorEastAsia" w:hAnsiTheme="minorHAnsi" w:cstheme="minorBidi"/>
              <w:noProof/>
              <w:szCs w:val="24"/>
              <w:lang w:val="en-HK" w:eastAsia="zh-CN"/>
              <w14:ligatures w14:val="standardContextual"/>
            </w:rPr>
          </w:pPr>
          <w:hyperlink w:anchor="_Toc192522722" w:history="1">
            <w:r w:rsidRPr="00BF366E">
              <w:rPr>
                <w:rStyle w:val="Hyperlink"/>
                <w:noProof/>
              </w:rPr>
              <w:t>2.2 Current Performance of Consumer Inflation and Retail Sales in Hong Kong and Taiwan</w:t>
            </w:r>
            <w:r>
              <w:rPr>
                <w:noProof/>
                <w:webHidden/>
              </w:rPr>
              <w:tab/>
            </w:r>
            <w:r>
              <w:rPr>
                <w:noProof/>
                <w:webHidden/>
              </w:rPr>
              <w:fldChar w:fldCharType="begin"/>
            </w:r>
            <w:r>
              <w:rPr>
                <w:noProof/>
                <w:webHidden/>
              </w:rPr>
              <w:instrText xml:space="preserve"> PAGEREF _Toc192522722 \h </w:instrText>
            </w:r>
            <w:r>
              <w:rPr>
                <w:noProof/>
                <w:webHidden/>
              </w:rPr>
            </w:r>
            <w:r>
              <w:rPr>
                <w:noProof/>
                <w:webHidden/>
              </w:rPr>
              <w:fldChar w:fldCharType="separate"/>
            </w:r>
            <w:r>
              <w:rPr>
                <w:noProof/>
                <w:webHidden/>
              </w:rPr>
              <w:t>5</w:t>
            </w:r>
            <w:r>
              <w:rPr>
                <w:noProof/>
                <w:webHidden/>
              </w:rPr>
              <w:fldChar w:fldCharType="end"/>
            </w:r>
          </w:hyperlink>
        </w:p>
        <w:p w14:paraId="53F3DC97" w14:textId="7A0BA5A3" w:rsidR="00AF654C" w:rsidRDefault="00AF654C" w:rsidP="00AF654C">
          <w:pPr>
            <w:pStyle w:val="TOC2"/>
            <w:rPr>
              <w:rFonts w:asciiTheme="minorHAnsi" w:eastAsiaTheme="minorEastAsia" w:hAnsiTheme="minorHAnsi" w:cstheme="minorBidi"/>
              <w:noProof/>
              <w:szCs w:val="24"/>
              <w:lang w:val="en-HK" w:eastAsia="zh-CN"/>
              <w14:ligatures w14:val="standardContextual"/>
            </w:rPr>
          </w:pPr>
          <w:hyperlink w:anchor="_Toc192522723" w:history="1">
            <w:r w:rsidRPr="00BF366E">
              <w:rPr>
                <w:rStyle w:val="Hyperlink"/>
                <w:noProof/>
              </w:rPr>
              <w:t>2.3 Dataset</w:t>
            </w:r>
            <w:r>
              <w:rPr>
                <w:noProof/>
                <w:webHidden/>
              </w:rPr>
              <w:tab/>
            </w:r>
            <w:r>
              <w:rPr>
                <w:noProof/>
                <w:webHidden/>
              </w:rPr>
              <w:fldChar w:fldCharType="begin"/>
            </w:r>
            <w:r>
              <w:rPr>
                <w:noProof/>
                <w:webHidden/>
              </w:rPr>
              <w:instrText xml:space="preserve"> PAGEREF _Toc192522723 \h </w:instrText>
            </w:r>
            <w:r>
              <w:rPr>
                <w:noProof/>
                <w:webHidden/>
              </w:rPr>
            </w:r>
            <w:r>
              <w:rPr>
                <w:noProof/>
                <w:webHidden/>
              </w:rPr>
              <w:fldChar w:fldCharType="separate"/>
            </w:r>
            <w:r>
              <w:rPr>
                <w:noProof/>
                <w:webHidden/>
              </w:rPr>
              <w:t>6</w:t>
            </w:r>
            <w:r>
              <w:rPr>
                <w:noProof/>
                <w:webHidden/>
              </w:rPr>
              <w:fldChar w:fldCharType="end"/>
            </w:r>
          </w:hyperlink>
        </w:p>
        <w:p w14:paraId="4D62826B" w14:textId="603E2F07" w:rsidR="00AF654C" w:rsidRDefault="00AF654C" w:rsidP="00AF654C">
          <w:pPr>
            <w:pStyle w:val="TOC2"/>
            <w:rPr>
              <w:rFonts w:asciiTheme="minorHAnsi" w:eastAsiaTheme="minorEastAsia" w:hAnsiTheme="minorHAnsi" w:cstheme="minorBidi"/>
              <w:noProof/>
              <w:szCs w:val="24"/>
              <w:lang w:val="en-HK" w:eastAsia="zh-CN"/>
              <w14:ligatures w14:val="standardContextual"/>
            </w:rPr>
          </w:pPr>
          <w:hyperlink w:anchor="_Toc192522724" w:history="1">
            <w:r w:rsidRPr="00BF366E">
              <w:rPr>
                <w:rStyle w:val="Hyperlink"/>
                <w:noProof/>
              </w:rPr>
              <w:t>3.0 Analysis and Discussion</w:t>
            </w:r>
            <w:r>
              <w:rPr>
                <w:noProof/>
                <w:webHidden/>
              </w:rPr>
              <w:tab/>
            </w:r>
            <w:r>
              <w:rPr>
                <w:noProof/>
                <w:webHidden/>
              </w:rPr>
              <w:fldChar w:fldCharType="begin"/>
            </w:r>
            <w:r>
              <w:rPr>
                <w:noProof/>
                <w:webHidden/>
              </w:rPr>
              <w:instrText xml:space="preserve"> PAGEREF _Toc192522724 \h </w:instrText>
            </w:r>
            <w:r>
              <w:rPr>
                <w:noProof/>
                <w:webHidden/>
              </w:rPr>
            </w:r>
            <w:r>
              <w:rPr>
                <w:noProof/>
                <w:webHidden/>
              </w:rPr>
              <w:fldChar w:fldCharType="separate"/>
            </w:r>
            <w:r>
              <w:rPr>
                <w:noProof/>
                <w:webHidden/>
              </w:rPr>
              <w:t>11</w:t>
            </w:r>
            <w:r>
              <w:rPr>
                <w:noProof/>
                <w:webHidden/>
              </w:rPr>
              <w:fldChar w:fldCharType="end"/>
            </w:r>
          </w:hyperlink>
        </w:p>
        <w:p w14:paraId="57321C7C" w14:textId="07A51D7D" w:rsidR="00AF654C" w:rsidRDefault="00AF654C" w:rsidP="00AF654C">
          <w:pPr>
            <w:pStyle w:val="TOC2"/>
            <w:rPr>
              <w:rFonts w:asciiTheme="minorHAnsi" w:eastAsiaTheme="minorEastAsia" w:hAnsiTheme="minorHAnsi" w:cstheme="minorBidi"/>
              <w:noProof/>
              <w:szCs w:val="24"/>
              <w:lang w:val="en-HK" w:eastAsia="zh-CN"/>
              <w14:ligatures w14:val="standardContextual"/>
            </w:rPr>
          </w:pPr>
          <w:hyperlink w:anchor="_Toc192522725" w:history="1">
            <w:r w:rsidRPr="00BF366E">
              <w:rPr>
                <w:rStyle w:val="Hyperlink"/>
                <w:noProof/>
              </w:rPr>
              <w:t>3.1 The Pattern of Consumer Inflation and Retail Sales in Hong Kong</w:t>
            </w:r>
            <w:r>
              <w:rPr>
                <w:noProof/>
                <w:webHidden/>
              </w:rPr>
              <w:tab/>
            </w:r>
            <w:r>
              <w:rPr>
                <w:noProof/>
                <w:webHidden/>
              </w:rPr>
              <w:fldChar w:fldCharType="begin"/>
            </w:r>
            <w:r>
              <w:rPr>
                <w:noProof/>
                <w:webHidden/>
              </w:rPr>
              <w:instrText xml:space="preserve"> PAGEREF _Toc192522725 \h </w:instrText>
            </w:r>
            <w:r>
              <w:rPr>
                <w:noProof/>
                <w:webHidden/>
              </w:rPr>
            </w:r>
            <w:r>
              <w:rPr>
                <w:noProof/>
                <w:webHidden/>
              </w:rPr>
              <w:fldChar w:fldCharType="separate"/>
            </w:r>
            <w:r>
              <w:rPr>
                <w:noProof/>
                <w:webHidden/>
              </w:rPr>
              <w:t>11</w:t>
            </w:r>
            <w:r>
              <w:rPr>
                <w:noProof/>
                <w:webHidden/>
              </w:rPr>
              <w:fldChar w:fldCharType="end"/>
            </w:r>
          </w:hyperlink>
        </w:p>
        <w:p w14:paraId="387BA42E" w14:textId="22262358" w:rsidR="00AF654C" w:rsidRDefault="00AF654C" w:rsidP="00AF654C">
          <w:pPr>
            <w:pStyle w:val="TOC2"/>
            <w:rPr>
              <w:rFonts w:asciiTheme="minorHAnsi" w:eastAsiaTheme="minorEastAsia" w:hAnsiTheme="minorHAnsi" w:cstheme="minorBidi"/>
              <w:noProof/>
              <w:szCs w:val="24"/>
              <w:lang w:val="en-HK" w:eastAsia="zh-CN"/>
              <w14:ligatures w14:val="standardContextual"/>
            </w:rPr>
          </w:pPr>
          <w:hyperlink w:anchor="_Toc192522726" w:history="1">
            <w:r w:rsidRPr="00BF366E">
              <w:rPr>
                <w:rStyle w:val="Hyperlink"/>
                <w:noProof/>
              </w:rPr>
              <w:t>3.2 Comparative Analysis</w:t>
            </w:r>
            <w:r>
              <w:rPr>
                <w:noProof/>
                <w:webHidden/>
              </w:rPr>
              <w:tab/>
            </w:r>
            <w:r>
              <w:rPr>
                <w:noProof/>
                <w:webHidden/>
              </w:rPr>
              <w:fldChar w:fldCharType="begin"/>
            </w:r>
            <w:r>
              <w:rPr>
                <w:noProof/>
                <w:webHidden/>
              </w:rPr>
              <w:instrText xml:space="preserve"> PAGEREF _Toc192522726 \h </w:instrText>
            </w:r>
            <w:r>
              <w:rPr>
                <w:noProof/>
                <w:webHidden/>
              </w:rPr>
            </w:r>
            <w:r>
              <w:rPr>
                <w:noProof/>
                <w:webHidden/>
              </w:rPr>
              <w:fldChar w:fldCharType="separate"/>
            </w:r>
            <w:r>
              <w:rPr>
                <w:noProof/>
                <w:webHidden/>
              </w:rPr>
              <w:t>13</w:t>
            </w:r>
            <w:r>
              <w:rPr>
                <w:noProof/>
                <w:webHidden/>
              </w:rPr>
              <w:fldChar w:fldCharType="end"/>
            </w:r>
          </w:hyperlink>
        </w:p>
        <w:p w14:paraId="7A563819" w14:textId="1C3AB484" w:rsidR="00AF654C" w:rsidRDefault="00AF654C">
          <w:pPr>
            <w:pStyle w:val="TOC3"/>
            <w:tabs>
              <w:tab w:val="right" w:leader="dot" w:pos="9060"/>
            </w:tabs>
            <w:rPr>
              <w:rFonts w:asciiTheme="minorHAnsi" w:eastAsiaTheme="minorEastAsia" w:hAnsiTheme="minorHAnsi" w:cstheme="minorBidi"/>
              <w:noProof/>
              <w:szCs w:val="24"/>
              <w:lang w:val="en-HK" w:eastAsia="zh-CN"/>
              <w14:ligatures w14:val="standardContextual"/>
            </w:rPr>
          </w:pPr>
          <w:hyperlink w:anchor="_Toc192522727" w:history="1">
            <w:r w:rsidRPr="00BF366E">
              <w:rPr>
                <w:rStyle w:val="Hyperlink"/>
                <w:noProof/>
              </w:rPr>
              <w:t>3.2.1 Correlation Analysis</w:t>
            </w:r>
            <w:r>
              <w:rPr>
                <w:noProof/>
                <w:webHidden/>
              </w:rPr>
              <w:tab/>
            </w:r>
            <w:r>
              <w:rPr>
                <w:noProof/>
                <w:webHidden/>
              </w:rPr>
              <w:fldChar w:fldCharType="begin"/>
            </w:r>
            <w:r>
              <w:rPr>
                <w:noProof/>
                <w:webHidden/>
              </w:rPr>
              <w:instrText xml:space="preserve"> PAGEREF _Toc192522727 \h </w:instrText>
            </w:r>
            <w:r>
              <w:rPr>
                <w:noProof/>
                <w:webHidden/>
              </w:rPr>
            </w:r>
            <w:r>
              <w:rPr>
                <w:noProof/>
                <w:webHidden/>
              </w:rPr>
              <w:fldChar w:fldCharType="separate"/>
            </w:r>
            <w:r>
              <w:rPr>
                <w:noProof/>
                <w:webHidden/>
              </w:rPr>
              <w:t>14</w:t>
            </w:r>
            <w:r>
              <w:rPr>
                <w:noProof/>
                <w:webHidden/>
              </w:rPr>
              <w:fldChar w:fldCharType="end"/>
            </w:r>
          </w:hyperlink>
        </w:p>
        <w:p w14:paraId="58B30A8C" w14:textId="11E4EDD6" w:rsidR="00AF654C" w:rsidRDefault="00AF654C">
          <w:pPr>
            <w:pStyle w:val="TOC3"/>
            <w:tabs>
              <w:tab w:val="right" w:leader="dot" w:pos="9060"/>
            </w:tabs>
            <w:rPr>
              <w:rFonts w:asciiTheme="minorHAnsi" w:eastAsiaTheme="minorEastAsia" w:hAnsiTheme="minorHAnsi" w:cstheme="minorBidi"/>
              <w:noProof/>
              <w:szCs w:val="24"/>
              <w:lang w:val="en-HK" w:eastAsia="zh-CN"/>
              <w14:ligatures w14:val="standardContextual"/>
            </w:rPr>
          </w:pPr>
          <w:hyperlink w:anchor="_Toc192522728" w:history="1">
            <w:r w:rsidRPr="00BF366E">
              <w:rPr>
                <w:rStyle w:val="Hyperlink"/>
                <w:noProof/>
              </w:rPr>
              <w:t>3.2.2 Similarities and Differences in Patterns and Trends</w:t>
            </w:r>
            <w:r>
              <w:rPr>
                <w:noProof/>
                <w:webHidden/>
              </w:rPr>
              <w:tab/>
            </w:r>
            <w:r>
              <w:rPr>
                <w:noProof/>
                <w:webHidden/>
              </w:rPr>
              <w:fldChar w:fldCharType="begin"/>
            </w:r>
            <w:r>
              <w:rPr>
                <w:noProof/>
                <w:webHidden/>
              </w:rPr>
              <w:instrText xml:space="preserve"> PAGEREF _Toc192522728 \h </w:instrText>
            </w:r>
            <w:r>
              <w:rPr>
                <w:noProof/>
                <w:webHidden/>
              </w:rPr>
            </w:r>
            <w:r>
              <w:rPr>
                <w:noProof/>
                <w:webHidden/>
              </w:rPr>
              <w:fldChar w:fldCharType="separate"/>
            </w:r>
            <w:r>
              <w:rPr>
                <w:noProof/>
                <w:webHidden/>
              </w:rPr>
              <w:t>16</w:t>
            </w:r>
            <w:r>
              <w:rPr>
                <w:noProof/>
                <w:webHidden/>
              </w:rPr>
              <w:fldChar w:fldCharType="end"/>
            </w:r>
          </w:hyperlink>
        </w:p>
        <w:p w14:paraId="67A87340" w14:textId="4CD79DAF" w:rsidR="00AF654C" w:rsidRDefault="00AF654C" w:rsidP="00AF654C">
          <w:pPr>
            <w:pStyle w:val="TOC2"/>
            <w:rPr>
              <w:rFonts w:asciiTheme="minorHAnsi" w:eastAsiaTheme="minorEastAsia" w:hAnsiTheme="minorHAnsi" w:cstheme="minorBidi"/>
              <w:noProof/>
              <w:szCs w:val="24"/>
              <w:lang w:val="en-HK" w:eastAsia="zh-CN"/>
              <w14:ligatures w14:val="standardContextual"/>
            </w:rPr>
          </w:pPr>
          <w:hyperlink w:anchor="_Toc192522729" w:history="1">
            <w:r w:rsidRPr="00BF366E">
              <w:rPr>
                <w:rStyle w:val="Hyperlink"/>
                <w:noProof/>
              </w:rPr>
              <w:t>3.3 Summary of Findings</w:t>
            </w:r>
            <w:r>
              <w:rPr>
                <w:noProof/>
                <w:webHidden/>
              </w:rPr>
              <w:tab/>
            </w:r>
            <w:r>
              <w:rPr>
                <w:noProof/>
                <w:webHidden/>
              </w:rPr>
              <w:fldChar w:fldCharType="begin"/>
            </w:r>
            <w:r>
              <w:rPr>
                <w:noProof/>
                <w:webHidden/>
              </w:rPr>
              <w:instrText xml:space="preserve"> PAGEREF _Toc192522729 \h </w:instrText>
            </w:r>
            <w:r>
              <w:rPr>
                <w:noProof/>
                <w:webHidden/>
              </w:rPr>
            </w:r>
            <w:r>
              <w:rPr>
                <w:noProof/>
                <w:webHidden/>
              </w:rPr>
              <w:fldChar w:fldCharType="separate"/>
            </w:r>
            <w:r>
              <w:rPr>
                <w:noProof/>
                <w:webHidden/>
              </w:rPr>
              <w:t>18</w:t>
            </w:r>
            <w:r>
              <w:rPr>
                <w:noProof/>
                <w:webHidden/>
              </w:rPr>
              <w:fldChar w:fldCharType="end"/>
            </w:r>
          </w:hyperlink>
        </w:p>
        <w:p w14:paraId="445A48A6" w14:textId="34AE7B94" w:rsidR="00AF654C" w:rsidRDefault="00AF654C">
          <w:pPr>
            <w:pStyle w:val="TOC1"/>
            <w:tabs>
              <w:tab w:val="right" w:leader="dot" w:pos="9060"/>
            </w:tabs>
            <w:rPr>
              <w:rFonts w:asciiTheme="minorHAnsi" w:eastAsiaTheme="minorEastAsia" w:hAnsiTheme="minorHAnsi" w:cstheme="minorBidi"/>
              <w:b w:val="0"/>
              <w:bCs w:val="0"/>
              <w:caps w:val="0"/>
              <w:noProof/>
              <w:lang w:val="en-HK" w:eastAsia="zh-CN"/>
              <w14:ligatures w14:val="standardContextual"/>
            </w:rPr>
          </w:pPr>
          <w:hyperlink w:anchor="_Toc192522730" w:history="1">
            <w:r w:rsidRPr="00BF366E">
              <w:rPr>
                <w:rStyle w:val="Hyperlink"/>
                <w:noProof/>
              </w:rPr>
              <w:t>4.0 Conclusion and Recommendations</w:t>
            </w:r>
            <w:r>
              <w:rPr>
                <w:noProof/>
                <w:webHidden/>
              </w:rPr>
              <w:tab/>
            </w:r>
            <w:r>
              <w:rPr>
                <w:noProof/>
                <w:webHidden/>
              </w:rPr>
              <w:fldChar w:fldCharType="begin"/>
            </w:r>
            <w:r>
              <w:rPr>
                <w:noProof/>
                <w:webHidden/>
              </w:rPr>
              <w:instrText xml:space="preserve"> PAGEREF _Toc192522730 \h </w:instrText>
            </w:r>
            <w:r>
              <w:rPr>
                <w:noProof/>
                <w:webHidden/>
              </w:rPr>
            </w:r>
            <w:r>
              <w:rPr>
                <w:noProof/>
                <w:webHidden/>
              </w:rPr>
              <w:fldChar w:fldCharType="separate"/>
            </w:r>
            <w:r>
              <w:rPr>
                <w:noProof/>
                <w:webHidden/>
              </w:rPr>
              <w:t>21</w:t>
            </w:r>
            <w:r>
              <w:rPr>
                <w:noProof/>
                <w:webHidden/>
              </w:rPr>
              <w:fldChar w:fldCharType="end"/>
            </w:r>
          </w:hyperlink>
        </w:p>
        <w:p w14:paraId="56A1DF72" w14:textId="244B1F13" w:rsidR="00AF654C" w:rsidRDefault="00AF654C" w:rsidP="00AF654C">
          <w:pPr>
            <w:pStyle w:val="TOC2"/>
            <w:rPr>
              <w:rFonts w:asciiTheme="minorHAnsi" w:eastAsiaTheme="minorEastAsia" w:hAnsiTheme="minorHAnsi" w:cstheme="minorBidi"/>
              <w:noProof/>
              <w:szCs w:val="24"/>
              <w:lang w:val="en-HK" w:eastAsia="zh-CN"/>
              <w14:ligatures w14:val="standardContextual"/>
            </w:rPr>
          </w:pPr>
          <w:hyperlink w:anchor="_Toc192522731" w:history="1">
            <w:r w:rsidRPr="00BF366E">
              <w:rPr>
                <w:rStyle w:val="Hyperlink"/>
                <w:noProof/>
              </w:rPr>
              <w:t>4.1</w:t>
            </w:r>
            <w:r>
              <w:rPr>
                <w:rFonts w:asciiTheme="minorHAnsi" w:eastAsiaTheme="minorEastAsia" w:hAnsiTheme="minorHAnsi" w:cstheme="minorBidi"/>
                <w:noProof/>
                <w:szCs w:val="24"/>
                <w:lang w:val="en-HK" w:eastAsia="zh-CN"/>
                <w14:ligatures w14:val="standardContextual"/>
              </w:rPr>
              <w:tab/>
            </w:r>
            <w:r w:rsidRPr="00BF366E">
              <w:rPr>
                <w:rStyle w:val="Hyperlink"/>
                <w:noProof/>
              </w:rPr>
              <w:t xml:space="preserve"> Conclusion</w:t>
            </w:r>
            <w:r>
              <w:rPr>
                <w:noProof/>
                <w:webHidden/>
              </w:rPr>
              <w:tab/>
            </w:r>
            <w:r>
              <w:rPr>
                <w:noProof/>
                <w:webHidden/>
              </w:rPr>
              <w:fldChar w:fldCharType="begin"/>
            </w:r>
            <w:r>
              <w:rPr>
                <w:noProof/>
                <w:webHidden/>
              </w:rPr>
              <w:instrText xml:space="preserve"> PAGEREF _Toc192522731 \h </w:instrText>
            </w:r>
            <w:r>
              <w:rPr>
                <w:noProof/>
                <w:webHidden/>
              </w:rPr>
            </w:r>
            <w:r>
              <w:rPr>
                <w:noProof/>
                <w:webHidden/>
              </w:rPr>
              <w:fldChar w:fldCharType="separate"/>
            </w:r>
            <w:r>
              <w:rPr>
                <w:noProof/>
                <w:webHidden/>
              </w:rPr>
              <w:t>21</w:t>
            </w:r>
            <w:r>
              <w:rPr>
                <w:noProof/>
                <w:webHidden/>
              </w:rPr>
              <w:fldChar w:fldCharType="end"/>
            </w:r>
          </w:hyperlink>
        </w:p>
        <w:p w14:paraId="1B05FBC6" w14:textId="7FEB7991" w:rsidR="00AF654C" w:rsidRDefault="00AF654C" w:rsidP="00AF654C">
          <w:pPr>
            <w:pStyle w:val="TOC2"/>
            <w:rPr>
              <w:rFonts w:asciiTheme="minorHAnsi" w:eastAsiaTheme="minorEastAsia" w:hAnsiTheme="minorHAnsi" w:cstheme="minorBidi"/>
              <w:noProof/>
              <w:szCs w:val="24"/>
              <w:lang w:val="en-HK" w:eastAsia="zh-CN"/>
              <w14:ligatures w14:val="standardContextual"/>
            </w:rPr>
          </w:pPr>
          <w:hyperlink w:anchor="_Toc192522732" w:history="1">
            <w:r w:rsidRPr="00BF366E">
              <w:rPr>
                <w:rStyle w:val="Hyperlink"/>
                <w:noProof/>
              </w:rPr>
              <w:t>4.2</w:t>
            </w:r>
            <w:r>
              <w:rPr>
                <w:rFonts w:asciiTheme="minorHAnsi" w:eastAsiaTheme="minorEastAsia" w:hAnsiTheme="minorHAnsi" w:cstheme="minorBidi"/>
                <w:noProof/>
                <w:szCs w:val="24"/>
                <w:lang w:val="en-HK" w:eastAsia="zh-CN"/>
                <w14:ligatures w14:val="standardContextual"/>
              </w:rPr>
              <w:tab/>
            </w:r>
            <w:r w:rsidRPr="00BF366E">
              <w:rPr>
                <w:rStyle w:val="Hyperlink"/>
                <w:noProof/>
              </w:rPr>
              <w:t>Recommendations</w:t>
            </w:r>
            <w:r>
              <w:rPr>
                <w:noProof/>
                <w:webHidden/>
              </w:rPr>
              <w:tab/>
            </w:r>
            <w:r>
              <w:rPr>
                <w:noProof/>
                <w:webHidden/>
              </w:rPr>
              <w:fldChar w:fldCharType="begin"/>
            </w:r>
            <w:r>
              <w:rPr>
                <w:noProof/>
                <w:webHidden/>
              </w:rPr>
              <w:instrText xml:space="preserve"> PAGEREF _Toc192522732 \h </w:instrText>
            </w:r>
            <w:r>
              <w:rPr>
                <w:noProof/>
                <w:webHidden/>
              </w:rPr>
            </w:r>
            <w:r>
              <w:rPr>
                <w:noProof/>
                <w:webHidden/>
              </w:rPr>
              <w:fldChar w:fldCharType="separate"/>
            </w:r>
            <w:r>
              <w:rPr>
                <w:noProof/>
                <w:webHidden/>
              </w:rPr>
              <w:t>22</w:t>
            </w:r>
            <w:r>
              <w:rPr>
                <w:noProof/>
                <w:webHidden/>
              </w:rPr>
              <w:fldChar w:fldCharType="end"/>
            </w:r>
          </w:hyperlink>
        </w:p>
        <w:p w14:paraId="4F9888DC" w14:textId="4A4FBA51" w:rsidR="00AF654C" w:rsidRDefault="00AF654C">
          <w:pPr>
            <w:pStyle w:val="TOC1"/>
            <w:tabs>
              <w:tab w:val="right" w:leader="dot" w:pos="9060"/>
            </w:tabs>
            <w:rPr>
              <w:rFonts w:asciiTheme="minorHAnsi" w:eastAsiaTheme="minorEastAsia" w:hAnsiTheme="minorHAnsi" w:cstheme="minorBidi"/>
              <w:b w:val="0"/>
              <w:bCs w:val="0"/>
              <w:caps w:val="0"/>
              <w:noProof/>
              <w:lang w:val="en-HK" w:eastAsia="zh-CN"/>
              <w14:ligatures w14:val="standardContextual"/>
            </w:rPr>
          </w:pPr>
          <w:hyperlink w:anchor="_Toc192522733" w:history="1">
            <w:r w:rsidRPr="00BF366E">
              <w:rPr>
                <w:rStyle w:val="Hyperlink"/>
                <w:noProof/>
              </w:rPr>
              <w:t>References</w:t>
            </w:r>
            <w:r>
              <w:rPr>
                <w:noProof/>
                <w:webHidden/>
              </w:rPr>
              <w:tab/>
            </w:r>
            <w:r>
              <w:rPr>
                <w:noProof/>
                <w:webHidden/>
              </w:rPr>
              <w:fldChar w:fldCharType="begin"/>
            </w:r>
            <w:r>
              <w:rPr>
                <w:noProof/>
                <w:webHidden/>
              </w:rPr>
              <w:instrText xml:space="preserve"> PAGEREF _Toc192522733 \h </w:instrText>
            </w:r>
            <w:r>
              <w:rPr>
                <w:noProof/>
                <w:webHidden/>
              </w:rPr>
            </w:r>
            <w:r>
              <w:rPr>
                <w:noProof/>
                <w:webHidden/>
              </w:rPr>
              <w:fldChar w:fldCharType="separate"/>
            </w:r>
            <w:r>
              <w:rPr>
                <w:noProof/>
                <w:webHidden/>
              </w:rPr>
              <w:t>24</w:t>
            </w:r>
            <w:r>
              <w:rPr>
                <w:noProof/>
                <w:webHidden/>
              </w:rPr>
              <w:fldChar w:fldCharType="end"/>
            </w:r>
          </w:hyperlink>
        </w:p>
        <w:p w14:paraId="0E87C7BE" w14:textId="29C74706" w:rsidR="008243C4" w:rsidRDefault="008243C4" w:rsidP="009A78CC">
          <w:pPr>
            <w:contextualSpacing/>
          </w:pPr>
          <w:r>
            <w:rPr>
              <w:b/>
              <w:bCs/>
              <w:noProof/>
            </w:rPr>
            <w:fldChar w:fldCharType="end"/>
          </w:r>
        </w:p>
      </w:sdtContent>
    </w:sdt>
    <w:p w14:paraId="6A2BBC3F" w14:textId="1CA5B9DB" w:rsidR="004949D5" w:rsidRPr="00AF654C" w:rsidRDefault="004949D5" w:rsidP="00AF654C">
      <w:pPr>
        <w:widowControl/>
        <w:spacing w:line="240" w:lineRule="auto"/>
        <w:jc w:val="left"/>
        <w:rPr>
          <w:b/>
          <w:bCs/>
          <w:sz w:val="26"/>
          <w:lang w:val="en-GB"/>
        </w:rPr>
        <w:sectPr w:rsidR="004949D5" w:rsidRPr="00AF654C" w:rsidSect="009E1053">
          <w:pgSz w:w="11906" w:h="16838"/>
          <w:pgMar w:top="1134" w:right="1418" w:bottom="1134" w:left="1418" w:header="851" w:footer="992" w:gutter="0"/>
          <w:pgNumType w:fmt="lowerRoman" w:start="1"/>
          <w:cols w:space="425"/>
          <w:docGrid w:type="linesAndChars" w:linePitch="360"/>
        </w:sectPr>
      </w:pPr>
    </w:p>
    <w:p w14:paraId="07C39D97" w14:textId="210EC1DF" w:rsidR="00293F31" w:rsidRPr="00DC4F37" w:rsidRDefault="001B1DF5" w:rsidP="00DC4F37">
      <w:pPr>
        <w:pStyle w:val="Heading1"/>
        <w:contextualSpacing/>
        <w:rPr>
          <w:color w:val="0000CC"/>
        </w:rPr>
      </w:pPr>
      <w:bookmarkStart w:id="2" w:name="_Toc192522719"/>
      <w:r w:rsidRPr="00C65A3F">
        <w:lastRenderedPageBreak/>
        <w:t>1</w:t>
      </w:r>
      <w:r w:rsidR="00B751E7">
        <w:t>.0</w:t>
      </w:r>
      <w:r w:rsidRPr="00C65A3F">
        <w:t xml:space="preserve">   Introduction</w:t>
      </w:r>
      <w:bookmarkEnd w:id="2"/>
      <w:r w:rsidRPr="00C65A3F">
        <w:t xml:space="preserve"> </w:t>
      </w:r>
    </w:p>
    <w:p w14:paraId="1CCDA2A8" w14:textId="594C82C5" w:rsidR="00315483" w:rsidRPr="00315483" w:rsidRDefault="00315483" w:rsidP="009A78CC">
      <w:pPr>
        <w:widowControl/>
        <w:contextualSpacing/>
        <w:rPr>
          <w:bCs/>
          <w:szCs w:val="24"/>
        </w:rPr>
      </w:pPr>
      <w:r w:rsidRPr="00315483">
        <w:rPr>
          <w:bCs/>
          <w:szCs w:val="24"/>
        </w:rPr>
        <w:t xml:space="preserve">This report investigates the effects of global price changes on domestic retailing markets by comparing consumer inflation patterns and retail sales in Hong Kong and Taiwan to uncover investment opportunities for </w:t>
      </w:r>
      <w:r w:rsidR="00F24CA2">
        <w:rPr>
          <w:bCs/>
          <w:szCs w:val="24"/>
        </w:rPr>
        <w:t>AB</w:t>
      </w:r>
      <w:r w:rsidRPr="00315483">
        <w:rPr>
          <w:bCs/>
          <w:szCs w:val="24"/>
        </w:rPr>
        <w:t xml:space="preserve"> Stores (Hong Kong) Co Ltd to enhance its global business footprint. The study focuses on the electronic device section, a key retail segment sensitive to global supply chain costs and consumer demand shifts. </w:t>
      </w:r>
      <w:r w:rsidR="008E7E17" w:rsidRPr="008E7E17">
        <w:rPr>
          <w:bCs/>
          <w:szCs w:val="24"/>
        </w:rPr>
        <w:t>The objectives are to (1) establish an empirical link between inflation and retail sales in Hong Kong, (2) compare these dynamics with Taiwan, and (3) provide strategic insight</w:t>
      </w:r>
      <w:r w:rsidR="006D6F96">
        <w:rPr>
          <w:bCs/>
          <w:szCs w:val="24"/>
        </w:rPr>
        <w:t xml:space="preserve">s for </w:t>
      </w:r>
      <w:r w:rsidR="00F24CA2">
        <w:rPr>
          <w:bCs/>
          <w:szCs w:val="24"/>
        </w:rPr>
        <w:t>AB</w:t>
      </w:r>
      <w:r w:rsidR="00C15E56">
        <w:rPr>
          <w:bCs/>
          <w:szCs w:val="24"/>
        </w:rPr>
        <w:t>'</w:t>
      </w:r>
      <w:r w:rsidR="006D6F96">
        <w:rPr>
          <w:bCs/>
          <w:szCs w:val="24"/>
        </w:rPr>
        <w:t xml:space="preserve">s global expansion. </w:t>
      </w:r>
    </w:p>
    <w:p w14:paraId="3AA2D917" w14:textId="6EC7CA14" w:rsidR="008E7E17" w:rsidRPr="008E7E17" w:rsidRDefault="00F24CA2" w:rsidP="008E7E17">
      <w:pPr>
        <w:widowControl/>
        <w:contextualSpacing/>
        <w:rPr>
          <w:bCs/>
          <w:szCs w:val="24"/>
        </w:rPr>
      </w:pPr>
      <w:r>
        <w:rPr>
          <w:bCs/>
          <w:szCs w:val="24"/>
        </w:rPr>
        <w:t>AB</w:t>
      </w:r>
      <w:r w:rsidR="008E7E17" w:rsidRPr="008E7E17">
        <w:rPr>
          <w:bCs/>
          <w:szCs w:val="24"/>
        </w:rPr>
        <w:t xml:space="preserve"> Stores Co. Ltd. is a company in Hong Kong that has been trading on the Hong Kong Stock Exchange since 1994 (Hong Kong Census and Statistics Department, 2024). The company comprises diverse retail operations of supermarkets and professional sales floors (</w:t>
      </w:r>
      <w:r>
        <w:rPr>
          <w:bCs/>
          <w:szCs w:val="24"/>
        </w:rPr>
        <w:t>AB</w:t>
      </w:r>
      <w:r w:rsidR="008E7E17" w:rsidRPr="008E7E17">
        <w:rPr>
          <w:bCs/>
          <w:szCs w:val="24"/>
        </w:rPr>
        <w:t xml:space="preserve"> Stores (Hong Kong) Co. Ltd., 2023). A recent growing consumer interest in technology has increased the company's emphasis on electronic devices (HKTDC, 2023). However, retail sales have declined more recently due to a change in consumption patterns and competition across the border (HKTDC, 2023).</w:t>
      </w:r>
    </w:p>
    <w:p w14:paraId="67752DC1" w14:textId="46A2A1C7" w:rsidR="00315483" w:rsidRPr="00315483" w:rsidRDefault="00315483" w:rsidP="009A78CC">
      <w:pPr>
        <w:widowControl/>
        <w:contextualSpacing/>
        <w:rPr>
          <w:bCs/>
          <w:szCs w:val="24"/>
        </w:rPr>
      </w:pPr>
      <w:r w:rsidRPr="00315483">
        <w:rPr>
          <w:bCs/>
          <w:szCs w:val="24"/>
        </w:rPr>
        <w:t>This report aim</w:t>
      </w:r>
      <w:r w:rsidR="008E7E17">
        <w:rPr>
          <w:bCs/>
          <w:szCs w:val="24"/>
        </w:rPr>
        <w:t>s</w:t>
      </w:r>
      <w:r w:rsidRPr="00315483">
        <w:rPr>
          <w:bCs/>
          <w:szCs w:val="24"/>
        </w:rPr>
        <w:t xml:space="preserve"> to solve these issues by studying market trends across the border to expand to more stable markets, with Taiwan</w:t>
      </w:r>
      <w:r w:rsidR="006D6F96">
        <w:rPr>
          <w:bCs/>
          <w:szCs w:val="24"/>
        </w:rPr>
        <w:t xml:space="preserve"> being a potential target.</w:t>
      </w:r>
      <w:r w:rsidR="00703DE1">
        <w:rPr>
          <w:bCs/>
          <w:szCs w:val="24"/>
        </w:rPr>
        <w:t xml:space="preserve"> </w:t>
      </w:r>
      <w:r w:rsidR="006D6F96">
        <w:rPr>
          <w:bCs/>
          <w:szCs w:val="24"/>
        </w:rPr>
        <w:t>This research method involves</w:t>
      </w:r>
      <w:r w:rsidRPr="00315483">
        <w:rPr>
          <w:bCs/>
          <w:szCs w:val="24"/>
        </w:rPr>
        <w:t xml:space="preserve"> a deep analytical a</w:t>
      </w:r>
      <w:r w:rsidR="001E3F18">
        <w:rPr>
          <w:bCs/>
          <w:szCs w:val="24"/>
        </w:rPr>
        <w:t>pproach of data from 2006 to 202</w:t>
      </w:r>
      <w:r w:rsidRPr="00315483">
        <w:rPr>
          <w:bCs/>
          <w:szCs w:val="24"/>
        </w:rPr>
        <w:t xml:space="preserve">3 of retail prices and consumer price indices (CPI) from credible sources like Hong Kong's Census and Statistics Department and Taiwan's statistical agencies. </w:t>
      </w:r>
      <w:r w:rsidR="008E7E17">
        <w:rPr>
          <w:bCs/>
          <w:szCs w:val="24"/>
        </w:rPr>
        <w:t xml:space="preserve">Market report data was used to </w:t>
      </w:r>
      <w:r w:rsidRPr="00315483">
        <w:rPr>
          <w:bCs/>
          <w:szCs w:val="24"/>
        </w:rPr>
        <w:t xml:space="preserve">provide additional insights. Tools such as correlation analysis and time series plots have provided important patterns to identify patterns that provide a robust empirical framework. </w:t>
      </w:r>
    </w:p>
    <w:p w14:paraId="6E58207E" w14:textId="7BE88277" w:rsidR="00EB194A" w:rsidRDefault="006D6F96" w:rsidP="009A78CC">
      <w:pPr>
        <w:widowControl/>
        <w:contextualSpacing/>
        <w:rPr>
          <w:bCs/>
          <w:szCs w:val="24"/>
        </w:rPr>
      </w:pPr>
      <w:r>
        <w:rPr>
          <w:bCs/>
          <w:szCs w:val="24"/>
        </w:rPr>
        <w:t>S</w:t>
      </w:r>
      <w:r w:rsidR="00315483" w:rsidRPr="00315483">
        <w:rPr>
          <w:bCs/>
          <w:szCs w:val="24"/>
        </w:rPr>
        <w:t xml:space="preserve">ection </w:t>
      </w:r>
      <w:r>
        <w:rPr>
          <w:bCs/>
          <w:szCs w:val="24"/>
        </w:rPr>
        <w:t xml:space="preserve">2 </w:t>
      </w:r>
      <w:r w:rsidR="00315483" w:rsidRPr="00315483">
        <w:rPr>
          <w:bCs/>
          <w:szCs w:val="24"/>
        </w:rPr>
        <w:t xml:space="preserve">of this report will provide some theoretical background that drove this analytical study, detailing the current market trends in a theoretical sense. Section 3 will detail the data analysis and </w:t>
      </w:r>
      <w:r w:rsidR="00315483" w:rsidRPr="00315483">
        <w:rPr>
          <w:bCs/>
          <w:szCs w:val="24"/>
        </w:rPr>
        <w:lastRenderedPageBreak/>
        <w:t xml:space="preserve">comparative assessment to produce findings. In contrast, the last section will highlight the study's conclusions and recommendations to guide </w:t>
      </w:r>
      <w:r w:rsidR="00F24CA2">
        <w:rPr>
          <w:bCs/>
          <w:szCs w:val="24"/>
        </w:rPr>
        <w:t>AB</w:t>
      </w:r>
      <w:r w:rsidR="00315483" w:rsidRPr="00315483">
        <w:rPr>
          <w:bCs/>
          <w:szCs w:val="24"/>
        </w:rPr>
        <w:t xml:space="preserve"> Stores Co. Ltd in the following steps.</w:t>
      </w:r>
    </w:p>
    <w:p w14:paraId="4774409C" w14:textId="7743605F" w:rsidR="006D6F96" w:rsidRPr="008E7E17" w:rsidRDefault="006D6F96" w:rsidP="006D6F96">
      <w:pPr>
        <w:widowControl/>
        <w:contextualSpacing/>
        <w:rPr>
          <w:bCs/>
          <w:szCs w:val="24"/>
        </w:rPr>
      </w:pPr>
      <w:r w:rsidRPr="008E7E17">
        <w:rPr>
          <w:bCs/>
          <w:szCs w:val="24"/>
        </w:rPr>
        <w:t>This study tests two hypotheses: (1) a significant relationship exists between consumer inflation and retail sales in Hong Kong, reflecting the influence of global price fluctuations on domestic consumption, and (2) Taiwan</w:t>
      </w:r>
      <w:r w:rsidR="00C15E56">
        <w:rPr>
          <w:bCs/>
          <w:szCs w:val="24"/>
        </w:rPr>
        <w:t>'</w:t>
      </w:r>
      <w:r w:rsidRPr="008E7E17">
        <w:rPr>
          <w:bCs/>
          <w:szCs w:val="24"/>
        </w:rPr>
        <w:t xml:space="preserve">s market stability, characterized by consistent inflation and demand, offers a contrasting model for </w:t>
      </w:r>
      <w:r w:rsidR="00F24CA2">
        <w:rPr>
          <w:bCs/>
          <w:szCs w:val="24"/>
        </w:rPr>
        <w:t>AB</w:t>
      </w:r>
      <w:r w:rsidR="00C15E56">
        <w:rPr>
          <w:bCs/>
          <w:szCs w:val="24"/>
        </w:rPr>
        <w:t>'</w:t>
      </w:r>
      <w:r w:rsidRPr="008E7E17">
        <w:rPr>
          <w:bCs/>
          <w:szCs w:val="24"/>
        </w:rPr>
        <w:t>s expansion, aligning with economic principles of resilience and demand consistency. These hypotheses guide the analysis and recommendations for navigating Hong Kong</w:t>
      </w:r>
      <w:r w:rsidR="00C15E56">
        <w:rPr>
          <w:bCs/>
          <w:szCs w:val="24"/>
        </w:rPr>
        <w:t>'</w:t>
      </w:r>
      <w:r w:rsidRPr="008E7E17">
        <w:rPr>
          <w:bCs/>
          <w:szCs w:val="24"/>
        </w:rPr>
        <w:t>s volatility and leveraging Taiwan</w:t>
      </w:r>
      <w:r w:rsidR="00C15E56">
        <w:rPr>
          <w:bCs/>
          <w:szCs w:val="24"/>
        </w:rPr>
        <w:t>'</w:t>
      </w:r>
      <w:r w:rsidRPr="008E7E17">
        <w:rPr>
          <w:bCs/>
          <w:szCs w:val="24"/>
        </w:rPr>
        <w:t>s potential.</w:t>
      </w:r>
    </w:p>
    <w:p w14:paraId="1F0043F4" w14:textId="77777777" w:rsidR="006D6F96" w:rsidRDefault="006D6F96" w:rsidP="009A78CC">
      <w:pPr>
        <w:widowControl/>
        <w:contextualSpacing/>
        <w:rPr>
          <w:bCs/>
          <w:szCs w:val="24"/>
        </w:rPr>
      </w:pPr>
    </w:p>
    <w:p w14:paraId="39D7D54F" w14:textId="0FC26FBE" w:rsidR="008E7E17" w:rsidRDefault="008E7E17" w:rsidP="009A78CC">
      <w:pPr>
        <w:widowControl/>
        <w:contextualSpacing/>
        <w:rPr>
          <w:bCs/>
          <w:szCs w:val="24"/>
        </w:rPr>
      </w:pPr>
    </w:p>
    <w:p w14:paraId="31457C34" w14:textId="752E59DC" w:rsidR="008E7E17" w:rsidRDefault="008E7E17" w:rsidP="009A78CC">
      <w:pPr>
        <w:widowControl/>
        <w:contextualSpacing/>
        <w:rPr>
          <w:bCs/>
          <w:szCs w:val="24"/>
        </w:rPr>
      </w:pPr>
    </w:p>
    <w:p w14:paraId="0E3A3E24" w14:textId="2CDDC5FA" w:rsidR="008E7E17" w:rsidRDefault="008E7E17" w:rsidP="009A78CC">
      <w:pPr>
        <w:widowControl/>
        <w:contextualSpacing/>
        <w:rPr>
          <w:bCs/>
          <w:szCs w:val="24"/>
        </w:rPr>
      </w:pPr>
    </w:p>
    <w:p w14:paraId="5300CB2E" w14:textId="3984081F" w:rsidR="008E7E17" w:rsidRDefault="008E7E17" w:rsidP="009A78CC">
      <w:pPr>
        <w:widowControl/>
        <w:contextualSpacing/>
        <w:rPr>
          <w:bCs/>
          <w:szCs w:val="24"/>
        </w:rPr>
      </w:pPr>
    </w:p>
    <w:p w14:paraId="19384F31" w14:textId="4754A74D" w:rsidR="008E7E17" w:rsidRDefault="008E7E17" w:rsidP="009A78CC">
      <w:pPr>
        <w:widowControl/>
        <w:contextualSpacing/>
        <w:rPr>
          <w:bCs/>
          <w:szCs w:val="24"/>
        </w:rPr>
      </w:pPr>
    </w:p>
    <w:p w14:paraId="15A31DE0" w14:textId="645FE1BF" w:rsidR="008E7E17" w:rsidRDefault="008E7E17" w:rsidP="009A78CC">
      <w:pPr>
        <w:widowControl/>
        <w:contextualSpacing/>
        <w:rPr>
          <w:bCs/>
          <w:szCs w:val="24"/>
        </w:rPr>
      </w:pPr>
    </w:p>
    <w:p w14:paraId="4D64449D" w14:textId="72672964" w:rsidR="008E7E17" w:rsidRDefault="008E7E17" w:rsidP="009A78CC">
      <w:pPr>
        <w:widowControl/>
        <w:contextualSpacing/>
        <w:rPr>
          <w:bCs/>
          <w:szCs w:val="24"/>
        </w:rPr>
      </w:pPr>
    </w:p>
    <w:p w14:paraId="7AABDC22" w14:textId="3C2E43D3" w:rsidR="008E7E17" w:rsidRDefault="008E7E17" w:rsidP="009A78CC">
      <w:pPr>
        <w:widowControl/>
        <w:contextualSpacing/>
        <w:rPr>
          <w:bCs/>
          <w:szCs w:val="24"/>
        </w:rPr>
      </w:pPr>
    </w:p>
    <w:p w14:paraId="55ECCC58" w14:textId="7CF57891" w:rsidR="008E7E17" w:rsidRDefault="008E7E17" w:rsidP="009A78CC">
      <w:pPr>
        <w:widowControl/>
        <w:contextualSpacing/>
        <w:rPr>
          <w:bCs/>
          <w:szCs w:val="24"/>
        </w:rPr>
      </w:pPr>
    </w:p>
    <w:p w14:paraId="4EC49A52" w14:textId="3F5C573F" w:rsidR="001E46DB" w:rsidRPr="00E6133C" w:rsidRDefault="003F5732" w:rsidP="00AA4898">
      <w:pPr>
        <w:pStyle w:val="Heading2"/>
        <w:rPr>
          <w:color w:val="0000CC"/>
        </w:rPr>
      </w:pPr>
      <w:r>
        <w:br w:type="page"/>
      </w:r>
      <w:bookmarkStart w:id="3" w:name="_Toc192522720"/>
      <w:r w:rsidR="001B1DF5" w:rsidRPr="00C65A3F">
        <w:lastRenderedPageBreak/>
        <w:t>2</w:t>
      </w:r>
      <w:r w:rsidR="00B751E7">
        <w:t>.0</w:t>
      </w:r>
      <w:r w:rsidR="001B1DF5" w:rsidRPr="00C65A3F">
        <w:t xml:space="preserve">   </w:t>
      </w:r>
      <w:r w:rsidR="001E46DB" w:rsidRPr="009E6700">
        <w:t xml:space="preserve">Research </w:t>
      </w:r>
      <w:r w:rsidR="00A664EE">
        <w:t>B</w:t>
      </w:r>
      <w:r w:rsidR="001E46DB" w:rsidRPr="009E6700">
        <w:t>ackground</w:t>
      </w:r>
      <w:bookmarkEnd w:id="3"/>
      <w:r w:rsidR="00E6133C">
        <w:t xml:space="preserve"> </w:t>
      </w:r>
    </w:p>
    <w:p w14:paraId="3CE44D3F" w14:textId="67C8A698" w:rsidR="00EC40DC" w:rsidRDefault="003C0D62" w:rsidP="003C0D62">
      <w:r w:rsidRPr="003C0D62">
        <w:rPr>
          <w:lang w:eastAsia="en-US"/>
        </w:rPr>
        <w:t>The study examines the influence of global price fluctuations on domestic markets through a comparative analysis of Hong Kong and Taiwan. Consumer inflation data and retail processes provide the foundation for this investigation. Taiwan stands out due to its relative market stabi</w:t>
      </w:r>
      <w:r w:rsidR="00AA4898">
        <w:rPr>
          <w:lang w:eastAsia="en-US"/>
        </w:rPr>
        <w:t xml:space="preserve">lity and diverse retail sector. </w:t>
      </w:r>
      <w:r w:rsidRPr="003C0D62">
        <w:rPr>
          <w:lang w:eastAsia="en-US"/>
        </w:rPr>
        <w:t>Similarities with Hong Kong emerge</w:t>
      </w:r>
      <w:r w:rsidR="008C1B45">
        <w:rPr>
          <w:lang w:eastAsia="en-US"/>
        </w:rPr>
        <w:t>,</w:t>
      </w:r>
      <w:r w:rsidR="00C15E56">
        <w:rPr>
          <w:lang w:eastAsia="en-US"/>
        </w:rPr>
        <w:t xml:space="preserve"> </w:t>
      </w:r>
      <w:r w:rsidR="007715F8">
        <w:rPr>
          <w:lang w:eastAsia="en-US"/>
        </w:rPr>
        <w:t>al</w:t>
      </w:r>
      <w:r w:rsidR="00C15E56">
        <w:rPr>
          <w:lang w:eastAsia="en-US"/>
        </w:rPr>
        <w:t>though differences in market dynamics prove more striking, particularly in</w:t>
      </w:r>
      <w:r w:rsidRPr="003C0D62">
        <w:rPr>
          <w:lang w:eastAsia="en-US"/>
        </w:rPr>
        <w:t xml:space="preserve"> the scale and resilience of Taiwan</w:t>
      </w:r>
      <w:r w:rsidR="00C15E56">
        <w:rPr>
          <w:lang w:eastAsia="en-US"/>
        </w:rPr>
        <w:t>'</w:t>
      </w:r>
      <w:r w:rsidRPr="003C0D62">
        <w:rPr>
          <w:lang w:eastAsia="en-US"/>
        </w:rPr>
        <w:t>s retail framework.</w:t>
      </w:r>
      <w:r w:rsidR="00AA4898">
        <w:rPr>
          <w:lang w:eastAsia="en-US"/>
        </w:rPr>
        <w:t xml:space="preserve"> </w:t>
      </w:r>
      <w:r w:rsidR="00AA4898" w:rsidRPr="00AA4898">
        <w:rPr>
          <w:bCs/>
          <w:lang w:eastAsia="en-US"/>
        </w:rPr>
        <w:t>Taiwan</w:t>
      </w:r>
      <w:r w:rsidR="003C6D14">
        <w:rPr>
          <w:bCs/>
          <w:lang w:eastAsia="en-US"/>
        </w:rPr>
        <w:t>'</w:t>
      </w:r>
      <w:r w:rsidR="00AA4898" w:rsidRPr="00AA4898">
        <w:rPr>
          <w:bCs/>
          <w:lang w:eastAsia="en-US"/>
        </w:rPr>
        <w:t xml:space="preserve">s market dynamics are characterized by a robust technology sector driven by its position as a global hub for semiconductor manufacturing, which supports stable demand for electronic devices. Additionally, Taiwan has maintained relatively low inflation rates, averaging around 1.5–2% annually from 2006 to 2023, and consistent consumer purchasing power, making it an attractive market for retail expansion </w:t>
      </w:r>
      <w:r w:rsidR="003C6D14">
        <w:rPr>
          <w:lang w:eastAsia="en-US"/>
        </w:rPr>
        <w:t xml:space="preserve">(Bau et al. </w:t>
      </w:r>
      <w:r w:rsidR="00AA4898" w:rsidRPr="00AA4898">
        <w:rPr>
          <w:lang w:eastAsia="en-US"/>
        </w:rPr>
        <w:t>2015)</w:t>
      </w:r>
      <w:r w:rsidR="00AA4898" w:rsidRPr="00AA4898">
        <w:rPr>
          <w:bCs/>
          <w:lang w:eastAsia="en-US"/>
        </w:rPr>
        <w:t xml:space="preserve">. </w:t>
      </w:r>
      <w:r w:rsidRPr="003C0D62">
        <w:rPr>
          <w:lang w:eastAsia="en-US"/>
        </w:rPr>
        <w:t xml:space="preserve">These qualities establish Taiwan as a significant economic center in Asia alongside Hong Kong. The insights gained from this analysis aim to lay the groundwork for potential global expansion by </w:t>
      </w:r>
      <w:r w:rsidR="00F24CA2">
        <w:rPr>
          <w:lang w:eastAsia="en-US"/>
        </w:rPr>
        <w:t>AB</w:t>
      </w:r>
      <w:r w:rsidRPr="003C0D62">
        <w:rPr>
          <w:lang w:eastAsia="en-US"/>
        </w:rPr>
        <w:t xml:space="preserve"> Stores Co Ltd.</w:t>
      </w:r>
      <w:r>
        <w:rPr>
          <w:lang w:eastAsia="en-US"/>
        </w:rPr>
        <w:t xml:space="preserve"> </w:t>
      </w:r>
      <w:r w:rsidR="00EC40DC" w:rsidRPr="00EC40DC">
        <w:t>Market instability in Hong Kong, driven by retail sector turbulence, has prompted locally operating companies to explore opportunities in other Asian regions. Taiwan</w:t>
      </w:r>
      <w:r w:rsidR="00C15E56">
        <w:t>, which is recognized for its</w:t>
      </w:r>
      <w:r w:rsidR="00EC40DC" w:rsidRPr="00EC40DC">
        <w:t xml:space="preserve"> sustained growth and resilience amid global uncertainties, is considered an appealing destination for such expansion efforts. With this context established, economic trends are analyzed to provide </w:t>
      </w:r>
      <w:r w:rsidR="00F24CA2">
        <w:t>AB</w:t>
      </w:r>
      <w:r w:rsidR="00EC40DC" w:rsidRPr="00EC40DC">
        <w:t xml:space="preserve"> with critical information regarding opportunities in Taiwan, particularly within the electronic devices segment, which remains highly responsive to global price changes and shifts in consumer purchasing behavior</w:t>
      </w:r>
      <w:r w:rsidR="00C15E56">
        <w:t>.</w:t>
      </w:r>
    </w:p>
    <w:p w14:paraId="2BCF7DDD" w14:textId="77777777" w:rsidR="00AF654C" w:rsidRDefault="00AF654C" w:rsidP="003C0D62"/>
    <w:p w14:paraId="6B0866CA" w14:textId="77777777" w:rsidR="00AF654C" w:rsidRPr="003C0D62" w:rsidRDefault="00AF654C" w:rsidP="003C0D62">
      <w:pPr>
        <w:rPr>
          <w:lang w:eastAsia="en-US"/>
        </w:rPr>
      </w:pPr>
    </w:p>
    <w:p w14:paraId="6991FE5F" w14:textId="2AA77E46" w:rsidR="00A664EE" w:rsidRPr="00E6133C" w:rsidRDefault="00A664EE" w:rsidP="00E9554F">
      <w:pPr>
        <w:pStyle w:val="Heading2"/>
      </w:pPr>
      <w:bookmarkStart w:id="4" w:name="_Toc192522721"/>
      <w:r w:rsidRPr="00E6133C">
        <w:rPr>
          <w:rFonts w:hint="eastAsia"/>
        </w:rPr>
        <w:lastRenderedPageBreak/>
        <w:t>2</w:t>
      </w:r>
      <w:r w:rsidRPr="00E6133C">
        <w:t>.</w:t>
      </w:r>
      <w:r w:rsidR="00EC64C3">
        <w:t>1</w:t>
      </w:r>
      <w:r w:rsidRPr="00E6133C">
        <w:t xml:space="preserve"> </w:t>
      </w:r>
      <w:r w:rsidR="00062F07">
        <w:t>Theoretical B</w:t>
      </w:r>
      <w:r w:rsidR="00EC64C3" w:rsidRPr="00EC64C3">
        <w:t>asis</w:t>
      </w:r>
      <w:bookmarkEnd w:id="4"/>
    </w:p>
    <w:p w14:paraId="78110A68" w14:textId="00549E2B" w:rsidR="00315483" w:rsidRPr="006D6F96" w:rsidRDefault="003F5732" w:rsidP="006D6F96">
      <w:pPr>
        <w:rPr>
          <w:szCs w:val="24"/>
        </w:rPr>
      </w:pPr>
      <w:r>
        <w:rPr>
          <w:szCs w:val="24"/>
        </w:rPr>
        <w:t xml:space="preserve">The </w:t>
      </w:r>
      <w:r w:rsidR="00315483" w:rsidRPr="006D6F96">
        <w:rPr>
          <w:szCs w:val="24"/>
        </w:rPr>
        <w:t xml:space="preserve">Consumer Price Index is a measure that </w:t>
      </w:r>
      <w:proofErr w:type="gramStart"/>
      <w:r w:rsidR="00315483" w:rsidRPr="006D6F96">
        <w:rPr>
          <w:szCs w:val="24"/>
        </w:rPr>
        <w:t>informs</w:t>
      </w:r>
      <w:proofErr w:type="gramEnd"/>
      <w:r w:rsidR="00315483" w:rsidRPr="006D6F96">
        <w:rPr>
          <w:szCs w:val="24"/>
        </w:rPr>
        <w:t xml:space="preserve"> of changes in t</w:t>
      </w:r>
      <w:r w:rsidR="001E3F18" w:rsidRPr="006D6F96">
        <w:rPr>
          <w:szCs w:val="24"/>
        </w:rPr>
        <w:t>he prices of goods and services (Fernando, 2023).</w:t>
      </w:r>
      <w:r w:rsidR="00315483" w:rsidRPr="006D6F96">
        <w:rPr>
          <w:szCs w:val="24"/>
        </w:rPr>
        <w:t xml:space="preserve"> On a global scale, this index is affected by factors such as an increase in the cost of raw materials and the price of energy. These changes translate </w:t>
      </w:r>
      <w:proofErr w:type="gramStart"/>
      <w:r w:rsidR="00315483" w:rsidRPr="006D6F96">
        <w:rPr>
          <w:szCs w:val="24"/>
        </w:rPr>
        <w:t>to</w:t>
      </w:r>
      <w:proofErr w:type="gramEnd"/>
      <w:r w:rsidR="00315483" w:rsidRPr="006D6F96">
        <w:rPr>
          <w:szCs w:val="24"/>
        </w:rPr>
        <w:t xml:space="preserve"> a shift in domestic purchasing power and the overall demand for these goods and services. Economic theory suggests that inflation, unless countered by increased wages, reduces consumers' purchasing power, making them minimize their spending on discretionary items s</w:t>
      </w:r>
      <w:r w:rsidR="001E3F18" w:rsidRPr="006D6F96">
        <w:rPr>
          <w:szCs w:val="24"/>
        </w:rPr>
        <w:t>uch as electronics (Mankiw, 2020, p. 142</w:t>
      </w:r>
      <w:r w:rsidR="00315483" w:rsidRPr="006D6F96">
        <w:rPr>
          <w:szCs w:val="24"/>
        </w:rPr>
        <w:t>).</w:t>
      </w:r>
      <w:r w:rsidR="00016413">
        <w:rPr>
          <w:szCs w:val="24"/>
        </w:rPr>
        <w:t xml:space="preserve"> The threat of persistent inflation in the retail sector compels businesses to focus on initiatives that not only streamline operations but also motivate consumers to spend (Alldredge et al., 2022). Further, as illustrated by Kumar et al. (2023, p. 1491), retailers can leverage demand during inflation through pricing and promotional efforts. </w:t>
      </w:r>
    </w:p>
    <w:p w14:paraId="40C92866" w14:textId="16A8E56A" w:rsidR="00315483" w:rsidRPr="006D6F96" w:rsidRDefault="00315483" w:rsidP="006D6F96">
      <w:pPr>
        <w:rPr>
          <w:szCs w:val="24"/>
        </w:rPr>
      </w:pPr>
      <w:r w:rsidRPr="006D6F96">
        <w:rPr>
          <w:szCs w:val="24"/>
        </w:rPr>
        <w:t xml:space="preserve">Retail sales show the average revenue </w:t>
      </w:r>
      <w:r w:rsidR="00016413">
        <w:rPr>
          <w:szCs w:val="24"/>
        </w:rPr>
        <w:t xml:space="preserve">growth </w:t>
      </w:r>
      <w:r w:rsidRPr="006D6F96">
        <w:rPr>
          <w:szCs w:val="24"/>
        </w:rPr>
        <w:t>from consumer goods purchases, indicating market vitality. Market vitality is generally affected by fluctuations in local</w:t>
      </w:r>
      <w:r w:rsidR="00016413">
        <w:rPr>
          <w:szCs w:val="24"/>
        </w:rPr>
        <w:t xml:space="preserve"> and global market conditions.</w:t>
      </w:r>
      <w:r w:rsidRPr="006D6F96">
        <w:rPr>
          <w:szCs w:val="24"/>
        </w:rPr>
        <w:t xml:space="preserve"> For </w:t>
      </w:r>
      <w:r w:rsidR="00F24CA2">
        <w:rPr>
          <w:szCs w:val="24"/>
        </w:rPr>
        <w:t>AB</w:t>
      </w:r>
      <w:r w:rsidRPr="006D6F96">
        <w:rPr>
          <w:szCs w:val="24"/>
        </w:rPr>
        <w:t>'s electronic device section, the sales of semiconductor commodities are always affected by the global demand for products such as smartphones and laptops, which use these inputs. Another essential factor is the currency exchange rates, which amplify global market fluctuations. A stronger Hong Kong dollar (pegged to the U.S. dollar) can increase import costs for tech components sourced globally.</w:t>
      </w:r>
    </w:p>
    <w:p w14:paraId="5F3BE4A5" w14:textId="1F2AA2A8" w:rsidR="00315483" w:rsidRPr="006D6F96" w:rsidRDefault="008E7E17" w:rsidP="006D6F96">
      <w:pPr>
        <w:rPr>
          <w:b/>
          <w:bCs/>
          <w:szCs w:val="24"/>
        </w:rPr>
      </w:pPr>
      <w:r w:rsidRPr="006D6F96">
        <w:rPr>
          <w:rFonts w:eastAsia="Times New Roman"/>
          <w:color w:val="000000"/>
          <w:kern w:val="0"/>
          <w:szCs w:val="24"/>
          <w:lang w:eastAsia="en-US"/>
        </w:rPr>
        <w:t>Economic literature suggests that moderate inflation can stimulate spending by encouraging purchases before prices rise further, yet persistent or volatile inflation may deter consumption, particularly for high-value electronics (IMF, 2021)</w:t>
      </w:r>
      <w:r w:rsidRPr="006D6F96">
        <w:rPr>
          <w:szCs w:val="24"/>
        </w:rPr>
        <w:t xml:space="preserve">. </w:t>
      </w:r>
      <w:r w:rsidR="00315483" w:rsidRPr="006D6F96">
        <w:rPr>
          <w:szCs w:val="24"/>
        </w:rPr>
        <w:t xml:space="preserve">Retail sales volatility often mirrors disruptions in global supply chains—evident during the 2020–2021 semiconductor shortage, which constrained </w:t>
      </w:r>
      <w:r w:rsidR="00315483" w:rsidRPr="006D6F96">
        <w:rPr>
          <w:szCs w:val="24"/>
        </w:rPr>
        <w:lastRenderedPageBreak/>
        <w:t xml:space="preserve">electronics availability and drove up costs (IMF, 2021). These variables are selected to assess </w:t>
      </w:r>
      <w:r w:rsidR="00F24CA2">
        <w:rPr>
          <w:szCs w:val="24"/>
        </w:rPr>
        <w:t>AB</w:t>
      </w:r>
      <w:r w:rsidR="00315483" w:rsidRPr="006D6F96">
        <w:rPr>
          <w:szCs w:val="24"/>
        </w:rPr>
        <w:t xml:space="preserve">'s performance because they encapsulate the interplay between price pressures and consumer behavior, which is critical for a retailer navigating a competitive, tech-driven market. By analyzing inflation and sales, this study tests the hypothesis that a significant relationship exists between these factors in Hong Kong. At the same time, Taiwan's stability offers a contrasting model for </w:t>
      </w:r>
      <w:r w:rsidRPr="006D6F96">
        <w:rPr>
          <w:szCs w:val="24"/>
        </w:rPr>
        <w:t>potential expansion</w:t>
      </w:r>
      <w:r w:rsidR="00315483" w:rsidRPr="006D6F96">
        <w:rPr>
          <w:szCs w:val="24"/>
        </w:rPr>
        <w:t>, aligning with market resilience and demand consistency economic principles.</w:t>
      </w:r>
    </w:p>
    <w:p w14:paraId="7C1C7122" w14:textId="0358C695" w:rsidR="00E6133C" w:rsidRPr="00B953FD" w:rsidRDefault="00E6133C" w:rsidP="00E9554F">
      <w:pPr>
        <w:pStyle w:val="Heading2"/>
      </w:pPr>
      <w:bookmarkStart w:id="5" w:name="_Toc192522722"/>
      <w:r w:rsidRPr="00B953FD">
        <w:rPr>
          <w:rFonts w:hint="eastAsia"/>
        </w:rPr>
        <w:t>2</w:t>
      </w:r>
      <w:r w:rsidRPr="00B953FD">
        <w:t>.</w:t>
      </w:r>
      <w:r w:rsidR="00EC64C3">
        <w:t>2</w:t>
      </w:r>
      <w:r w:rsidRPr="00B953FD">
        <w:t xml:space="preserve"> </w:t>
      </w:r>
      <w:bookmarkStart w:id="6" w:name="_Hlk155988336"/>
      <w:r>
        <w:t>C</w:t>
      </w:r>
      <w:r w:rsidRPr="00B953FD">
        <w:t xml:space="preserve">urrent </w:t>
      </w:r>
      <w:r w:rsidR="008E7E17">
        <w:t>P</w:t>
      </w:r>
      <w:r w:rsidRPr="00B953FD">
        <w:t xml:space="preserve">erformance of </w:t>
      </w:r>
      <w:bookmarkEnd w:id="6"/>
      <w:r w:rsidR="008E7E17">
        <w:t>C</w:t>
      </w:r>
      <w:r w:rsidR="00EC64C3" w:rsidRPr="00EC64C3">
        <w:t xml:space="preserve">onsumer </w:t>
      </w:r>
      <w:r w:rsidR="008E7E17">
        <w:t>I</w:t>
      </w:r>
      <w:r w:rsidR="00EC64C3" w:rsidRPr="00EC64C3">
        <w:t xml:space="preserve">nflation and </w:t>
      </w:r>
      <w:r w:rsidR="008E7E17">
        <w:t>R</w:t>
      </w:r>
      <w:r w:rsidR="00EC64C3" w:rsidRPr="00EC64C3">
        <w:t xml:space="preserve">etail </w:t>
      </w:r>
      <w:r w:rsidR="008E7E17">
        <w:t>S</w:t>
      </w:r>
      <w:r w:rsidR="00EC64C3" w:rsidRPr="00EC64C3">
        <w:t xml:space="preserve">ales in Hong Kong and </w:t>
      </w:r>
      <w:r w:rsidR="00B751E7">
        <w:t>Taiwan</w:t>
      </w:r>
      <w:bookmarkEnd w:id="5"/>
    </w:p>
    <w:p w14:paraId="16908FDE" w14:textId="085E5201" w:rsidR="009E1053" w:rsidRPr="009E1053" w:rsidRDefault="009E1053" w:rsidP="009E1053">
      <w:r w:rsidRPr="009E1053">
        <w:t>Hong Kong's retail sector has faced significant turbulence, with total sales dropping from HK$532.57 million in 2018 to HK$351.76 million in 2023, reflecting a 13.0% decline in 2019 due to widespread protests that disrupted tourism and local shopping, followed by a 22.5% plunge in 2020 from the COVID-19 pandemic</w:t>
      </w:r>
      <w:r w:rsidR="003C6D14">
        <w:t>'</w:t>
      </w:r>
      <w:r w:rsidRPr="009E1053">
        <w:t>s impact on physical retail and border closures. Inflation has remained moderate, averaging 2–3% annually over 2006–2023, though 2020 saw a deflationary -0.9% as demand collapsed. Reports highlight shifting consumer habits—tourists now prioritize experiences like dining over goods, and residents increasingly favor Shenzhen</w:t>
      </w:r>
      <w:r w:rsidR="003C6D14">
        <w:t>'</w:t>
      </w:r>
      <w:r w:rsidRPr="009E1053">
        <w:t xml:space="preserve">s cheaper electronics due to lower taxes and a weaker yuan—impacting </w:t>
      </w:r>
      <w:r w:rsidR="00F24CA2">
        <w:t>AB</w:t>
      </w:r>
      <w:r w:rsidR="003C6D14">
        <w:t>'</w:t>
      </w:r>
      <w:r w:rsidRPr="009E1053">
        <w:t>s sales, particularly in its electronic device section (HKTDC</w:t>
      </w:r>
      <w:r w:rsidR="00F11CD7">
        <w:t>, 2023).</w:t>
      </w:r>
    </w:p>
    <w:p w14:paraId="719F05AA" w14:textId="4184FDEC" w:rsidR="009E1053" w:rsidRPr="009E1053" w:rsidRDefault="009E1053" w:rsidP="009E1053">
      <w:r w:rsidRPr="009E1053">
        <w:t>Taiwan, conversely, boasts a steadier retail market, with electronics sales inferred to be growing due to robust consumer demand for gadgets and home appliances, bolstered by its role as a global tech manufacturing hub producing over 60% of the world</w:t>
      </w:r>
      <w:r w:rsidR="003C6D14">
        <w:t>'</w:t>
      </w:r>
      <w:r w:rsidRPr="009E1053">
        <w:t>s semiconductors (TSMC, 2023). Inflation has remained stable, ranging between 0.2% and 2.5% over the past decade, with an average of 1.4% from 2006 to 2023, though it rose to 2.9% in 2022 amid global price pressures before settling at 2.5% in 2023 (Table 1). This stability contrasts sharply with Hong Kong</w:t>
      </w:r>
      <w:r w:rsidR="003C6D14">
        <w:t>'</w:t>
      </w:r>
      <w:r w:rsidRPr="009E1053">
        <w:t>s volatility, reflecting Taiwan</w:t>
      </w:r>
      <w:r w:rsidR="003C6D14">
        <w:t>'</w:t>
      </w:r>
      <w:r w:rsidRPr="009E1053">
        <w:t xml:space="preserve">s ability </w:t>
      </w:r>
      <w:r w:rsidRPr="009E1053">
        <w:lastRenderedPageBreak/>
        <w:t xml:space="preserve">to absorb external shocks without significant consumer impact. Reports from the Directorate-General of Budget, Accounting and Statistics (2023) note a consistent rise in household electronics purchases, driven by tech innovation and </w:t>
      </w:r>
      <w:proofErr w:type="gramStart"/>
      <w:r w:rsidRPr="009E1053">
        <w:t>moderate income</w:t>
      </w:r>
      <w:proofErr w:type="gramEnd"/>
      <w:r w:rsidRPr="009E1053">
        <w:t xml:space="preserve"> growth, offering a more reliable market for retailers like </w:t>
      </w:r>
      <w:r w:rsidR="00F24CA2">
        <w:t>AB</w:t>
      </w:r>
      <w:r w:rsidR="00F11CD7">
        <w:t>.</w:t>
      </w:r>
    </w:p>
    <w:p w14:paraId="299618EE" w14:textId="6A9C6A7C" w:rsidR="009E1053" w:rsidRDefault="009E1053" w:rsidP="009E1053">
      <w:pPr>
        <w:rPr>
          <w:b/>
          <w:bCs/>
        </w:rPr>
      </w:pPr>
      <w:r w:rsidRPr="009E1053">
        <w:t>These trends reinforce the study</w:t>
      </w:r>
      <w:r w:rsidR="003C6D14">
        <w:t>'</w:t>
      </w:r>
      <w:r w:rsidRPr="009E1053">
        <w:t>s hypotheses: (1) a significant relationship exists between Hong Kong</w:t>
      </w:r>
      <w:r w:rsidR="003C6D14">
        <w:t>'</w:t>
      </w:r>
      <w:r w:rsidRPr="009E1053">
        <w:t>s inflation and retail sales, as moderate price rises historically support sales growth (e.g., pre-2019), though recent demand-side shocks dominate, and (2) Taiwan</w:t>
      </w:r>
      <w:r w:rsidR="003C6D14">
        <w:t>'</w:t>
      </w:r>
      <w:r w:rsidRPr="009E1053">
        <w:t xml:space="preserve">s stability and weaker inflation-sales linkage offer expansion potential, providing </w:t>
      </w:r>
      <w:r w:rsidR="00F24CA2">
        <w:t>AB</w:t>
      </w:r>
      <w:r w:rsidRPr="009E1053">
        <w:t xml:space="preserve"> a buffer against Hong Kong</w:t>
      </w:r>
      <w:r w:rsidR="003C6D14">
        <w:t>'</w:t>
      </w:r>
      <w:r w:rsidRPr="009E1053">
        <w:t>s uncertainties while leveraging Taiwan</w:t>
      </w:r>
      <w:r w:rsidR="003C6D14">
        <w:t>'</w:t>
      </w:r>
      <w:r w:rsidRPr="009E1053">
        <w:t>s tech-savvy consumer base.</w:t>
      </w:r>
    </w:p>
    <w:p w14:paraId="57AE4068" w14:textId="7E471E23" w:rsidR="00246080" w:rsidRDefault="00B40D11" w:rsidP="009E1053">
      <w:pPr>
        <w:pStyle w:val="Heading2"/>
      </w:pPr>
      <w:bookmarkStart w:id="7" w:name="_Toc192522723"/>
      <w:r>
        <w:rPr>
          <w:rFonts w:hint="eastAsia"/>
        </w:rPr>
        <w:t>2</w:t>
      </w:r>
      <w:r>
        <w:t>.</w:t>
      </w:r>
      <w:r w:rsidR="00B751E7">
        <w:t>3</w:t>
      </w:r>
      <w:r>
        <w:t xml:space="preserve"> </w:t>
      </w:r>
      <w:r w:rsidR="00CA798C">
        <w:t>Dataset</w:t>
      </w:r>
      <w:bookmarkEnd w:id="7"/>
    </w:p>
    <w:p w14:paraId="5254E642" w14:textId="77777777" w:rsidR="009E1053" w:rsidRPr="009E1053" w:rsidRDefault="009E1053" w:rsidP="009E1053">
      <w:bookmarkStart w:id="8" w:name="_Hlk156035012"/>
      <w:r w:rsidRPr="009E1053">
        <w:t>This study analyzes Hong Kong's retail sector using two primary variables: retail sales values (HKVRS), measured as the total annual revenue from consumer goods purchases in Hong Kong dollars (HK$ million), and consumer inflation, represented by the annual percentage change in the Consumer Price Index (APCHKCPI). Both variables are tracked annually from 2006 to 2023, sourced from the Hong Kong Census and Statistics Department (2024) for retail sales and CPI data, supplemented by market insights from the Hong Kong Trade Development Council (HKTDC, 2023).</w:t>
      </w:r>
    </w:p>
    <w:p w14:paraId="1E126572" w14:textId="4AC2BDD3" w:rsidR="009E1053" w:rsidRPr="009E1053" w:rsidRDefault="009E1053" w:rsidP="009E1053">
      <w:r w:rsidRPr="009E1053">
        <w:t xml:space="preserve">Hong Kong's retail sector has faced significant turbulence over the past decade, with total </w:t>
      </w:r>
      <w:proofErr w:type="gramStart"/>
      <w:r w:rsidRPr="009E1053">
        <w:t>sales values</w:t>
      </w:r>
      <w:proofErr w:type="gramEnd"/>
      <w:r w:rsidRPr="009E1053">
        <w:t xml:space="preserve"> dropping from HK$532.57 million in 2018 to HK$351.76 million in 2023, according to data from the Census and Statistics Department (2024). This decline reflects a series of economic and social shocks, including a 13.0% drop in 2019 (to HK$46,353 million) amid widespread protests that disrupted tourism and local shopping, followed by a staggering 22.5% plunge in 2020 (to HK$35,939 million) due to the COVID-19 pandemic's impact on physical retail and border closures. Despite a partial </w:t>
      </w:r>
      <w:r w:rsidRPr="009E1053">
        <w:lastRenderedPageBreak/>
        <w:t xml:space="preserve">recovery of 12.4% in 2023, sales remain well below pre-2019 levels, signaling a structural shift. Consumer inflation has remained relatively moderate, averaging 2–3% annually over 2006–2023, peaking at 5.7% in 2011 during global commodity price hikes and dipping to a deflationary -0.9% in 2020 as demand collapsed (Table 1). Market reports highlight evolving consumer habits as a key driver: tourists, once a retail mainstay, now prioritize experiences like dining over goods, while residents increasingly shop in Shenzhen, where electronics are cheaper due to lower taxes and a weaker yuan (HKTDC, 2023). For </w:t>
      </w:r>
      <w:r w:rsidR="00F24CA2">
        <w:t>AB</w:t>
      </w:r>
      <w:r w:rsidRPr="009E1053">
        <w:t>, these trends translate to reduced footfall and sales pressure in its electronic device section, compounded by competition from e-commerce platforms offering discounted tech products.</w:t>
      </w:r>
    </w:p>
    <w:p w14:paraId="42CA765E" w14:textId="77777777" w:rsidR="009E1053" w:rsidRPr="009E1053" w:rsidRDefault="009E1053" w:rsidP="009E1053">
      <w:r w:rsidRPr="009E1053">
        <w:t xml:space="preserve">Taiwan, by contrast, presents a steadier retail landscape bolstered by its position as a global tech manufacturing hub and a stable domestic economy. While exact retail sales data for Taiwan's electronics sector are not provided here, proxy indicators suggest consistent growth, driven by strong consumer demand for gadgets and home appliances, supported by Taiwan's role in producing over 60% of the world's semiconductors (TSMC, 2023). Inflation has remained stable, ranging between 0.2% and 2.5% annually over the past decade, with a mean of 1.4% and low volatility (standard deviation 0.9) from 2006 to 2023 (Table 4). This stability reflects Taiwan's ability to absorb global price shocks, such as oil price spikes or supply chain disruptions, without significant consumer impact. Unlike Hong Kong, Taiwan's retail market benefits from a balanced mix of domestic consumption and export-driven growth, reducing reliance on volatile tourist spending. Reports from the Directorate-General of Budget, Accounting and Statistics (2023) note a steady rise in household electronics purchases, fueled by tech innovation and </w:t>
      </w:r>
      <w:proofErr w:type="gramStart"/>
      <w:r w:rsidRPr="009E1053">
        <w:t>moderate income</w:t>
      </w:r>
      <w:proofErr w:type="gramEnd"/>
      <w:r w:rsidRPr="009E1053">
        <w:t xml:space="preserve"> growth, contrasting sharply with Hong Kong's decline.</w:t>
      </w:r>
    </w:p>
    <w:p w14:paraId="69968415" w14:textId="05E6D6E2" w:rsidR="00D1579C" w:rsidRPr="00D1579C" w:rsidRDefault="009E1053" w:rsidP="00D1579C">
      <w:r w:rsidRPr="009E1053">
        <w:t xml:space="preserve">These trends reinforce the study's hypotheses. First, Hong Kong's retail sales and inflation exhibit a </w:t>
      </w:r>
      <w:r w:rsidRPr="009E1053">
        <w:lastRenderedPageBreak/>
        <w:t xml:space="preserve">significant relationship, as moderate price rises historically correlate with sales growth (e.g., 2011). However, recent volatility suggests that demand-side factors now </w:t>
      </w:r>
      <w:proofErr w:type="gramStart"/>
      <w:r w:rsidRPr="009E1053">
        <w:t>dominate—a</w:t>
      </w:r>
      <w:proofErr w:type="gramEnd"/>
      <w:r w:rsidRPr="009E1053">
        <w:t xml:space="preserve"> pattern </w:t>
      </w:r>
      <w:r w:rsidR="00F24CA2">
        <w:t>AB</w:t>
      </w:r>
      <w:r w:rsidRPr="009E1053">
        <w:t xml:space="preserve"> must navigate. </w:t>
      </w:r>
      <w:r w:rsidR="00D1579C" w:rsidRPr="00D1579C">
        <w:t>Secondly, Taiwan</w:t>
      </w:r>
      <w:r w:rsidR="003C6D14">
        <w:t>'</w:t>
      </w:r>
      <w:r w:rsidR="00D1579C" w:rsidRPr="00D1579C">
        <w:t>s stable inflation and the resulting consistency in its retail environment present a promising opportunity for expansion, serving as a counterbalance to the uncertainties affecting Hong Kong. Taiwan</w:t>
      </w:r>
      <w:r w:rsidR="003C6D14">
        <w:t>'</w:t>
      </w:r>
      <w:r w:rsidR="00D1579C" w:rsidRPr="00D1579C">
        <w:t>s dependable market conditions could underpin steady sales for AB Stores Co Ltd.</w:t>
      </w:r>
      <w:r w:rsidR="003C6D14">
        <w:t>'</w:t>
      </w:r>
      <w:r w:rsidR="00D1579C" w:rsidRPr="00D1579C">
        <w:t>s electronic device segment, capitalizing on the island</w:t>
      </w:r>
      <w:r w:rsidR="003C6D14">
        <w:t>'</w:t>
      </w:r>
      <w:r w:rsidR="00D1579C" w:rsidRPr="00D1579C">
        <w:t>s tech-savvy consumers and its ability to weather global price shifts.</w:t>
      </w:r>
    </w:p>
    <w:p w14:paraId="47E4EDA6" w14:textId="1C52930D" w:rsidR="00783714" w:rsidRPr="00294FCF" w:rsidRDefault="00783714" w:rsidP="00D1579C">
      <w:pPr>
        <w:spacing w:line="240" w:lineRule="auto"/>
      </w:pPr>
      <w:r w:rsidRPr="00620A8F">
        <w:t>Table 1</w:t>
      </w:r>
      <w:r w:rsidR="005E146B">
        <w:t>:</w:t>
      </w:r>
      <w:r w:rsidR="00A5780D" w:rsidRPr="00620A8F">
        <w:t xml:space="preserve"> </w:t>
      </w:r>
      <w:r w:rsidR="0043548C" w:rsidRPr="00620A8F">
        <w:t>A</w:t>
      </w:r>
      <w:r w:rsidR="0012643D" w:rsidRPr="00620A8F">
        <w:t xml:space="preserve">nnual </w:t>
      </w:r>
      <w:r w:rsidR="007B3688" w:rsidRPr="00620A8F">
        <w:t xml:space="preserve">Percent Change (%) In Value </w:t>
      </w:r>
      <w:proofErr w:type="gramStart"/>
      <w:r w:rsidR="007B3688" w:rsidRPr="00620A8F">
        <w:t>Of</w:t>
      </w:r>
      <w:proofErr w:type="gramEnd"/>
      <w:r w:rsidR="007B3688" w:rsidRPr="00620A8F">
        <w:t xml:space="preserve"> Retail Sales In </w:t>
      </w:r>
      <w:r w:rsidR="00F035D2" w:rsidRPr="00620A8F">
        <w:t xml:space="preserve">Hong Kong </w:t>
      </w:r>
      <w:r w:rsidR="007B3688" w:rsidRPr="00620A8F">
        <w:t xml:space="preserve">And </w:t>
      </w:r>
      <w:r w:rsidR="007B3688">
        <w:t xml:space="preserve">Consumer Inflation In </w:t>
      </w:r>
      <w:r w:rsidR="001070B0" w:rsidRPr="00620A8F">
        <w:t xml:space="preserve">Hong Kong </w:t>
      </w:r>
      <w:r w:rsidR="007B3688" w:rsidRPr="00620A8F">
        <w:t xml:space="preserve">And </w:t>
      </w:r>
      <w:r w:rsidR="009E1053">
        <w:t>Taiwan</w:t>
      </w:r>
      <w:r w:rsidR="007B3688" w:rsidRPr="00620A8F">
        <w:t>: 2006 To 2023</w:t>
      </w:r>
      <w:bookmarkEnd w:id="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008"/>
        <w:gridCol w:w="1840"/>
        <w:gridCol w:w="1311"/>
        <w:gridCol w:w="1526"/>
        <w:gridCol w:w="1560"/>
      </w:tblGrid>
      <w:tr w:rsidR="009E1053" w:rsidRPr="009E1053" w14:paraId="2AFD4178" w14:textId="77777777" w:rsidTr="009E1053">
        <w:trPr>
          <w:tblHeader/>
        </w:trPr>
        <w:tc>
          <w:tcPr>
            <w:tcW w:w="1008" w:type="dxa"/>
            <w:vAlign w:val="center"/>
            <w:hideMark/>
          </w:tcPr>
          <w:p w14:paraId="3F3D9DD0" w14:textId="77777777" w:rsidR="009E1053" w:rsidRPr="009E1053" w:rsidRDefault="009E1053" w:rsidP="00D1579C">
            <w:pPr>
              <w:widowControl/>
              <w:spacing w:line="240" w:lineRule="auto"/>
              <w:jc w:val="center"/>
              <w:rPr>
                <w:rFonts w:eastAsia="Times New Roman"/>
                <w:b/>
                <w:bCs/>
                <w:kern w:val="0"/>
                <w:szCs w:val="24"/>
                <w:lang w:eastAsia="en-US"/>
              </w:rPr>
            </w:pPr>
            <w:r w:rsidRPr="009E1053">
              <w:rPr>
                <w:rFonts w:eastAsia="Times New Roman"/>
                <w:b/>
                <w:bCs/>
                <w:kern w:val="0"/>
                <w:szCs w:val="24"/>
                <w:lang w:eastAsia="en-US"/>
              </w:rPr>
              <w:t>Year</w:t>
            </w:r>
          </w:p>
        </w:tc>
        <w:tc>
          <w:tcPr>
            <w:tcW w:w="4677" w:type="dxa"/>
            <w:gridSpan w:val="3"/>
            <w:vAlign w:val="center"/>
            <w:hideMark/>
          </w:tcPr>
          <w:p w14:paraId="290C8749" w14:textId="2F867284" w:rsidR="009E1053" w:rsidRPr="009E1053" w:rsidRDefault="009E1053" w:rsidP="00D1579C">
            <w:pPr>
              <w:widowControl/>
              <w:spacing w:line="240" w:lineRule="auto"/>
              <w:jc w:val="center"/>
              <w:rPr>
                <w:rFonts w:eastAsia="Times New Roman"/>
                <w:kern w:val="0"/>
                <w:sz w:val="20"/>
                <w:szCs w:val="20"/>
                <w:lang w:eastAsia="en-US"/>
              </w:rPr>
            </w:pPr>
            <w:r w:rsidRPr="009E1053">
              <w:rPr>
                <w:rFonts w:eastAsia="Times New Roman"/>
                <w:b/>
                <w:bCs/>
                <w:kern w:val="0"/>
                <w:szCs w:val="24"/>
                <w:lang w:eastAsia="en-US"/>
              </w:rPr>
              <w:t>Hong Kong</w:t>
            </w:r>
          </w:p>
        </w:tc>
        <w:tc>
          <w:tcPr>
            <w:tcW w:w="1560" w:type="dxa"/>
            <w:vAlign w:val="center"/>
            <w:hideMark/>
          </w:tcPr>
          <w:p w14:paraId="60AEBFB4" w14:textId="77777777" w:rsidR="009E1053" w:rsidRPr="009E1053" w:rsidRDefault="009E1053" w:rsidP="00D1579C">
            <w:pPr>
              <w:widowControl/>
              <w:spacing w:line="240" w:lineRule="auto"/>
              <w:jc w:val="center"/>
              <w:rPr>
                <w:rFonts w:eastAsia="Times New Roman"/>
                <w:b/>
                <w:bCs/>
                <w:kern w:val="0"/>
                <w:szCs w:val="24"/>
                <w:lang w:eastAsia="en-US"/>
              </w:rPr>
            </w:pPr>
            <w:r w:rsidRPr="009E1053">
              <w:rPr>
                <w:rFonts w:eastAsia="Times New Roman"/>
                <w:b/>
                <w:bCs/>
                <w:kern w:val="0"/>
                <w:szCs w:val="24"/>
                <w:lang w:eastAsia="en-US"/>
              </w:rPr>
              <w:t>Taiwan</w:t>
            </w:r>
          </w:p>
        </w:tc>
      </w:tr>
      <w:tr w:rsidR="009E1053" w:rsidRPr="009E1053" w14:paraId="696CDB2C" w14:textId="77777777" w:rsidTr="009E1053">
        <w:tc>
          <w:tcPr>
            <w:tcW w:w="1008" w:type="dxa"/>
            <w:vAlign w:val="center"/>
            <w:hideMark/>
          </w:tcPr>
          <w:p w14:paraId="50C573B5" w14:textId="77777777" w:rsidR="009E1053" w:rsidRPr="009E1053" w:rsidRDefault="009E1053" w:rsidP="00D1579C">
            <w:pPr>
              <w:widowControl/>
              <w:spacing w:line="240" w:lineRule="auto"/>
              <w:jc w:val="center"/>
              <w:rPr>
                <w:rFonts w:eastAsia="Times New Roman"/>
                <w:b/>
                <w:bCs/>
                <w:kern w:val="0"/>
                <w:szCs w:val="24"/>
                <w:lang w:eastAsia="en-US"/>
              </w:rPr>
            </w:pPr>
          </w:p>
        </w:tc>
        <w:tc>
          <w:tcPr>
            <w:tcW w:w="1840" w:type="dxa"/>
            <w:vAlign w:val="center"/>
            <w:hideMark/>
          </w:tcPr>
          <w:p w14:paraId="41F4BBCC"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HKVRS (HK$ Million)</w:t>
            </w:r>
          </w:p>
        </w:tc>
        <w:tc>
          <w:tcPr>
            <w:tcW w:w="1311" w:type="dxa"/>
            <w:vAlign w:val="center"/>
            <w:hideMark/>
          </w:tcPr>
          <w:p w14:paraId="64D5612A"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APCHKVRS</w:t>
            </w:r>
          </w:p>
        </w:tc>
        <w:tc>
          <w:tcPr>
            <w:tcW w:w="1526" w:type="dxa"/>
            <w:vAlign w:val="center"/>
            <w:hideMark/>
          </w:tcPr>
          <w:p w14:paraId="68FD8337"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APCHKCPI</w:t>
            </w:r>
          </w:p>
        </w:tc>
        <w:tc>
          <w:tcPr>
            <w:tcW w:w="1560" w:type="dxa"/>
            <w:vAlign w:val="center"/>
            <w:hideMark/>
          </w:tcPr>
          <w:p w14:paraId="609FB197"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APCTWCPI</w:t>
            </w:r>
          </w:p>
        </w:tc>
      </w:tr>
      <w:tr w:rsidR="009E1053" w:rsidRPr="009E1053" w14:paraId="212A0683" w14:textId="77777777" w:rsidTr="009E1053">
        <w:tc>
          <w:tcPr>
            <w:tcW w:w="1008" w:type="dxa"/>
            <w:vAlign w:val="center"/>
            <w:hideMark/>
          </w:tcPr>
          <w:p w14:paraId="28681D04"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2006</w:t>
            </w:r>
          </w:p>
        </w:tc>
        <w:tc>
          <w:tcPr>
            <w:tcW w:w="1840" w:type="dxa"/>
            <w:vAlign w:val="center"/>
            <w:hideMark/>
          </w:tcPr>
          <w:p w14:paraId="3D2DEECE"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22770</w:t>
            </w:r>
          </w:p>
        </w:tc>
        <w:tc>
          <w:tcPr>
            <w:tcW w:w="1311" w:type="dxa"/>
            <w:vAlign w:val="center"/>
            <w:hideMark/>
          </w:tcPr>
          <w:p w14:paraId="262F3233"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8.1</w:t>
            </w:r>
          </w:p>
        </w:tc>
        <w:tc>
          <w:tcPr>
            <w:tcW w:w="1526" w:type="dxa"/>
            <w:vAlign w:val="center"/>
            <w:hideMark/>
          </w:tcPr>
          <w:p w14:paraId="7BA58E70"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2.2</w:t>
            </w:r>
          </w:p>
        </w:tc>
        <w:tc>
          <w:tcPr>
            <w:tcW w:w="1560" w:type="dxa"/>
            <w:vAlign w:val="center"/>
            <w:hideMark/>
          </w:tcPr>
          <w:p w14:paraId="19565C92"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0.6</w:t>
            </w:r>
          </w:p>
        </w:tc>
      </w:tr>
      <w:tr w:rsidR="009E1053" w:rsidRPr="009E1053" w14:paraId="746B415C" w14:textId="77777777" w:rsidTr="009E1053">
        <w:tc>
          <w:tcPr>
            <w:tcW w:w="1008" w:type="dxa"/>
            <w:vAlign w:val="center"/>
            <w:hideMark/>
          </w:tcPr>
          <w:p w14:paraId="64488F47"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2007</w:t>
            </w:r>
          </w:p>
        </w:tc>
        <w:tc>
          <w:tcPr>
            <w:tcW w:w="1840" w:type="dxa"/>
            <w:vAlign w:val="center"/>
            <w:hideMark/>
          </w:tcPr>
          <w:p w14:paraId="4EAD7FC4"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25654</w:t>
            </w:r>
          </w:p>
        </w:tc>
        <w:tc>
          <w:tcPr>
            <w:tcW w:w="1311" w:type="dxa"/>
            <w:vAlign w:val="center"/>
            <w:hideMark/>
          </w:tcPr>
          <w:p w14:paraId="710B6E66"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12.7</w:t>
            </w:r>
          </w:p>
        </w:tc>
        <w:tc>
          <w:tcPr>
            <w:tcW w:w="1526" w:type="dxa"/>
            <w:vAlign w:val="center"/>
            <w:hideMark/>
          </w:tcPr>
          <w:p w14:paraId="5E9723FB"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3.8</w:t>
            </w:r>
          </w:p>
        </w:tc>
        <w:tc>
          <w:tcPr>
            <w:tcW w:w="1560" w:type="dxa"/>
            <w:vAlign w:val="center"/>
            <w:hideMark/>
          </w:tcPr>
          <w:p w14:paraId="674C47CC"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1.8</w:t>
            </w:r>
          </w:p>
        </w:tc>
      </w:tr>
      <w:tr w:rsidR="009E1053" w:rsidRPr="009E1053" w14:paraId="321502F7" w14:textId="77777777" w:rsidTr="009E1053">
        <w:tc>
          <w:tcPr>
            <w:tcW w:w="1008" w:type="dxa"/>
            <w:vAlign w:val="center"/>
            <w:hideMark/>
          </w:tcPr>
          <w:p w14:paraId="51B767F9"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2008</w:t>
            </w:r>
          </w:p>
        </w:tc>
        <w:tc>
          <w:tcPr>
            <w:tcW w:w="1840" w:type="dxa"/>
            <w:vAlign w:val="center"/>
            <w:hideMark/>
          </w:tcPr>
          <w:p w14:paraId="041C978C"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27856</w:t>
            </w:r>
          </w:p>
        </w:tc>
        <w:tc>
          <w:tcPr>
            <w:tcW w:w="1311" w:type="dxa"/>
            <w:vAlign w:val="center"/>
            <w:hideMark/>
          </w:tcPr>
          <w:p w14:paraId="57EE9266"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8.6</w:t>
            </w:r>
          </w:p>
        </w:tc>
        <w:tc>
          <w:tcPr>
            <w:tcW w:w="1526" w:type="dxa"/>
            <w:vAlign w:val="center"/>
            <w:hideMark/>
          </w:tcPr>
          <w:p w14:paraId="76734A43"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2.1</w:t>
            </w:r>
          </w:p>
        </w:tc>
        <w:tc>
          <w:tcPr>
            <w:tcW w:w="1560" w:type="dxa"/>
            <w:vAlign w:val="center"/>
            <w:hideMark/>
          </w:tcPr>
          <w:p w14:paraId="3FF4EC2B"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-0.7</w:t>
            </w:r>
          </w:p>
        </w:tc>
      </w:tr>
      <w:tr w:rsidR="009E1053" w:rsidRPr="009E1053" w14:paraId="38ADE9B5" w14:textId="77777777" w:rsidTr="009E1053">
        <w:tc>
          <w:tcPr>
            <w:tcW w:w="1008" w:type="dxa"/>
            <w:vAlign w:val="center"/>
            <w:hideMark/>
          </w:tcPr>
          <w:p w14:paraId="6B1F934C"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2009</w:t>
            </w:r>
          </w:p>
        </w:tc>
        <w:tc>
          <w:tcPr>
            <w:tcW w:w="1840" w:type="dxa"/>
            <w:vAlign w:val="center"/>
            <w:hideMark/>
          </w:tcPr>
          <w:p w14:paraId="3562B515"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28197</w:t>
            </w:r>
          </w:p>
        </w:tc>
        <w:tc>
          <w:tcPr>
            <w:tcW w:w="1311" w:type="dxa"/>
            <w:vAlign w:val="center"/>
            <w:hideMark/>
          </w:tcPr>
          <w:p w14:paraId="26C9C4D1"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1.2</w:t>
            </w:r>
          </w:p>
        </w:tc>
        <w:tc>
          <w:tcPr>
            <w:tcW w:w="1526" w:type="dxa"/>
            <w:vAlign w:val="center"/>
            <w:hideMark/>
          </w:tcPr>
          <w:p w14:paraId="259045C4"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1.5</w:t>
            </w:r>
          </w:p>
        </w:tc>
        <w:tc>
          <w:tcPr>
            <w:tcW w:w="1560" w:type="dxa"/>
            <w:vAlign w:val="center"/>
            <w:hideMark/>
          </w:tcPr>
          <w:p w14:paraId="2AD140C1"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-0.9</w:t>
            </w:r>
          </w:p>
        </w:tc>
      </w:tr>
      <w:tr w:rsidR="009E1053" w:rsidRPr="009E1053" w14:paraId="1E4DDF48" w14:textId="77777777" w:rsidTr="009E1053">
        <w:tc>
          <w:tcPr>
            <w:tcW w:w="1008" w:type="dxa"/>
            <w:vAlign w:val="center"/>
            <w:hideMark/>
          </w:tcPr>
          <w:p w14:paraId="02EB8413"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2010</w:t>
            </w:r>
          </w:p>
        </w:tc>
        <w:tc>
          <w:tcPr>
            <w:tcW w:w="1840" w:type="dxa"/>
            <w:vAlign w:val="center"/>
            <w:hideMark/>
          </w:tcPr>
          <w:p w14:paraId="20366CAD"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32835</w:t>
            </w:r>
          </w:p>
        </w:tc>
        <w:tc>
          <w:tcPr>
            <w:tcW w:w="1311" w:type="dxa"/>
            <w:vAlign w:val="center"/>
            <w:hideMark/>
          </w:tcPr>
          <w:p w14:paraId="62F3DCEC"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16.4</w:t>
            </w:r>
          </w:p>
        </w:tc>
        <w:tc>
          <w:tcPr>
            <w:tcW w:w="1526" w:type="dxa"/>
            <w:vAlign w:val="center"/>
            <w:hideMark/>
          </w:tcPr>
          <w:p w14:paraId="406F43CB"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3.0</w:t>
            </w:r>
          </w:p>
        </w:tc>
        <w:tc>
          <w:tcPr>
            <w:tcW w:w="1560" w:type="dxa"/>
            <w:vAlign w:val="center"/>
            <w:hideMark/>
          </w:tcPr>
          <w:p w14:paraId="07889878"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1.0</w:t>
            </w:r>
          </w:p>
        </w:tc>
      </w:tr>
      <w:tr w:rsidR="009E1053" w:rsidRPr="009E1053" w14:paraId="511928F0" w14:textId="77777777" w:rsidTr="009E1053">
        <w:tc>
          <w:tcPr>
            <w:tcW w:w="1008" w:type="dxa"/>
            <w:vAlign w:val="center"/>
            <w:hideMark/>
          </w:tcPr>
          <w:p w14:paraId="2C7B7CAA"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2011</w:t>
            </w:r>
          </w:p>
        </w:tc>
        <w:tc>
          <w:tcPr>
            <w:tcW w:w="1840" w:type="dxa"/>
            <w:vAlign w:val="center"/>
            <w:hideMark/>
          </w:tcPr>
          <w:p w14:paraId="186A3F61"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39938</w:t>
            </w:r>
          </w:p>
        </w:tc>
        <w:tc>
          <w:tcPr>
            <w:tcW w:w="1311" w:type="dxa"/>
            <w:vAlign w:val="center"/>
            <w:hideMark/>
          </w:tcPr>
          <w:p w14:paraId="3F0E39DD"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21.6</w:t>
            </w:r>
          </w:p>
        </w:tc>
        <w:tc>
          <w:tcPr>
            <w:tcW w:w="1526" w:type="dxa"/>
            <w:vAlign w:val="center"/>
            <w:hideMark/>
          </w:tcPr>
          <w:p w14:paraId="1FCEB405"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5.7</w:t>
            </w:r>
          </w:p>
        </w:tc>
        <w:tc>
          <w:tcPr>
            <w:tcW w:w="1560" w:type="dxa"/>
            <w:vAlign w:val="center"/>
            <w:hideMark/>
          </w:tcPr>
          <w:p w14:paraId="57DCEA66"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1.4</w:t>
            </w:r>
          </w:p>
        </w:tc>
      </w:tr>
      <w:tr w:rsidR="009E1053" w:rsidRPr="009E1053" w14:paraId="229B3AF4" w14:textId="77777777" w:rsidTr="009E1053">
        <w:tc>
          <w:tcPr>
            <w:tcW w:w="1008" w:type="dxa"/>
            <w:vAlign w:val="center"/>
            <w:hideMark/>
          </w:tcPr>
          <w:p w14:paraId="4D446FE1"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2012</w:t>
            </w:r>
          </w:p>
        </w:tc>
        <w:tc>
          <w:tcPr>
            <w:tcW w:w="1840" w:type="dxa"/>
            <w:vAlign w:val="center"/>
            <w:hideMark/>
          </w:tcPr>
          <w:p w14:paraId="5584EBC5"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43811</w:t>
            </w:r>
          </w:p>
        </w:tc>
        <w:tc>
          <w:tcPr>
            <w:tcW w:w="1311" w:type="dxa"/>
            <w:vAlign w:val="center"/>
            <w:hideMark/>
          </w:tcPr>
          <w:p w14:paraId="6755C705"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9.7</w:t>
            </w:r>
          </w:p>
        </w:tc>
        <w:tc>
          <w:tcPr>
            <w:tcW w:w="1526" w:type="dxa"/>
            <w:vAlign w:val="center"/>
            <w:hideMark/>
          </w:tcPr>
          <w:p w14:paraId="60C0FE94"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3.6</w:t>
            </w:r>
          </w:p>
        </w:tc>
        <w:tc>
          <w:tcPr>
            <w:tcW w:w="1560" w:type="dxa"/>
            <w:vAlign w:val="center"/>
            <w:hideMark/>
          </w:tcPr>
          <w:p w14:paraId="66F365F4"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1.9</w:t>
            </w:r>
          </w:p>
        </w:tc>
      </w:tr>
      <w:tr w:rsidR="009E1053" w:rsidRPr="009E1053" w14:paraId="4C3EE821" w14:textId="77777777" w:rsidTr="009E1053">
        <w:tc>
          <w:tcPr>
            <w:tcW w:w="1008" w:type="dxa"/>
            <w:vAlign w:val="center"/>
            <w:hideMark/>
          </w:tcPr>
          <w:p w14:paraId="3831590A"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2013</w:t>
            </w:r>
          </w:p>
        </w:tc>
        <w:tc>
          <w:tcPr>
            <w:tcW w:w="1840" w:type="dxa"/>
            <w:vAlign w:val="center"/>
            <w:hideMark/>
          </w:tcPr>
          <w:p w14:paraId="5831A987"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51586</w:t>
            </w:r>
          </w:p>
        </w:tc>
        <w:tc>
          <w:tcPr>
            <w:tcW w:w="1311" w:type="dxa"/>
            <w:vAlign w:val="center"/>
            <w:hideMark/>
          </w:tcPr>
          <w:p w14:paraId="0441722B"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17.7</w:t>
            </w:r>
          </w:p>
        </w:tc>
        <w:tc>
          <w:tcPr>
            <w:tcW w:w="1526" w:type="dxa"/>
            <w:vAlign w:val="center"/>
            <w:hideMark/>
          </w:tcPr>
          <w:p w14:paraId="5DC59218"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4.3</w:t>
            </w:r>
          </w:p>
        </w:tc>
        <w:tc>
          <w:tcPr>
            <w:tcW w:w="1560" w:type="dxa"/>
            <w:vAlign w:val="center"/>
            <w:hideMark/>
          </w:tcPr>
          <w:p w14:paraId="7F827E94"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0.8</w:t>
            </w:r>
          </w:p>
        </w:tc>
      </w:tr>
      <w:tr w:rsidR="009E1053" w:rsidRPr="009E1053" w14:paraId="63E86FDB" w14:textId="77777777" w:rsidTr="009E1053">
        <w:tc>
          <w:tcPr>
            <w:tcW w:w="1008" w:type="dxa"/>
            <w:vAlign w:val="center"/>
            <w:hideMark/>
          </w:tcPr>
          <w:p w14:paraId="245C1747"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2014</w:t>
            </w:r>
          </w:p>
        </w:tc>
        <w:tc>
          <w:tcPr>
            <w:tcW w:w="1840" w:type="dxa"/>
            <w:vAlign w:val="center"/>
            <w:hideMark/>
          </w:tcPr>
          <w:p w14:paraId="7BF5B7BC"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52273</w:t>
            </w:r>
          </w:p>
        </w:tc>
        <w:tc>
          <w:tcPr>
            <w:tcW w:w="1311" w:type="dxa"/>
            <w:vAlign w:val="center"/>
            <w:hideMark/>
          </w:tcPr>
          <w:p w14:paraId="1C96A94D"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1.3</w:t>
            </w:r>
          </w:p>
        </w:tc>
        <w:tc>
          <w:tcPr>
            <w:tcW w:w="1526" w:type="dxa"/>
            <w:vAlign w:val="center"/>
            <w:hideMark/>
          </w:tcPr>
          <w:p w14:paraId="5AE9A824"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4.9</w:t>
            </w:r>
          </w:p>
        </w:tc>
        <w:tc>
          <w:tcPr>
            <w:tcW w:w="1560" w:type="dxa"/>
            <w:vAlign w:val="center"/>
            <w:hideMark/>
          </w:tcPr>
          <w:p w14:paraId="50E45D9F"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1.2</w:t>
            </w:r>
          </w:p>
        </w:tc>
      </w:tr>
      <w:tr w:rsidR="009E1053" w:rsidRPr="009E1053" w14:paraId="5E9A2F62" w14:textId="77777777" w:rsidTr="009E1053">
        <w:tc>
          <w:tcPr>
            <w:tcW w:w="1008" w:type="dxa"/>
            <w:vAlign w:val="center"/>
            <w:hideMark/>
          </w:tcPr>
          <w:p w14:paraId="67180F41"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2015</w:t>
            </w:r>
          </w:p>
        </w:tc>
        <w:tc>
          <w:tcPr>
            <w:tcW w:w="1840" w:type="dxa"/>
            <w:vAlign w:val="center"/>
            <w:hideMark/>
          </w:tcPr>
          <w:p w14:paraId="210E23A1"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50123</w:t>
            </w:r>
          </w:p>
        </w:tc>
        <w:tc>
          <w:tcPr>
            <w:tcW w:w="1311" w:type="dxa"/>
            <w:vAlign w:val="center"/>
            <w:hideMark/>
          </w:tcPr>
          <w:p w14:paraId="3679AA5C"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-4.1</w:t>
            </w:r>
          </w:p>
        </w:tc>
        <w:tc>
          <w:tcPr>
            <w:tcW w:w="1526" w:type="dxa"/>
            <w:vAlign w:val="center"/>
            <w:hideMark/>
          </w:tcPr>
          <w:p w14:paraId="74896136"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2.3</w:t>
            </w:r>
          </w:p>
        </w:tc>
        <w:tc>
          <w:tcPr>
            <w:tcW w:w="1560" w:type="dxa"/>
            <w:vAlign w:val="center"/>
            <w:hideMark/>
          </w:tcPr>
          <w:p w14:paraId="556353FF"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-0.3</w:t>
            </w:r>
          </w:p>
        </w:tc>
      </w:tr>
      <w:tr w:rsidR="009E1053" w:rsidRPr="009E1053" w14:paraId="5396827A" w14:textId="77777777" w:rsidTr="009E1053">
        <w:tc>
          <w:tcPr>
            <w:tcW w:w="1008" w:type="dxa"/>
            <w:vAlign w:val="center"/>
            <w:hideMark/>
          </w:tcPr>
          <w:p w14:paraId="5C18A2F5"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2016</w:t>
            </w:r>
          </w:p>
        </w:tc>
        <w:tc>
          <w:tcPr>
            <w:tcW w:w="1840" w:type="dxa"/>
            <w:vAlign w:val="center"/>
            <w:hideMark/>
          </w:tcPr>
          <w:p w14:paraId="38308179"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47011</w:t>
            </w:r>
          </w:p>
        </w:tc>
        <w:tc>
          <w:tcPr>
            <w:tcW w:w="1311" w:type="dxa"/>
            <w:vAlign w:val="center"/>
            <w:hideMark/>
          </w:tcPr>
          <w:p w14:paraId="37E3CB16"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-6.2</w:t>
            </w:r>
          </w:p>
        </w:tc>
        <w:tc>
          <w:tcPr>
            <w:tcW w:w="1526" w:type="dxa"/>
            <w:vAlign w:val="center"/>
            <w:hideMark/>
          </w:tcPr>
          <w:p w14:paraId="38F2D373"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1.2</w:t>
            </w:r>
          </w:p>
        </w:tc>
        <w:tc>
          <w:tcPr>
            <w:tcW w:w="1560" w:type="dxa"/>
            <w:vAlign w:val="center"/>
            <w:hideMark/>
          </w:tcPr>
          <w:p w14:paraId="56A6AF0E"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1.4</w:t>
            </w:r>
          </w:p>
        </w:tc>
      </w:tr>
      <w:tr w:rsidR="009E1053" w:rsidRPr="009E1053" w14:paraId="74C00527" w14:textId="77777777" w:rsidTr="009E1053">
        <w:tc>
          <w:tcPr>
            <w:tcW w:w="1008" w:type="dxa"/>
            <w:vAlign w:val="center"/>
            <w:hideMark/>
          </w:tcPr>
          <w:p w14:paraId="50186CB8"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2017</w:t>
            </w:r>
          </w:p>
        </w:tc>
        <w:tc>
          <w:tcPr>
            <w:tcW w:w="1840" w:type="dxa"/>
            <w:vAlign w:val="center"/>
            <w:hideMark/>
          </w:tcPr>
          <w:p w14:paraId="540FA5FC"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48617</w:t>
            </w:r>
          </w:p>
        </w:tc>
        <w:tc>
          <w:tcPr>
            <w:tcW w:w="1311" w:type="dxa"/>
            <w:vAlign w:val="center"/>
            <w:hideMark/>
          </w:tcPr>
          <w:p w14:paraId="775F97E6"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3.4</w:t>
            </w:r>
          </w:p>
        </w:tc>
        <w:tc>
          <w:tcPr>
            <w:tcW w:w="1526" w:type="dxa"/>
            <w:vAlign w:val="center"/>
            <w:hideMark/>
          </w:tcPr>
          <w:p w14:paraId="29534D37"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1.7</w:t>
            </w:r>
          </w:p>
        </w:tc>
        <w:tc>
          <w:tcPr>
            <w:tcW w:w="1560" w:type="dxa"/>
            <w:vAlign w:val="center"/>
            <w:hideMark/>
          </w:tcPr>
          <w:p w14:paraId="7BC5F7CA"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0.6</w:t>
            </w:r>
          </w:p>
        </w:tc>
      </w:tr>
      <w:tr w:rsidR="009E1053" w:rsidRPr="009E1053" w14:paraId="4390778E" w14:textId="77777777" w:rsidTr="009E1053">
        <w:tc>
          <w:tcPr>
            <w:tcW w:w="1008" w:type="dxa"/>
            <w:vAlign w:val="center"/>
            <w:hideMark/>
          </w:tcPr>
          <w:p w14:paraId="0592A447"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2018</w:t>
            </w:r>
          </w:p>
        </w:tc>
        <w:tc>
          <w:tcPr>
            <w:tcW w:w="1840" w:type="dxa"/>
            <w:vAlign w:val="center"/>
            <w:hideMark/>
          </w:tcPr>
          <w:p w14:paraId="65B4FC0D"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53257</w:t>
            </w:r>
          </w:p>
        </w:tc>
        <w:tc>
          <w:tcPr>
            <w:tcW w:w="1311" w:type="dxa"/>
            <w:vAlign w:val="center"/>
            <w:hideMark/>
          </w:tcPr>
          <w:p w14:paraId="6B366AC4"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9.5</w:t>
            </w:r>
          </w:p>
        </w:tc>
        <w:tc>
          <w:tcPr>
            <w:tcW w:w="1526" w:type="dxa"/>
            <w:vAlign w:val="center"/>
            <w:hideMark/>
          </w:tcPr>
          <w:p w14:paraId="21AADE8F"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2.5</w:t>
            </w:r>
          </w:p>
        </w:tc>
        <w:tc>
          <w:tcPr>
            <w:tcW w:w="1560" w:type="dxa"/>
            <w:vAlign w:val="center"/>
            <w:hideMark/>
          </w:tcPr>
          <w:p w14:paraId="3328E972"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1.4</w:t>
            </w:r>
          </w:p>
        </w:tc>
      </w:tr>
      <w:tr w:rsidR="009E1053" w:rsidRPr="009E1053" w14:paraId="6B1FD76F" w14:textId="77777777" w:rsidTr="009E1053">
        <w:tc>
          <w:tcPr>
            <w:tcW w:w="1008" w:type="dxa"/>
            <w:vAlign w:val="center"/>
            <w:hideMark/>
          </w:tcPr>
          <w:p w14:paraId="184764D2"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2019</w:t>
            </w:r>
          </w:p>
        </w:tc>
        <w:tc>
          <w:tcPr>
            <w:tcW w:w="1840" w:type="dxa"/>
            <w:vAlign w:val="center"/>
            <w:hideMark/>
          </w:tcPr>
          <w:p w14:paraId="05F384CA"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46353</w:t>
            </w:r>
          </w:p>
        </w:tc>
        <w:tc>
          <w:tcPr>
            <w:tcW w:w="1311" w:type="dxa"/>
            <w:vAlign w:val="center"/>
            <w:hideMark/>
          </w:tcPr>
          <w:p w14:paraId="6A39EB35"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-13.0</w:t>
            </w:r>
          </w:p>
        </w:tc>
        <w:tc>
          <w:tcPr>
            <w:tcW w:w="1526" w:type="dxa"/>
            <w:vAlign w:val="center"/>
            <w:hideMark/>
          </w:tcPr>
          <w:p w14:paraId="4B014870"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2.9</w:t>
            </w:r>
          </w:p>
        </w:tc>
        <w:tc>
          <w:tcPr>
            <w:tcW w:w="1560" w:type="dxa"/>
            <w:vAlign w:val="center"/>
            <w:hideMark/>
          </w:tcPr>
          <w:p w14:paraId="0B44D804"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0.6</w:t>
            </w:r>
          </w:p>
        </w:tc>
      </w:tr>
      <w:tr w:rsidR="009E1053" w:rsidRPr="009E1053" w14:paraId="313AE102" w14:textId="77777777" w:rsidTr="009E1053">
        <w:tc>
          <w:tcPr>
            <w:tcW w:w="1008" w:type="dxa"/>
            <w:vAlign w:val="center"/>
            <w:hideMark/>
          </w:tcPr>
          <w:p w14:paraId="3F98B031"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2020</w:t>
            </w:r>
          </w:p>
        </w:tc>
        <w:tc>
          <w:tcPr>
            <w:tcW w:w="1840" w:type="dxa"/>
            <w:vAlign w:val="center"/>
            <w:hideMark/>
          </w:tcPr>
          <w:p w14:paraId="5FAC0CCF"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35939</w:t>
            </w:r>
          </w:p>
        </w:tc>
        <w:tc>
          <w:tcPr>
            <w:tcW w:w="1311" w:type="dxa"/>
            <w:vAlign w:val="center"/>
            <w:hideMark/>
          </w:tcPr>
          <w:p w14:paraId="66744633"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-22.5</w:t>
            </w:r>
          </w:p>
        </w:tc>
        <w:tc>
          <w:tcPr>
            <w:tcW w:w="1526" w:type="dxa"/>
            <w:vAlign w:val="center"/>
            <w:hideMark/>
          </w:tcPr>
          <w:p w14:paraId="15B60D0A"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-0.9</w:t>
            </w:r>
          </w:p>
        </w:tc>
        <w:tc>
          <w:tcPr>
            <w:tcW w:w="1560" w:type="dxa"/>
            <w:vAlign w:val="center"/>
            <w:hideMark/>
          </w:tcPr>
          <w:p w14:paraId="041EEB70"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-0.2</w:t>
            </w:r>
          </w:p>
        </w:tc>
      </w:tr>
      <w:tr w:rsidR="009E1053" w:rsidRPr="009E1053" w14:paraId="21C91B66" w14:textId="77777777" w:rsidTr="009E1053">
        <w:tc>
          <w:tcPr>
            <w:tcW w:w="1008" w:type="dxa"/>
            <w:vAlign w:val="center"/>
            <w:hideMark/>
          </w:tcPr>
          <w:p w14:paraId="3AD6E1D8"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2021</w:t>
            </w:r>
          </w:p>
        </w:tc>
        <w:tc>
          <w:tcPr>
            <w:tcW w:w="1840" w:type="dxa"/>
            <w:vAlign w:val="center"/>
            <w:hideMark/>
          </w:tcPr>
          <w:p w14:paraId="60A2E652"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34752</w:t>
            </w:r>
          </w:p>
        </w:tc>
        <w:tc>
          <w:tcPr>
            <w:tcW w:w="1311" w:type="dxa"/>
            <w:vAlign w:val="center"/>
            <w:hideMark/>
          </w:tcPr>
          <w:p w14:paraId="646AC33C"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-3.3</w:t>
            </w:r>
          </w:p>
        </w:tc>
        <w:tc>
          <w:tcPr>
            <w:tcW w:w="1526" w:type="dxa"/>
            <w:vAlign w:val="center"/>
            <w:hideMark/>
          </w:tcPr>
          <w:p w14:paraId="6ED0C0C4"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2.4</w:t>
            </w:r>
          </w:p>
        </w:tc>
        <w:tc>
          <w:tcPr>
            <w:tcW w:w="1560" w:type="dxa"/>
            <w:vAlign w:val="center"/>
            <w:hideMark/>
          </w:tcPr>
          <w:p w14:paraId="59801597"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2.0</w:t>
            </w:r>
          </w:p>
        </w:tc>
      </w:tr>
      <w:tr w:rsidR="009E1053" w:rsidRPr="009E1053" w14:paraId="2E1E5C03" w14:textId="77777777" w:rsidTr="009E1053">
        <w:tc>
          <w:tcPr>
            <w:tcW w:w="1008" w:type="dxa"/>
            <w:vAlign w:val="center"/>
            <w:hideMark/>
          </w:tcPr>
          <w:p w14:paraId="3B2CCDDB"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lastRenderedPageBreak/>
              <w:t>2022</w:t>
            </w:r>
          </w:p>
        </w:tc>
        <w:tc>
          <w:tcPr>
            <w:tcW w:w="1840" w:type="dxa"/>
            <w:vAlign w:val="center"/>
            <w:hideMark/>
          </w:tcPr>
          <w:p w14:paraId="40E20E12"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31294</w:t>
            </w:r>
          </w:p>
        </w:tc>
        <w:tc>
          <w:tcPr>
            <w:tcW w:w="1311" w:type="dxa"/>
            <w:vAlign w:val="center"/>
            <w:hideMark/>
          </w:tcPr>
          <w:p w14:paraId="3B429544"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-10.0</w:t>
            </w:r>
          </w:p>
        </w:tc>
        <w:tc>
          <w:tcPr>
            <w:tcW w:w="1526" w:type="dxa"/>
            <w:vAlign w:val="center"/>
            <w:hideMark/>
          </w:tcPr>
          <w:p w14:paraId="04652B8C"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2.0</w:t>
            </w:r>
          </w:p>
        </w:tc>
        <w:tc>
          <w:tcPr>
            <w:tcW w:w="1560" w:type="dxa"/>
            <w:vAlign w:val="center"/>
            <w:hideMark/>
          </w:tcPr>
          <w:p w14:paraId="3844452B"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2.9</w:t>
            </w:r>
          </w:p>
        </w:tc>
      </w:tr>
      <w:tr w:rsidR="009E1053" w:rsidRPr="009E1053" w14:paraId="06BB6ED9" w14:textId="77777777" w:rsidTr="00F11CD7">
        <w:trPr>
          <w:trHeight w:val="371"/>
        </w:trPr>
        <w:tc>
          <w:tcPr>
            <w:tcW w:w="1008" w:type="dxa"/>
            <w:vAlign w:val="center"/>
            <w:hideMark/>
          </w:tcPr>
          <w:p w14:paraId="5DBCAD50"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2023</w:t>
            </w:r>
          </w:p>
        </w:tc>
        <w:tc>
          <w:tcPr>
            <w:tcW w:w="1840" w:type="dxa"/>
            <w:vAlign w:val="center"/>
            <w:hideMark/>
          </w:tcPr>
          <w:p w14:paraId="2A51C82E"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35176</w:t>
            </w:r>
          </w:p>
        </w:tc>
        <w:tc>
          <w:tcPr>
            <w:tcW w:w="1311" w:type="dxa"/>
            <w:vAlign w:val="center"/>
            <w:hideMark/>
          </w:tcPr>
          <w:p w14:paraId="1E7958B1"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12.4</w:t>
            </w:r>
          </w:p>
        </w:tc>
        <w:tc>
          <w:tcPr>
            <w:tcW w:w="1526" w:type="dxa"/>
            <w:vAlign w:val="center"/>
            <w:hideMark/>
          </w:tcPr>
          <w:p w14:paraId="304C38D2"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2.3</w:t>
            </w:r>
          </w:p>
        </w:tc>
        <w:tc>
          <w:tcPr>
            <w:tcW w:w="1560" w:type="dxa"/>
            <w:vAlign w:val="center"/>
            <w:hideMark/>
          </w:tcPr>
          <w:p w14:paraId="772CA4CE" w14:textId="77777777" w:rsidR="009E1053" w:rsidRPr="009E1053" w:rsidRDefault="009E1053" w:rsidP="00D1579C">
            <w:pPr>
              <w:widowControl/>
              <w:spacing w:line="240" w:lineRule="auto"/>
              <w:jc w:val="left"/>
              <w:rPr>
                <w:rFonts w:eastAsia="Times New Roman"/>
                <w:kern w:val="0"/>
                <w:szCs w:val="24"/>
                <w:lang w:eastAsia="en-US"/>
              </w:rPr>
            </w:pPr>
            <w:r w:rsidRPr="009E1053">
              <w:rPr>
                <w:rFonts w:eastAsia="Times New Roman"/>
                <w:kern w:val="0"/>
                <w:szCs w:val="24"/>
                <w:lang w:eastAsia="en-US"/>
              </w:rPr>
              <w:t>2.5</w:t>
            </w:r>
          </w:p>
        </w:tc>
      </w:tr>
      <w:tr w:rsidR="00F24CA2" w:rsidRPr="009E1053" w14:paraId="5E7245BA" w14:textId="77777777" w:rsidTr="00F11CD7">
        <w:trPr>
          <w:trHeight w:val="1808"/>
        </w:trPr>
        <w:tc>
          <w:tcPr>
            <w:tcW w:w="7245" w:type="dxa"/>
            <w:gridSpan w:val="5"/>
            <w:vAlign w:val="center"/>
          </w:tcPr>
          <w:p w14:paraId="0D6AE5FA" w14:textId="1847D257" w:rsidR="00F24CA2" w:rsidRPr="006C7D89" w:rsidRDefault="00F24CA2" w:rsidP="00294FCF">
            <w:pPr>
              <w:widowControl/>
              <w:spacing w:line="240" w:lineRule="auto"/>
              <w:jc w:val="left"/>
              <w:rPr>
                <w:rFonts w:eastAsia="Times New Roman"/>
                <w:kern w:val="0"/>
                <w:sz w:val="20"/>
                <w:szCs w:val="20"/>
                <w:lang w:eastAsia="en-US"/>
              </w:rPr>
            </w:pPr>
            <w:r w:rsidRPr="006C7D89">
              <w:rPr>
                <w:rFonts w:eastAsia="Times New Roman"/>
                <w:kern w:val="0"/>
                <w:sz w:val="20"/>
                <w:szCs w:val="20"/>
                <w:lang w:eastAsia="en-US"/>
              </w:rPr>
              <w:t>Source</w:t>
            </w:r>
            <w:r w:rsidR="00F11CD7" w:rsidRPr="006C7D89">
              <w:rPr>
                <w:rFonts w:eastAsia="Times New Roman"/>
                <w:kern w:val="0"/>
                <w:sz w:val="20"/>
                <w:szCs w:val="20"/>
                <w:lang w:eastAsia="en-US"/>
              </w:rPr>
              <w:t>s</w:t>
            </w:r>
          </w:p>
          <w:p w14:paraId="5897CCCC" w14:textId="77777777" w:rsidR="00F24CA2" w:rsidRPr="006C7D89" w:rsidRDefault="00F24CA2" w:rsidP="00F24CA2">
            <w:pPr>
              <w:widowControl/>
              <w:spacing w:line="240" w:lineRule="auto"/>
              <w:jc w:val="left"/>
              <w:rPr>
                <w:sz w:val="20"/>
                <w:szCs w:val="20"/>
              </w:rPr>
            </w:pPr>
            <w:r w:rsidRPr="006C7D89">
              <w:rPr>
                <w:sz w:val="20"/>
                <w:szCs w:val="20"/>
              </w:rPr>
              <w:t xml:space="preserve">Hong Kong retail sales: </w:t>
            </w:r>
            <w:hyperlink r:id="rId12" w:tgtFrame="_blank" w:history="1">
              <w:r w:rsidRPr="006C7D89">
                <w:rPr>
                  <w:rStyle w:val="Hyperlink"/>
                  <w:sz w:val="20"/>
                  <w:szCs w:val="20"/>
                  <w:u w:val="none"/>
                </w:rPr>
                <w:t>https://www.censtatd.gov.hk/en/web_table.html?id=620-67012</w:t>
              </w:r>
            </w:hyperlink>
          </w:p>
          <w:p w14:paraId="165D1D90" w14:textId="77777777" w:rsidR="00F24CA2" w:rsidRPr="006C7D89" w:rsidRDefault="00F11CD7" w:rsidP="00294FCF">
            <w:pPr>
              <w:widowControl/>
              <w:spacing w:line="240" w:lineRule="auto"/>
              <w:jc w:val="left"/>
              <w:rPr>
                <w:rFonts w:eastAsia="Times New Roman"/>
                <w:kern w:val="0"/>
                <w:sz w:val="20"/>
                <w:szCs w:val="20"/>
                <w:lang w:eastAsia="en-US"/>
              </w:rPr>
            </w:pPr>
            <w:r w:rsidRPr="00F11CD7">
              <w:rPr>
                <w:rFonts w:eastAsia="Times New Roman"/>
                <w:kern w:val="0"/>
                <w:sz w:val="20"/>
                <w:szCs w:val="20"/>
                <w:lang w:eastAsia="en-US"/>
              </w:rPr>
              <w:t>Hong Kong and Taiwan CPI: National Statistics, Republic of China (Taiwan), Trading Economics, and IMF estimates for 2025</w:t>
            </w:r>
          </w:p>
          <w:p w14:paraId="7D69C9DE" w14:textId="1E08516F" w:rsidR="00F11CD7" w:rsidRPr="009E1053" w:rsidRDefault="00F11CD7" w:rsidP="003C6D14">
            <w:pPr>
              <w:widowControl/>
              <w:spacing w:line="240" w:lineRule="auto"/>
              <w:jc w:val="left"/>
              <w:rPr>
                <w:rFonts w:eastAsia="Times New Roman"/>
                <w:kern w:val="0"/>
                <w:szCs w:val="24"/>
                <w:lang w:eastAsia="en-US"/>
              </w:rPr>
            </w:pPr>
            <w:r w:rsidRPr="00F11CD7">
              <w:rPr>
                <w:rFonts w:eastAsia="Times New Roman"/>
                <w:kern w:val="0"/>
                <w:sz w:val="20"/>
                <w:szCs w:val="20"/>
                <w:lang w:eastAsia="en-US"/>
              </w:rPr>
              <w:t>Notes: Inflation rate, end</w:t>
            </w:r>
            <w:r w:rsidR="003C6D14">
              <w:rPr>
                <w:rFonts w:eastAsia="Times New Roman"/>
                <w:kern w:val="0"/>
                <w:sz w:val="20"/>
                <w:szCs w:val="20"/>
                <w:lang w:eastAsia="en-US"/>
              </w:rPr>
              <w:t>-of-</w:t>
            </w:r>
            <w:r w:rsidRPr="00F11CD7">
              <w:rPr>
                <w:rFonts w:eastAsia="Times New Roman"/>
                <w:kern w:val="0"/>
                <w:sz w:val="20"/>
                <w:szCs w:val="20"/>
                <w:lang w:eastAsia="en-US"/>
              </w:rPr>
              <w:t>period consumer prices (Annual percent change)</w:t>
            </w:r>
          </w:p>
        </w:tc>
      </w:tr>
    </w:tbl>
    <w:p w14:paraId="72C0AA28" w14:textId="77777777" w:rsidR="009E1053" w:rsidRDefault="009E1053" w:rsidP="009A78CC">
      <w:pPr>
        <w:adjustRightInd w:val="0"/>
        <w:snapToGrid w:val="0"/>
        <w:contextualSpacing/>
        <w:rPr>
          <w:bCs/>
          <w:color w:val="0000CC"/>
          <w:szCs w:val="24"/>
        </w:rPr>
      </w:pPr>
    </w:p>
    <w:p w14:paraId="24849A4C" w14:textId="51366293" w:rsidR="005C4DA7" w:rsidRDefault="005C4DA7" w:rsidP="005C4DA7">
      <w:r>
        <w:t>Retail sales and inflation trends in Hong Kong, as detailed in Table 1, reflect a dynamic and volatile market that reacts strongly to external disruptions, offering critical insights for AB Stores Co Ltd.</w:t>
      </w:r>
      <w:r w:rsidR="003C6D14">
        <w:t>'</w:t>
      </w:r>
      <w:r>
        <w:t>s strategic planning. The data reveals pronounced swi</w:t>
      </w:r>
      <w:r w:rsidR="00D1579C">
        <w:t>ngs in retail sales values</w:t>
      </w:r>
      <w:r>
        <w:t xml:space="preserve"> over the period from 2006 to 2023. For example, a remarkable increase of 21.6% occu</w:t>
      </w:r>
      <w:r w:rsidR="00D1579C">
        <w:t>rred in 2011</w:t>
      </w:r>
      <w:r>
        <w:t>, likely tied to a surge in global demand for electronics during a technology-driven boom. This contrasts sharply with a steep 22.5% drop in 2020, triggered by the COVID-19 pandemic</w:t>
      </w:r>
      <w:r w:rsidR="003C6D14">
        <w:t>'</w:t>
      </w:r>
      <w:r>
        <w:t>s devastating effects on tourism and brick-and-mortar retail. Additional fluctuations include a 12.7% rise in 2007, possibly fueled by economic recovery momentum, juxtaposed against a 13.0% decline in 2019, influenced by social unrest. These shifts highlight the market</w:t>
      </w:r>
      <w:r w:rsidR="003C6D14">
        <w:t>'</w:t>
      </w:r>
      <w:r>
        <w:t>s vulnerability to both global and local forces.</w:t>
      </w:r>
    </w:p>
    <w:p w14:paraId="2018C125" w14:textId="44D6B5E0" w:rsidR="00294FCF" w:rsidRDefault="005C4DA7" w:rsidP="005C4DA7">
      <w:r>
        <w:t>Consumer i</w:t>
      </w:r>
      <w:r w:rsidR="00D1579C">
        <w:t>nflation in Hong Kong</w:t>
      </w:r>
      <w:r>
        <w:t xml:space="preserve"> also shows notable variation, typically averaging between 2% and 3%, with occasional extremes that further illustrate the region</w:t>
      </w:r>
      <w:r w:rsidR="003C6D14">
        <w:t>'</w:t>
      </w:r>
      <w:r>
        <w:t xml:space="preserve">s economic sensitivity. </w:t>
      </w:r>
      <w:r w:rsidR="009E1053" w:rsidRPr="009E1053">
        <w:t>The spike to 5.7% in 2011 occurred with heightened demand alongside new sales, indicating that increased pricing does boost sales when the market demand is high. On the other end of the spectrum, a negative deflation sitting at -0.9% was seen in 2020, highlighting the diminishing consumer purchasing power that coincided with reduced consumptio</w:t>
      </w:r>
      <w:r w:rsidR="00D1579C">
        <w:t>n. Taiwan</w:t>
      </w:r>
      <w:r w:rsidR="003C6D14">
        <w:t>'</w:t>
      </w:r>
      <w:r w:rsidR="00D1579C">
        <w:t>s inflation</w:t>
      </w:r>
      <w:r w:rsidR="009E1053" w:rsidRPr="009E1053">
        <w:t xml:space="preserve"> has remained relatively stable, averaging 1.4%, with notable lows of -0.9% in 2009 and a high of 2.9% in 2022. The electronics retail market </w:t>
      </w:r>
      <w:r w:rsidR="009E1053" w:rsidRPr="009E1053">
        <w:lastRenderedPageBreak/>
        <w:t xml:space="preserve">in Hong Kong is highly volatile, showing dramatic changes that highlight potential risks. Taiwan serves as the more stable economy, which works positively for </w:t>
      </w:r>
      <w:r w:rsidR="00F24CA2">
        <w:t>AB</w:t>
      </w:r>
      <w:r w:rsidR="009E1053" w:rsidRPr="009E1053">
        <w:t>'s expansion strategy to balance market volatility.</w:t>
      </w:r>
    </w:p>
    <w:p w14:paraId="5D5A01D0" w14:textId="77777777" w:rsidR="00F24CA2" w:rsidRDefault="00F24CA2">
      <w:pPr>
        <w:widowControl/>
        <w:spacing w:line="240" w:lineRule="auto"/>
        <w:jc w:val="left"/>
        <w:rPr>
          <w:b/>
          <w:bCs/>
          <w:kern w:val="0"/>
          <w:sz w:val="28"/>
          <w:szCs w:val="28"/>
          <w:lang w:eastAsia="en-US"/>
        </w:rPr>
      </w:pPr>
      <w:r>
        <w:br w:type="page"/>
      </w:r>
    </w:p>
    <w:p w14:paraId="72BE754F" w14:textId="18AA6E66" w:rsidR="000F73BB" w:rsidRPr="00E9554F" w:rsidRDefault="00FF45EB" w:rsidP="00294FCF">
      <w:pPr>
        <w:pStyle w:val="Heading2"/>
      </w:pPr>
      <w:bookmarkStart w:id="9" w:name="_Toc192522724"/>
      <w:r w:rsidRPr="00E9554F">
        <w:lastRenderedPageBreak/>
        <w:t>3</w:t>
      </w:r>
      <w:r w:rsidR="00B751E7" w:rsidRPr="00E9554F">
        <w:t>.0</w:t>
      </w:r>
      <w:r w:rsidRPr="00E9554F">
        <w:t xml:space="preserve"> </w:t>
      </w:r>
      <w:r w:rsidR="001E46DB" w:rsidRPr="00E9554F">
        <w:t xml:space="preserve">Analysis and </w:t>
      </w:r>
      <w:r w:rsidR="00A664EE" w:rsidRPr="00E9554F">
        <w:t>D</w:t>
      </w:r>
      <w:r w:rsidR="001E46DB" w:rsidRPr="00E9554F">
        <w:t>iscussion</w:t>
      </w:r>
      <w:bookmarkEnd w:id="9"/>
    </w:p>
    <w:p w14:paraId="65CECD3E" w14:textId="7D8B2A69" w:rsidR="00294FCF" w:rsidRPr="00294FCF" w:rsidRDefault="00294FCF" w:rsidP="00294FCF">
      <w:bookmarkStart w:id="10" w:name="_Hlk187242621"/>
      <w:r w:rsidRPr="00294FCF">
        <w:t xml:space="preserve">This segment </w:t>
      </w:r>
      <w:proofErr w:type="gramStart"/>
      <w:r w:rsidRPr="00294FCF">
        <w:t>looks into</w:t>
      </w:r>
      <w:proofErr w:type="gramEnd"/>
      <w:r w:rsidRPr="00294FCF">
        <w:t xml:space="preserve"> the connection between consumer inflation and retail sales in Hong Kong and Taiwan during the period of 2006 to 2023. The objectives of the study are clearly presented through scrutiny of data patterns and comparisons. The analysis begins with a closer look at Hong Kong's retail sales and inflation indicators, which have seen sharp increases and declines due to both internal and external factors. Following that, a comparison is made using a correlation check between the two regions to find out the inflation-sales relationship, after which trends in similarities and contrasts between the two regions are examined. The discussion proceeds with </w:t>
      </w:r>
      <w:proofErr w:type="gramStart"/>
      <w:r w:rsidRPr="00294FCF">
        <w:t>a conclusion</w:t>
      </w:r>
      <w:proofErr w:type="gramEnd"/>
      <w:r w:rsidRPr="00294FCF">
        <w:t xml:space="preserve"> of the analysis that encompasses the most relevant market features that align with </w:t>
      </w:r>
      <w:r w:rsidR="00F24CA2">
        <w:t>AB</w:t>
      </w:r>
      <w:r w:rsidRPr="00294FCF">
        <w:t>'s strategic objectives.</w:t>
      </w:r>
    </w:p>
    <w:p w14:paraId="43357979" w14:textId="5C00CD60" w:rsidR="00294FCF" w:rsidRDefault="00294FCF" w:rsidP="00294FCF">
      <w:pPr>
        <w:rPr>
          <w:b/>
          <w:bCs/>
        </w:rPr>
      </w:pPr>
      <w:r w:rsidRPr="00294FCF">
        <w:t xml:space="preserve">Retail sales in Hong Kong are rather volatile, showing a moderate correlation with inflation, but looking at the patterns, they seem to respond significantly to global events. On the other hand, Taiwan has a broad, stable outlook with weaker inflation-sales linkage, implying that its retail sector is more resilient. These results meet the main objective of the study and serve to inform </w:t>
      </w:r>
      <w:r w:rsidR="00F24CA2">
        <w:t>AB</w:t>
      </w:r>
      <w:r w:rsidRPr="00294FCF">
        <w:t>'s consideration of expanding its electronic division to Taiwan because of its market stability compared to the erratic and unpredictable nature of Hong Kong's economy.</w:t>
      </w:r>
    </w:p>
    <w:p w14:paraId="48E72851" w14:textId="7581FA75" w:rsidR="00FF45EB" w:rsidRPr="00C65A3F" w:rsidRDefault="007F6448" w:rsidP="00294FCF">
      <w:pPr>
        <w:pStyle w:val="Heading2"/>
      </w:pPr>
      <w:bookmarkStart w:id="11" w:name="_Toc192522725"/>
      <w:r>
        <w:t xml:space="preserve">3.1 </w:t>
      </w:r>
      <w:r w:rsidR="00E45629">
        <w:t>The Pattern of Consumer Inflation and Retail S</w:t>
      </w:r>
      <w:r w:rsidR="000D4113" w:rsidRPr="000D4113">
        <w:t>ales in Hong Kong</w:t>
      </w:r>
      <w:bookmarkEnd w:id="11"/>
    </w:p>
    <w:p w14:paraId="555771EB" w14:textId="5846D263" w:rsidR="001070B0" w:rsidRPr="00C75159" w:rsidRDefault="0027453D" w:rsidP="0084564C">
      <w:pPr>
        <w:spacing w:line="240" w:lineRule="auto"/>
      </w:pPr>
      <w:bookmarkStart w:id="12" w:name="_Hlk156036807"/>
      <w:r w:rsidRPr="00620A8F">
        <w:rPr>
          <w:rFonts w:hint="eastAsia"/>
        </w:rPr>
        <w:t>F</w:t>
      </w:r>
      <w:r w:rsidRPr="00620A8F">
        <w:t>igure 1</w:t>
      </w:r>
      <w:r w:rsidR="005E146B">
        <w:t>:</w:t>
      </w:r>
      <w:r w:rsidRPr="00620A8F">
        <w:t xml:space="preserve"> Time </w:t>
      </w:r>
      <w:r w:rsidR="007B3688" w:rsidRPr="00620A8F">
        <w:t xml:space="preserve">Plot of Retail Sales Values, Annual Percent Change (%) In Retail Sales Values, And </w:t>
      </w:r>
      <w:r w:rsidR="001070B0" w:rsidRPr="00620A8F">
        <w:t xml:space="preserve">CPI </w:t>
      </w:r>
      <w:r w:rsidR="007B3688" w:rsidRPr="00620A8F">
        <w:t xml:space="preserve">Inflation Rates in </w:t>
      </w:r>
      <w:r w:rsidR="000D4113" w:rsidRPr="00620A8F">
        <w:t>Hong Kong</w:t>
      </w:r>
      <w:r w:rsidR="007B3688" w:rsidRPr="00620A8F">
        <w:t>: 2006 To 2023</w:t>
      </w:r>
    </w:p>
    <w:tbl>
      <w:tblPr>
        <w:tblStyle w:val="TableGrid"/>
        <w:tblW w:w="0" w:type="auto"/>
        <w:tblLook w:val="04A0" w:firstRow="1" w:lastRow="0" w:firstColumn="1" w:lastColumn="0" w:noHBand="0" w:noVBand="1"/>
      </w:tblPr>
      <w:tblGrid>
        <w:gridCol w:w="9628"/>
      </w:tblGrid>
      <w:tr w:rsidR="0027453D" w14:paraId="02E14E72" w14:textId="77777777" w:rsidTr="009B217A">
        <w:trPr>
          <w:trHeight w:val="5718"/>
        </w:trPr>
        <w:tc>
          <w:tcPr>
            <w:tcW w:w="9126" w:type="dxa"/>
            <w:vAlign w:val="center"/>
          </w:tcPr>
          <w:p w14:paraId="16C4F008" w14:textId="50AB3C40" w:rsidR="0027453D" w:rsidRPr="00C75159" w:rsidRDefault="005E146B" w:rsidP="0084564C">
            <w:pPr>
              <w:spacing w:line="240" w:lineRule="auto"/>
              <w:contextualSpacing/>
              <w:rPr>
                <w:szCs w:val="24"/>
              </w:rPr>
            </w:pPr>
            <w:r>
              <w:rPr>
                <w:noProof/>
                <w:szCs w:val="24"/>
                <w:lang w:val="en-AU" w:eastAsia="en-AU"/>
              </w:rPr>
              <w:lastRenderedPageBreak/>
              <w:drawing>
                <wp:inline distT="0" distB="0" distL="0" distR="0" wp14:anchorId="54333FC9" wp14:editId="232985B2">
                  <wp:extent cx="6120130" cy="3672205"/>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PCHKVRS_APCHKCPI_APCCCCPI_2006_2023_clear.jpe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120130" cy="3672205"/>
                          </a:xfrm>
                          <a:prstGeom prst="rect">
                            <a:avLst/>
                          </a:prstGeom>
                        </pic:spPr>
                      </pic:pic>
                    </a:graphicData>
                  </a:graphic>
                </wp:inline>
              </w:drawing>
            </w:r>
          </w:p>
        </w:tc>
      </w:tr>
      <w:tr w:rsidR="0027453D" w14:paraId="2BD6A662" w14:textId="77777777" w:rsidTr="009B217A">
        <w:tc>
          <w:tcPr>
            <w:tcW w:w="9126" w:type="dxa"/>
            <w:vAlign w:val="center"/>
          </w:tcPr>
          <w:p w14:paraId="188B1CA5" w14:textId="00CDA0AD" w:rsidR="0027453D" w:rsidRPr="00E846B0" w:rsidRDefault="0027453D" w:rsidP="0084564C">
            <w:pPr>
              <w:adjustRightInd w:val="0"/>
              <w:snapToGrid w:val="0"/>
              <w:spacing w:line="240" w:lineRule="auto"/>
              <w:contextualSpacing/>
              <w:rPr>
                <w:bCs/>
                <w:color w:val="0000CC"/>
                <w:sz w:val="20"/>
                <w:szCs w:val="20"/>
              </w:rPr>
            </w:pPr>
            <w:r w:rsidRPr="00C75159">
              <w:rPr>
                <w:bCs/>
                <w:sz w:val="20"/>
                <w:szCs w:val="20"/>
              </w:rPr>
              <w:t>Sources</w:t>
            </w:r>
            <w:r w:rsidR="00E846B0" w:rsidRPr="00C75159">
              <w:rPr>
                <w:bCs/>
                <w:sz w:val="20"/>
                <w:szCs w:val="20"/>
              </w:rPr>
              <w:t>:</w:t>
            </w:r>
            <w:r w:rsidR="000F73BB" w:rsidRPr="00C75159">
              <w:rPr>
                <w:bCs/>
                <w:sz w:val="20"/>
                <w:szCs w:val="20"/>
              </w:rPr>
              <w:t xml:space="preserve"> </w:t>
            </w:r>
            <w:r w:rsidR="00CA0613" w:rsidRPr="00C75159">
              <w:rPr>
                <w:bCs/>
                <w:sz w:val="20"/>
                <w:szCs w:val="20"/>
              </w:rPr>
              <w:t>Computed from the</w:t>
            </w:r>
            <w:r w:rsidR="000F73BB" w:rsidRPr="00C75159">
              <w:rPr>
                <w:bCs/>
                <w:sz w:val="20"/>
                <w:szCs w:val="20"/>
              </w:rPr>
              <w:t xml:space="preserve"> </w:t>
            </w:r>
            <w:proofErr w:type="gramStart"/>
            <w:r w:rsidR="000F73BB" w:rsidRPr="00C75159">
              <w:rPr>
                <w:bCs/>
                <w:sz w:val="20"/>
                <w:szCs w:val="20"/>
              </w:rPr>
              <w:t>dataset</w:t>
            </w:r>
            <w:proofErr w:type="gramEnd"/>
            <w:r w:rsidR="000F73BB" w:rsidRPr="00C75159">
              <w:rPr>
                <w:bCs/>
                <w:sz w:val="20"/>
                <w:szCs w:val="20"/>
              </w:rPr>
              <w:t xml:space="preserve"> listed in Table 1</w:t>
            </w:r>
          </w:p>
        </w:tc>
      </w:tr>
    </w:tbl>
    <w:p w14:paraId="7C639804" w14:textId="13CBC4B2" w:rsidR="0027453D" w:rsidRDefault="0027453D" w:rsidP="009A78CC">
      <w:pPr>
        <w:adjustRightInd w:val="0"/>
        <w:snapToGrid w:val="0"/>
        <w:contextualSpacing/>
        <w:rPr>
          <w:bCs/>
          <w:color w:val="0000CC"/>
          <w:szCs w:val="24"/>
        </w:rPr>
      </w:pPr>
    </w:p>
    <w:bookmarkEnd w:id="10"/>
    <w:bookmarkEnd w:id="12"/>
    <w:p w14:paraId="193FEAF5" w14:textId="60E146F8" w:rsidR="00294FCF" w:rsidRPr="00294FCF" w:rsidRDefault="00294FCF" w:rsidP="00294FCF">
      <w:r w:rsidRPr="00294FCF">
        <w:t>From 2006 to 2018, Hong Kong's retail sales values (HKVRS) grew steadily from HK$22,770 million to a peak of HK$53,257 million, reflecting robust consumer spending driven by tourism and economic prosperity. The annual percent change (APCHKVRS) highlights significant growth spurts, such as 21.6% in 2011, likely fueled by demand for electronics amid global tech booms (e.g., smartphones, tablets). However, this upward trajectory reversed sharply post-2018, with a 13.0% drop in 2019 (HK$46,353 million) due to social unrest, followed by a 22.5% plunge in 2020 (HK$35,939 million) amid the COVID-19 pandemic. Recovery began in 2023 (12.4% growth to HK$35,176 million), though values remain below pre-2019 levels. Consumer inflation (APCHKCPI) remained relatively stable, averaging 2–3% annually, with a notable peak of 5.7% in 2011 and a rare deflationary dip to -0.9% in 2020.</w:t>
      </w:r>
    </w:p>
    <w:p w14:paraId="39501511" w14:textId="618A2DF2" w:rsidR="008C1B45" w:rsidRDefault="00294FCF" w:rsidP="005C4DA7">
      <w:r w:rsidRPr="00294FCF">
        <w:lastRenderedPageBreak/>
        <w:t xml:space="preserve">The Electronics division of </w:t>
      </w:r>
      <w:r w:rsidR="00F24CA2">
        <w:t>AB</w:t>
      </w:r>
      <w:r w:rsidRPr="00294FCF">
        <w:t xml:space="preserve"> has demonstrated a profound reaction to external economic and social factors above and beyond the scope of the retail industry. In 2011, retail sales in Hong Kong increased significantly, which coincided with a phase of high inflation. It is possible that the increased costs of production were transferred to the consumers, which in turn boosted nominal sales figures for that year. In comparison, 2020 saw a drastic reduction in sales, especially during a period of deflation. </w:t>
      </w:r>
      <w:r w:rsidR="005C4DA7">
        <w:t>This decline was likely driven by reduced demand stemming from regional lockdowns and a significant drop in tourism.</w:t>
      </w:r>
      <w:r w:rsidR="008C1B45">
        <w:t xml:space="preserve"> AB Stores' sales records in Hong Kong's electronics sector justify this trend. In the mid-2010s, AB Stores registered peak revenue, a factor that was driven by strong sales of tech gadgets and household appliances. However, this challenge was short-lived due to the high competition that was occasioned by the growth of online shopping and the availability of less costly deals in Shenzhen. Post-2020, several factors drove prices higher, including supply chain disruptions and semiconductor shortages. Consequences included strained operations and reduced profit margins. Such problems highlight the volatility of the Hong Kong retail sector and its unsuitability for AB Stores. </w:t>
      </w:r>
    </w:p>
    <w:p w14:paraId="3421C3E6" w14:textId="2F55EDCF" w:rsidR="0074232F" w:rsidRPr="00B92D06" w:rsidRDefault="00A17265" w:rsidP="005C4DA7">
      <w:pPr>
        <w:pStyle w:val="Heading2"/>
      </w:pPr>
      <w:bookmarkStart w:id="13" w:name="_Toc192522726"/>
      <w:r w:rsidRPr="00B92D06">
        <w:t>3.</w:t>
      </w:r>
      <w:r w:rsidR="004F7F82" w:rsidRPr="00B92D06">
        <w:t>2</w:t>
      </w:r>
      <w:r w:rsidR="00062F07" w:rsidRPr="00B92D06">
        <w:t xml:space="preserve"> Comparative A</w:t>
      </w:r>
      <w:r w:rsidRPr="00B92D06">
        <w:t>nalysis</w:t>
      </w:r>
      <w:bookmarkEnd w:id="13"/>
      <w:r w:rsidRPr="00B92D06">
        <w:t xml:space="preserve"> </w:t>
      </w:r>
    </w:p>
    <w:p w14:paraId="537DDA10" w14:textId="68520FE0" w:rsidR="008C1B45" w:rsidRDefault="008C1B45" w:rsidP="00294FCF">
      <w:pPr>
        <w:rPr>
          <w:b/>
        </w:rPr>
      </w:pPr>
      <w:r>
        <w:t xml:space="preserve">This section is concerned with evaluating the relationship between inflation and retail sales in Hong Kong and Taiwan. Besides testing the study's hypothesis, the outcomes will be essential in determining the potential successes of AB Store's expansion into Taiwan. The first part of the subtopic is concerned with correlation analysis, discussed under section 3.2.1, which looks at the connections between consumer inflation and retail sales for both regions. Section 3.2.2 captures the trend analysis, covering the period from 2006 to 2023. The trends analysis depicts how both regions' fluctuation and price dynamics have fared over the years, providing implications for fluctuations and consistency. </w:t>
      </w:r>
    </w:p>
    <w:p w14:paraId="59F3BA8D" w14:textId="07982EA7" w:rsidR="0074232F" w:rsidRPr="00B92D06" w:rsidRDefault="00A17265" w:rsidP="00B92D06">
      <w:pPr>
        <w:pStyle w:val="Heading3"/>
      </w:pPr>
      <w:bookmarkStart w:id="14" w:name="_Toc192522727"/>
      <w:r w:rsidRPr="00B92D06">
        <w:lastRenderedPageBreak/>
        <w:t>3.</w:t>
      </w:r>
      <w:r w:rsidR="004F7F82" w:rsidRPr="00B92D06">
        <w:t>2</w:t>
      </w:r>
      <w:r w:rsidR="00062F07" w:rsidRPr="00B92D06">
        <w:t>.1 Correlation A</w:t>
      </w:r>
      <w:r w:rsidRPr="00B92D06">
        <w:t>nalysis</w:t>
      </w:r>
      <w:bookmarkEnd w:id="14"/>
    </w:p>
    <w:p w14:paraId="2C3F0C22" w14:textId="48F90177" w:rsidR="00294FCF" w:rsidRPr="00294FCF" w:rsidRDefault="00294FCF" w:rsidP="00294FCF">
      <w:pPr>
        <w:rPr>
          <w:lang w:eastAsia="en-US"/>
        </w:rPr>
      </w:pPr>
      <w:r w:rsidRPr="00294FCF">
        <w:rPr>
          <w:lang w:eastAsia="en-US"/>
        </w:rPr>
        <w:t xml:space="preserve">This subsection evaluates the interplay between inflation and retail sales in Hong Kong and Taiwan to test the study's hypotheses and uncover strategic insights for </w:t>
      </w:r>
      <w:r w:rsidR="00F24CA2">
        <w:rPr>
          <w:lang w:eastAsia="en-US"/>
        </w:rPr>
        <w:t>AB</w:t>
      </w:r>
      <w:r w:rsidRPr="00294FCF">
        <w:rPr>
          <w:lang w:eastAsia="en-US"/>
        </w:rPr>
        <w:t>'s expansion. It is divided into two segments: a correlation analysis, presented in section 3.2.1, which measures the statistical connections between consumer inflation and retail sales in both regions</w:t>
      </w:r>
      <w:r w:rsidR="008C1B45">
        <w:rPr>
          <w:lang w:eastAsia="en-US"/>
        </w:rPr>
        <w:t>,</w:t>
      </w:r>
      <w:r w:rsidRPr="00294FCF">
        <w:rPr>
          <w:lang w:eastAsia="en-US"/>
        </w:rPr>
        <w:t xml:space="preserve"> and a trend analysis, detailed in section 3.2.2, which explores the patterns in these markets from 2006 to 2023, revealing Hong Kong's fluctuations in contrast to Taiwan's relative consistency.</w:t>
      </w:r>
    </w:p>
    <w:p w14:paraId="2FF6F084" w14:textId="75D7B1DF" w:rsidR="001070B0" w:rsidRPr="00AA4898" w:rsidRDefault="00CC0AA6" w:rsidP="00AA4898">
      <w:pPr>
        <w:spacing w:line="240" w:lineRule="auto"/>
      </w:pPr>
      <w:r w:rsidRPr="00C75159">
        <w:rPr>
          <w:rFonts w:hint="eastAsia"/>
        </w:rPr>
        <w:t>F</w:t>
      </w:r>
      <w:r w:rsidRPr="00C75159">
        <w:t xml:space="preserve">igure </w:t>
      </w:r>
      <w:r w:rsidR="00435197" w:rsidRPr="00C75159">
        <w:t>3</w:t>
      </w:r>
      <w:r w:rsidR="005E146B">
        <w:t>:</w:t>
      </w:r>
      <w:r w:rsidR="00A5780D" w:rsidRPr="00C75159">
        <w:t xml:space="preserve"> </w:t>
      </w:r>
      <w:bookmarkStart w:id="15" w:name="_Hlk187327835"/>
      <w:r w:rsidRPr="00C75159">
        <w:t xml:space="preserve">Time </w:t>
      </w:r>
      <w:r w:rsidR="007B3688" w:rsidRPr="00C75159">
        <w:t xml:space="preserve">Plot of Annual Percent Change (%) In Retail Sales Values in </w:t>
      </w:r>
      <w:r w:rsidR="001070B0" w:rsidRPr="00C75159">
        <w:t>Hong Kong</w:t>
      </w:r>
      <w:r w:rsidR="007B3688" w:rsidRPr="00C75159">
        <w:t xml:space="preserve">, Consumer Inflation Rates In </w:t>
      </w:r>
      <w:r w:rsidR="001070B0" w:rsidRPr="00C75159">
        <w:t xml:space="preserve">Hong Kong </w:t>
      </w:r>
      <w:r w:rsidR="007B3688" w:rsidRPr="00C75159">
        <w:t xml:space="preserve">and In </w:t>
      </w:r>
      <w:bookmarkEnd w:id="15"/>
      <w:r w:rsidR="00294FCF">
        <w:t>Taiwan</w:t>
      </w:r>
      <w:r w:rsidR="007B3688" w:rsidRPr="00C75159">
        <w:t>: 2006 To 2023</w:t>
      </w:r>
    </w:p>
    <w:tbl>
      <w:tblPr>
        <w:tblStyle w:val="TableGrid"/>
        <w:tblW w:w="0" w:type="auto"/>
        <w:tblInd w:w="-80" w:type="dxa"/>
        <w:tblCellMar>
          <w:left w:w="28" w:type="dxa"/>
          <w:right w:w="28" w:type="dxa"/>
        </w:tblCellMar>
        <w:tblLook w:val="04A0" w:firstRow="1" w:lastRow="0" w:firstColumn="1" w:lastColumn="0" w:noHBand="0" w:noVBand="1"/>
      </w:tblPr>
      <w:tblGrid>
        <w:gridCol w:w="9694"/>
      </w:tblGrid>
      <w:tr w:rsidR="00CC0AA6" w14:paraId="794EF9A3" w14:textId="77777777" w:rsidTr="0024533A">
        <w:trPr>
          <w:trHeight w:val="4703"/>
        </w:trPr>
        <w:tc>
          <w:tcPr>
            <w:tcW w:w="9126" w:type="dxa"/>
            <w:vAlign w:val="center"/>
          </w:tcPr>
          <w:p w14:paraId="68E376BC" w14:textId="354AB1BA" w:rsidR="00CC0AA6" w:rsidRDefault="002C0649" w:rsidP="0084564C">
            <w:pPr>
              <w:adjustRightInd w:val="0"/>
              <w:snapToGrid w:val="0"/>
              <w:spacing w:line="240" w:lineRule="auto"/>
              <w:contextualSpacing/>
              <w:jc w:val="center"/>
              <w:rPr>
                <w:bCs/>
                <w:color w:val="0000CC"/>
                <w:szCs w:val="24"/>
              </w:rPr>
            </w:pPr>
            <w:r>
              <w:rPr>
                <w:bCs/>
                <w:noProof/>
                <w:color w:val="0000CC"/>
                <w:szCs w:val="24"/>
                <w:lang w:val="en-AU" w:eastAsia="en-AU"/>
              </w:rPr>
              <w:drawing>
                <wp:inline distT="0" distB="0" distL="0" distR="0" wp14:anchorId="0D90FC99" wp14:editId="22A15AEA">
                  <wp:extent cx="6120130" cy="3821292"/>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K_Taiwan_Retail_Sales_Inflation_2006_2023.jpe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125496" cy="3824642"/>
                          </a:xfrm>
                          <a:prstGeom prst="rect">
                            <a:avLst/>
                          </a:prstGeom>
                        </pic:spPr>
                      </pic:pic>
                    </a:graphicData>
                  </a:graphic>
                </wp:inline>
              </w:drawing>
            </w:r>
          </w:p>
        </w:tc>
      </w:tr>
      <w:tr w:rsidR="00CC0AA6" w14:paraId="59413A0C" w14:textId="77777777" w:rsidTr="0024533A">
        <w:tblPrEx>
          <w:tblCellMar>
            <w:left w:w="108" w:type="dxa"/>
            <w:right w:w="108" w:type="dxa"/>
          </w:tblCellMar>
        </w:tblPrEx>
        <w:tc>
          <w:tcPr>
            <w:tcW w:w="9126" w:type="dxa"/>
            <w:vAlign w:val="center"/>
          </w:tcPr>
          <w:p w14:paraId="65CBDF45" w14:textId="77777777" w:rsidR="00CC0AA6" w:rsidRPr="00E846B0" w:rsidRDefault="00CC0AA6" w:rsidP="0084564C">
            <w:pPr>
              <w:adjustRightInd w:val="0"/>
              <w:snapToGrid w:val="0"/>
              <w:spacing w:line="240" w:lineRule="auto"/>
              <w:contextualSpacing/>
              <w:rPr>
                <w:bCs/>
                <w:color w:val="0000CC"/>
                <w:sz w:val="20"/>
                <w:szCs w:val="20"/>
              </w:rPr>
            </w:pPr>
            <w:r w:rsidRPr="00C75159">
              <w:rPr>
                <w:bCs/>
                <w:sz w:val="20"/>
                <w:szCs w:val="20"/>
              </w:rPr>
              <w:t>Sources: Calculated from the dataset listed in Table 1</w:t>
            </w:r>
          </w:p>
        </w:tc>
      </w:tr>
    </w:tbl>
    <w:p w14:paraId="365CD259" w14:textId="77777777" w:rsidR="00CC0AA6" w:rsidRDefault="00CC0AA6" w:rsidP="009A78CC">
      <w:pPr>
        <w:adjustRightInd w:val="0"/>
        <w:snapToGrid w:val="0"/>
        <w:contextualSpacing/>
        <w:rPr>
          <w:bCs/>
          <w:color w:val="0000CC"/>
          <w:szCs w:val="24"/>
        </w:rPr>
      </w:pPr>
    </w:p>
    <w:p w14:paraId="714C7C42" w14:textId="60FD75AD" w:rsidR="00CA0613" w:rsidRPr="00620A8F" w:rsidRDefault="00381C0B" w:rsidP="0084564C">
      <w:pPr>
        <w:spacing w:line="240" w:lineRule="auto"/>
      </w:pPr>
      <w:bookmarkStart w:id="16" w:name="_Hlk187309690"/>
      <w:r w:rsidRPr="00620A8F">
        <w:t xml:space="preserve">Table </w:t>
      </w:r>
      <w:r w:rsidR="00435197" w:rsidRPr="00620A8F">
        <w:t>2</w:t>
      </w:r>
      <w:r w:rsidR="005C01E2">
        <w:t>:</w:t>
      </w:r>
      <w:r w:rsidRPr="00620A8F">
        <w:t xml:space="preserve"> </w:t>
      </w:r>
      <w:r w:rsidR="00A17265" w:rsidRPr="00620A8F">
        <w:t xml:space="preserve">The </w:t>
      </w:r>
      <w:r w:rsidR="0024533A" w:rsidRPr="00620A8F">
        <w:t>Pearson C</w:t>
      </w:r>
      <w:r w:rsidR="00A17265" w:rsidRPr="00620A8F">
        <w:t xml:space="preserve">orrelation </w:t>
      </w:r>
      <w:r w:rsidR="0024533A" w:rsidRPr="00620A8F">
        <w:t>M</w:t>
      </w:r>
      <w:r w:rsidR="00A17265" w:rsidRPr="00620A8F">
        <w:t>atrix</w:t>
      </w:r>
      <w:r w:rsidR="00A51BFC" w:rsidRPr="00620A8F">
        <w:t xml:space="preserve"> of</w:t>
      </w:r>
      <w:r w:rsidR="0080050E" w:rsidRPr="00620A8F">
        <w:t xml:space="preserve"> annual percent change in retail sales</w:t>
      </w:r>
      <w:r w:rsidR="005B51E2" w:rsidRPr="00620A8F">
        <w:t xml:space="preserve"> values</w:t>
      </w:r>
      <w:r w:rsidR="0080050E" w:rsidRPr="00620A8F">
        <w:t xml:space="preserve"> and consumer inflation</w:t>
      </w:r>
      <w:r w:rsidR="005B51E2" w:rsidRPr="00620A8F">
        <w:t xml:space="preserve"> rates</w:t>
      </w:r>
      <w:r w:rsidR="0080050E" w:rsidRPr="00620A8F">
        <w:t xml:space="preserve"> in Hong Kong and </w:t>
      </w:r>
      <w:r w:rsidR="005B51E2" w:rsidRPr="00620A8F">
        <w:t xml:space="preserve">consumer inflation rates </w:t>
      </w:r>
      <w:r w:rsidR="008917CB" w:rsidRPr="00620A8F">
        <w:t xml:space="preserve">in </w:t>
      </w:r>
      <w:r w:rsidR="0080050E" w:rsidRPr="00620A8F">
        <w:t>China: 2006 to 2023</w:t>
      </w:r>
    </w:p>
    <w:p w14:paraId="377D73B0" w14:textId="77777777" w:rsidR="00BC3552" w:rsidRPr="00620A8F" w:rsidRDefault="00BC3552" w:rsidP="0084564C">
      <w:pPr>
        <w:adjustRightInd w:val="0"/>
        <w:snapToGrid w:val="0"/>
        <w:spacing w:line="240" w:lineRule="auto"/>
        <w:contextualSpacing/>
        <w:rPr>
          <w:bCs/>
          <w:szCs w:val="24"/>
        </w:rPr>
      </w:pPr>
    </w:p>
    <w:tbl>
      <w:tblPr>
        <w:tblStyle w:val="TableGrid"/>
        <w:tblW w:w="0" w:type="auto"/>
        <w:jc w:val="center"/>
        <w:tblLook w:val="04A0" w:firstRow="1" w:lastRow="0" w:firstColumn="1" w:lastColumn="0" w:noHBand="0" w:noVBand="1"/>
      </w:tblPr>
      <w:tblGrid>
        <w:gridCol w:w="1938"/>
        <w:gridCol w:w="1939"/>
        <w:gridCol w:w="1939"/>
        <w:gridCol w:w="1939"/>
      </w:tblGrid>
      <w:tr w:rsidR="00620A8F" w:rsidRPr="00620A8F" w14:paraId="7DE5D5FA" w14:textId="77777777" w:rsidTr="006E2ECA">
        <w:trPr>
          <w:trHeight w:val="372"/>
          <w:jc w:val="center"/>
        </w:trPr>
        <w:tc>
          <w:tcPr>
            <w:tcW w:w="1938" w:type="dxa"/>
            <w:vAlign w:val="center"/>
          </w:tcPr>
          <w:p w14:paraId="78B36574" w14:textId="77777777" w:rsidR="0080050E" w:rsidRPr="00620A8F" w:rsidRDefault="0080050E" w:rsidP="0084564C">
            <w:pPr>
              <w:adjustRightInd w:val="0"/>
              <w:snapToGrid w:val="0"/>
              <w:spacing w:line="240" w:lineRule="auto"/>
              <w:contextualSpacing/>
              <w:jc w:val="center"/>
              <w:rPr>
                <w:bCs/>
                <w:szCs w:val="24"/>
              </w:rPr>
            </w:pPr>
          </w:p>
        </w:tc>
        <w:tc>
          <w:tcPr>
            <w:tcW w:w="1939" w:type="dxa"/>
            <w:tcBorders>
              <w:bottom w:val="single" w:sz="4" w:space="0" w:color="auto"/>
            </w:tcBorders>
            <w:vAlign w:val="center"/>
          </w:tcPr>
          <w:p w14:paraId="154816A5" w14:textId="6E9D7FA9" w:rsidR="0080050E" w:rsidRPr="00620A8F" w:rsidRDefault="0080050E" w:rsidP="0084564C">
            <w:pPr>
              <w:adjustRightInd w:val="0"/>
              <w:snapToGrid w:val="0"/>
              <w:spacing w:line="240" w:lineRule="auto"/>
              <w:contextualSpacing/>
              <w:jc w:val="center"/>
              <w:rPr>
                <w:bCs/>
                <w:szCs w:val="24"/>
              </w:rPr>
            </w:pPr>
            <w:r w:rsidRPr="00620A8F">
              <w:rPr>
                <w:bCs/>
                <w:szCs w:val="24"/>
              </w:rPr>
              <w:t>APCHKCPI</w:t>
            </w:r>
          </w:p>
        </w:tc>
        <w:tc>
          <w:tcPr>
            <w:tcW w:w="1939" w:type="dxa"/>
            <w:tcBorders>
              <w:bottom w:val="single" w:sz="4" w:space="0" w:color="auto"/>
            </w:tcBorders>
            <w:vAlign w:val="center"/>
          </w:tcPr>
          <w:p w14:paraId="09996307" w14:textId="49C1BF81" w:rsidR="0080050E" w:rsidRPr="00620A8F" w:rsidRDefault="0080050E" w:rsidP="0084564C">
            <w:pPr>
              <w:adjustRightInd w:val="0"/>
              <w:snapToGrid w:val="0"/>
              <w:spacing w:line="240" w:lineRule="auto"/>
              <w:contextualSpacing/>
              <w:jc w:val="center"/>
              <w:rPr>
                <w:bCs/>
                <w:szCs w:val="24"/>
              </w:rPr>
            </w:pPr>
            <w:r w:rsidRPr="00620A8F">
              <w:rPr>
                <w:bCs/>
                <w:szCs w:val="24"/>
              </w:rPr>
              <w:t>APCCCPI</w:t>
            </w:r>
          </w:p>
        </w:tc>
        <w:tc>
          <w:tcPr>
            <w:tcW w:w="1939" w:type="dxa"/>
            <w:tcBorders>
              <w:bottom w:val="single" w:sz="4" w:space="0" w:color="auto"/>
            </w:tcBorders>
            <w:vAlign w:val="center"/>
          </w:tcPr>
          <w:p w14:paraId="5C78C807" w14:textId="327DA4AA" w:rsidR="0080050E" w:rsidRPr="00620A8F" w:rsidRDefault="0080050E" w:rsidP="0084564C">
            <w:pPr>
              <w:adjustRightInd w:val="0"/>
              <w:snapToGrid w:val="0"/>
              <w:spacing w:line="240" w:lineRule="auto"/>
              <w:contextualSpacing/>
              <w:jc w:val="center"/>
              <w:rPr>
                <w:bCs/>
                <w:szCs w:val="24"/>
              </w:rPr>
            </w:pPr>
            <w:r w:rsidRPr="00620A8F">
              <w:rPr>
                <w:bCs/>
                <w:szCs w:val="24"/>
              </w:rPr>
              <w:t>APCHKRS</w:t>
            </w:r>
          </w:p>
        </w:tc>
      </w:tr>
      <w:tr w:rsidR="00620A8F" w:rsidRPr="00620A8F" w14:paraId="3EB54C16" w14:textId="77777777" w:rsidTr="006E2ECA">
        <w:trPr>
          <w:jc w:val="center"/>
        </w:trPr>
        <w:tc>
          <w:tcPr>
            <w:tcW w:w="1938" w:type="dxa"/>
            <w:vAlign w:val="center"/>
          </w:tcPr>
          <w:p w14:paraId="754ED4B9" w14:textId="1307E5AB" w:rsidR="006E2ECA" w:rsidRPr="00620A8F" w:rsidRDefault="006E2ECA" w:rsidP="0084564C">
            <w:pPr>
              <w:adjustRightInd w:val="0"/>
              <w:snapToGrid w:val="0"/>
              <w:spacing w:line="240" w:lineRule="auto"/>
              <w:contextualSpacing/>
              <w:jc w:val="center"/>
              <w:rPr>
                <w:bCs/>
                <w:szCs w:val="24"/>
              </w:rPr>
            </w:pPr>
            <w:r w:rsidRPr="00620A8F">
              <w:rPr>
                <w:bCs/>
                <w:szCs w:val="24"/>
              </w:rPr>
              <w:t>ARCHKCPI</w:t>
            </w:r>
          </w:p>
        </w:tc>
        <w:tc>
          <w:tcPr>
            <w:tcW w:w="1939" w:type="dxa"/>
            <w:tcBorders>
              <w:top w:val="single" w:sz="4" w:space="0" w:color="auto"/>
              <w:left w:val="nil"/>
              <w:bottom w:val="single" w:sz="4" w:space="0" w:color="auto"/>
              <w:right w:val="single" w:sz="4" w:space="0" w:color="auto"/>
            </w:tcBorders>
            <w:shd w:val="clear" w:color="auto" w:fill="auto"/>
            <w:vAlign w:val="center"/>
          </w:tcPr>
          <w:p w14:paraId="6C43B59D" w14:textId="6B4F8B4C" w:rsidR="006E2ECA" w:rsidRPr="00620A8F" w:rsidRDefault="006E2ECA" w:rsidP="0084564C">
            <w:pPr>
              <w:adjustRightInd w:val="0"/>
              <w:snapToGrid w:val="0"/>
              <w:spacing w:line="240" w:lineRule="auto"/>
              <w:contextualSpacing/>
              <w:jc w:val="center"/>
              <w:rPr>
                <w:bCs/>
                <w:szCs w:val="24"/>
              </w:rPr>
            </w:pPr>
            <w:r w:rsidRPr="00620A8F">
              <w:rPr>
                <w:szCs w:val="24"/>
              </w:rPr>
              <w:t xml:space="preserve">1.00 </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14:paraId="7C9B4456" w14:textId="4E84C956" w:rsidR="006E2ECA" w:rsidRPr="00620A8F" w:rsidRDefault="002C0649" w:rsidP="0084564C">
            <w:pPr>
              <w:adjustRightInd w:val="0"/>
              <w:snapToGrid w:val="0"/>
              <w:spacing w:line="240" w:lineRule="auto"/>
              <w:contextualSpacing/>
              <w:jc w:val="center"/>
              <w:rPr>
                <w:bCs/>
                <w:szCs w:val="24"/>
              </w:rPr>
            </w:pPr>
            <w:r>
              <w:rPr>
                <w:bCs/>
                <w:szCs w:val="24"/>
              </w:rPr>
              <w:t>0.42</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14:paraId="6B99A4A1" w14:textId="151CBDB3" w:rsidR="006E2ECA" w:rsidRPr="00620A8F" w:rsidRDefault="00620A8F" w:rsidP="0084564C">
            <w:pPr>
              <w:adjustRightInd w:val="0"/>
              <w:snapToGrid w:val="0"/>
              <w:spacing w:line="240" w:lineRule="auto"/>
              <w:contextualSpacing/>
              <w:jc w:val="center"/>
              <w:rPr>
                <w:bCs/>
                <w:szCs w:val="24"/>
              </w:rPr>
            </w:pPr>
            <w:r w:rsidRPr="00620A8F">
              <w:rPr>
                <w:bCs/>
                <w:szCs w:val="24"/>
              </w:rPr>
              <w:t>0.36</w:t>
            </w:r>
          </w:p>
        </w:tc>
      </w:tr>
      <w:tr w:rsidR="00620A8F" w:rsidRPr="00620A8F" w14:paraId="24B40356" w14:textId="77777777" w:rsidTr="006E2ECA">
        <w:trPr>
          <w:jc w:val="center"/>
        </w:trPr>
        <w:tc>
          <w:tcPr>
            <w:tcW w:w="1938" w:type="dxa"/>
            <w:vAlign w:val="center"/>
          </w:tcPr>
          <w:p w14:paraId="4C34AE47" w14:textId="0B785CC5" w:rsidR="006E2ECA" w:rsidRPr="00620A8F" w:rsidRDefault="006E2ECA" w:rsidP="0084564C">
            <w:pPr>
              <w:adjustRightInd w:val="0"/>
              <w:snapToGrid w:val="0"/>
              <w:spacing w:line="240" w:lineRule="auto"/>
              <w:contextualSpacing/>
              <w:jc w:val="center"/>
              <w:rPr>
                <w:bCs/>
                <w:szCs w:val="24"/>
              </w:rPr>
            </w:pPr>
            <w:r w:rsidRPr="00620A8F">
              <w:rPr>
                <w:bCs/>
                <w:szCs w:val="24"/>
              </w:rPr>
              <w:t>ARCXXCPI</w:t>
            </w:r>
          </w:p>
        </w:tc>
        <w:tc>
          <w:tcPr>
            <w:tcW w:w="1939" w:type="dxa"/>
            <w:tcBorders>
              <w:top w:val="single" w:sz="4" w:space="0" w:color="auto"/>
              <w:left w:val="nil"/>
              <w:bottom w:val="single" w:sz="4" w:space="0" w:color="auto"/>
              <w:right w:val="single" w:sz="4" w:space="0" w:color="auto"/>
            </w:tcBorders>
            <w:shd w:val="clear" w:color="auto" w:fill="auto"/>
            <w:vAlign w:val="center"/>
          </w:tcPr>
          <w:p w14:paraId="1C0EAA32" w14:textId="6A387BA5" w:rsidR="006E2ECA" w:rsidRPr="00620A8F" w:rsidRDefault="002C0649" w:rsidP="0084564C">
            <w:pPr>
              <w:adjustRightInd w:val="0"/>
              <w:snapToGrid w:val="0"/>
              <w:spacing w:line="240" w:lineRule="auto"/>
              <w:contextualSpacing/>
              <w:jc w:val="center"/>
              <w:rPr>
                <w:bCs/>
                <w:szCs w:val="24"/>
              </w:rPr>
            </w:pPr>
            <w:r>
              <w:rPr>
                <w:szCs w:val="24"/>
              </w:rPr>
              <w:t>0.42</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14:paraId="79A3EFD1" w14:textId="419959A3" w:rsidR="006E2ECA" w:rsidRPr="00620A8F" w:rsidRDefault="006E2ECA" w:rsidP="0084564C">
            <w:pPr>
              <w:adjustRightInd w:val="0"/>
              <w:snapToGrid w:val="0"/>
              <w:spacing w:line="240" w:lineRule="auto"/>
              <w:contextualSpacing/>
              <w:jc w:val="center"/>
              <w:rPr>
                <w:bCs/>
                <w:szCs w:val="24"/>
              </w:rPr>
            </w:pPr>
            <w:r w:rsidRPr="00620A8F">
              <w:rPr>
                <w:szCs w:val="24"/>
              </w:rPr>
              <w:t xml:space="preserve">1.00 </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14:paraId="213412D9" w14:textId="6D235DC9" w:rsidR="006E2ECA" w:rsidRPr="00620A8F" w:rsidRDefault="002C0649" w:rsidP="0084564C">
            <w:pPr>
              <w:adjustRightInd w:val="0"/>
              <w:snapToGrid w:val="0"/>
              <w:spacing w:line="240" w:lineRule="auto"/>
              <w:contextualSpacing/>
              <w:jc w:val="center"/>
              <w:rPr>
                <w:bCs/>
                <w:szCs w:val="24"/>
              </w:rPr>
            </w:pPr>
            <w:r>
              <w:rPr>
                <w:bCs/>
                <w:szCs w:val="24"/>
              </w:rPr>
              <w:t>0.18</w:t>
            </w:r>
          </w:p>
        </w:tc>
      </w:tr>
      <w:tr w:rsidR="00620A8F" w:rsidRPr="00620A8F" w14:paraId="49279C6E" w14:textId="77777777" w:rsidTr="006E2ECA">
        <w:trPr>
          <w:jc w:val="center"/>
        </w:trPr>
        <w:tc>
          <w:tcPr>
            <w:tcW w:w="1938" w:type="dxa"/>
            <w:vAlign w:val="center"/>
          </w:tcPr>
          <w:p w14:paraId="28F0B5A9" w14:textId="087E8636" w:rsidR="006E2ECA" w:rsidRPr="00620A8F" w:rsidRDefault="006E2ECA" w:rsidP="0084564C">
            <w:pPr>
              <w:adjustRightInd w:val="0"/>
              <w:snapToGrid w:val="0"/>
              <w:spacing w:line="240" w:lineRule="auto"/>
              <w:contextualSpacing/>
              <w:jc w:val="center"/>
              <w:rPr>
                <w:bCs/>
                <w:szCs w:val="24"/>
              </w:rPr>
            </w:pPr>
            <w:r w:rsidRPr="00620A8F">
              <w:rPr>
                <w:bCs/>
                <w:szCs w:val="24"/>
              </w:rPr>
              <w:t>ARCHKRS</w:t>
            </w:r>
          </w:p>
        </w:tc>
        <w:tc>
          <w:tcPr>
            <w:tcW w:w="1939" w:type="dxa"/>
            <w:tcBorders>
              <w:top w:val="single" w:sz="4" w:space="0" w:color="auto"/>
              <w:left w:val="nil"/>
              <w:bottom w:val="single" w:sz="4" w:space="0" w:color="auto"/>
              <w:right w:val="single" w:sz="4" w:space="0" w:color="auto"/>
            </w:tcBorders>
            <w:shd w:val="clear" w:color="auto" w:fill="auto"/>
            <w:vAlign w:val="center"/>
          </w:tcPr>
          <w:p w14:paraId="3575EFCF" w14:textId="3310A007" w:rsidR="006E2ECA" w:rsidRPr="00620A8F" w:rsidRDefault="006E2ECA" w:rsidP="0084564C">
            <w:pPr>
              <w:adjustRightInd w:val="0"/>
              <w:snapToGrid w:val="0"/>
              <w:spacing w:line="240" w:lineRule="auto"/>
              <w:contextualSpacing/>
              <w:jc w:val="center"/>
              <w:rPr>
                <w:bCs/>
                <w:szCs w:val="24"/>
              </w:rPr>
            </w:pPr>
            <w:r w:rsidRPr="00620A8F">
              <w:rPr>
                <w:szCs w:val="24"/>
              </w:rPr>
              <w:t xml:space="preserve">0.36 </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14:paraId="087DA2C2" w14:textId="0FA42602" w:rsidR="006E2ECA" w:rsidRPr="00620A8F" w:rsidRDefault="002C0649" w:rsidP="0084564C">
            <w:pPr>
              <w:adjustRightInd w:val="0"/>
              <w:snapToGrid w:val="0"/>
              <w:spacing w:line="240" w:lineRule="auto"/>
              <w:contextualSpacing/>
              <w:jc w:val="center"/>
              <w:rPr>
                <w:bCs/>
                <w:szCs w:val="24"/>
              </w:rPr>
            </w:pPr>
            <w:r>
              <w:rPr>
                <w:szCs w:val="24"/>
              </w:rPr>
              <w:t>0.18</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14:paraId="56D995B0" w14:textId="3A1B5612" w:rsidR="006E2ECA" w:rsidRPr="00620A8F" w:rsidRDefault="006E2ECA" w:rsidP="0084564C">
            <w:pPr>
              <w:adjustRightInd w:val="0"/>
              <w:snapToGrid w:val="0"/>
              <w:spacing w:line="240" w:lineRule="auto"/>
              <w:contextualSpacing/>
              <w:jc w:val="center"/>
              <w:rPr>
                <w:bCs/>
                <w:szCs w:val="24"/>
              </w:rPr>
            </w:pPr>
            <w:r w:rsidRPr="00620A8F">
              <w:rPr>
                <w:szCs w:val="24"/>
              </w:rPr>
              <w:t xml:space="preserve">1.00 </w:t>
            </w:r>
          </w:p>
        </w:tc>
      </w:tr>
      <w:bookmarkEnd w:id="16"/>
    </w:tbl>
    <w:p w14:paraId="0670DFA0" w14:textId="77777777" w:rsidR="00435197" w:rsidRDefault="00435197" w:rsidP="009A78CC">
      <w:pPr>
        <w:adjustRightInd w:val="0"/>
        <w:snapToGrid w:val="0"/>
        <w:contextualSpacing/>
        <w:rPr>
          <w:bCs/>
          <w:color w:val="0000CC"/>
          <w:szCs w:val="24"/>
        </w:rPr>
      </w:pPr>
    </w:p>
    <w:p w14:paraId="304B0441" w14:textId="64D1307F" w:rsidR="002C0649" w:rsidRPr="002C0649" w:rsidRDefault="002C0649" w:rsidP="002C0649">
      <w:pPr>
        <w:rPr>
          <w:lang w:eastAsia="en-US"/>
        </w:rPr>
      </w:pPr>
      <w:r w:rsidRPr="002C0649">
        <w:rPr>
          <w:lang w:eastAsia="en-US"/>
        </w:rPr>
        <w:t xml:space="preserve">Hong Kong's retail sales show a moderate positive correlation (0.36) with inflation, indicating price rises partially drive sales, possibly via cost-pass-through in electronics. Taiwan's lower correlation (0.18) suggests a weaker link, reflecting stable demand less influenced by price changes. Both markets align with inflationary trends globally, but Hong Kong's volatility contrasts Taiwan's consistency, impacting </w:t>
      </w:r>
      <w:r w:rsidR="00F24CA2">
        <w:rPr>
          <w:lang w:eastAsia="en-US"/>
        </w:rPr>
        <w:t>AB</w:t>
      </w:r>
      <w:r w:rsidRPr="002C0649">
        <w:rPr>
          <w:lang w:eastAsia="en-US"/>
        </w:rPr>
        <w:t>'s pricing strategy.</w:t>
      </w:r>
    </w:p>
    <w:p w14:paraId="3D662DB1" w14:textId="225251C2" w:rsidR="0080050E" w:rsidRPr="00AA4898" w:rsidRDefault="0080050E" w:rsidP="00AA4898">
      <w:pPr>
        <w:spacing w:line="240" w:lineRule="auto"/>
      </w:pPr>
      <w:r w:rsidRPr="00C75159">
        <w:t>Table 3</w:t>
      </w:r>
      <w:r w:rsidR="005C01E2">
        <w:t>:</w:t>
      </w:r>
      <w:r w:rsidRPr="00C75159">
        <w:t xml:space="preserve"> The</w:t>
      </w:r>
      <w:r w:rsidR="008917CB" w:rsidRPr="00C75159">
        <w:t xml:space="preserve"> Pearson Correlation </w:t>
      </w:r>
      <w:r w:rsidR="007B3688" w:rsidRPr="00C75159">
        <w:t xml:space="preserve">Matrix of Annual Percent Change (%) In Retail Sales Values in </w:t>
      </w:r>
      <w:r w:rsidR="008917CB" w:rsidRPr="00C75159">
        <w:t>Hong Kong</w:t>
      </w:r>
      <w:r w:rsidR="007B3688" w:rsidRPr="00C75159">
        <w:t>, Consumer Inflation</w:t>
      </w:r>
      <w:r w:rsidR="007B3688">
        <w:t xml:space="preserve"> Rates In </w:t>
      </w:r>
      <w:r w:rsidR="002C0649">
        <w:t xml:space="preserve">Hong Kong </w:t>
      </w:r>
      <w:r w:rsidR="007B3688">
        <w:t xml:space="preserve">and </w:t>
      </w:r>
      <w:r w:rsidR="002C0649">
        <w:t>Taiwan</w:t>
      </w:r>
      <w:r w:rsidR="003C6D14">
        <w:t>: 2019 t</w:t>
      </w:r>
      <w:r w:rsidR="007B3688" w:rsidRPr="00C75159">
        <w:t>o 2023</w:t>
      </w:r>
    </w:p>
    <w:tbl>
      <w:tblPr>
        <w:tblStyle w:val="TableGrid"/>
        <w:tblW w:w="0" w:type="auto"/>
        <w:jc w:val="center"/>
        <w:tblLook w:val="04A0" w:firstRow="1" w:lastRow="0" w:firstColumn="1" w:lastColumn="0" w:noHBand="0" w:noVBand="1"/>
      </w:tblPr>
      <w:tblGrid>
        <w:gridCol w:w="1938"/>
        <w:gridCol w:w="1939"/>
        <w:gridCol w:w="1939"/>
        <w:gridCol w:w="1939"/>
      </w:tblGrid>
      <w:tr w:rsidR="00C75159" w:rsidRPr="00C75159" w14:paraId="55D2CBF4" w14:textId="77777777" w:rsidTr="006E2ECA">
        <w:trPr>
          <w:trHeight w:val="372"/>
          <w:jc w:val="center"/>
        </w:trPr>
        <w:tc>
          <w:tcPr>
            <w:tcW w:w="1938" w:type="dxa"/>
            <w:vAlign w:val="center"/>
          </w:tcPr>
          <w:p w14:paraId="13F3AE5A" w14:textId="77777777" w:rsidR="0080050E" w:rsidRPr="00C75159" w:rsidRDefault="0080050E" w:rsidP="009A78CC">
            <w:pPr>
              <w:adjustRightInd w:val="0"/>
              <w:snapToGrid w:val="0"/>
              <w:contextualSpacing/>
              <w:jc w:val="center"/>
              <w:rPr>
                <w:bCs/>
                <w:szCs w:val="24"/>
              </w:rPr>
            </w:pPr>
          </w:p>
        </w:tc>
        <w:tc>
          <w:tcPr>
            <w:tcW w:w="1939" w:type="dxa"/>
            <w:tcBorders>
              <w:bottom w:val="single" w:sz="4" w:space="0" w:color="auto"/>
            </w:tcBorders>
            <w:vAlign w:val="center"/>
          </w:tcPr>
          <w:p w14:paraId="06747E60" w14:textId="77777777" w:rsidR="0080050E" w:rsidRPr="00C75159" w:rsidRDefault="0080050E" w:rsidP="009A78CC">
            <w:pPr>
              <w:adjustRightInd w:val="0"/>
              <w:snapToGrid w:val="0"/>
              <w:contextualSpacing/>
              <w:jc w:val="center"/>
              <w:rPr>
                <w:bCs/>
                <w:szCs w:val="24"/>
              </w:rPr>
            </w:pPr>
            <w:r w:rsidRPr="00C75159">
              <w:rPr>
                <w:bCs/>
                <w:szCs w:val="24"/>
              </w:rPr>
              <w:t>APCHKCPI</w:t>
            </w:r>
          </w:p>
        </w:tc>
        <w:tc>
          <w:tcPr>
            <w:tcW w:w="1939" w:type="dxa"/>
            <w:tcBorders>
              <w:bottom w:val="single" w:sz="4" w:space="0" w:color="auto"/>
            </w:tcBorders>
            <w:vAlign w:val="center"/>
          </w:tcPr>
          <w:p w14:paraId="3E20EDE2" w14:textId="77777777" w:rsidR="0080050E" w:rsidRPr="00C75159" w:rsidRDefault="0080050E" w:rsidP="009A78CC">
            <w:pPr>
              <w:adjustRightInd w:val="0"/>
              <w:snapToGrid w:val="0"/>
              <w:contextualSpacing/>
              <w:jc w:val="center"/>
              <w:rPr>
                <w:bCs/>
                <w:szCs w:val="24"/>
              </w:rPr>
            </w:pPr>
            <w:r w:rsidRPr="00C75159">
              <w:rPr>
                <w:bCs/>
                <w:szCs w:val="24"/>
              </w:rPr>
              <w:t>APCCCPI</w:t>
            </w:r>
          </w:p>
        </w:tc>
        <w:tc>
          <w:tcPr>
            <w:tcW w:w="1939" w:type="dxa"/>
            <w:tcBorders>
              <w:bottom w:val="single" w:sz="4" w:space="0" w:color="auto"/>
            </w:tcBorders>
            <w:vAlign w:val="center"/>
          </w:tcPr>
          <w:p w14:paraId="1052DC1C" w14:textId="77777777" w:rsidR="0080050E" w:rsidRPr="00C75159" w:rsidRDefault="0080050E" w:rsidP="009A78CC">
            <w:pPr>
              <w:adjustRightInd w:val="0"/>
              <w:snapToGrid w:val="0"/>
              <w:contextualSpacing/>
              <w:jc w:val="center"/>
              <w:rPr>
                <w:bCs/>
                <w:szCs w:val="24"/>
              </w:rPr>
            </w:pPr>
            <w:r w:rsidRPr="00C75159">
              <w:rPr>
                <w:bCs/>
                <w:szCs w:val="24"/>
              </w:rPr>
              <w:t>APCHKRS</w:t>
            </w:r>
          </w:p>
        </w:tc>
      </w:tr>
      <w:tr w:rsidR="00C75159" w:rsidRPr="00C75159" w14:paraId="49F616CB" w14:textId="77777777" w:rsidTr="006E2ECA">
        <w:trPr>
          <w:jc w:val="center"/>
        </w:trPr>
        <w:tc>
          <w:tcPr>
            <w:tcW w:w="1938" w:type="dxa"/>
            <w:vAlign w:val="center"/>
          </w:tcPr>
          <w:p w14:paraId="12E728CF" w14:textId="77777777" w:rsidR="006E2ECA" w:rsidRPr="00C75159" w:rsidRDefault="006E2ECA" w:rsidP="009A78CC">
            <w:pPr>
              <w:adjustRightInd w:val="0"/>
              <w:snapToGrid w:val="0"/>
              <w:contextualSpacing/>
              <w:jc w:val="center"/>
              <w:rPr>
                <w:bCs/>
                <w:szCs w:val="24"/>
              </w:rPr>
            </w:pPr>
            <w:r w:rsidRPr="00C75159">
              <w:rPr>
                <w:bCs/>
                <w:szCs w:val="24"/>
              </w:rPr>
              <w:t>ARCHKCPI</w:t>
            </w:r>
          </w:p>
        </w:tc>
        <w:tc>
          <w:tcPr>
            <w:tcW w:w="1939" w:type="dxa"/>
            <w:tcBorders>
              <w:top w:val="single" w:sz="4" w:space="0" w:color="auto"/>
              <w:left w:val="nil"/>
              <w:bottom w:val="single" w:sz="4" w:space="0" w:color="auto"/>
              <w:right w:val="single" w:sz="4" w:space="0" w:color="auto"/>
            </w:tcBorders>
            <w:shd w:val="clear" w:color="auto" w:fill="auto"/>
            <w:vAlign w:val="center"/>
          </w:tcPr>
          <w:p w14:paraId="49154685" w14:textId="02014FDE" w:rsidR="006E2ECA" w:rsidRPr="00C75159" w:rsidRDefault="006E2ECA" w:rsidP="009A78CC">
            <w:pPr>
              <w:adjustRightInd w:val="0"/>
              <w:snapToGrid w:val="0"/>
              <w:contextualSpacing/>
              <w:jc w:val="center"/>
              <w:rPr>
                <w:bCs/>
                <w:szCs w:val="24"/>
              </w:rPr>
            </w:pPr>
            <w:r w:rsidRPr="00C75159">
              <w:rPr>
                <w:szCs w:val="24"/>
              </w:rPr>
              <w:t xml:space="preserve">1.00 </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14:paraId="503F346E" w14:textId="7C119197" w:rsidR="006E2ECA" w:rsidRPr="00C75159" w:rsidRDefault="002C0649" w:rsidP="009A78CC">
            <w:pPr>
              <w:adjustRightInd w:val="0"/>
              <w:snapToGrid w:val="0"/>
              <w:contextualSpacing/>
              <w:jc w:val="center"/>
              <w:rPr>
                <w:bCs/>
                <w:szCs w:val="24"/>
              </w:rPr>
            </w:pPr>
            <w:r>
              <w:rPr>
                <w:bCs/>
                <w:szCs w:val="24"/>
              </w:rPr>
              <w:t>0.38</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14:paraId="23CB512E" w14:textId="2E684E75" w:rsidR="006E2ECA" w:rsidRPr="00C75159" w:rsidRDefault="00DD30EB" w:rsidP="009A78CC">
            <w:pPr>
              <w:adjustRightInd w:val="0"/>
              <w:snapToGrid w:val="0"/>
              <w:contextualSpacing/>
              <w:jc w:val="center"/>
              <w:rPr>
                <w:bCs/>
                <w:szCs w:val="24"/>
              </w:rPr>
            </w:pPr>
            <w:r w:rsidRPr="00C75159">
              <w:rPr>
                <w:bCs/>
                <w:szCs w:val="24"/>
              </w:rPr>
              <w:t>-0.37</w:t>
            </w:r>
          </w:p>
        </w:tc>
      </w:tr>
      <w:tr w:rsidR="00C75159" w:rsidRPr="00C75159" w14:paraId="3026A99B" w14:textId="77777777" w:rsidTr="006E2ECA">
        <w:trPr>
          <w:jc w:val="center"/>
        </w:trPr>
        <w:tc>
          <w:tcPr>
            <w:tcW w:w="1938" w:type="dxa"/>
            <w:vAlign w:val="center"/>
          </w:tcPr>
          <w:p w14:paraId="00D555B9" w14:textId="77777777" w:rsidR="006E2ECA" w:rsidRPr="00C75159" w:rsidRDefault="006E2ECA" w:rsidP="009A78CC">
            <w:pPr>
              <w:adjustRightInd w:val="0"/>
              <w:snapToGrid w:val="0"/>
              <w:contextualSpacing/>
              <w:jc w:val="center"/>
              <w:rPr>
                <w:bCs/>
                <w:szCs w:val="24"/>
              </w:rPr>
            </w:pPr>
            <w:r w:rsidRPr="00C75159">
              <w:rPr>
                <w:bCs/>
                <w:szCs w:val="24"/>
              </w:rPr>
              <w:t>ARCXXCPI</w:t>
            </w:r>
          </w:p>
        </w:tc>
        <w:tc>
          <w:tcPr>
            <w:tcW w:w="1939" w:type="dxa"/>
            <w:tcBorders>
              <w:top w:val="single" w:sz="4" w:space="0" w:color="auto"/>
              <w:left w:val="nil"/>
              <w:bottom w:val="single" w:sz="4" w:space="0" w:color="auto"/>
              <w:right w:val="single" w:sz="4" w:space="0" w:color="auto"/>
            </w:tcBorders>
            <w:shd w:val="clear" w:color="auto" w:fill="auto"/>
            <w:vAlign w:val="center"/>
          </w:tcPr>
          <w:p w14:paraId="134643DF" w14:textId="4EEFC787" w:rsidR="006E2ECA" w:rsidRPr="00C75159" w:rsidRDefault="002C0649" w:rsidP="009A78CC">
            <w:pPr>
              <w:adjustRightInd w:val="0"/>
              <w:snapToGrid w:val="0"/>
              <w:contextualSpacing/>
              <w:jc w:val="center"/>
              <w:rPr>
                <w:bCs/>
                <w:szCs w:val="24"/>
              </w:rPr>
            </w:pPr>
            <w:r>
              <w:rPr>
                <w:szCs w:val="24"/>
              </w:rPr>
              <w:t>0.38</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14:paraId="09A67531" w14:textId="46AFD62A" w:rsidR="006E2ECA" w:rsidRPr="00C75159" w:rsidRDefault="006E2ECA" w:rsidP="009A78CC">
            <w:pPr>
              <w:adjustRightInd w:val="0"/>
              <w:snapToGrid w:val="0"/>
              <w:contextualSpacing/>
              <w:jc w:val="center"/>
              <w:rPr>
                <w:bCs/>
                <w:szCs w:val="24"/>
              </w:rPr>
            </w:pPr>
            <w:r w:rsidRPr="00C75159">
              <w:rPr>
                <w:szCs w:val="24"/>
              </w:rPr>
              <w:t xml:space="preserve">1.00 </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14:paraId="51EA9A1A" w14:textId="0A910FE7" w:rsidR="006E2ECA" w:rsidRPr="00C75159" w:rsidRDefault="002C0649" w:rsidP="009A78CC">
            <w:pPr>
              <w:adjustRightInd w:val="0"/>
              <w:snapToGrid w:val="0"/>
              <w:contextualSpacing/>
              <w:jc w:val="center"/>
              <w:rPr>
                <w:bCs/>
                <w:szCs w:val="24"/>
              </w:rPr>
            </w:pPr>
            <w:r>
              <w:rPr>
                <w:bCs/>
                <w:szCs w:val="24"/>
              </w:rPr>
              <w:t>-0.12</w:t>
            </w:r>
          </w:p>
        </w:tc>
      </w:tr>
      <w:tr w:rsidR="00C75159" w:rsidRPr="00C75159" w14:paraId="6A5C535C" w14:textId="77777777" w:rsidTr="006E2ECA">
        <w:trPr>
          <w:jc w:val="center"/>
        </w:trPr>
        <w:tc>
          <w:tcPr>
            <w:tcW w:w="1938" w:type="dxa"/>
            <w:vAlign w:val="center"/>
          </w:tcPr>
          <w:p w14:paraId="56456C7C" w14:textId="77777777" w:rsidR="006E2ECA" w:rsidRPr="00C75159" w:rsidRDefault="006E2ECA" w:rsidP="009A78CC">
            <w:pPr>
              <w:adjustRightInd w:val="0"/>
              <w:snapToGrid w:val="0"/>
              <w:contextualSpacing/>
              <w:jc w:val="center"/>
              <w:rPr>
                <w:bCs/>
                <w:szCs w:val="24"/>
              </w:rPr>
            </w:pPr>
            <w:r w:rsidRPr="00C75159">
              <w:rPr>
                <w:bCs/>
                <w:szCs w:val="24"/>
              </w:rPr>
              <w:t>ARCHKRS</w:t>
            </w:r>
          </w:p>
        </w:tc>
        <w:tc>
          <w:tcPr>
            <w:tcW w:w="1939" w:type="dxa"/>
            <w:tcBorders>
              <w:top w:val="single" w:sz="4" w:space="0" w:color="auto"/>
              <w:left w:val="nil"/>
              <w:bottom w:val="single" w:sz="4" w:space="0" w:color="auto"/>
              <w:right w:val="single" w:sz="4" w:space="0" w:color="auto"/>
            </w:tcBorders>
            <w:shd w:val="clear" w:color="auto" w:fill="auto"/>
            <w:vAlign w:val="center"/>
          </w:tcPr>
          <w:p w14:paraId="405FAE55" w14:textId="62B7E5DC" w:rsidR="006E2ECA" w:rsidRPr="00C75159" w:rsidRDefault="006E2ECA" w:rsidP="009A78CC">
            <w:pPr>
              <w:adjustRightInd w:val="0"/>
              <w:snapToGrid w:val="0"/>
              <w:contextualSpacing/>
              <w:jc w:val="center"/>
              <w:rPr>
                <w:bCs/>
                <w:szCs w:val="24"/>
              </w:rPr>
            </w:pPr>
            <w:r w:rsidRPr="00C75159">
              <w:rPr>
                <w:szCs w:val="24"/>
              </w:rPr>
              <w:t xml:space="preserve">-0.37 </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14:paraId="31AFD230" w14:textId="5C91C753" w:rsidR="006E2ECA" w:rsidRPr="00C75159" w:rsidRDefault="002C0649" w:rsidP="009A78CC">
            <w:pPr>
              <w:adjustRightInd w:val="0"/>
              <w:snapToGrid w:val="0"/>
              <w:contextualSpacing/>
              <w:jc w:val="center"/>
              <w:rPr>
                <w:bCs/>
                <w:szCs w:val="24"/>
              </w:rPr>
            </w:pPr>
            <w:r>
              <w:rPr>
                <w:szCs w:val="24"/>
              </w:rPr>
              <w:t>-0.12</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14:paraId="411F5713" w14:textId="69E9BD44" w:rsidR="006E2ECA" w:rsidRPr="00C75159" w:rsidRDefault="006E2ECA" w:rsidP="009A78CC">
            <w:pPr>
              <w:adjustRightInd w:val="0"/>
              <w:snapToGrid w:val="0"/>
              <w:contextualSpacing/>
              <w:jc w:val="center"/>
              <w:rPr>
                <w:bCs/>
                <w:szCs w:val="24"/>
              </w:rPr>
            </w:pPr>
            <w:r w:rsidRPr="00C75159">
              <w:rPr>
                <w:szCs w:val="24"/>
              </w:rPr>
              <w:t xml:space="preserve">1.00 </w:t>
            </w:r>
          </w:p>
        </w:tc>
      </w:tr>
    </w:tbl>
    <w:p w14:paraId="6E2DFFA2" w14:textId="77777777" w:rsidR="0080050E" w:rsidRDefault="0080050E" w:rsidP="009A78CC">
      <w:pPr>
        <w:adjustRightInd w:val="0"/>
        <w:snapToGrid w:val="0"/>
        <w:contextualSpacing/>
        <w:rPr>
          <w:bCs/>
          <w:color w:val="0000CC"/>
          <w:szCs w:val="24"/>
        </w:rPr>
      </w:pPr>
    </w:p>
    <w:p w14:paraId="2E8C5D96" w14:textId="1DE686F0" w:rsidR="002C0649" w:rsidRDefault="002C0649" w:rsidP="002C0649">
      <w:pPr>
        <w:rPr>
          <w:kern w:val="0"/>
          <w:szCs w:val="24"/>
        </w:rPr>
      </w:pPr>
      <w:r>
        <w:t xml:space="preserve">From 2006 to 2023, Hong Kong's retail sales (APCHKVRS) show a moderate positive correlation (0.36) with its inflation (APCHKCPI), suggesting that rising prices partially drive sales growth, possibly as retailers like </w:t>
      </w:r>
      <w:r w:rsidR="00F24CA2">
        <w:t>AB</w:t>
      </w:r>
      <w:r>
        <w:t xml:space="preserve"> pass on global cost increases (e.g., electronics components) to consumers. Taiwan's inflation (APCTWCPI) exhibits a weaker correlation (0.18) with Hong Kong's sales, indicating minimal regional price spillovers and a more independent retail dynamic. The 0.42 correlation between APCHKCPI and APCTWCPI reflects some synchronized inflationary pressures, likely from shared global inputs like tech goods.</w:t>
      </w:r>
    </w:p>
    <w:p w14:paraId="536E2A3B" w14:textId="7A9C0AE3" w:rsidR="005C4DA7" w:rsidRPr="005C4DA7" w:rsidRDefault="002C0649" w:rsidP="005C4DA7">
      <w:r>
        <w:t xml:space="preserve">According to data from 2019 to 2023, a turbulent period, Hong Kong inflation-sales correlation flips to -0.37, indicating that sales declines (e.g., 22.5% decline in 2020) outpaced inflation's moderating </w:t>
      </w:r>
      <w:r>
        <w:lastRenderedPageBreak/>
        <w:t xml:space="preserve">effect (-0.9%), driven by demand shocks rather than price alone. </w:t>
      </w:r>
      <w:r w:rsidR="005C4DA7" w:rsidRPr="005C4DA7">
        <w:t xml:space="preserve">Taiwan's inflation exhibits a minimal correlation, at -0.12, with Hong Kong's retail sales, indicating only a faint connection between the two. This suggests that Taiwan's relatively stable economic environment functions largely independently of the sharper fluctuations seen in Hong Kong. On a </w:t>
      </w:r>
      <w:r w:rsidR="005C4DA7">
        <w:t xml:space="preserve">broader level, global inflation </w:t>
      </w:r>
      <w:r w:rsidR="005C4DA7" w:rsidRPr="005C4DA7">
        <w:t>driv</w:t>
      </w:r>
      <w:r w:rsidR="005C4DA7">
        <w:t xml:space="preserve">en by changing commodity prices </w:t>
      </w:r>
      <w:r w:rsidR="005C4DA7" w:rsidRPr="005C4DA7">
        <w:t>has a clear impact on both markets. However, Hong Kong's retail sales tend</w:t>
      </w:r>
      <w:r w:rsidR="005C4DA7">
        <w:t xml:space="preserve"> to vary widely and erratically compared to Taiwan</w:t>
      </w:r>
      <w:r w:rsidR="003C6D14">
        <w:t>,</w:t>
      </w:r>
      <w:r w:rsidR="005C4DA7">
        <w:t xml:space="preserve"> </w:t>
      </w:r>
      <w:r w:rsidR="003C6D14">
        <w:t>which</w:t>
      </w:r>
      <w:r w:rsidR="005C4DA7">
        <w:t xml:space="preserve"> maintains a consistent trajectory. </w:t>
      </w:r>
      <w:r w:rsidR="005C4DA7" w:rsidRPr="005C4DA7">
        <w:t xml:space="preserve">This contrast </w:t>
      </w:r>
      <w:proofErr w:type="gramStart"/>
      <w:r w:rsidR="005C4DA7" w:rsidRPr="005C4DA7">
        <w:t>holds</w:t>
      </w:r>
      <w:proofErr w:type="gramEnd"/>
      <w:r w:rsidR="005C4DA7" w:rsidRPr="005C4DA7">
        <w:t xml:space="preserve"> significant implications for AB Stores Co Ltd., particularly as it navigates pricing strategies and inventory decisions for its electronics product range.</w:t>
      </w:r>
    </w:p>
    <w:p w14:paraId="2463F997" w14:textId="72D8950A" w:rsidR="00A17265" w:rsidRPr="00DD30EB" w:rsidRDefault="00062F07" w:rsidP="005C4DA7">
      <w:pPr>
        <w:pStyle w:val="Heading3"/>
      </w:pPr>
      <w:bookmarkStart w:id="17" w:name="_Toc192522728"/>
      <w:r>
        <w:t>3.2.2 Similarities and Differences in P</w:t>
      </w:r>
      <w:r w:rsidR="004F7F82" w:rsidRPr="00DD30EB">
        <w:t>atterns and</w:t>
      </w:r>
      <w:r>
        <w:t xml:space="preserve"> T</w:t>
      </w:r>
      <w:r w:rsidR="004F7F82" w:rsidRPr="00DD30EB">
        <w:t>rends</w:t>
      </w:r>
      <w:bookmarkEnd w:id="17"/>
    </w:p>
    <w:p w14:paraId="60DE6B78" w14:textId="0BF34BEC" w:rsidR="005C4DA7" w:rsidRPr="005C4DA7" w:rsidRDefault="005C4DA7" w:rsidP="005C4DA7">
      <w:pPr>
        <w:rPr>
          <w:lang w:eastAsia="en-US"/>
        </w:rPr>
      </w:pPr>
      <w:r w:rsidRPr="005C4DA7">
        <w:rPr>
          <w:lang w:eastAsia="en-US"/>
        </w:rPr>
        <w:t>This subsection explores the primary trends and patterns in consumer inflation and retail sales across Hong Kong and Taiwan from 2006 to 2023. By examining summary statistics, we can gain insight into the underlying market forces shaping these economies. Trends reveal the overarching direction of change over this period, while patterns highlight recurring characteristics within the data. Together, these elements shed light on how global price shifts influence loc</w:t>
      </w:r>
      <w:r>
        <w:rPr>
          <w:lang w:eastAsia="en-US"/>
        </w:rPr>
        <w:t xml:space="preserve">al retail outcomes. Key metrics </w:t>
      </w:r>
      <w:r w:rsidRPr="005C4DA7">
        <w:rPr>
          <w:lang w:eastAsia="en-US"/>
        </w:rPr>
        <w:t>such as average growth rates, standard</w:t>
      </w:r>
      <w:r>
        <w:rPr>
          <w:lang w:eastAsia="en-US"/>
        </w:rPr>
        <w:t xml:space="preserve"> deviations, and ranges </w:t>
      </w:r>
      <w:r w:rsidRPr="005C4DA7">
        <w:rPr>
          <w:lang w:eastAsia="en-US"/>
        </w:rPr>
        <w:t>underscore notable differences in volatility and stability between the two regions.</w:t>
      </w:r>
    </w:p>
    <w:p w14:paraId="24733A29" w14:textId="5DC81BC6" w:rsidR="002C0649" w:rsidRPr="002C0649" w:rsidRDefault="002C0649" w:rsidP="005C4DA7">
      <w:pPr>
        <w:rPr>
          <w:lang w:eastAsia="en-US"/>
        </w:rPr>
      </w:pPr>
      <w:r w:rsidRPr="002C0649">
        <w:rPr>
          <w:lang w:eastAsia="en-US"/>
        </w:rPr>
        <w:t xml:space="preserve">These figures prove useful for </w:t>
      </w:r>
      <w:r w:rsidR="00F24CA2">
        <w:rPr>
          <w:lang w:eastAsia="en-US"/>
        </w:rPr>
        <w:t>AB</w:t>
      </w:r>
      <w:r w:rsidRPr="002C0649">
        <w:rPr>
          <w:lang w:eastAsia="en-US"/>
        </w:rPr>
        <w:t xml:space="preserve"> Stores, Hong Kong, Co Ltd., especially in its electronics division. Hong Kong often bends under outside pressures, but Taiwan holds firm with steady resilience. That distinction sets up a clear case for weighing expansion into a more reliable market, even as global uncertainties swirl.</w:t>
      </w:r>
    </w:p>
    <w:p w14:paraId="2BF9D1D9" w14:textId="440798FE" w:rsidR="00381C0B" w:rsidRPr="002C0649" w:rsidRDefault="005C01E2" w:rsidP="002C0649">
      <w:pPr>
        <w:spacing w:line="240" w:lineRule="auto"/>
      </w:pPr>
      <w:r w:rsidRPr="005C01E2">
        <w:t xml:space="preserve">Table </w:t>
      </w:r>
      <w:r w:rsidR="007B3688">
        <w:t>4:</w:t>
      </w:r>
      <w:r w:rsidR="007B3688" w:rsidRPr="005C01E2">
        <w:t xml:space="preserve"> </w:t>
      </w:r>
      <w:r w:rsidRPr="005C01E2">
        <w:t xml:space="preserve">Major </w:t>
      </w:r>
      <w:r w:rsidR="007B3688" w:rsidRPr="005C01E2">
        <w:t xml:space="preserve">Summary Statistics of Annual Percent Change (%) In Retail Sales Values in </w:t>
      </w:r>
      <w:r w:rsidRPr="005C01E2">
        <w:t>Hong Kong</w:t>
      </w:r>
      <w:r w:rsidR="007B3688" w:rsidRPr="005C01E2">
        <w:t>, Consumer Inflat</w:t>
      </w:r>
      <w:r w:rsidR="007B3688">
        <w:t xml:space="preserve">ion Rates In </w:t>
      </w:r>
      <w:r w:rsidR="002C0649">
        <w:t xml:space="preserve">Hong Kong </w:t>
      </w:r>
      <w:r w:rsidR="007B3688">
        <w:t xml:space="preserve">and </w:t>
      </w:r>
      <w:r w:rsidR="002C0649">
        <w:t>Taiwan</w:t>
      </w:r>
      <w:r w:rsidR="007B3688" w:rsidRPr="005C01E2">
        <w:t>: 2019 To 2023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56"/>
        <w:gridCol w:w="1311"/>
        <w:gridCol w:w="1217"/>
        <w:gridCol w:w="1244"/>
      </w:tblGrid>
      <w:tr w:rsidR="002C0649" w:rsidRPr="002C0649" w14:paraId="35D2857F" w14:textId="77777777" w:rsidTr="002C0649">
        <w:trPr>
          <w:tblHeader/>
        </w:trPr>
        <w:tc>
          <w:tcPr>
            <w:tcW w:w="0" w:type="auto"/>
            <w:vAlign w:val="center"/>
            <w:hideMark/>
          </w:tcPr>
          <w:p w14:paraId="3FDDF876" w14:textId="77777777" w:rsidR="002C0649" w:rsidRPr="002C0649" w:rsidRDefault="002C0649" w:rsidP="002C0649">
            <w:pPr>
              <w:widowControl/>
              <w:spacing w:line="240" w:lineRule="auto"/>
              <w:jc w:val="center"/>
              <w:rPr>
                <w:rFonts w:eastAsia="Times New Roman"/>
                <w:b/>
                <w:bCs/>
                <w:kern w:val="0"/>
                <w:szCs w:val="24"/>
                <w:lang w:eastAsia="en-US"/>
              </w:rPr>
            </w:pPr>
            <w:r w:rsidRPr="002C0649">
              <w:rPr>
                <w:rFonts w:eastAsia="Times New Roman"/>
                <w:b/>
                <w:bCs/>
                <w:kern w:val="0"/>
                <w:szCs w:val="24"/>
                <w:lang w:eastAsia="en-US"/>
              </w:rPr>
              <w:lastRenderedPageBreak/>
              <w:t>Summary statistics</w:t>
            </w:r>
          </w:p>
        </w:tc>
        <w:tc>
          <w:tcPr>
            <w:tcW w:w="0" w:type="auto"/>
            <w:vAlign w:val="center"/>
            <w:hideMark/>
          </w:tcPr>
          <w:p w14:paraId="41919A30" w14:textId="77777777" w:rsidR="002C0649" w:rsidRPr="002C0649" w:rsidRDefault="002C0649" w:rsidP="002C0649">
            <w:pPr>
              <w:widowControl/>
              <w:spacing w:line="240" w:lineRule="auto"/>
              <w:jc w:val="center"/>
              <w:rPr>
                <w:rFonts w:eastAsia="Times New Roman"/>
                <w:b/>
                <w:bCs/>
                <w:kern w:val="0"/>
                <w:szCs w:val="24"/>
                <w:lang w:eastAsia="en-US"/>
              </w:rPr>
            </w:pPr>
            <w:r w:rsidRPr="002C0649">
              <w:rPr>
                <w:rFonts w:eastAsia="Times New Roman"/>
                <w:b/>
                <w:bCs/>
                <w:kern w:val="0"/>
                <w:szCs w:val="24"/>
                <w:lang w:eastAsia="en-US"/>
              </w:rPr>
              <w:t>Hong Kong</w:t>
            </w:r>
          </w:p>
        </w:tc>
        <w:tc>
          <w:tcPr>
            <w:tcW w:w="0" w:type="auto"/>
            <w:vAlign w:val="center"/>
            <w:hideMark/>
          </w:tcPr>
          <w:p w14:paraId="09D4FCAE" w14:textId="77777777" w:rsidR="002C0649" w:rsidRPr="002C0649" w:rsidRDefault="002C0649" w:rsidP="002C0649">
            <w:pPr>
              <w:widowControl/>
              <w:spacing w:line="240" w:lineRule="auto"/>
              <w:jc w:val="center"/>
              <w:rPr>
                <w:rFonts w:eastAsia="Times New Roman"/>
                <w:b/>
                <w:bCs/>
                <w:kern w:val="0"/>
                <w:szCs w:val="24"/>
                <w:lang w:eastAsia="en-US"/>
              </w:rPr>
            </w:pPr>
          </w:p>
        </w:tc>
        <w:tc>
          <w:tcPr>
            <w:tcW w:w="0" w:type="auto"/>
            <w:vAlign w:val="center"/>
            <w:hideMark/>
          </w:tcPr>
          <w:p w14:paraId="4AEE5F80" w14:textId="77777777" w:rsidR="002C0649" w:rsidRPr="002C0649" w:rsidRDefault="002C0649" w:rsidP="002C0649">
            <w:pPr>
              <w:widowControl/>
              <w:spacing w:line="240" w:lineRule="auto"/>
              <w:jc w:val="center"/>
              <w:rPr>
                <w:rFonts w:eastAsia="Times New Roman"/>
                <w:b/>
                <w:bCs/>
                <w:kern w:val="0"/>
                <w:szCs w:val="24"/>
                <w:lang w:eastAsia="en-US"/>
              </w:rPr>
            </w:pPr>
            <w:r w:rsidRPr="002C0649">
              <w:rPr>
                <w:rFonts w:eastAsia="Times New Roman"/>
                <w:b/>
                <w:bCs/>
                <w:kern w:val="0"/>
                <w:szCs w:val="24"/>
                <w:lang w:eastAsia="en-US"/>
              </w:rPr>
              <w:t>Taiwan</w:t>
            </w:r>
          </w:p>
        </w:tc>
      </w:tr>
      <w:tr w:rsidR="002C0649" w:rsidRPr="002C0649" w14:paraId="0C9475D9" w14:textId="77777777" w:rsidTr="002C0649">
        <w:tc>
          <w:tcPr>
            <w:tcW w:w="0" w:type="auto"/>
            <w:vAlign w:val="center"/>
            <w:hideMark/>
          </w:tcPr>
          <w:p w14:paraId="6858245D" w14:textId="77777777" w:rsidR="002C0649" w:rsidRPr="002C0649" w:rsidRDefault="002C0649" w:rsidP="002C0649">
            <w:pPr>
              <w:widowControl/>
              <w:spacing w:line="240" w:lineRule="auto"/>
              <w:jc w:val="center"/>
              <w:rPr>
                <w:rFonts w:eastAsia="Times New Roman"/>
                <w:b/>
                <w:bCs/>
                <w:kern w:val="0"/>
                <w:szCs w:val="24"/>
                <w:lang w:eastAsia="en-US"/>
              </w:rPr>
            </w:pPr>
          </w:p>
        </w:tc>
        <w:tc>
          <w:tcPr>
            <w:tcW w:w="0" w:type="auto"/>
            <w:vAlign w:val="center"/>
            <w:hideMark/>
          </w:tcPr>
          <w:p w14:paraId="1877EBB7" w14:textId="77777777" w:rsidR="002C0649" w:rsidRPr="002C0649" w:rsidRDefault="002C0649" w:rsidP="002C0649">
            <w:pPr>
              <w:widowControl/>
              <w:spacing w:line="240" w:lineRule="auto"/>
              <w:jc w:val="left"/>
              <w:rPr>
                <w:rFonts w:eastAsia="Times New Roman"/>
                <w:kern w:val="0"/>
                <w:szCs w:val="24"/>
                <w:lang w:eastAsia="en-US"/>
              </w:rPr>
            </w:pPr>
            <w:r w:rsidRPr="002C0649">
              <w:rPr>
                <w:rFonts w:eastAsia="Times New Roman"/>
                <w:kern w:val="0"/>
                <w:szCs w:val="24"/>
                <w:lang w:eastAsia="en-US"/>
              </w:rPr>
              <w:t>APCHKVRS</w:t>
            </w:r>
          </w:p>
        </w:tc>
        <w:tc>
          <w:tcPr>
            <w:tcW w:w="0" w:type="auto"/>
            <w:vAlign w:val="center"/>
            <w:hideMark/>
          </w:tcPr>
          <w:p w14:paraId="4B9A7C7C" w14:textId="77777777" w:rsidR="002C0649" w:rsidRPr="002C0649" w:rsidRDefault="002C0649" w:rsidP="002C0649">
            <w:pPr>
              <w:widowControl/>
              <w:spacing w:line="240" w:lineRule="auto"/>
              <w:jc w:val="left"/>
              <w:rPr>
                <w:rFonts w:eastAsia="Times New Roman"/>
                <w:kern w:val="0"/>
                <w:szCs w:val="24"/>
                <w:lang w:eastAsia="en-US"/>
              </w:rPr>
            </w:pPr>
            <w:r w:rsidRPr="002C0649">
              <w:rPr>
                <w:rFonts w:eastAsia="Times New Roman"/>
                <w:kern w:val="0"/>
                <w:szCs w:val="24"/>
                <w:lang w:eastAsia="en-US"/>
              </w:rPr>
              <w:t>APCHKCPI</w:t>
            </w:r>
          </w:p>
        </w:tc>
        <w:tc>
          <w:tcPr>
            <w:tcW w:w="0" w:type="auto"/>
            <w:vAlign w:val="center"/>
            <w:hideMark/>
          </w:tcPr>
          <w:p w14:paraId="00A672F3" w14:textId="77777777" w:rsidR="002C0649" w:rsidRPr="002C0649" w:rsidRDefault="002C0649" w:rsidP="002C0649">
            <w:pPr>
              <w:widowControl/>
              <w:spacing w:line="240" w:lineRule="auto"/>
              <w:jc w:val="left"/>
              <w:rPr>
                <w:rFonts w:eastAsia="Times New Roman"/>
                <w:kern w:val="0"/>
                <w:szCs w:val="24"/>
                <w:lang w:eastAsia="en-US"/>
              </w:rPr>
            </w:pPr>
            <w:r w:rsidRPr="002C0649">
              <w:rPr>
                <w:rFonts w:eastAsia="Times New Roman"/>
                <w:kern w:val="0"/>
                <w:szCs w:val="24"/>
                <w:lang w:eastAsia="en-US"/>
              </w:rPr>
              <w:t>APCTWCPI</w:t>
            </w:r>
          </w:p>
        </w:tc>
      </w:tr>
      <w:tr w:rsidR="002C0649" w:rsidRPr="002C0649" w14:paraId="4863CA4C" w14:textId="77777777" w:rsidTr="002C0649">
        <w:tc>
          <w:tcPr>
            <w:tcW w:w="0" w:type="auto"/>
            <w:vAlign w:val="center"/>
            <w:hideMark/>
          </w:tcPr>
          <w:p w14:paraId="3679C7B2" w14:textId="77777777" w:rsidR="002C0649" w:rsidRPr="002C0649" w:rsidRDefault="002C0649" w:rsidP="002C0649">
            <w:pPr>
              <w:widowControl/>
              <w:spacing w:line="240" w:lineRule="auto"/>
              <w:jc w:val="left"/>
              <w:rPr>
                <w:rFonts w:eastAsia="Times New Roman"/>
                <w:kern w:val="0"/>
                <w:szCs w:val="24"/>
                <w:lang w:eastAsia="en-US"/>
              </w:rPr>
            </w:pPr>
            <w:r w:rsidRPr="002C0649">
              <w:rPr>
                <w:rFonts w:eastAsia="Times New Roman"/>
                <w:kern w:val="0"/>
                <w:szCs w:val="24"/>
                <w:lang w:eastAsia="en-US"/>
              </w:rPr>
              <w:t>Mean growth rate (%)</w:t>
            </w:r>
          </w:p>
        </w:tc>
        <w:tc>
          <w:tcPr>
            <w:tcW w:w="0" w:type="auto"/>
            <w:vAlign w:val="center"/>
            <w:hideMark/>
          </w:tcPr>
          <w:p w14:paraId="78EED00A" w14:textId="77777777" w:rsidR="002C0649" w:rsidRPr="002C0649" w:rsidRDefault="002C0649" w:rsidP="002C0649">
            <w:pPr>
              <w:widowControl/>
              <w:spacing w:line="240" w:lineRule="auto"/>
              <w:jc w:val="left"/>
              <w:rPr>
                <w:rFonts w:eastAsia="Times New Roman"/>
                <w:kern w:val="0"/>
                <w:szCs w:val="24"/>
                <w:lang w:eastAsia="en-US"/>
              </w:rPr>
            </w:pPr>
            <w:r w:rsidRPr="002C0649">
              <w:rPr>
                <w:rFonts w:eastAsia="Times New Roman"/>
                <w:kern w:val="0"/>
                <w:szCs w:val="24"/>
                <w:lang w:eastAsia="en-US"/>
              </w:rPr>
              <w:t>3.5</w:t>
            </w:r>
          </w:p>
        </w:tc>
        <w:tc>
          <w:tcPr>
            <w:tcW w:w="0" w:type="auto"/>
            <w:vAlign w:val="center"/>
            <w:hideMark/>
          </w:tcPr>
          <w:p w14:paraId="7CB00604" w14:textId="77777777" w:rsidR="002C0649" w:rsidRPr="002C0649" w:rsidRDefault="002C0649" w:rsidP="002C0649">
            <w:pPr>
              <w:widowControl/>
              <w:spacing w:line="240" w:lineRule="auto"/>
              <w:jc w:val="left"/>
              <w:rPr>
                <w:rFonts w:eastAsia="Times New Roman"/>
                <w:kern w:val="0"/>
                <w:szCs w:val="24"/>
                <w:lang w:eastAsia="en-US"/>
              </w:rPr>
            </w:pPr>
            <w:r w:rsidRPr="002C0649">
              <w:rPr>
                <w:rFonts w:eastAsia="Times New Roman"/>
                <w:kern w:val="0"/>
                <w:szCs w:val="24"/>
                <w:lang w:eastAsia="en-US"/>
              </w:rPr>
              <w:t>2.6</w:t>
            </w:r>
          </w:p>
        </w:tc>
        <w:tc>
          <w:tcPr>
            <w:tcW w:w="0" w:type="auto"/>
            <w:vAlign w:val="center"/>
            <w:hideMark/>
          </w:tcPr>
          <w:p w14:paraId="07E3C75C" w14:textId="77777777" w:rsidR="002C0649" w:rsidRPr="002C0649" w:rsidRDefault="002C0649" w:rsidP="002C0649">
            <w:pPr>
              <w:widowControl/>
              <w:spacing w:line="240" w:lineRule="auto"/>
              <w:jc w:val="left"/>
              <w:rPr>
                <w:rFonts w:eastAsia="Times New Roman"/>
                <w:kern w:val="0"/>
                <w:szCs w:val="24"/>
                <w:lang w:eastAsia="en-US"/>
              </w:rPr>
            </w:pPr>
            <w:r w:rsidRPr="002C0649">
              <w:rPr>
                <w:rFonts w:eastAsia="Times New Roman"/>
                <w:kern w:val="0"/>
                <w:szCs w:val="24"/>
                <w:lang w:eastAsia="en-US"/>
              </w:rPr>
              <w:t>1.4</w:t>
            </w:r>
          </w:p>
        </w:tc>
      </w:tr>
      <w:tr w:rsidR="002C0649" w:rsidRPr="002C0649" w14:paraId="79A549F0" w14:textId="77777777" w:rsidTr="002C0649">
        <w:tc>
          <w:tcPr>
            <w:tcW w:w="0" w:type="auto"/>
            <w:vAlign w:val="center"/>
            <w:hideMark/>
          </w:tcPr>
          <w:p w14:paraId="37549017" w14:textId="77777777" w:rsidR="002C0649" w:rsidRPr="002C0649" w:rsidRDefault="002C0649" w:rsidP="002C0649">
            <w:pPr>
              <w:widowControl/>
              <w:spacing w:line="240" w:lineRule="auto"/>
              <w:jc w:val="left"/>
              <w:rPr>
                <w:rFonts w:eastAsia="Times New Roman"/>
                <w:kern w:val="0"/>
                <w:szCs w:val="24"/>
                <w:lang w:eastAsia="en-US"/>
              </w:rPr>
            </w:pPr>
            <w:r w:rsidRPr="002C0649">
              <w:rPr>
                <w:rFonts w:eastAsia="Times New Roman"/>
                <w:kern w:val="0"/>
                <w:szCs w:val="24"/>
                <w:lang w:eastAsia="en-US"/>
              </w:rPr>
              <w:t>Standard deviation</w:t>
            </w:r>
          </w:p>
        </w:tc>
        <w:tc>
          <w:tcPr>
            <w:tcW w:w="0" w:type="auto"/>
            <w:vAlign w:val="center"/>
            <w:hideMark/>
          </w:tcPr>
          <w:p w14:paraId="42288AF6" w14:textId="77777777" w:rsidR="002C0649" w:rsidRPr="002C0649" w:rsidRDefault="002C0649" w:rsidP="002C0649">
            <w:pPr>
              <w:widowControl/>
              <w:spacing w:line="240" w:lineRule="auto"/>
              <w:jc w:val="left"/>
              <w:rPr>
                <w:rFonts w:eastAsia="Times New Roman"/>
                <w:kern w:val="0"/>
                <w:szCs w:val="24"/>
                <w:lang w:eastAsia="en-US"/>
              </w:rPr>
            </w:pPr>
            <w:r w:rsidRPr="002C0649">
              <w:rPr>
                <w:rFonts w:eastAsia="Times New Roman"/>
                <w:kern w:val="0"/>
                <w:szCs w:val="24"/>
                <w:lang w:eastAsia="en-US"/>
              </w:rPr>
              <w:t>11.7</w:t>
            </w:r>
          </w:p>
        </w:tc>
        <w:tc>
          <w:tcPr>
            <w:tcW w:w="0" w:type="auto"/>
            <w:vAlign w:val="center"/>
            <w:hideMark/>
          </w:tcPr>
          <w:p w14:paraId="2867D995" w14:textId="77777777" w:rsidR="002C0649" w:rsidRPr="002C0649" w:rsidRDefault="002C0649" w:rsidP="002C0649">
            <w:pPr>
              <w:widowControl/>
              <w:spacing w:line="240" w:lineRule="auto"/>
              <w:jc w:val="left"/>
              <w:rPr>
                <w:rFonts w:eastAsia="Times New Roman"/>
                <w:kern w:val="0"/>
                <w:szCs w:val="24"/>
                <w:lang w:eastAsia="en-US"/>
              </w:rPr>
            </w:pPr>
            <w:r w:rsidRPr="002C0649">
              <w:rPr>
                <w:rFonts w:eastAsia="Times New Roman"/>
                <w:kern w:val="0"/>
                <w:szCs w:val="24"/>
                <w:lang w:eastAsia="en-US"/>
              </w:rPr>
              <w:t>1.5</w:t>
            </w:r>
          </w:p>
        </w:tc>
        <w:tc>
          <w:tcPr>
            <w:tcW w:w="0" w:type="auto"/>
            <w:vAlign w:val="center"/>
            <w:hideMark/>
          </w:tcPr>
          <w:p w14:paraId="3312F748" w14:textId="77777777" w:rsidR="002C0649" w:rsidRPr="002C0649" w:rsidRDefault="002C0649" w:rsidP="002C0649">
            <w:pPr>
              <w:widowControl/>
              <w:spacing w:line="240" w:lineRule="auto"/>
              <w:jc w:val="left"/>
              <w:rPr>
                <w:rFonts w:eastAsia="Times New Roman"/>
                <w:kern w:val="0"/>
                <w:szCs w:val="24"/>
                <w:lang w:eastAsia="en-US"/>
              </w:rPr>
            </w:pPr>
            <w:r w:rsidRPr="002C0649">
              <w:rPr>
                <w:rFonts w:eastAsia="Times New Roman"/>
                <w:kern w:val="0"/>
                <w:szCs w:val="24"/>
                <w:lang w:eastAsia="en-US"/>
              </w:rPr>
              <w:t>0.9</w:t>
            </w:r>
          </w:p>
        </w:tc>
      </w:tr>
      <w:tr w:rsidR="002C0649" w:rsidRPr="002C0649" w14:paraId="48970A92" w14:textId="77777777" w:rsidTr="002C0649">
        <w:tc>
          <w:tcPr>
            <w:tcW w:w="0" w:type="auto"/>
            <w:vAlign w:val="center"/>
            <w:hideMark/>
          </w:tcPr>
          <w:p w14:paraId="551272A6" w14:textId="77777777" w:rsidR="002C0649" w:rsidRPr="002C0649" w:rsidRDefault="002C0649" w:rsidP="002C0649">
            <w:pPr>
              <w:widowControl/>
              <w:spacing w:line="240" w:lineRule="auto"/>
              <w:jc w:val="left"/>
              <w:rPr>
                <w:rFonts w:eastAsia="Times New Roman"/>
                <w:kern w:val="0"/>
                <w:szCs w:val="24"/>
                <w:lang w:eastAsia="en-US"/>
              </w:rPr>
            </w:pPr>
            <w:r w:rsidRPr="002C0649">
              <w:rPr>
                <w:rFonts w:eastAsia="Times New Roman"/>
                <w:kern w:val="0"/>
                <w:szCs w:val="24"/>
                <w:lang w:eastAsia="en-US"/>
              </w:rPr>
              <w:t>Range (%)</w:t>
            </w:r>
          </w:p>
        </w:tc>
        <w:tc>
          <w:tcPr>
            <w:tcW w:w="0" w:type="auto"/>
            <w:vAlign w:val="center"/>
            <w:hideMark/>
          </w:tcPr>
          <w:p w14:paraId="3FC52AE3" w14:textId="77777777" w:rsidR="002C0649" w:rsidRPr="002C0649" w:rsidRDefault="002C0649" w:rsidP="002C0649">
            <w:pPr>
              <w:widowControl/>
              <w:spacing w:line="240" w:lineRule="auto"/>
              <w:jc w:val="left"/>
              <w:rPr>
                <w:rFonts w:eastAsia="Times New Roman"/>
                <w:kern w:val="0"/>
                <w:szCs w:val="24"/>
                <w:lang w:eastAsia="en-US"/>
              </w:rPr>
            </w:pPr>
            <w:r w:rsidRPr="002C0649">
              <w:rPr>
                <w:rFonts w:eastAsia="Times New Roman"/>
                <w:kern w:val="0"/>
                <w:szCs w:val="24"/>
                <w:lang w:eastAsia="en-US"/>
              </w:rPr>
              <w:t>44.1</w:t>
            </w:r>
          </w:p>
        </w:tc>
        <w:tc>
          <w:tcPr>
            <w:tcW w:w="0" w:type="auto"/>
            <w:vAlign w:val="center"/>
            <w:hideMark/>
          </w:tcPr>
          <w:p w14:paraId="0A0B257A" w14:textId="77777777" w:rsidR="002C0649" w:rsidRPr="002C0649" w:rsidRDefault="002C0649" w:rsidP="002C0649">
            <w:pPr>
              <w:widowControl/>
              <w:spacing w:line="240" w:lineRule="auto"/>
              <w:jc w:val="left"/>
              <w:rPr>
                <w:rFonts w:eastAsia="Times New Roman"/>
                <w:kern w:val="0"/>
                <w:szCs w:val="24"/>
                <w:lang w:eastAsia="en-US"/>
              </w:rPr>
            </w:pPr>
            <w:r w:rsidRPr="002C0649">
              <w:rPr>
                <w:rFonts w:eastAsia="Times New Roman"/>
                <w:kern w:val="0"/>
                <w:szCs w:val="24"/>
                <w:lang w:eastAsia="en-US"/>
              </w:rPr>
              <w:t>6.6</w:t>
            </w:r>
          </w:p>
        </w:tc>
        <w:tc>
          <w:tcPr>
            <w:tcW w:w="0" w:type="auto"/>
            <w:vAlign w:val="center"/>
            <w:hideMark/>
          </w:tcPr>
          <w:p w14:paraId="68A97915" w14:textId="77777777" w:rsidR="002C0649" w:rsidRPr="002C0649" w:rsidRDefault="002C0649" w:rsidP="002C0649">
            <w:pPr>
              <w:widowControl/>
              <w:spacing w:line="240" w:lineRule="auto"/>
              <w:jc w:val="left"/>
              <w:rPr>
                <w:rFonts w:eastAsia="Times New Roman"/>
                <w:kern w:val="0"/>
                <w:szCs w:val="24"/>
                <w:lang w:eastAsia="en-US"/>
              </w:rPr>
            </w:pPr>
            <w:r w:rsidRPr="002C0649">
              <w:rPr>
                <w:rFonts w:eastAsia="Times New Roman"/>
                <w:kern w:val="0"/>
                <w:szCs w:val="24"/>
                <w:lang w:eastAsia="en-US"/>
              </w:rPr>
              <w:t>3.6</w:t>
            </w:r>
          </w:p>
        </w:tc>
      </w:tr>
      <w:tr w:rsidR="002C0649" w:rsidRPr="002C0649" w14:paraId="7C0B817F" w14:textId="77777777" w:rsidTr="002C0649">
        <w:tc>
          <w:tcPr>
            <w:tcW w:w="0" w:type="auto"/>
            <w:vAlign w:val="center"/>
            <w:hideMark/>
          </w:tcPr>
          <w:p w14:paraId="657D6B1D" w14:textId="77777777" w:rsidR="002C0649" w:rsidRPr="002C0649" w:rsidRDefault="002C0649" w:rsidP="002C0649">
            <w:pPr>
              <w:widowControl/>
              <w:spacing w:line="240" w:lineRule="auto"/>
              <w:jc w:val="left"/>
              <w:rPr>
                <w:rFonts w:eastAsia="Times New Roman"/>
                <w:kern w:val="0"/>
                <w:szCs w:val="24"/>
                <w:lang w:eastAsia="en-US"/>
              </w:rPr>
            </w:pPr>
            <w:r w:rsidRPr="002C0649">
              <w:rPr>
                <w:rFonts w:eastAsia="Times New Roman"/>
                <w:kern w:val="0"/>
                <w:szCs w:val="24"/>
                <w:lang w:eastAsia="en-US"/>
              </w:rPr>
              <w:t>Maximum (%)</w:t>
            </w:r>
          </w:p>
        </w:tc>
        <w:tc>
          <w:tcPr>
            <w:tcW w:w="0" w:type="auto"/>
            <w:vAlign w:val="center"/>
            <w:hideMark/>
          </w:tcPr>
          <w:p w14:paraId="17831CD7" w14:textId="77777777" w:rsidR="002C0649" w:rsidRPr="002C0649" w:rsidRDefault="002C0649" w:rsidP="002C0649">
            <w:pPr>
              <w:widowControl/>
              <w:spacing w:line="240" w:lineRule="auto"/>
              <w:jc w:val="left"/>
              <w:rPr>
                <w:rFonts w:eastAsia="Times New Roman"/>
                <w:kern w:val="0"/>
                <w:szCs w:val="24"/>
                <w:lang w:eastAsia="en-US"/>
              </w:rPr>
            </w:pPr>
            <w:r w:rsidRPr="002C0649">
              <w:rPr>
                <w:rFonts w:eastAsia="Times New Roman"/>
                <w:kern w:val="0"/>
                <w:szCs w:val="24"/>
                <w:lang w:eastAsia="en-US"/>
              </w:rPr>
              <w:t>21.6</w:t>
            </w:r>
          </w:p>
        </w:tc>
        <w:tc>
          <w:tcPr>
            <w:tcW w:w="0" w:type="auto"/>
            <w:vAlign w:val="center"/>
            <w:hideMark/>
          </w:tcPr>
          <w:p w14:paraId="1BF62DC3" w14:textId="77777777" w:rsidR="002C0649" w:rsidRPr="002C0649" w:rsidRDefault="002C0649" w:rsidP="002C0649">
            <w:pPr>
              <w:widowControl/>
              <w:spacing w:line="240" w:lineRule="auto"/>
              <w:jc w:val="left"/>
              <w:rPr>
                <w:rFonts w:eastAsia="Times New Roman"/>
                <w:kern w:val="0"/>
                <w:szCs w:val="24"/>
                <w:lang w:eastAsia="en-US"/>
              </w:rPr>
            </w:pPr>
            <w:r w:rsidRPr="002C0649">
              <w:rPr>
                <w:rFonts w:eastAsia="Times New Roman"/>
                <w:kern w:val="0"/>
                <w:szCs w:val="24"/>
                <w:lang w:eastAsia="en-US"/>
              </w:rPr>
              <w:t>5.7</w:t>
            </w:r>
          </w:p>
        </w:tc>
        <w:tc>
          <w:tcPr>
            <w:tcW w:w="0" w:type="auto"/>
            <w:vAlign w:val="center"/>
            <w:hideMark/>
          </w:tcPr>
          <w:p w14:paraId="4E465A85" w14:textId="77777777" w:rsidR="002C0649" w:rsidRPr="002C0649" w:rsidRDefault="002C0649" w:rsidP="002C0649">
            <w:pPr>
              <w:widowControl/>
              <w:spacing w:line="240" w:lineRule="auto"/>
              <w:jc w:val="left"/>
              <w:rPr>
                <w:rFonts w:eastAsia="Times New Roman"/>
                <w:kern w:val="0"/>
                <w:szCs w:val="24"/>
                <w:lang w:eastAsia="en-US"/>
              </w:rPr>
            </w:pPr>
            <w:r w:rsidRPr="002C0649">
              <w:rPr>
                <w:rFonts w:eastAsia="Times New Roman"/>
                <w:kern w:val="0"/>
                <w:szCs w:val="24"/>
                <w:lang w:eastAsia="en-US"/>
              </w:rPr>
              <w:t>2.9</w:t>
            </w:r>
          </w:p>
        </w:tc>
      </w:tr>
      <w:tr w:rsidR="002C0649" w:rsidRPr="002C0649" w14:paraId="080708DF" w14:textId="77777777" w:rsidTr="002C0649">
        <w:tc>
          <w:tcPr>
            <w:tcW w:w="0" w:type="auto"/>
            <w:vAlign w:val="center"/>
            <w:hideMark/>
          </w:tcPr>
          <w:p w14:paraId="6073D587" w14:textId="77777777" w:rsidR="002C0649" w:rsidRPr="002C0649" w:rsidRDefault="002C0649" w:rsidP="002C0649">
            <w:pPr>
              <w:widowControl/>
              <w:spacing w:line="240" w:lineRule="auto"/>
              <w:jc w:val="left"/>
              <w:rPr>
                <w:rFonts w:eastAsia="Times New Roman"/>
                <w:kern w:val="0"/>
                <w:szCs w:val="24"/>
                <w:lang w:eastAsia="en-US"/>
              </w:rPr>
            </w:pPr>
            <w:r w:rsidRPr="002C0649">
              <w:rPr>
                <w:rFonts w:eastAsia="Times New Roman"/>
                <w:kern w:val="0"/>
                <w:szCs w:val="24"/>
                <w:lang w:eastAsia="en-US"/>
              </w:rPr>
              <w:t>Minimum (%)</w:t>
            </w:r>
          </w:p>
        </w:tc>
        <w:tc>
          <w:tcPr>
            <w:tcW w:w="0" w:type="auto"/>
            <w:vAlign w:val="center"/>
            <w:hideMark/>
          </w:tcPr>
          <w:p w14:paraId="56D38790" w14:textId="77777777" w:rsidR="002C0649" w:rsidRPr="002C0649" w:rsidRDefault="002C0649" w:rsidP="002C0649">
            <w:pPr>
              <w:widowControl/>
              <w:spacing w:line="240" w:lineRule="auto"/>
              <w:jc w:val="left"/>
              <w:rPr>
                <w:rFonts w:eastAsia="Times New Roman"/>
                <w:kern w:val="0"/>
                <w:szCs w:val="24"/>
                <w:lang w:eastAsia="en-US"/>
              </w:rPr>
            </w:pPr>
            <w:r w:rsidRPr="002C0649">
              <w:rPr>
                <w:rFonts w:eastAsia="Times New Roman"/>
                <w:kern w:val="0"/>
                <w:szCs w:val="24"/>
                <w:lang w:eastAsia="en-US"/>
              </w:rPr>
              <w:t>-22.5</w:t>
            </w:r>
          </w:p>
        </w:tc>
        <w:tc>
          <w:tcPr>
            <w:tcW w:w="0" w:type="auto"/>
            <w:vAlign w:val="center"/>
            <w:hideMark/>
          </w:tcPr>
          <w:p w14:paraId="0C049242" w14:textId="77777777" w:rsidR="002C0649" w:rsidRPr="002C0649" w:rsidRDefault="002C0649" w:rsidP="002C0649">
            <w:pPr>
              <w:widowControl/>
              <w:spacing w:line="240" w:lineRule="auto"/>
              <w:jc w:val="left"/>
              <w:rPr>
                <w:rFonts w:eastAsia="Times New Roman"/>
                <w:kern w:val="0"/>
                <w:szCs w:val="24"/>
                <w:lang w:eastAsia="en-US"/>
              </w:rPr>
            </w:pPr>
            <w:r w:rsidRPr="002C0649">
              <w:rPr>
                <w:rFonts w:eastAsia="Times New Roman"/>
                <w:kern w:val="0"/>
                <w:szCs w:val="24"/>
                <w:lang w:eastAsia="en-US"/>
              </w:rPr>
              <w:t>-0.9</w:t>
            </w:r>
          </w:p>
        </w:tc>
        <w:tc>
          <w:tcPr>
            <w:tcW w:w="0" w:type="auto"/>
            <w:vAlign w:val="center"/>
            <w:hideMark/>
          </w:tcPr>
          <w:p w14:paraId="266B9384" w14:textId="77777777" w:rsidR="002C0649" w:rsidRPr="002C0649" w:rsidRDefault="002C0649" w:rsidP="002C0649">
            <w:pPr>
              <w:widowControl/>
              <w:spacing w:line="240" w:lineRule="auto"/>
              <w:jc w:val="left"/>
              <w:rPr>
                <w:rFonts w:eastAsia="Times New Roman"/>
                <w:kern w:val="0"/>
                <w:szCs w:val="24"/>
                <w:lang w:eastAsia="en-US"/>
              </w:rPr>
            </w:pPr>
            <w:r w:rsidRPr="002C0649">
              <w:rPr>
                <w:rFonts w:eastAsia="Times New Roman"/>
                <w:kern w:val="0"/>
                <w:szCs w:val="24"/>
                <w:lang w:eastAsia="en-US"/>
              </w:rPr>
              <w:t>-0.9</w:t>
            </w:r>
          </w:p>
        </w:tc>
      </w:tr>
    </w:tbl>
    <w:p w14:paraId="6EA989A5" w14:textId="77777777" w:rsidR="002C0649" w:rsidRDefault="002C0649" w:rsidP="0084564C">
      <w:pPr>
        <w:adjustRightInd w:val="0"/>
        <w:snapToGrid w:val="0"/>
        <w:spacing w:line="240" w:lineRule="auto"/>
        <w:contextualSpacing/>
        <w:rPr>
          <w:bCs/>
          <w:szCs w:val="24"/>
        </w:rPr>
      </w:pPr>
    </w:p>
    <w:p w14:paraId="2B80E780" w14:textId="665D2D63" w:rsidR="00F24CA2" w:rsidRPr="00F24CA2" w:rsidRDefault="008917CB" w:rsidP="00F24CA2">
      <w:pPr>
        <w:adjustRightInd w:val="0"/>
        <w:snapToGrid w:val="0"/>
        <w:spacing w:line="240" w:lineRule="auto"/>
        <w:contextualSpacing/>
        <w:rPr>
          <w:bCs/>
          <w:szCs w:val="24"/>
        </w:rPr>
      </w:pPr>
      <w:r w:rsidRPr="00DD30EB">
        <w:rPr>
          <w:bCs/>
          <w:szCs w:val="24"/>
        </w:rPr>
        <w:t xml:space="preserve">Table </w:t>
      </w:r>
      <w:r w:rsidR="007B3688" w:rsidRPr="00DD30EB">
        <w:rPr>
          <w:bCs/>
          <w:szCs w:val="24"/>
        </w:rPr>
        <w:t xml:space="preserve">5: </w:t>
      </w:r>
      <w:r w:rsidRPr="00DD30EB">
        <w:rPr>
          <w:bCs/>
          <w:szCs w:val="24"/>
        </w:rPr>
        <w:t xml:space="preserve">Major </w:t>
      </w:r>
      <w:r w:rsidR="007B3688" w:rsidRPr="00DD30EB">
        <w:rPr>
          <w:bCs/>
          <w:szCs w:val="24"/>
        </w:rPr>
        <w:t xml:space="preserve">Summary Statistics of Annual Percent Change (%) In Retail Sales Values in </w:t>
      </w:r>
      <w:r w:rsidRPr="00DD30EB">
        <w:rPr>
          <w:bCs/>
          <w:szCs w:val="24"/>
        </w:rPr>
        <w:t>Hong Kong</w:t>
      </w:r>
      <w:r w:rsidR="007B3688" w:rsidRPr="00DD30EB">
        <w:rPr>
          <w:bCs/>
          <w:szCs w:val="24"/>
        </w:rPr>
        <w:t>, Consumer Inflation</w:t>
      </w:r>
      <w:r w:rsidR="007B3688">
        <w:rPr>
          <w:bCs/>
          <w:szCs w:val="24"/>
        </w:rPr>
        <w:t xml:space="preserve"> Rates In </w:t>
      </w:r>
      <w:r w:rsidR="002C0649">
        <w:rPr>
          <w:bCs/>
          <w:szCs w:val="24"/>
        </w:rPr>
        <w:t xml:space="preserve">Hong Kong </w:t>
      </w:r>
      <w:r w:rsidR="007B3688">
        <w:rPr>
          <w:bCs/>
          <w:szCs w:val="24"/>
        </w:rPr>
        <w:t xml:space="preserve">and In </w:t>
      </w:r>
      <w:r w:rsidR="002C0649">
        <w:rPr>
          <w:bCs/>
          <w:szCs w:val="24"/>
        </w:rPr>
        <w:t>Taiwan</w:t>
      </w:r>
      <w:r w:rsidR="007B3688" w:rsidRPr="00DD30EB">
        <w:rPr>
          <w:bCs/>
          <w:szCs w:val="24"/>
        </w:rPr>
        <w:t>: 2019 To 2023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56"/>
        <w:gridCol w:w="1311"/>
        <w:gridCol w:w="1217"/>
        <w:gridCol w:w="1244"/>
      </w:tblGrid>
      <w:tr w:rsidR="00F24CA2" w:rsidRPr="00F24CA2" w14:paraId="515EBA7F" w14:textId="77777777" w:rsidTr="00F24CA2">
        <w:trPr>
          <w:tblHeader/>
        </w:trPr>
        <w:tc>
          <w:tcPr>
            <w:tcW w:w="0" w:type="auto"/>
            <w:vAlign w:val="center"/>
            <w:hideMark/>
          </w:tcPr>
          <w:p w14:paraId="5AC843D1" w14:textId="77777777" w:rsidR="00F24CA2" w:rsidRPr="00F24CA2" w:rsidRDefault="00F24CA2" w:rsidP="00F24CA2">
            <w:pPr>
              <w:widowControl/>
              <w:spacing w:line="240" w:lineRule="auto"/>
              <w:jc w:val="center"/>
              <w:rPr>
                <w:rFonts w:eastAsia="Times New Roman"/>
                <w:b/>
                <w:bCs/>
                <w:kern w:val="0"/>
                <w:szCs w:val="24"/>
                <w:lang w:eastAsia="en-US"/>
              </w:rPr>
            </w:pPr>
            <w:r w:rsidRPr="00F24CA2">
              <w:rPr>
                <w:rFonts w:eastAsia="Times New Roman"/>
                <w:b/>
                <w:bCs/>
                <w:kern w:val="0"/>
                <w:szCs w:val="24"/>
                <w:lang w:eastAsia="en-US"/>
              </w:rPr>
              <w:t>Summary statistics</w:t>
            </w:r>
          </w:p>
        </w:tc>
        <w:tc>
          <w:tcPr>
            <w:tcW w:w="0" w:type="auto"/>
            <w:vAlign w:val="center"/>
            <w:hideMark/>
          </w:tcPr>
          <w:p w14:paraId="4FDE94E6" w14:textId="77777777" w:rsidR="00F24CA2" w:rsidRPr="00F24CA2" w:rsidRDefault="00F24CA2" w:rsidP="00F24CA2">
            <w:pPr>
              <w:widowControl/>
              <w:spacing w:line="240" w:lineRule="auto"/>
              <w:jc w:val="center"/>
              <w:rPr>
                <w:rFonts w:eastAsia="Times New Roman"/>
                <w:b/>
                <w:bCs/>
                <w:kern w:val="0"/>
                <w:szCs w:val="24"/>
                <w:lang w:eastAsia="en-US"/>
              </w:rPr>
            </w:pPr>
            <w:r w:rsidRPr="00F24CA2">
              <w:rPr>
                <w:rFonts w:eastAsia="Times New Roman"/>
                <w:b/>
                <w:bCs/>
                <w:kern w:val="0"/>
                <w:szCs w:val="24"/>
                <w:lang w:eastAsia="en-US"/>
              </w:rPr>
              <w:t>Hong Kong</w:t>
            </w:r>
          </w:p>
        </w:tc>
        <w:tc>
          <w:tcPr>
            <w:tcW w:w="0" w:type="auto"/>
            <w:vAlign w:val="center"/>
            <w:hideMark/>
          </w:tcPr>
          <w:p w14:paraId="29030B94" w14:textId="77777777" w:rsidR="00F24CA2" w:rsidRPr="00F24CA2" w:rsidRDefault="00F24CA2" w:rsidP="00F24CA2">
            <w:pPr>
              <w:widowControl/>
              <w:spacing w:line="240" w:lineRule="auto"/>
              <w:jc w:val="center"/>
              <w:rPr>
                <w:rFonts w:eastAsia="Times New Roman"/>
                <w:b/>
                <w:bCs/>
                <w:kern w:val="0"/>
                <w:szCs w:val="24"/>
                <w:lang w:eastAsia="en-US"/>
              </w:rPr>
            </w:pPr>
          </w:p>
        </w:tc>
        <w:tc>
          <w:tcPr>
            <w:tcW w:w="0" w:type="auto"/>
            <w:vAlign w:val="center"/>
            <w:hideMark/>
          </w:tcPr>
          <w:p w14:paraId="74E0064D" w14:textId="77777777" w:rsidR="00F24CA2" w:rsidRPr="00F24CA2" w:rsidRDefault="00F24CA2" w:rsidP="00F24CA2">
            <w:pPr>
              <w:widowControl/>
              <w:spacing w:line="240" w:lineRule="auto"/>
              <w:jc w:val="center"/>
              <w:rPr>
                <w:rFonts w:eastAsia="Times New Roman"/>
                <w:b/>
                <w:bCs/>
                <w:kern w:val="0"/>
                <w:szCs w:val="24"/>
                <w:lang w:eastAsia="en-US"/>
              </w:rPr>
            </w:pPr>
            <w:r w:rsidRPr="00F24CA2">
              <w:rPr>
                <w:rFonts w:eastAsia="Times New Roman"/>
                <w:b/>
                <w:bCs/>
                <w:kern w:val="0"/>
                <w:szCs w:val="24"/>
                <w:lang w:eastAsia="en-US"/>
              </w:rPr>
              <w:t>Taiwan</w:t>
            </w:r>
          </w:p>
        </w:tc>
      </w:tr>
      <w:tr w:rsidR="00F24CA2" w:rsidRPr="00F24CA2" w14:paraId="2E874B81" w14:textId="77777777" w:rsidTr="00F24CA2">
        <w:tc>
          <w:tcPr>
            <w:tcW w:w="0" w:type="auto"/>
            <w:vAlign w:val="center"/>
            <w:hideMark/>
          </w:tcPr>
          <w:p w14:paraId="3A258429" w14:textId="77777777" w:rsidR="00F24CA2" w:rsidRPr="00F24CA2" w:rsidRDefault="00F24CA2" w:rsidP="00F24CA2">
            <w:pPr>
              <w:widowControl/>
              <w:spacing w:line="240" w:lineRule="auto"/>
              <w:jc w:val="center"/>
              <w:rPr>
                <w:rFonts w:eastAsia="Times New Roman"/>
                <w:b/>
                <w:bCs/>
                <w:kern w:val="0"/>
                <w:szCs w:val="24"/>
                <w:lang w:eastAsia="en-US"/>
              </w:rPr>
            </w:pPr>
          </w:p>
        </w:tc>
        <w:tc>
          <w:tcPr>
            <w:tcW w:w="0" w:type="auto"/>
            <w:vAlign w:val="center"/>
            <w:hideMark/>
          </w:tcPr>
          <w:p w14:paraId="4C4BF38F" w14:textId="77777777" w:rsidR="00F24CA2" w:rsidRPr="00F24CA2" w:rsidRDefault="00F24CA2" w:rsidP="00F24CA2">
            <w:pPr>
              <w:widowControl/>
              <w:spacing w:line="240" w:lineRule="auto"/>
              <w:jc w:val="left"/>
              <w:rPr>
                <w:rFonts w:eastAsia="Times New Roman"/>
                <w:kern w:val="0"/>
                <w:szCs w:val="24"/>
                <w:lang w:eastAsia="en-US"/>
              </w:rPr>
            </w:pPr>
            <w:r w:rsidRPr="00F24CA2">
              <w:rPr>
                <w:rFonts w:eastAsia="Times New Roman"/>
                <w:kern w:val="0"/>
                <w:szCs w:val="24"/>
                <w:lang w:eastAsia="en-US"/>
              </w:rPr>
              <w:t>APCHKVRS</w:t>
            </w:r>
          </w:p>
        </w:tc>
        <w:tc>
          <w:tcPr>
            <w:tcW w:w="0" w:type="auto"/>
            <w:vAlign w:val="center"/>
            <w:hideMark/>
          </w:tcPr>
          <w:p w14:paraId="18CB868D" w14:textId="77777777" w:rsidR="00F24CA2" w:rsidRPr="00F24CA2" w:rsidRDefault="00F24CA2" w:rsidP="00F24CA2">
            <w:pPr>
              <w:widowControl/>
              <w:spacing w:line="240" w:lineRule="auto"/>
              <w:jc w:val="left"/>
              <w:rPr>
                <w:rFonts w:eastAsia="Times New Roman"/>
                <w:kern w:val="0"/>
                <w:szCs w:val="24"/>
                <w:lang w:eastAsia="en-US"/>
              </w:rPr>
            </w:pPr>
            <w:r w:rsidRPr="00F24CA2">
              <w:rPr>
                <w:rFonts w:eastAsia="Times New Roman"/>
                <w:kern w:val="0"/>
                <w:szCs w:val="24"/>
                <w:lang w:eastAsia="en-US"/>
              </w:rPr>
              <w:t>APCHKCPI</w:t>
            </w:r>
          </w:p>
        </w:tc>
        <w:tc>
          <w:tcPr>
            <w:tcW w:w="0" w:type="auto"/>
            <w:vAlign w:val="center"/>
            <w:hideMark/>
          </w:tcPr>
          <w:p w14:paraId="52F57B48" w14:textId="77777777" w:rsidR="00F24CA2" w:rsidRPr="00F24CA2" w:rsidRDefault="00F24CA2" w:rsidP="00F24CA2">
            <w:pPr>
              <w:widowControl/>
              <w:spacing w:line="240" w:lineRule="auto"/>
              <w:jc w:val="left"/>
              <w:rPr>
                <w:rFonts w:eastAsia="Times New Roman"/>
                <w:kern w:val="0"/>
                <w:szCs w:val="24"/>
                <w:lang w:eastAsia="en-US"/>
              </w:rPr>
            </w:pPr>
            <w:r w:rsidRPr="00F24CA2">
              <w:rPr>
                <w:rFonts w:eastAsia="Times New Roman"/>
                <w:kern w:val="0"/>
                <w:szCs w:val="24"/>
                <w:lang w:eastAsia="en-US"/>
              </w:rPr>
              <w:t>APCTWCPI</w:t>
            </w:r>
          </w:p>
        </w:tc>
      </w:tr>
      <w:tr w:rsidR="00F24CA2" w:rsidRPr="00F24CA2" w14:paraId="31F6EC70" w14:textId="77777777" w:rsidTr="00F24CA2">
        <w:tc>
          <w:tcPr>
            <w:tcW w:w="0" w:type="auto"/>
            <w:vAlign w:val="center"/>
            <w:hideMark/>
          </w:tcPr>
          <w:p w14:paraId="17685F3E" w14:textId="77777777" w:rsidR="00F24CA2" w:rsidRPr="00F24CA2" w:rsidRDefault="00F24CA2" w:rsidP="00F24CA2">
            <w:pPr>
              <w:widowControl/>
              <w:spacing w:line="240" w:lineRule="auto"/>
              <w:jc w:val="left"/>
              <w:rPr>
                <w:rFonts w:eastAsia="Times New Roman"/>
                <w:kern w:val="0"/>
                <w:szCs w:val="24"/>
                <w:lang w:eastAsia="en-US"/>
              </w:rPr>
            </w:pPr>
            <w:r w:rsidRPr="00F24CA2">
              <w:rPr>
                <w:rFonts w:eastAsia="Times New Roman"/>
                <w:kern w:val="0"/>
                <w:szCs w:val="24"/>
                <w:lang w:eastAsia="en-US"/>
              </w:rPr>
              <w:t>Mean growth rate (%)</w:t>
            </w:r>
          </w:p>
        </w:tc>
        <w:tc>
          <w:tcPr>
            <w:tcW w:w="0" w:type="auto"/>
            <w:vAlign w:val="center"/>
            <w:hideMark/>
          </w:tcPr>
          <w:p w14:paraId="1A1A9D06" w14:textId="77777777" w:rsidR="00F24CA2" w:rsidRPr="00F24CA2" w:rsidRDefault="00F24CA2" w:rsidP="00F24CA2">
            <w:pPr>
              <w:widowControl/>
              <w:spacing w:line="240" w:lineRule="auto"/>
              <w:jc w:val="left"/>
              <w:rPr>
                <w:rFonts w:eastAsia="Times New Roman"/>
                <w:kern w:val="0"/>
                <w:szCs w:val="24"/>
                <w:lang w:eastAsia="en-US"/>
              </w:rPr>
            </w:pPr>
            <w:r w:rsidRPr="00F24CA2">
              <w:rPr>
                <w:rFonts w:eastAsia="Times New Roman"/>
                <w:kern w:val="0"/>
                <w:szCs w:val="24"/>
                <w:lang w:eastAsia="en-US"/>
              </w:rPr>
              <w:t>-7.3</w:t>
            </w:r>
          </w:p>
        </w:tc>
        <w:tc>
          <w:tcPr>
            <w:tcW w:w="0" w:type="auto"/>
            <w:vAlign w:val="center"/>
            <w:hideMark/>
          </w:tcPr>
          <w:p w14:paraId="0A06BE4F" w14:textId="77777777" w:rsidR="00F24CA2" w:rsidRPr="00F24CA2" w:rsidRDefault="00F24CA2" w:rsidP="00F24CA2">
            <w:pPr>
              <w:widowControl/>
              <w:spacing w:line="240" w:lineRule="auto"/>
              <w:jc w:val="left"/>
              <w:rPr>
                <w:rFonts w:eastAsia="Times New Roman"/>
                <w:kern w:val="0"/>
                <w:szCs w:val="24"/>
                <w:lang w:eastAsia="en-US"/>
              </w:rPr>
            </w:pPr>
            <w:r w:rsidRPr="00F24CA2">
              <w:rPr>
                <w:rFonts w:eastAsia="Times New Roman"/>
                <w:kern w:val="0"/>
                <w:szCs w:val="24"/>
                <w:lang w:eastAsia="en-US"/>
              </w:rPr>
              <w:t>1.7</w:t>
            </w:r>
          </w:p>
        </w:tc>
        <w:tc>
          <w:tcPr>
            <w:tcW w:w="0" w:type="auto"/>
            <w:vAlign w:val="center"/>
            <w:hideMark/>
          </w:tcPr>
          <w:p w14:paraId="3FBF88FB" w14:textId="77777777" w:rsidR="00F24CA2" w:rsidRPr="00F24CA2" w:rsidRDefault="00F24CA2" w:rsidP="00F24CA2">
            <w:pPr>
              <w:widowControl/>
              <w:spacing w:line="240" w:lineRule="auto"/>
              <w:jc w:val="left"/>
              <w:rPr>
                <w:rFonts w:eastAsia="Times New Roman"/>
                <w:kern w:val="0"/>
                <w:szCs w:val="24"/>
                <w:lang w:eastAsia="en-US"/>
              </w:rPr>
            </w:pPr>
            <w:r w:rsidRPr="00F24CA2">
              <w:rPr>
                <w:rFonts w:eastAsia="Times New Roman"/>
                <w:kern w:val="0"/>
                <w:szCs w:val="24"/>
                <w:lang w:eastAsia="en-US"/>
              </w:rPr>
              <w:t>1.5</w:t>
            </w:r>
          </w:p>
        </w:tc>
      </w:tr>
      <w:tr w:rsidR="00F24CA2" w:rsidRPr="00F24CA2" w14:paraId="26487DAF" w14:textId="77777777" w:rsidTr="00F24CA2">
        <w:tc>
          <w:tcPr>
            <w:tcW w:w="0" w:type="auto"/>
            <w:vAlign w:val="center"/>
            <w:hideMark/>
          </w:tcPr>
          <w:p w14:paraId="68D943B3" w14:textId="77777777" w:rsidR="00F24CA2" w:rsidRPr="00F24CA2" w:rsidRDefault="00F24CA2" w:rsidP="00F24CA2">
            <w:pPr>
              <w:widowControl/>
              <w:spacing w:line="240" w:lineRule="auto"/>
              <w:jc w:val="left"/>
              <w:rPr>
                <w:rFonts w:eastAsia="Times New Roman"/>
                <w:kern w:val="0"/>
                <w:szCs w:val="24"/>
                <w:lang w:eastAsia="en-US"/>
              </w:rPr>
            </w:pPr>
            <w:r w:rsidRPr="00F24CA2">
              <w:rPr>
                <w:rFonts w:eastAsia="Times New Roman"/>
                <w:kern w:val="0"/>
                <w:szCs w:val="24"/>
                <w:lang w:eastAsia="en-US"/>
              </w:rPr>
              <w:t>Standard deviation</w:t>
            </w:r>
          </w:p>
        </w:tc>
        <w:tc>
          <w:tcPr>
            <w:tcW w:w="0" w:type="auto"/>
            <w:vAlign w:val="center"/>
            <w:hideMark/>
          </w:tcPr>
          <w:p w14:paraId="72072103" w14:textId="77777777" w:rsidR="00F24CA2" w:rsidRPr="00F24CA2" w:rsidRDefault="00F24CA2" w:rsidP="00F24CA2">
            <w:pPr>
              <w:widowControl/>
              <w:spacing w:line="240" w:lineRule="auto"/>
              <w:jc w:val="left"/>
              <w:rPr>
                <w:rFonts w:eastAsia="Times New Roman"/>
                <w:kern w:val="0"/>
                <w:szCs w:val="24"/>
                <w:lang w:eastAsia="en-US"/>
              </w:rPr>
            </w:pPr>
            <w:r w:rsidRPr="00F24CA2">
              <w:rPr>
                <w:rFonts w:eastAsia="Times New Roman"/>
                <w:kern w:val="0"/>
                <w:szCs w:val="24"/>
                <w:lang w:eastAsia="en-US"/>
              </w:rPr>
              <w:t>13.0</w:t>
            </w:r>
          </w:p>
        </w:tc>
        <w:tc>
          <w:tcPr>
            <w:tcW w:w="0" w:type="auto"/>
            <w:vAlign w:val="center"/>
            <w:hideMark/>
          </w:tcPr>
          <w:p w14:paraId="168A5B04" w14:textId="77777777" w:rsidR="00F24CA2" w:rsidRPr="00F24CA2" w:rsidRDefault="00F24CA2" w:rsidP="00F24CA2">
            <w:pPr>
              <w:widowControl/>
              <w:spacing w:line="240" w:lineRule="auto"/>
              <w:jc w:val="left"/>
              <w:rPr>
                <w:rFonts w:eastAsia="Times New Roman"/>
                <w:kern w:val="0"/>
                <w:szCs w:val="24"/>
                <w:lang w:eastAsia="en-US"/>
              </w:rPr>
            </w:pPr>
            <w:r w:rsidRPr="00F24CA2">
              <w:rPr>
                <w:rFonts w:eastAsia="Times New Roman"/>
                <w:kern w:val="0"/>
                <w:szCs w:val="24"/>
                <w:lang w:eastAsia="en-US"/>
              </w:rPr>
              <w:t>1.5</w:t>
            </w:r>
          </w:p>
        </w:tc>
        <w:tc>
          <w:tcPr>
            <w:tcW w:w="0" w:type="auto"/>
            <w:vAlign w:val="center"/>
            <w:hideMark/>
          </w:tcPr>
          <w:p w14:paraId="54D263B8" w14:textId="77777777" w:rsidR="00F24CA2" w:rsidRPr="00F24CA2" w:rsidRDefault="00F24CA2" w:rsidP="00F24CA2">
            <w:pPr>
              <w:widowControl/>
              <w:spacing w:line="240" w:lineRule="auto"/>
              <w:jc w:val="left"/>
              <w:rPr>
                <w:rFonts w:eastAsia="Times New Roman"/>
                <w:kern w:val="0"/>
                <w:szCs w:val="24"/>
                <w:lang w:eastAsia="en-US"/>
              </w:rPr>
            </w:pPr>
            <w:r w:rsidRPr="00F24CA2">
              <w:rPr>
                <w:rFonts w:eastAsia="Times New Roman"/>
                <w:kern w:val="0"/>
                <w:szCs w:val="24"/>
                <w:lang w:eastAsia="en-US"/>
              </w:rPr>
              <w:t>1.2</w:t>
            </w:r>
          </w:p>
        </w:tc>
      </w:tr>
      <w:tr w:rsidR="00F24CA2" w:rsidRPr="00F24CA2" w14:paraId="4A2372B3" w14:textId="77777777" w:rsidTr="00F24CA2">
        <w:tc>
          <w:tcPr>
            <w:tcW w:w="0" w:type="auto"/>
            <w:vAlign w:val="center"/>
            <w:hideMark/>
          </w:tcPr>
          <w:p w14:paraId="460A755F" w14:textId="77777777" w:rsidR="00F24CA2" w:rsidRPr="00F24CA2" w:rsidRDefault="00F24CA2" w:rsidP="00F24CA2">
            <w:pPr>
              <w:widowControl/>
              <w:spacing w:line="240" w:lineRule="auto"/>
              <w:jc w:val="left"/>
              <w:rPr>
                <w:rFonts w:eastAsia="Times New Roman"/>
                <w:kern w:val="0"/>
                <w:szCs w:val="24"/>
                <w:lang w:eastAsia="en-US"/>
              </w:rPr>
            </w:pPr>
            <w:r w:rsidRPr="00F24CA2">
              <w:rPr>
                <w:rFonts w:eastAsia="Times New Roman"/>
                <w:kern w:val="0"/>
                <w:szCs w:val="24"/>
                <w:lang w:eastAsia="en-US"/>
              </w:rPr>
              <w:t>Range (%)</w:t>
            </w:r>
          </w:p>
        </w:tc>
        <w:tc>
          <w:tcPr>
            <w:tcW w:w="0" w:type="auto"/>
            <w:vAlign w:val="center"/>
            <w:hideMark/>
          </w:tcPr>
          <w:p w14:paraId="1A458C57" w14:textId="77777777" w:rsidR="00F24CA2" w:rsidRPr="00F24CA2" w:rsidRDefault="00F24CA2" w:rsidP="00F24CA2">
            <w:pPr>
              <w:widowControl/>
              <w:spacing w:line="240" w:lineRule="auto"/>
              <w:jc w:val="left"/>
              <w:rPr>
                <w:rFonts w:eastAsia="Times New Roman"/>
                <w:kern w:val="0"/>
                <w:szCs w:val="24"/>
                <w:lang w:eastAsia="en-US"/>
              </w:rPr>
            </w:pPr>
            <w:r w:rsidRPr="00F24CA2">
              <w:rPr>
                <w:rFonts w:eastAsia="Times New Roman"/>
                <w:kern w:val="0"/>
                <w:szCs w:val="24"/>
                <w:lang w:eastAsia="en-US"/>
              </w:rPr>
              <w:t>34.9</w:t>
            </w:r>
          </w:p>
        </w:tc>
        <w:tc>
          <w:tcPr>
            <w:tcW w:w="0" w:type="auto"/>
            <w:vAlign w:val="center"/>
            <w:hideMark/>
          </w:tcPr>
          <w:p w14:paraId="79259C60" w14:textId="77777777" w:rsidR="00F24CA2" w:rsidRPr="00F24CA2" w:rsidRDefault="00F24CA2" w:rsidP="00F24CA2">
            <w:pPr>
              <w:widowControl/>
              <w:spacing w:line="240" w:lineRule="auto"/>
              <w:jc w:val="left"/>
              <w:rPr>
                <w:rFonts w:eastAsia="Times New Roman"/>
                <w:kern w:val="0"/>
                <w:szCs w:val="24"/>
                <w:lang w:eastAsia="en-US"/>
              </w:rPr>
            </w:pPr>
            <w:r w:rsidRPr="00F24CA2">
              <w:rPr>
                <w:rFonts w:eastAsia="Times New Roman"/>
                <w:kern w:val="0"/>
                <w:szCs w:val="24"/>
                <w:lang w:eastAsia="en-US"/>
              </w:rPr>
              <w:t>3.8</w:t>
            </w:r>
          </w:p>
        </w:tc>
        <w:tc>
          <w:tcPr>
            <w:tcW w:w="0" w:type="auto"/>
            <w:vAlign w:val="center"/>
            <w:hideMark/>
          </w:tcPr>
          <w:p w14:paraId="32ED069D" w14:textId="77777777" w:rsidR="00F24CA2" w:rsidRPr="00F24CA2" w:rsidRDefault="00F24CA2" w:rsidP="00F24CA2">
            <w:pPr>
              <w:widowControl/>
              <w:spacing w:line="240" w:lineRule="auto"/>
              <w:jc w:val="left"/>
              <w:rPr>
                <w:rFonts w:eastAsia="Times New Roman"/>
                <w:kern w:val="0"/>
                <w:szCs w:val="24"/>
                <w:lang w:eastAsia="en-US"/>
              </w:rPr>
            </w:pPr>
            <w:r w:rsidRPr="00F24CA2">
              <w:rPr>
                <w:rFonts w:eastAsia="Times New Roman"/>
                <w:kern w:val="0"/>
                <w:szCs w:val="24"/>
                <w:lang w:eastAsia="en-US"/>
              </w:rPr>
              <w:t>2.7</w:t>
            </w:r>
          </w:p>
        </w:tc>
      </w:tr>
      <w:tr w:rsidR="00F24CA2" w:rsidRPr="00F24CA2" w14:paraId="434175A2" w14:textId="77777777" w:rsidTr="00F24CA2">
        <w:tc>
          <w:tcPr>
            <w:tcW w:w="0" w:type="auto"/>
            <w:vAlign w:val="center"/>
            <w:hideMark/>
          </w:tcPr>
          <w:p w14:paraId="4CF429AC" w14:textId="77777777" w:rsidR="00F24CA2" w:rsidRPr="00F24CA2" w:rsidRDefault="00F24CA2" w:rsidP="00F24CA2">
            <w:pPr>
              <w:widowControl/>
              <w:spacing w:line="240" w:lineRule="auto"/>
              <w:jc w:val="left"/>
              <w:rPr>
                <w:rFonts w:eastAsia="Times New Roman"/>
                <w:kern w:val="0"/>
                <w:szCs w:val="24"/>
                <w:lang w:eastAsia="en-US"/>
              </w:rPr>
            </w:pPr>
            <w:r w:rsidRPr="00F24CA2">
              <w:rPr>
                <w:rFonts w:eastAsia="Times New Roman"/>
                <w:kern w:val="0"/>
                <w:szCs w:val="24"/>
                <w:lang w:eastAsia="en-US"/>
              </w:rPr>
              <w:t>Maximum (%)</w:t>
            </w:r>
          </w:p>
        </w:tc>
        <w:tc>
          <w:tcPr>
            <w:tcW w:w="0" w:type="auto"/>
            <w:vAlign w:val="center"/>
            <w:hideMark/>
          </w:tcPr>
          <w:p w14:paraId="4DEF93DC" w14:textId="77777777" w:rsidR="00F24CA2" w:rsidRPr="00F24CA2" w:rsidRDefault="00F24CA2" w:rsidP="00F24CA2">
            <w:pPr>
              <w:widowControl/>
              <w:spacing w:line="240" w:lineRule="auto"/>
              <w:jc w:val="left"/>
              <w:rPr>
                <w:rFonts w:eastAsia="Times New Roman"/>
                <w:kern w:val="0"/>
                <w:szCs w:val="24"/>
                <w:lang w:eastAsia="en-US"/>
              </w:rPr>
            </w:pPr>
            <w:r w:rsidRPr="00F24CA2">
              <w:rPr>
                <w:rFonts w:eastAsia="Times New Roman"/>
                <w:kern w:val="0"/>
                <w:szCs w:val="24"/>
                <w:lang w:eastAsia="en-US"/>
              </w:rPr>
              <w:t>12.4</w:t>
            </w:r>
          </w:p>
        </w:tc>
        <w:tc>
          <w:tcPr>
            <w:tcW w:w="0" w:type="auto"/>
            <w:vAlign w:val="center"/>
            <w:hideMark/>
          </w:tcPr>
          <w:p w14:paraId="7B0839BB" w14:textId="77777777" w:rsidR="00F24CA2" w:rsidRPr="00F24CA2" w:rsidRDefault="00F24CA2" w:rsidP="00F24CA2">
            <w:pPr>
              <w:widowControl/>
              <w:spacing w:line="240" w:lineRule="auto"/>
              <w:jc w:val="left"/>
              <w:rPr>
                <w:rFonts w:eastAsia="Times New Roman"/>
                <w:kern w:val="0"/>
                <w:szCs w:val="24"/>
                <w:lang w:eastAsia="en-US"/>
              </w:rPr>
            </w:pPr>
            <w:r w:rsidRPr="00F24CA2">
              <w:rPr>
                <w:rFonts w:eastAsia="Times New Roman"/>
                <w:kern w:val="0"/>
                <w:szCs w:val="24"/>
                <w:lang w:eastAsia="en-US"/>
              </w:rPr>
              <w:t>2.9</w:t>
            </w:r>
          </w:p>
        </w:tc>
        <w:tc>
          <w:tcPr>
            <w:tcW w:w="0" w:type="auto"/>
            <w:vAlign w:val="center"/>
            <w:hideMark/>
          </w:tcPr>
          <w:p w14:paraId="059BC0D6" w14:textId="77777777" w:rsidR="00F24CA2" w:rsidRPr="00F24CA2" w:rsidRDefault="00F24CA2" w:rsidP="00F24CA2">
            <w:pPr>
              <w:widowControl/>
              <w:spacing w:line="240" w:lineRule="auto"/>
              <w:jc w:val="left"/>
              <w:rPr>
                <w:rFonts w:eastAsia="Times New Roman"/>
                <w:kern w:val="0"/>
                <w:szCs w:val="24"/>
                <w:lang w:eastAsia="en-US"/>
              </w:rPr>
            </w:pPr>
            <w:r w:rsidRPr="00F24CA2">
              <w:rPr>
                <w:rFonts w:eastAsia="Times New Roman"/>
                <w:kern w:val="0"/>
                <w:szCs w:val="24"/>
                <w:lang w:eastAsia="en-US"/>
              </w:rPr>
              <w:t>2.9</w:t>
            </w:r>
          </w:p>
        </w:tc>
      </w:tr>
      <w:tr w:rsidR="00F24CA2" w:rsidRPr="00F24CA2" w14:paraId="2FD30D4F" w14:textId="77777777" w:rsidTr="00F24CA2">
        <w:tc>
          <w:tcPr>
            <w:tcW w:w="0" w:type="auto"/>
            <w:vAlign w:val="center"/>
            <w:hideMark/>
          </w:tcPr>
          <w:p w14:paraId="414AA1EA" w14:textId="77777777" w:rsidR="00F24CA2" w:rsidRPr="00F24CA2" w:rsidRDefault="00F24CA2" w:rsidP="00F24CA2">
            <w:pPr>
              <w:widowControl/>
              <w:spacing w:line="240" w:lineRule="auto"/>
              <w:jc w:val="left"/>
              <w:rPr>
                <w:rFonts w:eastAsia="Times New Roman"/>
                <w:kern w:val="0"/>
                <w:szCs w:val="24"/>
                <w:lang w:eastAsia="en-US"/>
              </w:rPr>
            </w:pPr>
            <w:r w:rsidRPr="00F24CA2">
              <w:rPr>
                <w:rFonts w:eastAsia="Times New Roman"/>
                <w:kern w:val="0"/>
                <w:szCs w:val="24"/>
                <w:lang w:eastAsia="en-US"/>
              </w:rPr>
              <w:t>Minimum (%)</w:t>
            </w:r>
          </w:p>
        </w:tc>
        <w:tc>
          <w:tcPr>
            <w:tcW w:w="0" w:type="auto"/>
            <w:vAlign w:val="center"/>
            <w:hideMark/>
          </w:tcPr>
          <w:p w14:paraId="67327495" w14:textId="77777777" w:rsidR="00F24CA2" w:rsidRPr="00F24CA2" w:rsidRDefault="00F24CA2" w:rsidP="00F24CA2">
            <w:pPr>
              <w:widowControl/>
              <w:spacing w:line="240" w:lineRule="auto"/>
              <w:jc w:val="left"/>
              <w:rPr>
                <w:rFonts w:eastAsia="Times New Roman"/>
                <w:kern w:val="0"/>
                <w:szCs w:val="24"/>
                <w:lang w:eastAsia="en-US"/>
              </w:rPr>
            </w:pPr>
            <w:r w:rsidRPr="00F24CA2">
              <w:rPr>
                <w:rFonts w:eastAsia="Times New Roman"/>
                <w:kern w:val="0"/>
                <w:szCs w:val="24"/>
                <w:lang w:eastAsia="en-US"/>
              </w:rPr>
              <w:t>-22.5</w:t>
            </w:r>
          </w:p>
        </w:tc>
        <w:tc>
          <w:tcPr>
            <w:tcW w:w="0" w:type="auto"/>
            <w:vAlign w:val="center"/>
            <w:hideMark/>
          </w:tcPr>
          <w:p w14:paraId="15AF6B85" w14:textId="77777777" w:rsidR="00F24CA2" w:rsidRPr="00F24CA2" w:rsidRDefault="00F24CA2" w:rsidP="00F24CA2">
            <w:pPr>
              <w:widowControl/>
              <w:spacing w:line="240" w:lineRule="auto"/>
              <w:jc w:val="left"/>
              <w:rPr>
                <w:rFonts w:eastAsia="Times New Roman"/>
                <w:kern w:val="0"/>
                <w:szCs w:val="24"/>
                <w:lang w:eastAsia="en-US"/>
              </w:rPr>
            </w:pPr>
            <w:r w:rsidRPr="00F24CA2">
              <w:rPr>
                <w:rFonts w:eastAsia="Times New Roman"/>
                <w:kern w:val="0"/>
                <w:szCs w:val="24"/>
                <w:lang w:eastAsia="en-US"/>
              </w:rPr>
              <w:t>-0.9</w:t>
            </w:r>
          </w:p>
        </w:tc>
        <w:tc>
          <w:tcPr>
            <w:tcW w:w="0" w:type="auto"/>
            <w:vAlign w:val="center"/>
            <w:hideMark/>
          </w:tcPr>
          <w:p w14:paraId="05BC9CAB" w14:textId="77777777" w:rsidR="00F24CA2" w:rsidRPr="00F24CA2" w:rsidRDefault="00F24CA2" w:rsidP="00F24CA2">
            <w:pPr>
              <w:widowControl/>
              <w:spacing w:line="240" w:lineRule="auto"/>
              <w:jc w:val="left"/>
              <w:rPr>
                <w:rFonts w:eastAsia="Times New Roman"/>
                <w:kern w:val="0"/>
                <w:szCs w:val="24"/>
                <w:lang w:eastAsia="en-US"/>
              </w:rPr>
            </w:pPr>
            <w:r w:rsidRPr="00F24CA2">
              <w:rPr>
                <w:rFonts w:eastAsia="Times New Roman"/>
                <w:kern w:val="0"/>
                <w:szCs w:val="24"/>
                <w:lang w:eastAsia="en-US"/>
              </w:rPr>
              <w:t>0.6</w:t>
            </w:r>
          </w:p>
        </w:tc>
      </w:tr>
    </w:tbl>
    <w:p w14:paraId="0B3DD658" w14:textId="77777777" w:rsidR="00F24CA2" w:rsidRDefault="00F24CA2" w:rsidP="007E4C2A">
      <w:pPr>
        <w:rPr>
          <w:lang w:eastAsia="en-US"/>
        </w:rPr>
      </w:pPr>
    </w:p>
    <w:p w14:paraId="6B907542" w14:textId="4F5A998E" w:rsidR="00F24CA2" w:rsidRDefault="00F24CA2" w:rsidP="00EA6106">
      <w:r>
        <w:t xml:space="preserve">Between 2006 and 2023, Hong Kong's retail sales growth, detailed in Table 4, averaged 3.5%, outpacing the consumer inflation average of 2.6%. This gap suggests that nominal sales climbed faster than prices over those years, possibly tied to spells of strong consumer interest. Even so, a standard deviation of 11.7 reveals big swings in the yearly percent shifts of retail sales values, APCHKVRS. The range stretches from a low of 22.5% below zero in 2020 to a high of 21.6% in 2011, covering a full spread of 44.1%. Such broad ups and downs mark a market that jolts between sharp peaks and steep drops. For instance, the 2011 peak aligns with a global tech surge, where demand for electronic devices like smartphones and tablets likely boosted AB's sales in this category, as evidenced by the HK$39,938 million sales value that year (Table 1). Conversely, the 22.5% drop in 2020, reducing sales to HK$35,939 million, reflects the severe impact of the COVID-19 pandemic, which curtailed </w:t>
      </w:r>
      <w:r>
        <w:lastRenderedPageBreak/>
        <w:t xml:space="preserve">tourism and in-store shopping—key drivers for AB's electronics stability. Volatility like this creates a tough hurdle for AB Stores Co Ltd. when it comes to holding inventory and pricing steady in the electronics segment. Sharp sales jump demand fast supply chain tweaks, while big dips leave excess </w:t>
      </w:r>
      <w:proofErr w:type="gramStart"/>
      <w:r>
        <w:t>stock piling</w:t>
      </w:r>
      <w:proofErr w:type="gramEnd"/>
      <w:r>
        <w:t xml:space="preserve"> up as a real risk.</w:t>
      </w:r>
    </w:p>
    <w:p w14:paraId="27F615D5" w14:textId="0DC48CBC" w:rsidR="00874800" w:rsidRDefault="00874800" w:rsidP="00EA6106">
      <w:pPr>
        <w:rPr>
          <w:kern w:val="0"/>
          <w:szCs w:val="24"/>
        </w:rPr>
      </w:pPr>
      <w:r>
        <w:t xml:space="preserve">Table 4 depicts Taiwan's average consumer inflation at 1.4%, which falls within the -0.9% and 2.9% range, with a standard deviation of only 0.9. The statistics paint a positive picture, highlighting steadiness and economically resilient conditions in Taiwan. A significant aspect to consider is that the price shifts appear to be predictable and under control, an economic factor that should attract any investor willing to enter the market segment. In contrast, Hong Kong's inflation goes beyond 6.6%, with a standard deviation of 1.5%. As such, this demonstrates that global price changes are more likely to cause sharp fluctuations in demand. Based on the comparison, it is evident that Taiwan is a much better destination for the electronics segment, an industry that thrives in consistent demand and solid supply lines. </w:t>
      </w:r>
    </w:p>
    <w:p w14:paraId="57BFBF19" w14:textId="3B3D4C41" w:rsidR="00511D68" w:rsidRPr="00A03399" w:rsidRDefault="00320E26" w:rsidP="00EA6106">
      <w:pPr>
        <w:pStyle w:val="Heading2"/>
      </w:pPr>
      <w:bookmarkStart w:id="18" w:name="_Toc192522729"/>
      <w:r w:rsidRPr="00A03399">
        <w:rPr>
          <w:rFonts w:hint="eastAsia"/>
        </w:rPr>
        <w:t>3</w:t>
      </w:r>
      <w:r w:rsidRPr="00A03399">
        <w:t xml:space="preserve">.3 </w:t>
      </w:r>
      <w:r w:rsidR="00617F7E" w:rsidRPr="00A03399">
        <w:t>S</w:t>
      </w:r>
      <w:r w:rsidRPr="00A03399">
        <w:t>ummary</w:t>
      </w:r>
      <w:r w:rsidR="00062F07">
        <w:t xml:space="preserve"> of F</w:t>
      </w:r>
      <w:r w:rsidR="004F7F82" w:rsidRPr="00A03399">
        <w:t>inding</w:t>
      </w:r>
      <w:r w:rsidR="00F72804" w:rsidRPr="00A03399">
        <w:t>s</w:t>
      </w:r>
      <w:bookmarkEnd w:id="18"/>
    </w:p>
    <w:p w14:paraId="0EC4FA2D" w14:textId="561A56D6" w:rsidR="00F24CA2" w:rsidRPr="00F24CA2" w:rsidRDefault="00F24CA2" w:rsidP="00EA6106">
      <w:r w:rsidRPr="00874800">
        <w:t>The intricate relationship between global price fluctuations, as indicated by consumer inflation, and domestic retail sales in Hong Kong and Taiwan over the period from 2006 to 2023 has been elucidated through this analysis, offering substantial implications for the strategic planning of AB Stores (Hong Kong) Co Ltd., particularly within its electronic device segment</w:t>
      </w:r>
      <w:r w:rsidRPr="00F24CA2">
        <w:t xml:space="preserve">. The findings directly address the research objectives, namely, establishing an empirical relationship between inflation and retail sales in Hong Kong, comparing these dynamics with Taiwan, and identifying investment opportunities for </w:t>
      </w:r>
      <w:r>
        <w:t>AB</w:t>
      </w:r>
      <w:r w:rsidRPr="00F24CA2">
        <w:t>'s global expansion.</w:t>
      </w:r>
    </w:p>
    <w:p w14:paraId="61958C4B" w14:textId="1492C6C8" w:rsidR="00F24CA2" w:rsidRPr="00F24CA2" w:rsidRDefault="00F24CA2" w:rsidP="00EA6106">
      <w:r w:rsidRPr="00F24CA2">
        <w:t xml:space="preserve">The first key finding, derived from Section 3.1 and reinforced by the correlation analysis in Section </w:t>
      </w:r>
      <w:r w:rsidRPr="00F24CA2">
        <w:lastRenderedPageBreak/>
        <w:t xml:space="preserve">3.2.1, confirms a moderate positive relationship between Hong Kong's consumer inflation (APCHKCPI) and retail sales growth (APCHKVRS) over the entire period, with a Pearson correlation of 0.36 (Table 2). This suggests that rising prices, such as those driven by global tech component costs, partially fuel nominal sales increases, as seen in the 2011 peak of 21.6% growth (Table 1). However, this link weakens significantly in the 2019–2023 period, shifting to a negative correlation of -0.37 (Table 3), where severe sales declines (e.g., -22.5% in 2020) outpace inflation's moderating influence (-0.9% in 2020). This volatility, quantified by a standard deviation of 11.7 over 2006–2023 and 13.0 in 2019–2023 (Tables 4 and 5), reflects Hong Kong's vulnerability to external shocks—social unrest, the pandemic, and competition from Shenzhen—rather than a consistent price-driven trend. For </w:t>
      </w:r>
      <w:r>
        <w:t>AB</w:t>
      </w:r>
      <w:r w:rsidRPr="00F24CA2">
        <w:t>'s electronics, this indicates a market where global price pressures can amplify sales during booms but fail to shield against demand-side collapses, challenging operational stability.</w:t>
      </w:r>
    </w:p>
    <w:p w14:paraId="15EE3D4B" w14:textId="2D383A0F" w:rsidR="00F24CA2" w:rsidRPr="00701BFB" w:rsidRDefault="00F24CA2" w:rsidP="006C7D89">
      <w:r w:rsidRPr="00F24CA2">
        <w:t xml:space="preserve">Comparatively, Taiwan emerges as a stable counterpoint, fulfilling the second objective. Section 3.2.2 highlights its inflation, averaging 1.4% with a tight range of -0.9% to 2.9% and a standard deviation of 0.9 over 2006–2023 (Table 4), maintaining consistency at 1.5% and 1.2 in 2019–2023 (Table 5). Although direct retail sales data for Taiwan is not analyzed here, its inflation's weak correlation with Hong Kong's sales (0.18 in Table 2, -0.12 in Table 3) and low volatility suggest a resilient retail environment less prone to the dramatic swings observed in Hong Kong (range 44.1% vs. 3.6%). This stability aligns with economic theory, where moderate inflation supports steady consumer purchasing power, a critical factor for electronics demand. </w:t>
      </w:r>
      <w:r w:rsidR="00874800">
        <w:t xml:space="preserve">In Hong Kong, inflation and sales have a complex relationship that depends on the market conditions. During periods of market calmness, </w:t>
      </w:r>
      <w:proofErr w:type="gramStart"/>
      <w:r w:rsidR="00874800">
        <w:t>inflation</w:t>
      </w:r>
      <w:r w:rsidR="008C1B45">
        <w:t>,</w:t>
      </w:r>
      <w:proofErr w:type="gramEnd"/>
      <w:r w:rsidR="00874800">
        <w:t xml:space="preserve"> and sales are largely intertwined. However, the two variables drift apart during market turbulence. In Taiwan, the case is different, as witnessed by a weak connection between inflation and sales. In essence, this means that in Taiwan, local demand is a more powerful variable than the shifting prices. </w:t>
      </w:r>
      <w:r w:rsidR="00874800">
        <w:lastRenderedPageBreak/>
        <w:t xml:space="preserve">As such, based on this evaluation, Taiwan is a much better destination spot to host AB's expansion as it will shield it better from external shifts. </w:t>
      </w:r>
    </w:p>
    <w:p w14:paraId="13DE5083" w14:textId="0A5FBD4F" w:rsidR="00FF45EB" w:rsidRDefault="00FF45EB" w:rsidP="00F24CA2">
      <w:pPr>
        <w:pStyle w:val="Heading1"/>
        <w:contextualSpacing/>
      </w:pPr>
      <w:bookmarkStart w:id="19" w:name="_Toc192522730"/>
      <w:r w:rsidRPr="00C65A3F">
        <w:t>4</w:t>
      </w:r>
      <w:r w:rsidR="00B751E7">
        <w:t>.0</w:t>
      </w:r>
      <w:r w:rsidR="00F24CA2">
        <w:t xml:space="preserve"> </w:t>
      </w:r>
      <w:r w:rsidR="00B751E7">
        <w:t>Conclusion and R</w:t>
      </w:r>
      <w:r w:rsidR="001E46DB" w:rsidRPr="001E46DB">
        <w:t>ecommendations</w:t>
      </w:r>
      <w:bookmarkEnd w:id="19"/>
      <w:r w:rsidR="001B1DF5" w:rsidRPr="00C65A3F">
        <w:t xml:space="preserve"> </w:t>
      </w:r>
    </w:p>
    <w:p w14:paraId="4AA91A6E" w14:textId="596F7D06" w:rsidR="00F24CA2" w:rsidRPr="006C7D89" w:rsidRDefault="00874800" w:rsidP="006C7D89">
      <w:pPr>
        <w:rPr>
          <w:lang w:eastAsia="en-US"/>
        </w:rPr>
      </w:pPr>
      <w:r>
        <w:rPr>
          <w:lang w:eastAsia="en-US"/>
        </w:rPr>
        <w:t>The section offers a broad summary and major takeaways from the detailed investigation into how glo</w:t>
      </w:r>
      <w:r w:rsidR="008C1B45">
        <w:rPr>
          <w:lang w:eastAsia="en-US"/>
        </w:rPr>
        <w:t>b</w:t>
      </w:r>
      <w:r>
        <w:rPr>
          <w:lang w:eastAsia="en-US"/>
        </w:rPr>
        <w:t xml:space="preserve">al price changes affect the retail landscape in Hong Kong and Taiwan. The findings provide </w:t>
      </w:r>
      <w:r w:rsidR="008C1B45">
        <w:rPr>
          <w:lang w:eastAsia="en-US"/>
        </w:rPr>
        <w:t>valuable insights into the market conditions of AB Stores (Hong Kong) Co Ltd.</w:t>
      </w:r>
      <w:r>
        <w:rPr>
          <w:lang w:eastAsia="en-US"/>
        </w:rPr>
        <w:t xml:space="preserve"> as it hopes to venture into the electronics division. Moreover, these findings esta</w:t>
      </w:r>
      <w:r w:rsidR="008C1B45">
        <w:rPr>
          <w:lang w:eastAsia="en-US"/>
        </w:rPr>
        <w:t>bl</w:t>
      </w:r>
      <w:r>
        <w:rPr>
          <w:lang w:eastAsia="en-US"/>
        </w:rPr>
        <w:t xml:space="preserve">ish a connection between consumer inflation and retail sales, using data from 2006 to 2023. Based on the empirical evaluation, Taiwan emerges as a top location for AB Store's expansion. </w:t>
      </w:r>
      <w:r w:rsidR="00F24CA2" w:rsidRPr="00F24CA2">
        <w:rPr>
          <w:lang w:eastAsia="en-US"/>
        </w:rPr>
        <w:t xml:space="preserve">At the same time, the recommendations offer practical strategies to leverage these insights, ensuring </w:t>
      </w:r>
      <w:r w:rsidR="00F24CA2">
        <w:rPr>
          <w:lang w:eastAsia="en-US"/>
        </w:rPr>
        <w:t>AB</w:t>
      </w:r>
      <w:r w:rsidR="00F24CA2" w:rsidRPr="00F24CA2">
        <w:rPr>
          <w:lang w:eastAsia="en-US"/>
        </w:rPr>
        <w:t xml:space="preserve"> can adapt to Hong Kong's volatility and capitalize on regional growth prospects.</w:t>
      </w:r>
    </w:p>
    <w:p w14:paraId="52C36C25" w14:textId="5467DDD4" w:rsidR="00806C45" w:rsidRPr="00C65A3F" w:rsidRDefault="007520B9" w:rsidP="00E9554F">
      <w:pPr>
        <w:pStyle w:val="Heading2"/>
      </w:pPr>
      <w:bookmarkStart w:id="20" w:name="_Toc192522731"/>
      <w:r>
        <w:t>4</w:t>
      </w:r>
      <w:r w:rsidR="00806C45" w:rsidRPr="00C65A3F">
        <w:t>.1</w:t>
      </w:r>
      <w:r w:rsidR="00806C45" w:rsidRPr="00C65A3F">
        <w:tab/>
      </w:r>
      <w:r w:rsidR="00F24CA2">
        <w:t xml:space="preserve"> </w:t>
      </w:r>
      <w:r w:rsidR="00806C45" w:rsidRPr="00C65A3F">
        <w:t>Conclusion</w:t>
      </w:r>
      <w:bookmarkEnd w:id="20"/>
    </w:p>
    <w:p w14:paraId="5DCD95C3" w14:textId="1A8B5D9B" w:rsidR="00F24CA2" w:rsidRDefault="00F24CA2" w:rsidP="00F24CA2">
      <w:pPr>
        <w:rPr>
          <w:kern w:val="0"/>
          <w:szCs w:val="24"/>
        </w:rPr>
      </w:pPr>
      <w:r>
        <w:t xml:space="preserve">This study has successfully addressed its objectives by examining how global price changes, manifested through consumer inflation, affect domestic retail markets in Hong Kong and Taiwan to identify expansion opportunities for AB Stores (Hong Kong) Co Ltd.'s electronic device section. The first objective—to establish an empirical relationship between consumer inflation and retail sales in Hong Kong—is met through the finding of a moderate positive correlation of 0.36 over 2006–2023 (Table 2), indicating that rising prices, such as those for tech components, partially drive nominal sales growth, as seen in the 21.6% surge in 2011 (Table 1). However, this relationship weakens to a negative -0.37 in 2019–2023 (Table 3), where sales declines like the -22.5% drop in 2020 outstrip inflation's influence (-0.9%), reflecting demand-side disruptions from protests, the pandemic, and cross-border competition. This volatility, with a standard deviation of 11.7 (Table 4), underscores </w:t>
      </w:r>
      <w:r>
        <w:lastRenderedPageBreak/>
        <w:t>Hong Kong's susceptibility to external shocks, posing risks to AB's electronics stability.</w:t>
      </w:r>
    </w:p>
    <w:p w14:paraId="32F73BC6" w14:textId="77777777" w:rsidR="00F24CA2" w:rsidRDefault="00F24CA2" w:rsidP="00F24CA2">
      <w:r>
        <w:t xml:space="preserve">The second objective—comparing these dynamics with Taiwan—reveals a stark contrast. Taiwan's inflation averages a stable 1.4% with a tight range of -0.9% to 2.9% and a standard deviation of 0.9 over 2006–2023 (Table 4), holding steady at 1.5% in 2019–2023 (Table 5). This consistency, coupled with a weak correlation to Hong Kong's sales (0.18, Table 2), suggests a resilient market less affected by global volatility, supporting economic theories that moderate inflation sustains consumer demand—a key </w:t>
      </w:r>
      <w:proofErr w:type="gramStart"/>
      <w:r>
        <w:t>factor</w:t>
      </w:r>
      <w:proofErr w:type="gramEnd"/>
      <w:r>
        <w:t xml:space="preserve"> for electronics. Hong Kong's erratic sales growth (mean 3.5% dropping to -7.3%, Tables 4 and 5) contrasts sharply with Taiwan's stability, fulfilling the comparative analysis.</w:t>
      </w:r>
    </w:p>
    <w:p w14:paraId="786CDC80" w14:textId="611813AF" w:rsidR="00806C45" w:rsidRPr="00C65A3F" w:rsidRDefault="00B751E7" w:rsidP="00E9554F">
      <w:pPr>
        <w:pStyle w:val="Heading2"/>
      </w:pPr>
      <w:bookmarkStart w:id="21" w:name="_Toc192522732"/>
      <w:r w:rsidRPr="006D6F96">
        <w:t>4</w:t>
      </w:r>
      <w:r w:rsidR="00806C45" w:rsidRPr="006D6F96">
        <w:t>.2</w:t>
      </w:r>
      <w:r w:rsidR="00806C45" w:rsidRPr="006D6F96">
        <w:tab/>
      </w:r>
      <w:r w:rsidR="00701BFB">
        <w:t xml:space="preserve"> </w:t>
      </w:r>
      <w:r w:rsidR="00806C45" w:rsidRPr="006D6F96">
        <w:t>Recommendation</w:t>
      </w:r>
      <w:r w:rsidR="00A74548" w:rsidRPr="006D6F96">
        <w:t>s</w:t>
      </w:r>
      <w:bookmarkEnd w:id="21"/>
    </w:p>
    <w:p w14:paraId="6CC8B317" w14:textId="76A1EDF5" w:rsidR="00062F07" w:rsidRPr="00062F07" w:rsidRDefault="00062F07" w:rsidP="009A78CC">
      <w:pPr>
        <w:contextualSpacing/>
      </w:pPr>
      <w:r w:rsidRPr="00062F07">
        <w:t xml:space="preserve">Based on the conclusions, the following recommendations are proposed for </w:t>
      </w:r>
      <w:r w:rsidR="00F24CA2">
        <w:t>AB</w:t>
      </w:r>
      <w:r w:rsidRPr="00062F07">
        <w:t xml:space="preserve"> Stores (Hong Kong) Co Ltd: </w:t>
      </w:r>
    </w:p>
    <w:p w14:paraId="6A8B5ECE" w14:textId="5D339677" w:rsidR="00062F07" w:rsidRPr="00062F07" w:rsidRDefault="00062F07" w:rsidP="009A78CC">
      <w:pPr>
        <w:pStyle w:val="ListParagraph"/>
        <w:numPr>
          <w:ilvl w:val="0"/>
          <w:numId w:val="5"/>
        </w:numPr>
        <w:ind w:leftChars="0" w:firstLine="0"/>
        <w:contextualSpacing/>
      </w:pPr>
      <w:r w:rsidRPr="00062F07">
        <w:t xml:space="preserve">Pursue Expansion into Taiwan: </w:t>
      </w:r>
      <w:r w:rsidR="00016413">
        <w:t xml:space="preserve">AB Stores should pursue an expansion into Taiwan, with a focus on tech-savvy regions such as Taipei. Comparative studies have demonstrated that Taiwan has a low and stable inflation compared to Hong Kong. As such, AB Store is assured of </w:t>
      </w:r>
      <w:proofErr w:type="gramStart"/>
      <w:r w:rsidR="00016413">
        <w:t>a relatively</w:t>
      </w:r>
      <w:proofErr w:type="gramEnd"/>
      <w:r w:rsidR="00016413">
        <w:t xml:space="preserve"> higher customer demand for products. With strategies such as cost optimization and increased marketing efforts</w:t>
      </w:r>
      <w:r w:rsidR="007715F8">
        <w:t>,</w:t>
      </w:r>
      <w:r w:rsidR="00016413">
        <w:t xml:space="preserve"> as suggested by </w:t>
      </w:r>
      <w:r w:rsidR="00016413" w:rsidRPr="00016413">
        <w:t xml:space="preserve">Kumar </w:t>
      </w:r>
      <w:r w:rsidR="00016413">
        <w:t>et al. (2023, p. 1491), AB stores can make sales. Also, AB Stores</w:t>
      </w:r>
      <w:r w:rsidR="007715F8">
        <w:t>'</w:t>
      </w:r>
      <w:r w:rsidR="00016413">
        <w:t xml:space="preserve"> expansion into Taiwan will take advantage of the region</w:t>
      </w:r>
      <w:r w:rsidR="007715F8">
        <w:t>'</w:t>
      </w:r>
      <w:r w:rsidR="00016413">
        <w:t xml:space="preserve">s reputation as a </w:t>
      </w:r>
      <w:r w:rsidR="00016413" w:rsidRPr="00016413">
        <w:t>semiconductor and consumer electronics</w:t>
      </w:r>
      <w:r w:rsidR="00016413">
        <w:t xml:space="preserve">. Thus, establishing a pilot electronics store in this region will be essential in gauging market conditions and antecedents for success. </w:t>
      </w:r>
    </w:p>
    <w:p w14:paraId="7FC102F0" w14:textId="635F299F" w:rsidR="00062F07" w:rsidRPr="00062F07" w:rsidRDefault="00062F07" w:rsidP="009A78CC">
      <w:pPr>
        <w:pStyle w:val="ListParagraph"/>
        <w:numPr>
          <w:ilvl w:val="0"/>
          <w:numId w:val="5"/>
        </w:numPr>
        <w:ind w:leftChars="0" w:firstLine="0"/>
        <w:contextualSpacing/>
      </w:pPr>
      <w:r w:rsidRPr="00062F07">
        <w:t xml:space="preserve">Enhance Online Platforms in Hong Kong: Strengthen e-commerce capabilities to compete with online retailers and Shenzhen's lower prices, ensuring resilience against physical sales fluctuations. </w:t>
      </w:r>
      <w:r w:rsidR="00016413">
        <w:t xml:space="preserve">The shift towards e-commerce is a change that is sweeping the </w:t>
      </w:r>
      <w:r w:rsidR="00016413">
        <w:lastRenderedPageBreak/>
        <w:t xml:space="preserve">electronics industry and providing businesses with a competitive edge. According to </w:t>
      </w:r>
      <w:r w:rsidR="00016413" w:rsidRPr="00016413">
        <w:t xml:space="preserve">Lai </w:t>
      </w:r>
      <w:r w:rsidR="00016413">
        <w:t xml:space="preserve">et al. (2022, p. 2), the omnichannel retail experience can improve sales performance and contribute to customer retention. Incorporating artificial intelligence technologies such as bots on the e-commerce channel can offer guidance to buyers by answering frequently asked questions and providing suggestions based on preferences (Ding and Muzammil </w:t>
      </w:r>
      <w:r w:rsidR="00016413" w:rsidRPr="00016413">
        <w:t>Najaf</w:t>
      </w:r>
      <w:r w:rsidR="00016413">
        <w:t xml:space="preserve">, 2024, p. 3). </w:t>
      </w:r>
    </w:p>
    <w:p w14:paraId="2A9AA5ED" w14:textId="569C4878" w:rsidR="00062F07" w:rsidRPr="00062F07" w:rsidRDefault="00062F07" w:rsidP="009A78CC">
      <w:pPr>
        <w:pStyle w:val="ListParagraph"/>
        <w:numPr>
          <w:ilvl w:val="0"/>
          <w:numId w:val="5"/>
        </w:numPr>
        <w:ind w:leftChars="0" w:firstLine="0"/>
        <w:contextualSpacing/>
      </w:pPr>
      <w:r w:rsidRPr="00062F07">
        <w:t xml:space="preserve">Optimize Pricing Strategies: Develop flexible pricing that absorbs moderate inflation while maintaining competitiveness and agile supply chain management to mitigate global disruptions like semiconductor shortages. </w:t>
      </w:r>
      <w:r w:rsidR="00016413">
        <w:t>Pricing is an essential compo</w:t>
      </w:r>
      <w:r w:rsidR="007715F8">
        <w:t>ne</w:t>
      </w:r>
      <w:r w:rsidR="00016413">
        <w:t>nt in determining the demand for products (</w:t>
      </w:r>
      <w:r w:rsidR="00016413" w:rsidRPr="00016413">
        <w:t>Kumar</w:t>
      </w:r>
      <w:r w:rsidR="00016413">
        <w:t xml:space="preserve"> et al., 2023, p. 1491). However, it is worth noting that prices of commodities may be affected by external factors beyond the company</w:t>
      </w:r>
      <w:r w:rsidR="007715F8">
        <w:t>'</w:t>
      </w:r>
      <w:r w:rsidR="00016413">
        <w:t xml:space="preserve">s control, including supply chain disruptions as witnessed during the COVID-19 pandemic and the Russia-Ukraine war. Therefore, if disruptions are non-existent, AB Stores should establish a pricing model that strikes a balance between inflation and maintaining the required level of demand. </w:t>
      </w:r>
    </w:p>
    <w:p w14:paraId="7F5B08B1" w14:textId="251C47BE" w:rsidR="007520B9" w:rsidRPr="005C01E2" w:rsidRDefault="00016413" w:rsidP="009A78CC">
      <w:pPr>
        <w:pStyle w:val="ListParagraph"/>
        <w:numPr>
          <w:ilvl w:val="0"/>
          <w:numId w:val="5"/>
        </w:numPr>
        <w:ind w:leftChars="0" w:firstLine="0"/>
        <w:contextualSpacing/>
        <w:rPr>
          <w:color w:val="0000CC"/>
          <w:sz w:val="26"/>
        </w:rPr>
      </w:pPr>
      <w:r>
        <w:t xml:space="preserve">Intense Marketing: Marketing is an instrumental strategy in ensuring that AB Stores expands its brand visibility and communicates its customer offerings to the people. </w:t>
      </w:r>
      <w:r w:rsidRPr="00016413">
        <w:t xml:space="preserve">Kumar </w:t>
      </w:r>
      <w:r>
        <w:t xml:space="preserve">et al. (2023, p. 1491) emphasized this by saying, </w:t>
      </w:r>
      <w:r w:rsidR="007715F8">
        <w:t>"</w:t>
      </w:r>
      <w:r w:rsidRPr="00016413">
        <w:t>Customers</w:t>
      </w:r>
      <w:r w:rsidR="007715F8">
        <w:t>'</w:t>
      </w:r>
      <w:r w:rsidRPr="00016413">
        <w:t xml:space="preserve"> demand is affected by the selling price of the product and the retailer</w:t>
      </w:r>
      <w:r w:rsidR="007715F8">
        <w:t>'</w:t>
      </w:r>
      <w:r w:rsidRPr="00016413">
        <w:t>s promotional efforts</w:t>
      </w:r>
      <w:r>
        <w:t>.</w:t>
      </w:r>
      <w:r w:rsidR="007715F8">
        <w:t>"</w:t>
      </w:r>
      <w:r>
        <w:t xml:space="preserve"> The company must ensure that it develops promotional messages that take advantage of diverse channels, including mainstream and social media. Particularly, social media marketing is ess</w:t>
      </w:r>
      <w:r w:rsidR="007715F8">
        <w:t>en</w:t>
      </w:r>
      <w:r>
        <w:t xml:space="preserve">tial in the electronic sector as it provides the company </w:t>
      </w:r>
      <w:r w:rsidR="008C1B45">
        <w:t xml:space="preserve">with </w:t>
      </w:r>
      <w:r>
        <w:t>a chance to measure engagements with the products through components such as likes and shares (</w:t>
      </w:r>
      <w:r w:rsidRPr="00016413">
        <w:t>Odeh et al., 2023, p. 85</w:t>
      </w:r>
      <w:r>
        <w:t xml:space="preserve">). </w:t>
      </w:r>
      <w:r w:rsidR="007520B9" w:rsidRPr="005C01E2">
        <w:rPr>
          <w:b/>
          <w:sz w:val="26"/>
        </w:rPr>
        <w:br w:type="page"/>
      </w:r>
    </w:p>
    <w:p w14:paraId="6B408AED" w14:textId="6A1B5F71" w:rsidR="00016413" w:rsidRPr="00016413" w:rsidRDefault="00BD439E" w:rsidP="00016413">
      <w:pPr>
        <w:pStyle w:val="Heading1"/>
        <w:contextualSpacing/>
        <w:rPr>
          <w:color w:val="0000CC"/>
        </w:rPr>
      </w:pPr>
      <w:bookmarkStart w:id="22" w:name="_Toc192522733"/>
      <w:r w:rsidRPr="00C65A3F">
        <w:lastRenderedPageBreak/>
        <w:t>References</w:t>
      </w:r>
      <w:bookmarkEnd w:id="22"/>
      <w:r w:rsidR="001F3715" w:rsidRPr="001F3715">
        <w:rPr>
          <w:color w:val="0000CC"/>
        </w:rPr>
        <w:t xml:space="preserve"> </w:t>
      </w:r>
    </w:p>
    <w:p w14:paraId="261E94FE" w14:textId="77777777" w:rsidR="00016413" w:rsidRDefault="00016413" w:rsidP="00701BFB">
      <w:pPr>
        <w:adjustRightInd w:val="0"/>
        <w:snapToGrid w:val="0"/>
        <w:ind w:left="480" w:hangingChars="200" w:hanging="480"/>
        <w:contextualSpacing/>
        <w:jc w:val="left"/>
        <w:rPr>
          <w:szCs w:val="24"/>
        </w:rPr>
      </w:pPr>
      <w:r w:rsidRPr="00016413">
        <w:rPr>
          <w:szCs w:val="24"/>
        </w:rPr>
        <w:t xml:space="preserve">Alldredge, K., Coggins, B., </w:t>
      </w:r>
      <w:proofErr w:type="spellStart"/>
      <w:r w:rsidRPr="00016413">
        <w:rPr>
          <w:szCs w:val="24"/>
        </w:rPr>
        <w:t>Drassinower</w:t>
      </w:r>
      <w:proofErr w:type="spellEnd"/>
      <w:r w:rsidRPr="00016413">
        <w:rPr>
          <w:szCs w:val="24"/>
        </w:rPr>
        <w:t>, R. and Nading, J. (2022). </w:t>
      </w:r>
      <w:r w:rsidRPr="00016413">
        <w:rPr>
          <w:i/>
          <w:iCs/>
          <w:szCs w:val="24"/>
        </w:rPr>
        <w:t>Navigating inflation in retail: Six actions for retailers | McKinsey</w:t>
      </w:r>
      <w:r w:rsidRPr="00016413">
        <w:rPr>
          <w:szCs w:val="24"/>
        </w:rPr>
        <w:t xml:space="preserve">. [online] www.mckinsey.com. Available at: </w:t>
      </w:r>
      <w:hyperlink r:id="rId15" w:history="1">
        <w:r w:rsidRPr="00595F0E">
          <w:rPr>
            <w:rStyle w:val="Hyperlink"/>
            <w:szCs w:val="24"/>
          </w:rPr>
          <w:t>https://www.mckinsey.com/industries/retail/our-insights/navigating-inflation-in-retail-six-actions-for-retailers</w:t>
        </w:r>
      </w:hyperlink>
      <w:r w:rsidRPr="00016413">
        <w:rPr>
          <w:szCs w:val="24"/>
        </w:rPr>
        <w:t>.</w:t>
      </w:r>
      <w:r>
        <w:rPr>
          <w:szCs w:val="24"/>
        </w:rPr>
        <w:t xml:space="preserve"> </w:t>
      </w:r>
    </w:p>
    <w:p w14:paraId="7E46A784" w14:textId="77777777" w:rsidR="00016413" w:rsidRDefault="00016413" w:rsidP="00701BFB">
      <w:pPr>
        <w:adjustRightInd w:val="0"/>
        <w:snapToGrid w:val="0"/>
        <w:ind w:left="480" w:hangingChars="200" w:hanging="480"/>
        <w:contextualSpacing/>
        <w:jc w:val="left"/>
        <w:rPr>
          <w:szCs w:val="24"/>
        </w:rPr>
      </w:pPr>
      <w:r w:rsidRPr="0084564C">
        <w:rPr>
          <w:szCs w:val="24"/>
        </w:rPr>
        <w:t xml:space="preserve">Bau, T.-H., Simon, D.F. and Kau, M.Y.M. (2015) </w:t>
      </w:r>
      <w:r w:rsidRPr="00806EA6">
        <w:rPr>
          <w:iCs/>
          <w:szCs w:val="24"/>
        </w:rPr>
        <w:t>Taiwan: beyond the economic miracle</w:t>
      </w:r>
      <w:r w:rsidRPr="00806EA6">
        <w:rPr>
          <w:szCs w:val="24"/>
        </w:rPr>
        <w:t>.</w:t>
      </w:r>
      <w:r w:rsidRPr="0084564C">
        <w:rPr>
          <w:szCs w:val="24"/>
        </w:rPr>
        <w:t xml:space="preserve"> Abingdon: Routledge. Available at: </w:t>
      </w:r>
    </w:p>
    <w:p w14:paraId="77956B96" w14:textId="77777777" w:rsidR="00016413" w:rsidRDefault="00016413" w:rsidP="00701BFB">
      <w:pPr>
        <w:adjustRightInd w:val="0"/>
        <w:snapToGrid w:val="0"/>
        <w:ind w:left="480" w:hangingChars="200" w:hanging="480"/>
        <w:contextualSpacing/>
        <w:jc w:val="left"/>
        <w:rPr>
          <w:szCs w:val="24"/>
        </w:rPr>
      </w:pPr>
      <w:r w:rsidRPr="00016413">
        <w:rPr>
          <w:szCs w:val="24"/>
        </w:rPr>
        <w:t>Ding, Y. and Muzammil Najaf (2024). Interactivity, humanness, and trust: a psychological approach to AI chatbot adoption in e-commerce. </w:t>
      </w:r>
      <w:r w:rsidRPr="00016413">
        <w:rPr>
          <w:i/>
          <w:iCs/>
          <w:szCs w:val="24"/>
        </w:rPr>
        <w:t>BMC Psychology</w:t>
      </w:r>
      <w:r>
        <w:rPr>
          <w:szCs w:val="24"/>
        </w:rPr>
        <w:t xml:space="preserve">, 12(1). </w:t>
      </w:r>
      <w:hyperlink r:id="rId16" w:history="1">
        <w:r w:rsidRPr="00595F0E">
          <w:rPr>
            <w:rStyle w:val="Hyperlink"/>
            <w:szCs w:val="24"/>
          </w:rPr>
          <w:t>https://doi.org/10.1186/s40359-024-02083-z</w:t>
        </w:r>
      </w:hyperlink>
      <w:r w:rsidRPr="00016413">
        <w:rPr>
          <w:szCs w:val="24"/>
        </w:rPr>
        <w:t>.</w:t>
      </w:r>
      <w:r>
        <w:rPr>
          <w:szCs w:val="24"/>
        </w:rPr>
        <w:t xml:space="preserve">  </w:t>
      </w:r>
    </w:p>
    <w:p w14:paraId="3A4D4444" w14:textId="77777777" w:rsidR="00016413" w:rsidRDefault="00016413" w:rsidP="00701BFB">
      <w:pPr>
        <w:adjustRightInd w:val="0"/>
        <w:snapToGrid w:val="0"/>
        <w:ind w:left="480" w:hangingChars="200" w:hanging="480"/>
        <w:contextualSpacing/>
        <w:jc w:val="left"/>
        <w:rPr>
          <w:szCs w:val="24"/>
        </w:rPr>
      </w:pPr>
      <w:r w:rsidRPr="002106FD">
        <w:rPr>
          <w:szCs w:val="24"/>
        </w:rPr>
        <w:t>Directorate-General of Budget, Accounting and Statistics (2023) Taiwan Economic Statistics Report 2023. Taipei: Directorate-General of Budget, Accounting and Statistics.</w:t>
      </w:r>
      <w:r>
        <w:rPr>
          <w:szCs w:val="24"/>
        </w:rPr>
        <w:t xml:space="preserve"> Available at:</w:t>
      </w:r>
    </w:p>
    <w:p w14:paraId="4140B866" w14:textId="77777777" w:rsidR="00016413" w:rsidRDefault="00016413" w:rsidP="00701BFB">
      <w:pPr>
        <w:adjustRightInd w:val="0"/>
        <w:snapToGrid w:val="0"/>
        <w:ind w:left="480" w:hangingChars="200" w:hanging="480"/>
        <w:contextualSpacing/>
        <w:jc w:val="left"/>
        <w:rPr>
          <w:szCs w:val="24"/>
        </w:rPr>
      </w:pPr>
      <w:r w:rsidRPr="002106FD">
        <w:rPr>
          <w:szCs w:val="24"/>
        </w:rPr>
        <w:t xml:space="preserve">Fernando, J. (2023) Consumer Price Index Explained. Investopedia. Available at: </w:t>
      </w:r>
      <w:hyperlink r:id="rId17" w:tgtFrame="_blank" w:history="1">
        <w:r w:rsidRPr="002106FD">
          <w:rPr>
            <w:rStyle w:val="Hyperlink"/>
            <w:szCs w:val="24"/>
          </w:rPr>
          <w:t>https://www.investopedia.com/terms/c/consumerpriceindex.asp</w:t>
        </w:r>
      </w:hyperlink>
      <w:r w:rsidRPr="002106FD">
        <w:rPr>
          <w:szCs w:val="24"/>
        </w:rPr>
        <w:t xml:space="preserve">. </w:t>
      </w:r>
    </w:p>
    <w:p w14:paraId="6AEEF6C5" w14:textId="77777777" w:rsidR="00016413" w:rsidRDefault="00016413" w:rsidP="00701BFB">
      <w:pPr>
        <w:adjustRightInd w:val="0"/>
        <w:snapToGrid w:val="0"/>
        <w:ind w:left="480" w:hangingChars="200" w:hanging="480"/>
        <w:contextualSpacing/>
        <w:jc w:val="left"/>
        <w:rPr>
          <w:szCs w:val="24"/>
        </w:rPr>
      </w:pPr>
      <w:r w:rsidRPr="002106FD">
        <w:rPr>
          <w:szCs w:val="24"/>
        </w:rPr>
        <w:t xml:space="preserve">HKTDC (2023) Hong Kong Retail Market Trends. Hong Kong: Hong </w:t>
      </w:r>
      <w:r>
        <w:rPr>
          <w:szCs w:val="24"/>
        </w:rPr>
        <w:t>Kong Trade Development Council. Available at:</w:t>
      </w:r>
    </w:p>
    <w:p w14:paraId="6C7DDBF9" w14:textId="77777777" w:rsidR="00016413" w:rsidRDefault="00016413" w:rsidP="00701BFB">
      <w:pPr>
        <w:adjustRightInd w:val="0"/>
        <w:snapToGrid w:val="0"/>
        <w:ind w:left="480" w:hangingChars="200" w:hanging="480"/>
        <w:contextualSpacing/>
        <w:jc w:val="left"/>
        <w:rPr>
          <w:szCs w:val="24"/>
        </w:rPr>
      </w:pPr>
      <w:r w:rsidRPr="002106FD">
        <w:rPr>
          <w:szCs w:val="24"/>
        </w:rPr>
        <w:t xml:space="preserve">Hong Kong Census and Statistics Department (2022) Consumer Price Index and Its Movements During 2012 to 2021. Feature Articles on Statistics, March 2022. Available at: </w:t>
      </w:r>
      <w:hyperlink r:id="rId18" w:tgtFrame="_blank" w:history="1">
        <w:r w:rsidRPr="002106FD">
          <w:rPr>
            <w:rStyle w:val="Hyperlink"/>
            <w:szCs w:val="24"/>
          </w:rPr>
          <w:t>https://www.censtatd.gov.hk/en/EIndexbySubject.html?scode=270&amp;pcode=FA100025</w:t>
        </w:r>
      </w:hyperlink>
      <w:r w:rsidRPr="002106FD">
        <w:rPr>
          <w:szCs w:val="24"/>
        </w:rPr>
        <w:t xml:space="preserve">. </w:t>
      </w:r>
    </w:p>
    <w:p w14:paraId="336CDBC4" w14:textId="77777777" w:rsidR="00016413" w:rsidRDefault="00016413" w:rsidP="00701BFB">
      <w:pPr>
        <w:adjustRightInd w:val="0"/>
        <w:snapToGrid w:val="0"/>
        <w:ind w:left="480" w:hangingChars="200" w:hanging="480"/>
        <w:contextualSpacing/>
        <w:jc w:val="left"/>
        <w:rPr>
          <w:szCs w:val="24"/>
        </w:rPr>
      </w:pPr>
      <w:r w:rsidRPr="002106FD">
        <w:rPr>
          <w:szCs w:val="24"/>
        </w:rPr>
        <w:t xml:space="preserve">Hong Kong Census and Statistics Department (2024) Hong Kong Annual Digest of Statistics, Various Years. Available at: </w:t>
      </w:r>
      <w:hyperlink r:id="rId19" w:tgtFrame="_blank" w:history="1">
        <w:r w:rsidRPr="002106FD">
          <w:rPr>
            <w:rStyle w:val="Hyperlink"/>
            <w:szCs w:val="24"/>
          </w:rPr>
          <w:t>https://www.censtatd.gov.hk/en/page_1273.html</w:t>
        </w:r>
      </w:hyperlink>
      <w:r w:rsidRPr="002106FD">
        <w:rPr>
          <w:szCs w:val="24"/>
        </w:rPr>
        <w:t xml:space="preserve">. </w:t>
      </w:r>
    </w:p>
    <w:p w14:paraId="7237AEDD" w14:textId="77777777" w:rsidR="00016413" w:rsidRDefault="00016413" w:rsidP="00701BFB">
      <w:pPr>
        <w:adjustRightInd w:val="0"/>
        <w:snapToGrid w:val="0"/>
        <w:ind w:left="480" w:hangingChars="200" w:hanging="480"/>
        <w:contextualSpacing/>
        <w:jc w:val="left"/>
        <w:rPr>
          <w:szCs w:val="24"/>
        </w:rPr>
      </w:pPr>
      <w:r w:rsidRPr="002106FD">
        <w:rPr>
          <w:szCs w:val="24"/>
        </w:rPr>
        <w:t xml:space="preserve">Hong Kong Census and Statistics Department (2025) Report on Monthly Survey of Retail Sales: Presenting Statistics on Value and Volume of Retail Sales, November 2024. Available at: </w:t>
      </w:r>
      <w:hyperlink r:id="rId20" w:tgtFrame="_blank" w:history="1">
        <w:r w:rsidRPr="002106FD">
          <w:rPr>
            <w:rStyle w:val="Hyperlink"/>
            <w:szCs w:val="24"/>
          </w:rPr>
          <w:t>https://www.censtatd.gov.hk/en/wbr.html?ecode=B10800032024MM11&amp;scode=530</w:t>
        </w:r>
      </w:hyperlink>
      <w:r w:rsidRPr="002106FD">
        <w:rPr>
          <w:szCs w:val="24"/>
        </w:rPr>
        <w:t xml:space="preserve">. </w:t>
      </w:r>
    </w:p>
    <w:p w14:paraId="5D3C4B1F" w14:textId="77777777" w:rsidR="00016413" w:rsidRDefault="00016413" w:rsidP="00701BFB">
      <w:pPr>
        <w:adjustRightInd w:val="0"/>
        <w:snapToGrid w:val="0"/>
        <w:ind w:left="480" w:hangingChars="200" w:hanging="480"/>
        <w:contextualSpacing/>
        <w:jc w:val="left"/>
        <w:rPr>
          <w:szCs w:val="24"/>
        </w:rPr>
      </w:pPr>
      <w:r w:rsidRPr="002106FD">
        <w:rPr>
          <w:szCs w:val="24"/>
        </w:rPr>
        <w:t xml:space="preserve">Hong Kong Census and Statistics Department (2025) Table 620-67012: Value of Retail Sales in Department Stores by Broad Product Category. Available at: </w:t>
      </w:r>
      <w:hyperlink r:id="rId21" w:tgtFrame="_blank" w:history="1">
        <w:r w:rsidRPr="002106FD">
          <w:rPr>
            <w:rStyle w:val="Hyperlink"/>
            <w:szCs w:val="24"/>
          </w:rPr>
          <w:t>https://www.censtatd.gov.hk/en/web_table.html?id=620-67012</w:t>
        </w:r>
      </w:hyperlink>
      <w:r w:rsidRPr="002106FD">
        <w:rPr>
          <w:szCs w:val="24"/>
        </w:rPr>
        <w:t xml:space="preserve">. </w:t>
      </w:r>
    </w:p>
    <w:p w14:paraId="6D1AC13F" w14:textId="77777777" w:rsidR="00016413" w:rsidRPr="0084564C" w:rsidRDefault="00016413" w:rsidP="00701BFB">
      <w:pPr>
        <w:adjustRightInd w:val="0"/>
        <w:snapToGrid w:val="0"/>
        <w:ind w:left="480"/>
        <w:contextualSpacing/>
        <w:jc w:val="left"/>
        <w:rPr>
          <w:szCs w:val="24"/>
        </w:rPr>
      </w:pPr>
      <w:hyperlink r:id="rId22" w:history="1">
        <w:r w:rsidRPr="00806EA6">
          <w:rPr>
            <w:rStyle w:val="Hyperlink"/>
            <w:szCs w:val="24"/>
          </w:rPr>
          <w:t>https://api.taylorfrancis.com/content/books/mono/download?identifierName=doi&amp;identifierValue=10.4324/9781315287850&amp;type=googlepdf</w:t>
        </w:r>
      </w:hyperlink>
    </w:p>
    <w:p w14:paraId="367477B0" w14:textId="77777777" w:rsidR="00016413" w:rsidRPr="00806EA6" w:rsidRDefault="00016413" w:rsidP="00701BFB">
      <w:pPr>
        <w:adjustRightInd w:val="0"/>
        <w:snapToGrid w:val="0"/>
        <w:ind w:left="165" w:firstLine="315"/>
        <w:contextualSpacing/>
        <w:jc w:val="left"/>
        <w:rPr>
          <w:szCs w:val="24"/>
          <w:u w:val="single"/>
        </w:rPr>
      </w:pPr>
      <w:hyperlink r:id="rId23" w:history="1">
        <w:r w:rsidRPr="00806EA6">
          <w:rPr>
            <w:rStyle w:val="Hyperlink"/>
            <w:szCs w:val="24"/>
          </w:rPr>
          <w:t>https://eng.dgbas.gov.tw/</w:t>
        </w:r>
      </w:hyperlink>
    </w:p>
    <w:p w14:paraId="2D2060B2" w14:textId="77777777" w:rsidR="00016413" w:rsidRDefault="00016413" w:rsidP="00701BFB">
      <w:pPr>
        <w:adjustRightInd w:val="0"/>
        <w:snapToGrid w:val="0"/>
        <w:ind w:left="165" w:firstLine="315"/>
        <w:contextualSpacing/>
        <w:rPr>
          <w:szCs w:val="24"/>
        </w:rPr>
      </w:pPr>
      <w:hyperlink r:id="rId24" w:history="1">
        <w:r w:rsidRPr="00BF33B9">
          <w:rPr>
            <w:rStyle w:val="Hyperlink"/>
            <w:szCs w:val="24"/>
          </w:rPr>
          <w:t>https://home.hktdc.com/en/factsheet/MC45NTY2NzMz_EFAE2023</w:t>
        </w:r>
      </w:hyperlink>
    </w:p>
    <w:p w14:paraId="4E2A6AA0" w14:textId="77777777" w:rsidR="00016413" w:rsidRPr="002106FD" w:rsidRDefault="00016413" w:rsidP="00701BFB">
      <w:pPr>
        <w:adjustRightInd w:val="0"/>
        <w:snapToGrid w:val="0"/>
        <w:ind w:left="165" w:firstLine="315"/>
        <w:contextualSpacing/>
        <w:jc w:val="left"/>
        <w:rPr>
          <w:szCs w:val="24"/>
        </w:rPr>
      </w:pPr>
      <w:hyperlink r:id="rId25" w:tgtFrame="_blank" w:history="1">
        <w:r w:rsidRPr="002106FD">
          <w:rPr>
            <w:rStyle w:val="Hyperlink"/>
            <w:szCs w:val="24"/>
          </w:rPr>
          <w:t>https://www.tsmc.com/english/investorRelations/annual_reports.htm</w:t>
        </w:r>
      </w:hyperlink>
      <w:r w:rsidRPr="002106FD">
        <w:rPr>
          <w:szCs w:val="24"/>
        </w:rPr>
        <w:t xml:space="preserve">. </w:t>
      </w:r>
    </w:p>
    <w:p w14:paraId="4C494D6C" w14:textId="77777777" w:rsidR="00016413" w:rsidRDefault="00016413" w:rsidP="00701BFB">
      <w:pPr>
        <w:adjustRightInd w:val="0"/>
        <w:snapToGrid w:val="0"/>
        <w:ind w:left="480" w:hangingChars="200" w:hanging="480"/>
        <w:contextualSpacing/>
        <w:jc w:val="left"/>
        <w:rPr>
          <w:szCs w:val="24"/>
        </w:rPr>
      </w:pPr>
      <w:r w:rsidRPr="002106FD">
        <w:rPr>
          <w:szCs w:val="24"/>
        </w:rPr>
        <w:t xml:space="preserve">International Monetary Fund (2021) World Economic Outlook. Washington, DC: IMF. Available at: </w:t>
      </w:r>
      <w:hyperlink r:id="rId26" w:tgtFrame="_blank" w:history="1">
        <w:r w:rsidRPr="002106FD">
          <w:rPr>
            <w:rStyle w:val="Hyperlink"/>
            <w:szCs w:val="24"/>
          </w:rPr>
          <w:t>https://www.imf.org/en/Publications/WEO</w:t>
        </w:r>
      </w:hyperlink>
      <w:r w:rsidRPr="002106FD">
        <w:rPr>
          <w:szCs w:val="24"/>
        </w:rPr>
        <w:t xml:space="preserve">. </w:t>
      </w:r>
    </w:p>
    <w:p w14:paraId="332C0526" w14:textId="77777777" w:rsidR="00016413" w:rsidRDefault="00016413" w:rsidP="00701BFB">
      <w:pPr>
        <w:adjustRightInd w:val="0"/>
        <w:snapToGrid w:val="0"/>
        <w:ind w:left="480" w:hangingChars="200" w:hanging="480"/>
        <w:contextualSpacing/>
        <w:jc w:val="left"/>
        <w:rPr>
          <w:szCs w:val="24"/>
        </w:rPr>
      </w:pPr>
      <w:r w:rsidRPr="002106FD">
        <w:rPr>
          <w:szCs w:val="24"/>
        </w:rPr>
        <w:t xml:space="preserve">International Monetary Fund (2024) Monetary and Financial Statistics (MFS): Monetary Surveys Based on Non-Standardized Report Forms by Country. Available at: </w:t>
      </w:r>
      <w:hyperlink r:id="rId27" w:tgtFrame="_blank" w:history="1">
        <w:r w:rsidRPr="002106FD">
          <w:rPr>
            <w:rStyle w:val="Hyperlink"/>
            <w:szCs w:val="24"/>
          </w:rPr>
          <w:t>https://data.imf.org/regular.aspx?key=61545857</w:t>
        </w:r>
      </w:hyperlink>
      <w:r w:rsidRPr="002106FD">
        <w:rPr>
          <w:szCs w:val="24"/>
        </w:rPr>
        <w:t xml:space="preserve">. </w:t>
      </w:r>
    </w:p>
    <w:p w14:paraId="3ACE3F46" w14:textId="4F9855B9" w:rsidR="00016413" w:rsidRDefault="00016413" w:rsidP="00701BFB">
      <w:pPr>
        <w:adjustRightInd w:val="0"/>
        <w:snapToGrid w:val="0"/>
        <w:ind w:left="480" w:hangingChars="200" w:hanging="480"/>
        <w:contextualSpacing/>
        <w:jc w:val="left"/>
        <w:rPr>
          <w:szCs w:val="24"/>
        </w:rPr>
      </w:pPr>
      <w:r w:rsidRPr="00016413">
        <w:rPr>
          <w:szCs w:val="24"/>
        </w:rPr>
        <w:t>Kumar, S., Singh, S.R., Agarwal, S. and Yadav, D. (2023). Joint effect of selling price and promotional efforts on retailer</w:t>
      </w:r>
      <w:r w:rsidR="007715F8">
        <w:rPr>
          <w:szCs w:val="24"/>
        </w:rPr>
        <w:t>'</w:t>
      </w:r>
      <w:r w:rsidRPr="00016413">
        <w:rPr>
          <w:szCs w:val="24"/>
        </w:rPr>
        <w:t>s inventory control policy with trade credit, time-dependent holding cost, and partial backlogging under inflation. </w:t>
      </w:r>
      <w:r w:rsidRPr="00016413">
        <w:rPr>
          <w:i/>
          <w:iCs/>
          <w:szCs w:val="24"/>
        </w:rPr>
        <w:t>RAIRO - Operations Research</w:t>
      </w:r>
      <w:r w:rsidRPr="00016413">
        <w:rPr>
          <w:szCs w:val="24"/>
        </w:rPr>
        <w:t>, [o</w:t>
      </w:r>
      <w:r>
        <w:rPr>
          <w:szCs w:val="24"/>
        </w:rPr>
        <w:t xml:space="preserve">nline] 57(3), pp.1491–1522. </w:t>
      </w:r>
      <w:hyperlink r:id="rId28" w:history="1">
        <w:r w:rsidRPr="00595F0E">
          <w:rPr>
            <w:rStyle w:val="Hyperlink"/>
            <w:szCs w:val="24"/>
          </w:rPr>
          <w:t>https://doi.org/10.1051/ro/2023066</w:t>
        </w:r>
      </w:hyperlink>
      <w:r>
        <w:rPr>
          <w:szCs w:val="24"/>
        </w:rPr>
        <w:t xml:space="preserve">   </w:t>
      </w:r>
    </w:p>
    <w:p w14:paraId="155E2A50" w14:textId="77777777" w:rsidR="00016413" w:rsidRDefault="00016413" w:rsidP="00701BFB">
      <w:pPr>
        <w:adjustRightInd w:val="0"/>
        <w:snapToGrid w:val="0"/>
        <w:ind w:left="480" w:hangingChars="200" w:hanging="480"/>
        <w:contextualSpacing/>
        <w:jc w:val="left"/>
        <w:rPr>
          <w:szCs w:val="24"/>
        </w:rPr>
      </w:pPr>
      <w:r w:rsidRPr="00016413">
        <w:rPr>
          <w:szCs w:val="24"/>
        </w:rPr>
        <w:t>Lai, J.Y., Chen, Y.X. and He, Y.C. (2022). How channel integration and customer experience touchpoints affect omnichannel shopping behaviors. </w:t>
      </w:r>
      <w:r w:rsidRPr="00016413">
        <w:rPr>
          <w:i/>
          <w:iCs/>
          <w:szCs w:val="24"/>
        </w:rPr>
        <w:t>International Journal of Mobile Communications</w:t>
      </w:r>
      <w:r>
        <w:rPr>
          <w:szCs w:val="24"/>
        </w:rPr>
        <w:t xml:space="preserve">, 1(1), p.1. </w:t>
      </w:r>
      <w:hyperlink r:id="rId29" w:history="1">
        <w:r w:rsidRPr="00595F0E">
          <w:rPr>
            <w:rStyle w:val="Hyperlink"/>
            <w:szCs w:val="24"/>
          </w:rPr>
          <w:t>https://doi.org/10.1504/ijmc.2022.10041874</w:t>
        </w:r>
      </w:hyperlink>
      <w:r w:rsidRPr="00016413">
        <w:rPr>
          <w:szCs w:val="24"/>
        </w:rPr>
        <w:t>.</w:t>
      </w:r>
      <w:r>
        <w:rPr>
          <w:szCs w:val="24"/>
        </w:rPr>
        <w:t xml:space="preserve">  </w:t>
      </w:r>
    </w:p>
    <w:p w14:paraId="5889F649" w14:textId="77777777" w:rsidR="00016413" w:rsidRDefault="00016413" w:rsidP="00701BFB">
      <w:pPr>
        <w:adjustRightInd w:val="0"/>
        <w:snapToGrid w:val="0"/>
        <w:ind w:left="480" w:hangingChars="200" w:hanging="480"/>
        <w:contextualSpacing/>
        <w:jc w:val="left"/>
        <w:rPr>
          <w:szCs w:val="24"/>
        </w:rPr>
      </w:pPr>
      <w:r w:rsidRPr="002106FD">
        <w:rPr>
          <w:szCs w:val="24"/>
        </w:rPr>
        <w:t xml:space="preserve">Mankiw, N. G. (2020) </w:t>
      </w:r>
      <w:r>
        <w:rPr>
          <w:szCs w:val="24"/>
        </w:rPr>
        <w:t>'</w:t>
      </w:r>
      <w:r w:rsidRPr="002106FD">
        <w:rPr>
          <w:szCs w:val="24"/>
        </w:rPr>
        <w:t>A skeptic</w:t>
      </w:r>
      <w:r>
        <w:rPr>
          <w:szCs w:val="24"/>
        </w:rPr>
        <w:t>'</w:t>
      </w:r>
      <w:r w:rsidRPr="002106FD">
        <w:rPr>
          <w:szCs w:val="24"/>
        </w:rPr>
        <w:t>s guide to modern monetary theory</w:t>
      </w:r>
      <w:r>
        <w:rPr>
          <w:szCs w:val="24"/>
        </w:rPr>
        <w:t>,'</w:t>
      </w:r>
      <w:r w:rsidRPr="002106FD">
        <w:rPr>
          <w:szCs w:val="24"/>
        </w:rPr>
        <w:t xml:space="preserve"> in AEA Papers and Proceedings, 110, pp. 141–144. Nashville, TN: American Economic Association. Available at: </w:t>
      </w:r>
      <w:hyperlink r:id="rId30" w:tgtFrame="_blank" w:history="1">
        <w:r w:rsidRPr="002106FD">
          <w:rPr>
            <w:rStyle w:val="Hyperlink"/>
            <w:szCs w:val="24"/>
          </w:rPr>
          <w:t>https://www.aeaweb.org/doi/10.1257/pandp.20201036</w:t>
        </w:r>
      </w:hyperlink>
      <w:r w:rsidRPr="002106FD">
        <w:rPr>
          <w:szCs w:val="24"/>
        </w:rPr>
        <w:t xml:space="preserve">. </w:t>
      </w:r>
    </w:p>
    <w:p w14:paraId="3FBA2357" w14:textId="77777777" w:rsidR="00016413" w:rsidRDefault="00016413" w:rsidP="00701BFB">
      <w:pPr>
        <w:adjustRightInd w:val="0"/>
        <w:snapToGrid w:val="0"/>
        <w:ind w:left="480" w:hangingChars="200" w:hanging="480"/>
        <w:contextualSpacing/>
        <w:jc w:val="left"/>
        <w:rPr>
          <w:szCs w:val="24"/>
        </w:rPr>
      </w:pPr>
      <w:r w:rsidRPr="00016413">
        <w:rPr>
          <w:szCs w:val="24"/>
        </w:rPr>
        <w:t xml:space="preserve">Odeh, A., Abdullah Matar Al-Adamat, Abu, A., Al, M., Faraj, Sulieman, </w:t>
      </w:r>
      <w:proofErr w:type="spellStart"/>
      <w:r w:rsidRPr="00016413">
        <w:rPr>
          <w:szCs w:val="24"/>
        </w:rPr>
        <w:t>Fu’ad</w:t>
      </w:r>
      <w:proofErr w:type="spellEnd"/>
      <w:r w:rsidRPr="00016413">
        <w:rPr>
          <w:szCs w:val="24"/>
        </w:rPr>
        <w:t xml:space="preserve"> Abdallah Al-</w:t>
      </w:r>
      <w:proofErr w:type="spellStart"/>
      <w:r w:rsidRPr="00016413">
        <w:rPr>
          <w:szCs w:val="24"/>
        </w:rPr>
        <w:t>Fakeh</w:t>
      </w:r>
      <w:proofErr w:type="spellEnd"/>
      <w:r w:rsidRPr="00016413">
        <w:rPr>
          <w:szCs w:val="24"/>
        </w:rPr>
        <w:t xml:space="preserve"> and Mohammad (2023). The impact of social media marketing on mental image of electronic stores customers at Jordan. </w:t>
      </w:r>
      <w:r w:rsidRPr="00016413">
        <w:rPr>
          <w:i/>
          <w:iCs/>
          <w:szCs w:val="24"/>
        </w:rPr>
        <w:t xml:space="preserve">Contributions </w:t>
      </w:r>
      <w:r>
        <w:rPr>
          <w:i/>
          <w:iCs/>
          <w:szCs w:val="24"/>
        </w:rPr>
        <w:t>t</w:t>
      </w:r>
      <w:r w:rsidRPr="00016413">
        <w:rPr>
          <w:i/>
          <w:iCs/>
          <w:szCs w:val="24"/>
        </w:rPr>
        <w:t>o Management Science</w:t>
      </w:r>
      <w:r>
        <w:rPr>
          <w:szCs w:val="24"/>
        </w:rPr>
        <w:t xml:space="preserve">, pp.89–103. </w:t>
      </w:r>
      <w:hyperlink r:id="rId31" w:history="1">
        <w:r w:rsidRPr="00595F0E">
          <w:rPr>
            <w:rStyle w:val="Hyperlink"/>
            <w:szCs w:val="24"/>
          </w:rPr>
          <w:t>https://doi.org/10.1007/978-981-99-6101-6_7</w:t>
        </w:r>
      </w:hyperlink>
      <w:r w:rsidRPr="00016413">
        <w:rPr>
          <w:szCs w:val="24"/>
        </w:rPr>
        <w:t>.</w:t>
      </w:r>
      <w:r>
        <w:rPr>
          <w:szCs w:val="24"/>
        </w:rPr>
        <w:t xml:space="preserve">  </w:t>
      </w:r>
    </w:p>
    <w:p w14:paraId="0B1FAD17" w14:textId="77777777" w:rsidR="00DF1FD7" w:rsidRDefault="00016413" w:rsidP="00567D21">
      <w:pPr>
        <w:adjustRightInd w:val="0"/>
        <w:snapToGrid w:val="0"/>
        <w:ind w:left="480" w:hangingChars="200" w:hanging="480"/>
        <w:contextualSpacing/>
        <w:jc w:val="left"/>
        <w:rPr>
          <w:szCs w:val="24"/>
        </w:rPr>
      </w:pPr>
      <w:r w:rsidRPr="002106FD">
        <w:rPr>
          <w:szCs w:val="24"/>
        </w:rPr>
        <w:t xml:space="preserve">TSMC (2023) Annual Report 2023. Hsinchu: Taiwan Semiconductor Manufacturing Company. Available at: </w:t>
      </w:r>
    </w:p>
    <w:p w14:paraId="52836008" w14:textId="01AFFC08" w:rsidR="00567D21" w:rsidRDefault="00DF1FD7" w:rsidP="00DF1FD7">
      <w:pPr>
        <w:adjustRightInd w:val="0"/>
        <w:snapToGrid w:val="0"/>
        <w:ind w:left="165" w:firstLine="315"/>
        <w:contextualSpacing/>
        <w:jc w:val="left"/>
        <w:rPr>
          <w:szCs w:val="24"/>
        </w:rPr>
      </w:pPr>
      <w:hyperlink r:id="rId32" w:history="1">
        <w:r w:rsidRPr="00BA72A1">
          <w:rPr>
            <w:rStyle w:val="Hyperlink"/>
            <w:szCs w:val="24"/>
          </w:rPr>
          <w:t>https://investor.tsmc.com/static/annualReports/2023/english/index.html</w:t>
        </w:r>
      </w:hyperlink>
    </w:p>
    <w:p w14:paraId="2D785774" w14:textId="77777777" w:rsidR="00567D21" w:rsidRDefault="00567D21" w:rsidP="00701BFB">
      <w:pPr>
        <w:adjustRightInd w:val="0"/>
        <w:snapToGrid w:val="0"/>
        <w:ind w:left="480" w:hangingChars="200" w:hanging="480"/>
        <w:contextualSpacing/>
        <w:jc w:val="left"/>
        <w:rPr>
          <w:szCs w:val="24"/>
        </w:rPr>
      </w:pPr>
    </w:p>
    <w:sectPr w:rsidR="00567D21" w:rsidSect="009E1053">
      <w:pgSz w:w="11906" w:h="16838"/>
      <w:pgMar w:top="1134" w:right="1134" w:bottom="1134" w:left="1134"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3F623D" w14:textId="77777777" w:rsidR="00304473" w:rsidRDefault="00304473">
      <w:r>
        <w:separator/>
      </w:r>
    </w:p>
  </w:endnote>
  <w:endnote w:type="continuationSeparator" w:id="0">
    <w:p w14:paraId="5BF66B09" w14:textId="77777777" w:rsidR="00304473" w:rsidRDefault="003044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DFKai-SB">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A3E25" w14:textId="109932F4" w:rsidR="00F24CA2" w:rsidRDefault="00F24CA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x</w:t>
    </w:r>
    <w:r>
      <w:rPr>
        <w:rStyle w:val="PageNumber"/>
      </w:rPr>
      <w:fldChar w:fldCharType="end"/>
    </w:r>
  </w:p>
  <w:p w14:paraId="436EE74F" w14:textId="77777777" w:rsidR="00F24CA2" w:rsidRDefault="00F24C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38433" w14:textId="77777777" w:rsidR="00F24CA2" w:rsidRDefault="00F24CA2">
    <w:pPr>
      <w:pStyle w:val="Footer"/>
      <w:framePr w:wrap="around" w:vAnchor="text" w:hAnchor="margin" w:xAlign="center" w:y="1"/>
      <w:rPr>
        <w:rStyle w:val="PageNumber"/>
      </w:rPr>
    </w:pPr>
  </w:p>
  <w:p w14:paraId="6CB37942" w14:textId="77777777" w:rsidR="00F24CA2" w:rsidRDefault="00F24CA2">
    <w:pPr>
      <w:pStyle w:val="Footer"/>
      <w:framePr w:wrap="around" w:vAnchor="text" w:hAnchor="margin" w:xAlign="center" w:y="1"/>
      <w:rPr>
        <w:rStyle w:val="PageNumber"/>
      </w:rPr>
    </w:pPr>
  </w:p>
  <w:p w14:paraId="3C3FC5EC" w14:textId="77777777" w:rsidR="00F24CA2" w:rsidRDefault="00F24CA2">
    <w:pPr>
      <w:pStyle w:val="Footer"/>
      <w:framePr w:wrap="around" w:vAnchor="text" w:hAnchor="margin" w:xAlign="center" w:y="1"/>
      <w:rPr>
        <w:rStyle w:val="PageNumber"/>
      </w:rPr>
    </w:pPr>
  </w:p>
  <w:p w14:paraId="7598CCC4" w14:textId="77777777" w:rsidR="00F24CA2" w:rsidRDefault="00F24CA2">
    <w:pPr>
      <w:pStyle w:val="Footer"/>
      <w:framePr w:wrap="around" w:vAnchor="text" w:hAnchor="margin" w:xAlign="center" w:y="1"/>
      <w:rPr>
        <w:rStyle w:val="PageNumber"/>
      </w:rPr>
    </w:pPr>
  </w:p>
  <w:p w14:paraId="01F479D6" w14:textId="77777777" w:rsidR="00F24CA2" w:rsidRDefault="00F24CA2">
    <w:pPr>
      <w:pStyle w:val="Footer"/>
      <w:framePr w:wrap="around" w:vAnchor="text" w:hAnchor="margin" w:xAlign="center" w:y="1"/>
      <w:rPr>
        <w:rStyle w:val="PageNumber"/>
      </w:rPr>
    </w:pPr>
  </w:p>
  <w:p w14:paraId="1AF2B952" w14:textId="3BC711BA" w:rsidR="00F24CA2" w:rsidRDefault="00F24CA2">
    <w:pPr>
      <w:pStyle w:val="Footer"/>
      <w:jc w:val="center"/>
    </w:pPr>
    <w:r>
      <w:rPr>
        <w:rStyle w:val="PageNumber"/>
      </w:rPr>
      <w:fldChar w:fldCharType="begin"/>
    </w:r>
    <w:r>
      <w:rPr>
        <w:rStyle w:val="PageNumber"/>
      </w:rPr>
      <w:instrText xml:space="preserve"> PAGE </w:instrText>
    </w:r>
    <w:r>
      <w:rPr>
        <w:rStyle w:val="PageNumber"/>
      </w:rPr>
      <w:fldChar w:fldCharType="separate"/>
    </w:r>
    <w:r w:rsidR="00E34071">
      <w:rPr>
        <w:rStyle w:val="PageNumber"/>
        <w:noProof/>
      </w:rPr>
      <w:t>15</w:t>
    </w:r>
    <w:r>
      <w:rPr>
        <w:rStyle w:val="PageNumber"/>
      </w:rPr>
      <w:fldChar w:fldCharType="end"/>
    </w:r>
  </w:p>
  <w:p w14:paraId="6CBC4991" w14:textId="77777777" w:rsidR="00F24CA2" w:rsidRDefault="00F24C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C2E0E0" w14:textId="77777777" w:rsidR="00304473" w:rsidRDefault="00304473">
      <w:r>
        <w:separator/>
      </w:r>
    </w:p>
  </w:footnote>
  <w:footnote w:type="continuationSeparator" w:id="0">
    <w:p w14:paraId="5D94AA62" w14:textId="77777777" w:rsidR="00304473" w:rsidRDefault="003044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0A4D8B"/>
    <w:multiLevelType w:val="hybridMultilevel"/>
    <w:tmpl w:val="AEA0B344"/>
    <w:lvl w:ilvl="0" w:tplc="E514C766">
      <w:start w:val="1"/>
      <w:numFmt w:val="decimal"/>
      <w:lvlText w:val="%1."/>
      <w:lvlJc w:val="left"/>
      <w:pPr>
        <w:ind w:left="720" w:hanging="360"/>
      </w:pPr>
      <w:rPr>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F044FA1"/>
    <w:multiLevelType w:val="hybridMultilevel"/>
    <w:tmpl w:val="BC64BB7C"/>
    <w:lvl w:ilvl="0" w:tplc="20BE911A">
      <w:start w:val="1"/>
      <w:numFmt w:val="decimal"/>
      <w:lvlText w:val="%1."/>
      <w:lvlJc w:val="left"/>
      <w:pPr>
        <w:tabs>
          <w:tab w:val="num" w:pos="360"/>
        </w:tabs>
        <w:ind w:left="360" w:hanging="360"/>
      </w:pPr>
      <w:rPr>
        <w:rFonts w:hint="default"/>
      </w:rPr>
    </w:lvl>
    <w:lvl w:ilvl="1" w:tplc="7B98F5D0">
      <w:start w:val="1"/>
      <w:numFmt w:val="decimal"/>
      <w:lvlText w:val="%2."/>
      <w:lvlJc w:val="left"/>
      <w:pPr>
        <w:tabs>
          <w:tab w:val="num" w:pos="482"/>
        </w:tabs>
        <w:ind w:left="482" w:hanging="482"/>
      </w:pPr>
      <w:rPr>
        <w:rFonts w:hint="default"/>
      </w:rPr>
    </w:lvl>
    <w:lvl w:ilvl="2" w:tplc="1CA66228">
      <w:start w:val="1"/>
      <w:numFmt w:val="decimal"/>
      <w:lvlText w:val="(%3)"/>
      <w:lvlJc w:val="left"/>
      <w:pPr>
        <w:tabs>
          <w:tab w:val="num" w:pos="1320"/>
        </w:tabs>
        <w:ind w:left="1320" w:hanging="360"/>
      </w:pPr>
      <w:rPr>
        <w:rFonts w:hint="default"/>
      </w:rPr>
    </w:lvl>
    <w:lvl w:ilvl="3" w:tplc="0C1CFD16">
      <w:start w:val="1"/>
      <w:numFmt w:val="lowerLetter"/>
      <w:lvlText w:val="%4)"/>
      <w:lvlJc w:val="left"/>
      <w:pPr>
        <w:tabs>
          <w:tab w:val="num" w:pos="1830"/>
        </w:tabs>
        <w:ind w:left="1830" w:hanging="39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657D3DFD"/>
    <w:multiLevelType w:val="hybridMultilevel"/>
    <w:tmpl w:val="17289AE8"/>
    <w:lvl w:ilvl="0" w:tplc="AE404150">
      <w:start w:val="2"/>
      <w:numFmt w:val="bullet"/>
      <w:lvlText w:val=""/>
      <w:lvlJc w:val="left"/>
      <w:pPr>
        <w:ind w:left="360" w:hanging="360"/>
      </w:pPr>
      <w:rPr>
        <w:rFonts w:ascii="Wingdings" w:eastAsia="PMingLiU" w:hAnsi="Wingdings"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66035A5E"/>
    <w:multiLevelType w:val="multilevel"/>
    <w:tmpl w:val="884A1C20"/>
    <w:lvl w:ilvl="0">
      <w:start w:val="1"/>
      <w:numFmt w:val="decimal"/>
      <w:lvlText w:val="%1."/>
      <w:lvlJc w:val="left"/>
      <w:pPr>
        <w:tabs>
          <w:tab w:val="num" w:pos="720"/>
        </w:tabs>
        <w:ind w:left="720" w:hanging="360"/>
      </w:pPr>
      <w:rPr>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29F0429"/>
    <w:multiLevelType w:val="hybridMultilevel"/>
    <w:tmpl w:val="1BC0FB78"/>
    <w:lvl w:ilvl="0" w:tplc="17A0BC08">
      <w:start w:val="1"/>
      <w:numFmt w:val="decimal"/>
      <w:lvlText w:val="%1."/>
      <w:lvlJc w:val="left"/>
      <w:pPr>
        <w:tabs>
          <w:tab w:val="num" w:pos="360"/>
        </w:tabs>
        <w:ind w:left="360" w:hanging="360"/>
      </w:pPr>
      <w:rPr>
        <w:rFonts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16cid:durableId="485557888">
    <w:abstractNumId w:val="1"/>
  </w:num>
  <w:num w:numId="2" w16cid:durableId="525096694">
    <w:abstractNumId w:val="4"/>
  </w:num>
  <w:num w:numId="3" w16cid:durableId="1252272819">
    <w:abstractNumId w:val="2"/>
  </w:num>
  <w:num w:numId="4" w16cid:durableId="1911192954">
    <w:abstractNumId w:val="3"/>
  </w:num>
  <w:num w:numId="5" w16cid:durableId="1696495908">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hideGrammaticalErrors/>
  <w:proofState w:spelling="clean" w:grammar="clean"/>
  <w:revisionView w:inkAnnotations="0"/>
  <w:defaultTabStop w:val="397"/>
  <w:displayHorizontalDrawingGridEvery w:val="0"/>
  <w:displayVerticalDrawingGridEvery w:val="2"/>
  <w:characterSpacingControl w:val="compressPunctuation"/>
  <w:hdrShapeDefaults>
    <o:shapedefaults v:ext="edit" spidmax="4097"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UyMLAwtjA0NzM1NLZU0lEKTi0uzszPAykwrQUAwx0g7ywAAAA="/>
  </w:docVars>
  <w:rsids>
    <w:rsidRoot w:val="00A66BDA"/>
    <w:rsid w:val="000122C2"/>
    <w:rsid w:val="00015359"/>
    <w:rsid w:val="00016413"/>
    <w:rsid w:val="00032C95"/>
    <w:rsid w:val="000617B8"/>
    <w:rsid w:val="00062F07"/>
    <w:rsid w:val="000631B9"/>
    <w:rsid w:val="000669F2"/>
    <w:rsid w:val="000734C8"/>
    <w:rsid w:val="00073C3C"/>
    <w:rsid w:val="00074310"/>
    <w:rsid w:val="00074B88"/>
    <w:rsid w:val="00081769"/>
    <w:rsid w:val="000903B6"/>
    <w:rsid w:val="00093362"/>
    <w:rsid w:val="000B0919"/>
    <w:rsid w:val="000B310C"/>
    <w:rsid w:val="000B39AA"/>
    <w:rsid w:val="000B3E47"/>
    <w:rsid w:val="000B6600"/>
    <w:rsid w:val="000B7D44"/>
    <w:rsid w:val="000C61E4"/>
    <w:rsid w:val="000D21B6"/>
    <w:rsid w:val="000D3340"/>
    <w:rsid w:val="000D4113"/>
    <w:rsid w:val="000E05AF"/>
    <w:rsid w:val="000E469B"/>
    <w:rsid w:val="000F73BB"/>
    <w:rsid w:val="001070B0"/>
    <w:rsid w:val="001222BD"/>
    <w:rsid w:val="0012643D"/>
    <w:rsid w:val="001320BA"/>
    <w:rsid w:val="00133300"/>
    <w:rsid w:val="00133640"/>
    <w:rsid w:val="00142C22"/>
    <w:rsid w:val="00147247"/>
    <w:rsid w:val="001543FF"/>
    <w:rsid w:val="00155454"/>
    <w:rsid w:val="00163F6A"/>
    <w:rsid w:val="00165DC3"/>
    <w:rsid w:val="00171878"/>
    <w:rsid w:val="00173F08"/>
    <w:rsid w:val="001817CC"/>
    <w:rsid w:val="001870C1"/>
    <w:rsid w:val="00193611"/>
    <w:rsid w:val="001A5C97"/>
    <w:rsid w:val="001A7F6A"/>
    <w:rsid w:val="001B0195"/>
    <w:rsid w:val="001B1DF5"/>
    <w:rsid w:val="001B2312"/>
    <w:rsid w:val="001B7325"/>
    <w:rsid w:val="001B79AC"/>
    <w:rsid w:val="001C6DC2"/>
    <w:rsid w:val="001D4213"/>
    <w:rsid w:val="001E2AE8"/>
    <w:rsid w:val="001E3F18"/>
    <w:rsid w:val="001E46DB"/>
    <w:rsid w:val="001E5D2C"/>
    <w:rsid w:val="001E6BC3"/>
    <w:rsid w:val="001E74AF"/>
    <w:rsid w:val="001F3715"/>
    <w:rsid w:val="001F3BFF"/>
    <w:rsid w:val="001F65FD"/>
    <w:rsid w:val="001F7E31"/>
    <w:rsid w:val="0020154A"/>
    <w:rsid w:val="00202E67"/>
    <w:rsid w:val="002106FD"/>
    <w:rsid w:val="00217E5C"/>
    <w:rsid w:val="00220000"/>
    <w:rsid w:val="00222688"/>
    <w:rsid w:val="00225FC1"/>
    <w:rsid w:val="00234915"/>
    <w:rsid w:val="0024164F"/>
    <w:rsid w:val="002433E4"/>
    <w:rsid w:val="0024533A"/>
    <w:rsid w:val="00246080"/>
    <w:rsid w:val="00246DD2"/>
    <w:rsid w:val="0025215A"/>
    <w:rsid w:val="00271DC6"/>
    <w:rsid w:val="00271EAD"/>
    <w:rsid w:val="002730EA"/>
    <w:rsid w:val="0027453D"/>
    <w:rsid w:val="002747B8"/>
    <w:rsid w:val="00281625"/>
    <w:rsid w:val="00281F6E"/>
    <w:rsid w:val="00285343"/>
    <w:rsid w:val="002863B2"/>
    <w:rsid w:val="002904D7"/>
    <w:rsid w:val="00293F31"/>
    <w:rsid w:val="00294774"/>
    <w:rsid w:val="00294FCF"/>
    <w:rsid w:val="00296BA9"/>
    <w:rsid w:val="002A0C6E"/>
    <w:rsid w:val="002B082C"/>
    <w:rsid w:val="002B69A7"/>
    <w:rsid w:val="002C00FA"/>
    <w:rsid w:val="002C0649"/>
    <w:rsid w:val="002C5008"/>
    <w:rsid w:val="002C6D36"/>
    <w:rsid w:val="002D33B3"/>
    <w:rsid w:val="002E106E"/>
    <w:rsid w:val="002E6D80"/>
    <w:rsid w:val="002F0D20"/>
    <w:rsid w:val="002F1756"/>
    <w:rsid w:val="002F5A28"/>
    <w:rsid w:val="002F64FE"/>
    <w:rsid w:val="002F6FB5"/>
    <w:rsid w:val="00304473"/>
    <w:rsid w:val="003047B3"/>
    <w:rsid w:val="00306563"/>
    <w:rsid w:val="00311ADA"/>
    <w:rsid w:val="00313CFB"/>
    <w:rsid w:val="00315483"/>
    <w:rsid w:val="00320E26"/>
    <w:rsid w:val="0032410B"/>
    <w:rsid w:val="00324A12"/>
    <w:rsid w:val="00340A26"/>
    <w:rsid w:val="00342FF3"/>
    <w:rsid w:val="00345729"/>
    <w:rsid w:val="003531DD"/>
    <w:rsid w:val="00353909"/>
    <w:rsid w:val="00355355"/>
    <w:rsid w:val="00362D36"/>
    <w:rsid w:val="003632B8"/>
    <w:rsid w:val="003640C1"/>
    <w:rsid w:val="00372343"/>
    <w:rsid w:val="0037238F"/>
    <w:rsid w:val="00373A97"/>
    <w:rsid w:val="00374E46"/>
    <w:rsid w:val="00381C0B"/>
    <w:rsid w:val="003920A7"/>
    <w:rsid w:val="00392393"/>
    <w:rsid w:val="00396AF3"/>
    <w:rsid w:val="00396BAD"/>
    <w:rsid w:val="003B1AA3"/>
    <w:rsid w:val="003B3DC2"/>
    <w:rsid w:val="003C0D62"/>
    <w:rsid w:val="003C1399"/>
    <w:rsid w:val="003C6D14"/>
    <w:rsid w:val="003D0502"/>
    <w:rsid w:val="003D5704"/>
    <w:rsid w:val="003D607E"/>
    <w:rsid w:val="003F5732"/>
    <w:rsid w:val="003F7FC0"/>
    <w:rsid w:val="00400416"/>
    <w:rsid w:val="00407DD6"/>
    <w:rsid w:val="004149EC"/>
    <w:rsid w:val="004212D7"/>
    <w:rsid w:val="004227B2"/>
    <w:rsid w:val="004238D8"/>
    <w:rsid w:val="00433146"/>
    <w:rsid w:val="00435197"/>
    <w:rsid w:val="0043548C"/>
    <w:rsid w:val="00462EE1"/>
    <w:rsid w:val="00473FC8"/>
    <w:rsid w:val="00476518"/>
    <w:rsid w:val="004800F4"/>
    <w:rsid w:val="004857C6"/>
    <w:rsid w:val="00486184"/>
    <w:rsid w:val="00490413"/>
    <w:rsid w:val="00492397"/>
    <w:rsid w:val="004949D5"/>
    <w:rsid w:val="004A2B65"/>
    <w:rsid w:val="004B1D19"/>
    <w:rsid w:val="004D6E44"/>
    <w:rsid w:val="004E0514"/>
    <w:rsid w:val="004E5F5E"/>
    <w:rsid w:val="004F2917"/>
    <w:rsid w:val="004F75CD"/>
    <w:rsid w:val="004F7F82"/>
    <w:rsid w:val="00500AA3"/>
    <w:rsid w:val="00501F33"/>
    <w:rsid w:val="0050557D"/>
    <w:rsid w:val="0051165B"/>
    <w:rsid w:val="00511D68"/>
    <w:rsid w:val="00517C02"/>
    <w:rsid w:val="0052173A"/>
    <w:rsid w:val="005267E5"/>
    <w:rsid w:val="0052784E"/>
    <w:rsid w:val="00537D94"/>
    <w:rsid w:val="005425E0"/>
    <w:rsid w:val="0054548B"/>
    <w:rsid w:val="0054639B"/>
    <w:rsid w:val="00553A41"/>
    <w:rsid w:val="00567D21"/>
    <w:rsid w:val="00572C3F"/>
    <w:rsid w:val="00581964"/>
    <w:rsid w:val="005827E1"/>
    <w:rsid w:val="00582BF0"/>
    <w:rsid w:val="00593173"/>
    <w:rsid w:val="005A0D1A"/>
    <w:rsid w:val="005B1967"/>
    <w:rsid w:val="005B2F14"/>
    <w:rsid w:val="005B3EA1"/>
    <w:rsid w:val="005B40FD"/>
    <w:rsid w:val="005B51E2"/>
    <w:rsid w:val="005C01E2"/>
    <w:rsid w:val="005C4DA7"/>
    <w:rsid w:val="005C4ED3"/>
    <w:rsid w:val="005D12B4"/>
    <w:rsid w:val="005D2A07"/>
    <w:rsid w:val="005D3924"/>
    <w:rsid w:val="005E0454"/>
    <w:rsid w:val="005E0786"/>
    <w:rsid w:val="005E146B"/>
    <w:rsid w:val="005E2C59"/>
    <w:rsid w:val="005E4AA8"/>
    <w:rsid w:val="005E7BD0"/>
    <w:rsid w:val="005F478E"/>
    <w:rsid w:val="005F5BA8"/>
    <w:rsid w:val="005F6E6F"/>
    <w:rsid w:val="005F6F3B"/>
    <w:rsid w:val="006013F4"/>
    <w:rsid w:val="00603E07"/>
    <w:rsid w:val="006067C2"/>
    <w:rsid w:val="00617F7E"/>
    <w:rsid w:val="00620A8F"/>
    <w:rsid w:val="0062280C"/>
    <w:rsid w:val="00627B86"/>
    <w:rsid w:val="00631303"/>
    <w:rsid w:val="00634788"/>
    <w:rsid w:val="00635D3C"/>
    <w:rsid w:val="00640797"/>
    <w:rsid w:val="00641F6D"/>
    <w:rsid w:val="006425E0"/>
    <w:rsid w:val="006508F5"/>
    <w:rsid w:val="00652A6C"/>
    <w:rsid w:val="006657B3"/>
    <w:rsid w:val="0067404A"/>
    <w:rsid w:val="006768F7"/>
    <w:rsid w:val="006841F6"/>
    <w:rsid w:val="00684616"/>
    <w:rsid w:val="0069571B"/>
    <w:rsid w:val="006A0855"/>
    <w:rsid w:val="006A0BDA"/>
    <w:rsid w:val="006A22B7"/>
    <w:rsid w:val="006A3E24"/>
    <w:rsid w:val="006B5B67"/>
    <w:rsid w:val="006C3494"/>
    <w:rsid w:val="006C7D89"/>
    <w:rsid w:val="006D1D96"/>
    <w:rsid w:val="006D6F96"/>
    <w:rsid w:val="006E2ECA"/>
    <w:rsid w:val="006E2EE7"/>
    <w:rsid w:val="006E508D"/>
    <w:rsid w:val="006E6814"/>
    <w:rsid w:val="006F122E"/>
    <w:rsid w:val="006F346A"/>
    <w:rsid w:val="006F5A45"/>
    <w:rsid w:val="00701BC3"/>
    <w:rsid w:val="00701BFB"/>
    <w:rsid w:val="00703DE1"/>
    <w:rsid w:val="00711ACD"/>
    <w:rsid w:val="00712857"/>
    <w:rsid w:val="00733A00"/>
    <w:rsid w:val="00734100"/>
    <w:rsid w:val="0074232F"/>
    <w:rsid w:val="00744DAE"/>
    <w:rsid w:val="007520B9"/>
    <w:rsid w:val="00755540"/>
    <w:rsid w:val="00762607"/>
    <w:rsid w:val="007672AD"/>
    <w:rsid w:val="00767A43"/>
    <w:rsid w:val="0077084A"/>
    <w:rsid w:val="007715F8"/>
    <w:rsid w:val="00774BFB"/>
    <w:rsid w:val="0077605D"/>
    <w:rsid w:val="007824BA"/>
    <w:rsid w:val="00783714"/>
    <w:rsid w:val="007839F3"/>
    <w:rsid w:val="007853FA"/>
    <w:rsid w:val="00785B24"/>
    <w:rsid w:val="007935E5"/>
    <w:rsid w:val="00793757"/>
    <w:rsid w:val="007A59B0"/>
    <w:rsid w:val="007A5C66"/>
    <w:rsid w:val="007A75E9"/>
    <w:rsid w:val="007B3688"/>
    <w:rsid w:val="007C3F4C"/>
    <w:rsid w:val="007C4DD6"/>
    <w:rsid w:val="007C672A"/>
    <w:rsid w:val="007D3754"/>
    <w:rsid w:val="007D7850"/>
    <w:rsid w:val="007E4C2A"/>
    <w:rsid w:val="007E5997"/>
    <w:rsid w:val="007F0744"/>
    <w:rsid w:val="007F4EC3"/>
    <w:rsid w:val="007F6448"/>
    <w:rsid w:val="0080050E"/>
    <w:rsid w:val="00802856"/>
    <w:rsid w:val="00802F0A"/>
    <w:rsid w:val="00806C45"/>
    <w:rsid w:val="00806EA6"/>
    <w:rsid w:val="0081088B"/>
    <w:rsid w:val="00816E31"/>
    <w:rsid w:val="008173BC"/>
    <w:rsid w:val="008243C4"/>
    <w:rsid w:val="0083316F"/>
    <w:rsid w:val="008349B4"/>
    <w:rsid w:val="00837984"/>
    <w:rsid w:val="008402A6"/>
    <w:rsid w:val="00840A81"/>
    <w:rsid w:val="008423E0"/>
    <w:rsid w:val="0084564C"/>
    <w:rsid w:val="00850120"/>
    <w:rsid w:val="008503DB"/>
    <w:rsid w:val="00850AF7"/>
    <w:rsid w:val="008527D9"/>
    <w:rsid w:val="00854698"/>
    <w:rsid w:val="00873EF7"/>
    <w:rsid w:val="00874800"/>
    <w:rsid w:val="00876D08"/>
    <w:rsid w:val="008777A7"/>
    <w:rsid w:val="0088141B"/>
    <w:rsid w:val="008832F1"/>
    <w:rsid w:val="008837E1"/>
    <w:rsid w:val="00890AB2"/>
    <w:rsid w:val="00890ABC"/>
    <w:rsid w:val="008917CB"/>
    <w:rsid w:val="00894DAD"/>
    <w:rsid w:val="008A1E92"/>
    <w:rsid w:val="008B129E"/>
    <w:rsid w:val="008B389D"/>
    <w:rsid w:val="008B6705"/>
    <w:rsid w:val="008C1B45"/>
    <w:rsid w:val="008C1F39"/>
    <w:rsid w:val="008C66E3"/>
    <w:rsid w:val="008C7EC7"/>
    <w:rsid w:val="008D0E0D"/>
    <w:rsid w:val="008D24B7"/>
    <w:rsid w:val="008E2AB6"/>
    <w:rsid w:val="008E6BB5"/>
    <w:rsid w:val="008E7E17"/>
    <w:rsid w:val="008F2082"/>
    <w:rsid w:val="008F3807"/>
    <w:rsid w:val="008F73A5"/>
    <w:rsid w:val="00910037"/>
    <w:rsid w:val="009222A2"/>
    <w:rsid w:val="00924D4A"/>
    <w:rsid w:val="009268D4"/>
    <w:rsid w:val="00934FB3"/>
    <w:rsid w:val="00940FFD"/>
    <w:rsid w:val="00956F19"/>
    <w:rsid w:val="0096038B"/>
    <w:rsid w:val="0096250A"/>
    <w:rsid w:val="00964084"/>
    <w:rsid w:val="0097518E"/>
    <w:rsid w:val="00976F55"/>
    <w:rsid w:val="009879AC"/>
    <w:rsid w:val="00992705"/>
    <w:rsid w:val="009928BC"/>
    <w:rsid w:val="00995D07"/>
    <w:rsid w:val="00997987"/>
    <w:rsid w:val="009A546E"/>
    <w:rsid w:val="009A5484"/>
    <w:rsid w:val="009A7025"/>
    <w:rsid w:val="009A78CC"/>
    <w:rsid w:val="009A7AC2"/>
    <w:rsid w:val="009B217A"/>
    <w:rsid w:val="009B5596"/>
    <w:rsid w:val="009C1F23"/>
    <w:rsid w:val="009C3942"/>
    <w:rsid w:val="009C4242"/>
    <w:rsid w:val="009C6A86"/>
    <w:rsid w:val="009D0F8F"/>
    <w:rsid w:val="009D382A"/>
    <w:rsid w:val="009D5429"/>
    <w:rsid w:val="009E1053"/>
    <w:rsid w:val="009E3BA5"/>
    <w:rsid w:val="009E6700"/>
    <w:rsid w:val="009F12B7"/>
    <w:rsid w:val="009F79AE"/>
    <w:rsid w:val="00A01F30"/>
    <w:rsid w:val="00A03399"/>
    <w:rsid w:val="00A0488C"/>
    <w:rsid w:val="00A1193C"/>
    <w:rsid w:val="00A143DE"/>
    <w:rsid w:val="00A17265"/>
    <w:rsid w:val="00A22DD0"/>
    <w:rsid w:val="00A26724"/>
    <w:rsid w:val="00A33F6A"/>
    <w:rsid w:val="00A34EFD"/>
    <w:rsid w:val="00A372FD"/>
    <w:rsid w:val="00A37748"/>
    <w:rsid w:val="00A37E8E"/>
    <w:rsid w:val="00A45A43"/>
    <w:rsid w:val="00A51061"/>
    <w:rsid w:val="00A51BFC"/>
    <w:rsid w:val="00A5435D"/>
    <w:rsid w:val="00A54D20"/>
    <w:rsid w:val="00A5780D"/>
    <w:rsid w:val="00A62662"/>
    <w:rsid w:val="00A65DBE"/>
    <w:rsid w:val="00A664EE"/>
    <w:rsid w:val="00A66BDA"/>
    <w:rsid w:val="00A70379"/>
    <w:rsid w:val="00A74548"/>
    <w:rsid w:val="00A83E23"/>
    <w:rsid w:val="00A9020C"/>
    <w:rsid w:val="00A932E3"/>
    <w:rsid w:val="00A93647"/>
    <w:rsid w:val="00A956BB"/>
    <w:rsid w:val="00A97B65"/>
    <w:rsid w:val="00AA4898"/>
    <w:rsid w:val="00AB4694"/>
    <w:rsid w:val="00AB576F"/>
    <w:rsid w:val="00AB5D04"/>
    <w:rsid w:val="00AC03C9"/>
    <w:rsid w:val="00AC34A1"/>
    <w:rsid w:val="00AC75E9"/>
    <w:rsid w:val="00AD11A3"/>
    <w:rsid w:val="00AD3EA5"/>
    <w:rsid w:val="00AD7B1F"/>
    <w:rsid w:val="00AE3CA3"/>
    <w:rsid w:val="00AE3EC8"/>
    <w:rsid w:val="00AF417C"/>
    <w:rsid w:val="00AF4C14"/>
    <w:rsid w:val="00AF5B50"/>
    <w:rsid w:val="00AF654C"/>
    <w:rsid w:val="00AF6616"/>
    <w:rsid w:val="00AF711B"/>
    <w:rsid w:val="00B0321E"/>
    <w:rsid w:val="00B04D0D"/>
    <w:rsid w:val="00B25B3D"/>
    <w:rsid w:val="00B2674E"/>
    <w:rsid w:val="00B343CF"/>
    <w:rsid w:val="00B34D89"/>
    <w:rsid w:val="00B354BC"/>
    <w:rsid w:val="00B37B4D"/>
    <w:rsid w:val="00B40D11"/>
    <w:rsid w:val="00B4314C"/>
    <w:rsid w:val="00B465A7"/>
    <w:rsid w:val="00B513EE"/>
    <w:rsid w:val="00B54B17"/>
    <w:rsid w:val="00B638D9"/>
    <w:rsid w:val="00B65B2E"/>
    <w:rsid w:val="00B70FAA"/>
    <w:rsid w:val="00B7126C"/>
    <w:rsid w:val="00B751E7"/>
    <w:rsid w:val="00B77122"/>
    <w:rsid w:val="00B7735B"/>
    <w:rsid w:val="00B77E05"/>
    <w:rsid w:val="00B85A24"/>
    <w:rsid w:val="00B92681"/>
    <w:rsid w:val="00B92D06"/>
    <w:rsid w:val="00B94B34"/>
    <w:rsid w:val="00B953FD"/>
    <w:rsid w:val="00BA5FA9"/>
    <w:rsid w:val="00BB17DB"/>
    <w:rsid w:val="00BB1849"/>
    <w:rsid w:val="00BB4C1B"/>
    <w:rsid w:val="00BC3552"/>
    <w:rsid w:val="00BC3940"/>
    <w:rsid w:val="00BC74F5"/>
    <w:rsid w:val="00BD439E"/>
    <w:rsid w:val="00BD64CF"/>
    <w:rsid w:val="00BE12B2"/>
    <w:rsid w:val="00BF0404"/>
    <w:rsid w:val="00BF0CC8"/>
    <w:rsid w:val="00C039CC"/>
    <w:rsid w:val="00C04DD8"/>
    <w:rsid w:val="00C05E64"/>
    <w:rsid w:val="00C146E5"/>
    <w:rsid w:val="00C15E56"/>
    <w:rsid w:val="00C17926"/>
    <w:rsid w:val="00C40B94"/>
    <w:rsid w:val="00C43D72"/>
    <w:rsid w:val="00C6413D"/>
    <w:rsid w:val="00C656DB"/>
    <w:rsid w:val="00C65A3F"/>
    <w:rsid w:val="00C74E8B"/>
    <w:rsid w:val="00C75159"/>
    <w:rsid w:val="00C75BDC"/>
    <w:rsid w:val="00C8202C"/>
    <w:rsid w:val="00C95BE3"/>
    <w:rsid w:val="00CA0613"/>
    <w:rsid w:val="00CA1589"/>
    <w:rsid w:val="00CA2B78"/>
    <w:rsid w:val="00CA798C"/>
    <w:rsid w:val="00CB0FA3"/>
    <w:rsid w:val="00CB525E"/>
    <w:rsid w:val="00CB7453"/>
    <w:rsid w:val="00CC0AA6"/>
    <w:rsid w:val="00CC0E1D"/>
    <w:rsid w:val="00CC69B2"/>
    <w:rsid w:val="00CC7B8D"/>
    <w:rsid w:val="00CD4800"/>
    <w:rsid w:val="00CD6383"/>
    <w:rsid w:val="00CD7E3B"/>
    <w:rsid w:val="00CE2668"/>
    <w:rsid w:val="00CE45CB"/>
    <w:rsid w:val="00CE699D"/>
    <w:rsid w:val="00CF330D"/>
    <w:rsid w:val="00D1579C"/>
    <w:rsid w:val="00D17F93"/>
    <w:rsid w:val="00D21A9D"/>
    <w:rsid w:val="00D2543F"/>
    <w:rsid w:val="00D30979"/>
    <w:rsid w:val="00D30C87"/>
    <w:rsid w:val="00D3216B"/>
    <w:rsid w:val="00D417A9"/>
    <w:rsid w:val="00D5484F"/>
    <w:rsid w:val="00D57421"/>
    <w:rsid w:val="00D66450"/>
    <w:rsid w:val="00D67EB2"/>
    <w:rsid w:val="00D771A8"/>
    <w:rsid w:val="00D81E59"/>
    <w:rsid w:val="00D95210"/>
    <w:rsid w:val="00DA0FF4"/>
    <w:rsid w:val="00DB2551"/>
    <w:rsid w:val="00DB31BE"/>
    <w:rsid w:val="00DB488B"/>
    <w:rsid w:val="00DB6099"/>
    <w:rsid w:val="00DC4B4C"/>
    <w:rsid w:val="00DC4F37"/>
    <w:rsid w:val="00DC50B0"/>
    <w:rsid w:val="00DD2307"/>
    <w:rsid w:val="00DD30EB"/>
    <w:rsid w:val="00DD79F6"/>
    <w:rsid w:val="00DF1FD7"/>
    <w:rsid w:val="00DF39E6"/>
    <w:rsid w:val="00DF6F15"/>
    <w:rsid w:val="00DF72EC"/>
    <w:rsid w:val="00E12526"/>
    <w:rsid w:val="00E12851"/>
    <w:rsid w:val="00E15BF4"/>
    <w:rsid w:val="00E21DAE"/>
    <w:rsid w:val="00E312E1"/>
    <w:rsid w:val="00E34071"/>
    <w:rsid w:val="00E35601"/>
    <w:rsid w:val="00E441F5"/>
    <w:rsid w:val="00E45629"/>
    <w:rsid w:val="00E6133C"/>
    <w:rsid w:val="00E73448"/>
    <w:rsid w:val="00E80A07"/>
    <w:rsid w:val="00E80CF7"/>
    <w:rsid w:val="00E80E06"/>
    <w:rsid w:val="00E82032"/>
    <w:rsid w:val="00E846B0"/>
    <w:rsid w:val="00E940F0"/>
    <w:rsid w:val="00E94A00"/>
    <w:rsid w:val="00E9554F"/>
    <w:rsid w:val="00EA0CAE"/>
    <w:rsid w:val="00EA3110"/>
    <w:rsid w:val="00EA6106"/>
    <w:rsid w:val="00EB194A"/>
    <w:rsid w:val="00EC1D54"/>
    <w:rsid w:val="00EC40DC"/>
    <w:rsid w:val="00EC64C3"/>
    <w:rsid w:val="00EC79A2"/>
    <w:rsid w:val="00ED32A9"/>
    <w:rsid w:val="00ED5F42"/>
    <w:rsid w:val="00EF001E"/>
    <w:rsid w:val="00EF22A0"/>
    <w:rsid w:val="00EF340D"/>
    <w:rsid w:val="00F03170"/>
    <w:rsid w:val="00F035D2"/>
    <w:rsid w:val="00F03AA6"/>
    <w:rsid w:val="00F0414D"/>
    <w:rsid w:val="00F063CC"/>
    <w:rsid w:val="00F11CD7"/>
    <w:rsid w:val="00F21C51"/>
    <w:rsid w:val="00F23A47"/>
    <w:rsid w:val="00F24CA2"/>
    <w:rsid w:val="00F33F08"/>
    <w:rsid w:val="00F34801"/>
    <w:rsid w:val="00F3790B"/>
    <w:rsid w:val="00F41E6D"/>
    <w:rsid w:val="00F50232"/>
    <w:rsid w:val="00F635B7"/>
    <w:rsid w:val="00F72804"/>
    <w:rsid w:val="00F74BBF"/>
    <w:rsid w:val="00F77FBE"/>
    <w:rsid w:val="00F83748"/>
    <w:rsid w:val="00F90F85"/>
    <w:rsid w:val="00F930B4"/>
    <w:rsid w:val="00FA0063"/>
    <w:rsid w:val="00FA40BD"/>
    <w:rsid w:val="00FB2111"/>
    <w:rsid w:val="00FB2C10"/>
    <w:rsid w:val="00FB401C"/>
    <w:rsid w:val="00FB4044"/>
    <w:rsid w:val="00FB5A6C"/>
    <w:rsid w:val="00FB7FCA"/>
    <w:rsid w:val="00FC4759"/>
    <w:rsid w:val="00FD615B"/>
    <w:rsid w:val="00FE2BDF"/>
    <w:rsid w:val="00FE6608"/>
    <w:rsid w:val="00FF45EB"/>
    <w:rsid w:val="00FF521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white">
      <v:fill color="white"/>
    </o:shapedefaults>
    <o:shapelayout v:ext="edit">
      <o:idmap v:ext="edit" data="1"/>
    </o:shapelayout>
  </w:shapeDefaults>
  <w:decimalSymbol w:val="."/>
  <w:listSeparator w:val=","/>
  <w14:docId w14:val="6A9C865E"/>
  <w15:docId w15:val="{B7599556-D935-4806-A0A7-12A0B74E6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PMingLiU"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7E17"/>
    <w:pPr>
      <w:widowControl w:val="0"/>
      <w:spacing w:line="360" w:lineRule="auto"/>
      <w:jc w:val="both"/>
    </w:pPr>
    <w:rPr>
      <w:rFonts w:ascii="Times New Roman" w:hAnsi="Times New Roman"/>
      <w:kern w:val="2"/>
      <w:sz w:val="24"/>
      <w:szCs w:val="22"/>
    </w:rPr>
  </w:style>
  <w:style w:type="paragraph" w:styleId="Heading1">
    <w:name w:val="heading 1"/>
    <w:basedOn w:val="Normal"/>
    <w:next w:val="Normal"/>
    <w:autoRedefine/>
    <w:qFormat/>
    <w:rsid w:val="009A78CC"/>
    <w:pPr>
      <w:keepNext/>
      <w:spacing w:before="180" w:after="180"/>
      <w:outlineLvl w:val="0"/>
    </w:pPr>
    <w:rPr>
      <w:b/>
      <w:bCs/>
      <w:kern w:val="52"/>
      <w:sz w:val="28"/>
      <w:szCs w:val="52"/>
    </w:rPr>
  </w:style>
  <w:style w:type="paragraph" w:styleId="Heading2">
    <w:name w:val="heading 2"/>
    <w:next w:val="BodyText"/>
    <w:autoRedefine/>
    <w:qFormat/>
    <w:rsid w:val="00E9554F"/>
    <w:pPr>
      <w:keepNext/>
      <w:tabs>
        <w:tab w:val="left" w:pos="360"/>
      </w:tabs>
      <w:spacing w:before="60" w:after="120" w:line="360" w:lineRule="auto"/>
      <w:contextualSpacing/>
      <w:outlineLvl w:val="1"/>
    </w:pPr>
    <w:rPr>
      <w:rFonts w:ascii="Times New Roman" w:hAnsi="Times New Roman"/>
      <w:b/>
      <w:bCs/>
      <w:sz w:val="28"/>
      <w:szCs w:val="28"/>
      <w:lang w:eastAsia="en-US"/>
    </w:rPr>
  </w:style>
  <w:style w:type="paragraph" w:styleId="Heading3">
    <w:name w:val="heading 3"/>
    <w:basedOn w:val="Normal"/>
    <w:next w:val="Normal"/>
    <w:autoRedefine/>
    <w:qFormat/>
    <w:rsid w:val="00B92D06"/>
    <w:pPr>
      <w:keepNext/>
      <w:contextualSpacing/>
      <w:outlineLvl w:val="2"/>
    </w:pPr>
    <w:rPr>
      <w:b/>
      <w:szCs w:val="28"/>
    </w:rPr>
  </w:style>
  <w:style w:type="paragraph" w:styleId="Heading4">
    <w:name w:val="heading 4"/>
    <w:basedOn w:val="Normal"/>
    <w:next w:val="Normal"/>
    <w:link w:val="Heading4Char"/>
    <w:uiPriority w:val="9"/>
    <w:semiHidden/>
    <w:unhideWhenUsed/>
    <w:qFormat/>
    <w:rsid w:val="0096250A"/>
    <w:pPr>
      <w:keepNext/>
      <w:spacing w:line="720" w:lineRule="auto"/>
      <w:outlineLvl w:val="3"/>
    </w:pPr>
    <w:rPr>
      <w:rFonts w:ascii="Cambria" w:hAnsi="Cambria"/>
      <w:sz w:val="36"/>
      <w:szCs w:val="36"/>
    </w:rPr>
  </w:style>
  <w:style w:type="paragraph" w:styleId="Heading6">
    <w:name w:val="heading 6"/>
    <w:basedOn w:val="Normal"/>
    <w:next w:val="Normal"/>
    <w:qFormat/>
    <w:pPr>
      <w:keepNext/>
      <w:spacing w:line="720" w:lineRule="auto"/>
      <w:ind w:leftChars="200" w:left="200"/>
      <w:outlineLvl w:val="5"/>
    </w:pPr>
    <w:rPr>
      <w:rFonts w:ascii="Arial" w:hAnsi="Arial"/>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nhideWhenUsed/>
    <w:pPr>
      <w:tabs>
        <w:tab w:val="center" w:pos="4153"/>
        <w:tab w:val="right" w:pos="8306"/>
      </w:tabs>
      <w:snapToGrid w:val="0"/>
    </w:pPr>
    <w:rPr>
      <w:sz w:val="20"/>
      <w:szCs w:val="20"/>
    </w:rPr>
  </w:style>
  <w:style w:type="character" w:customStyle="1" w:styleId="a">
    <w:name w:val="字元"/>
    <w:rPr>
      <w:kern w:val="2"/>
    </w:rPr>
  </w:style>
  <w:style w:type="paragraph" w:styleId="Footer">
    <w:name w:val="footer"/>
    <w:basedOn w:val="Normal"/>
    <w:unhideWhenUsed/>
    <w:pPr>
      <w:tabs>
        <w:tab w:val="center" w:pos="4153"/>
        <w:tab w:val="right" w:pos="8306"/>
      </w:tabs>
      <w:snapToGrid w:val="0"/>
    </w:pPr>
    <w:rPr>
      <w:sz w:val="20"/>
      <w:szCs w:val="20"/>
    </w:rPr>
  </w:style>
  <w:style w:type="character" w:customStyle="1" w:styleId="4">
    <w:name w:val="字元4"/>
    <w:rPr>
      <w:kern w:val="2"/>
    </w:rPr>
  </w:style>
  <w:style w:type="character" w:customStyle="1" w:styleId="3">
    <w:name w:val="字元3"/>
    <w:rPr>
      <w:rFonts w:ascii="Times New Roman" w:hAnsi="Times New Roman"/>
      <w:b/>
      <w:sz w:val="22"/>
      <w:lang w:val="en-US" w:eastAsia="en-US" w:bidi="ar-SA"/>
    </w:rPr>
  </w:style>
  <w:style w:type="paragraph" w:styleId="BodyText">
    <w:name w:val="Body Text"/>
    <w:link w:val="BodyTextChar"/>
    <w:semiHidden/>
    <w:pPr>
      <w:spacing w:after="240"/>
      <w:jc w:val="both"/>
    </w:pPr>
    <w:rPr>
      <w:rFonts w:ascii="Times New Roman" w:hAnsi="Times New Roman"/>
      <w:sz w:val="22"/>
      <w:lang w:eastAsia="en-US"/>
    </w:rPr>
  </w:style>
  <w:style w:type="character" w:customStyle="1" w:styleId="2">
    <w:name w:val="字元2"/>
    <w:rPr>
      <w:rFonts w:ascii="Times New Roman" w:hAnsi="Times New Roman"/>
      <w:sz w:val="22"/>
      <w:lang w:val="en-US" w:eastAsia="en-US" w:bidi="ar-SA"/>
    </w:rPr>
  </w:style>
  <w:style w:type="paragraph" w:customStyle="1" w:styleId="TableBody">
    <w:name w:val="Table Body"/>
    <w:pPr>
      <w:keepNext/>
    </w:pPr>
    <w:rPr>
      <w:rFonts w:ascii="Times New Roman" w:hAnsi="Times New Roman"/>
      <w:sz w:val="22"/>
      <w:lang w:eastAsia="en-US"/>
    </w:rPr>
  </w:style>
  <w:style w:type="paragraph" w:customStyle="1" w:styleId="tableheadscenter">
    <w:name w:val="table heads center"/>
    <w:basedOn w:val="Normal"/>
    <w:next w:val="Normal"/>
    <w:pPr>
      <w:widowControl/>
      <w:spacing w:after="60"/>
      <w:jc w:val="center"/>
    </w:pPr>
    <w:rPr>
      <w:rFonts w:ascii="Arial" w:hAnsi="Arial"/>
      <w:b/>
      <w:kern w:val="0"/>
      <w:sz w:val="22"/>
      <w:szCs w:val="20"/>
      <w:lang w:eastAsia="en-US"/>
    </w:rPr>
  </w:style>
  <w:style w:type="paragraph" w:customStyle="1" w:styleId="Italicsheading">
    <w:name w:val="Italics heading"/>
    <w:basedOn w:val="Normal"/>
    <w:next w:val="BodyText"/>
    <w:pPr>
      <w:widowControl/>
      <w:spacing w:after="120"/>
    </w:pPr>
    <w:rPr>
      <w:i/>
      <w:kern w:val="0"/>
      <w:sz w:val="22"/>
      <w:szCs w:val="20"/>
      <w:lang w:eastAsia="en-US"/>
    </w:rPr>
  </w:style>
  <w:style w:type="character" w:styleId="PageNumber">
    <w:name w:val="page number"/>
    <w:basedOn w:val="DefaultParagraphFont"/>
    <w:semiHidden/>
  </w:style>
  <w:style w:type="paragraph" w:styleId="FootnoteText">
    <w:name w:val="footnote text"/>
    <w:basedOn w:val="Normal"/>
    <w:semiHidden/>
    <w:pPr>
      <w:widowControl/>
    </w:pPr>
    <w:rPr>
      <w:rFonts w:ascii="Arial" w:hAnsi="Arial"/>
      <w:kern w:val="0"/>
      <w:sz w:val="18"/>
      <w:szCs w:val="20"/>
      <w:lang w:eastAsia="en-US"/>
    </w:rPr>
  </w:style>
  <w:style w:type="character" w:customStyle="1" w:styleId="1">
    <w:name w:val="字元1"/>
    <w:semiHidden/>
    <w:rPr>
      <w:rFonts w:ascii="Arial" w:hAnsi="Arial"/>
      <w:sz w:val="18"/>
      <w:lang w:eastAsia="en-US"/>
    </w:rPr>
  </w:style>
  <w:style w:type="character" w:styleId="FootnoteReference">
    <w:name w:val="footnote reference"/>
    <w:semiHidden/>
    <w:rPr>
      <w:vertAlign w:val="superscript"/>
    </w:rPr>
  </w:style>
  <w:style w:type="paragraph" w:styleId="BodyTextIndent2">
    <w:name w:val="Body Text Indent 2"/>
    <w:basedOn w:val="Normal"/>
    <w:semiHidden/>
    <w:pPr>
      <w:spacing w:after="120" w:line="480" w:lineRule="auto"/>
      <w:ind w:leftChars="200" w:left="480"/>
    </w:pPr>
  </w:style>
  <w:style w:type="paragraph" w:styleId="NormalWeb">
    <w:name w:val="Normal (Web)"/>
    <w:basedOn w:val="Normal"/>
    <w:semiHidden/>
    <w:pPr>
      <w:widowControl/>
      <w:spacing w:before="100" w:beforeAutospacing="1" w:after="100" w:afterAutospacing="1"/>
    </w:pPr>
    <w:rPr>
      <w:rFonts w:eastAsia="MS Mincho"/>
      <w:kern w:val="0"/>
      <w:szCs w:val="24"/>
      <w:lang w:eastAsia="ja-JP"/>
    </w:rPr>
  </w:style>
  <w:style w:type="paragraph" w:styleId="ListParagraph">
    <w:name w:val="List Paragraph"/>
    <w:basedOn w:val="Normal"/>
    <w:qFormat/>
    <w:pPr>
      <w:ind w:leftChars="200" w:left="480"/>
    </w:pPr>
  </w:style>
  <w:style w:type="character" w:styleId="CommentReference">
    <w:name w:val="annotation reference"/>
    <w:semiHidden/>
    <w:rPr>
      <w:sz w:val="18"/>
      <w:szCs w:val="18"/>
    </w:rPr>
  </w:style>
  <w:style w:type="paragraph" w:styleId="CommentText">
    <w:name w:val="annotation text"/>
    <w:basedOn w:val="Normal"/>
    <w:link w:val="CommentTextChar"/>
    <w:semiHidden/>
  </w:style>
  <w:style w:type="paragraph" w:customStyle="1" w:styleId="10">
    <w:name w:val="註解主旨1"/>
    <w:basedOn w:val="CommentText"/>
    <w:next w:val="CommentText"/>
    <w:semiHidden/>
    <w:rPr>
      <w:b/>
      <w:bCs/>
    </w:rPr>
  </w:style>
  <w:style w:type="paragraph" w:customStyle="1" w:styleId="11">
    <w:name w:val="註解方塊文字1"/>
    <w:basedOn w:val="Normal"/>
    <w:semiHidden/>
    <w:rPr>
      <w:rFonts w:ascii="Arial" w:hAnsi="Arial"/>
      <w:sz w:val="18"/>
      <w:szCs w:val="18"/>
    </w:rPr>
  </w:style>
  <w:style w:type="paragraph" w:customStyle="1" w:styleId="Style1">
    <w:name w:val="Style1"/>
    <w:basedOn w:val="Normal"/>
    <w:pPr>
      <w:widowControl/>
    </w:pPr>
    <w:rPr>
      <w:kern w:val="0"/>
      <w:szCs w:val="20"/>
      <w:lang w:val="en-GB" w:eastAsia="en-US"/>
    </w:rPr>
  </w:style>
  <w:style w:type="paragraph" w:styleId="TOC1">
    <w:name w:val="toc 1"/>
    <w:basedOn w:val="Heading1"/>
    <w:next w:val="Normal"/>
    <w:autoRedefine/>
    <w:uiPriority w:val="39"/>
    <w:pPr>
      <w:keepNext w:val="0"/>
      <w:spacing w:before="360" w:after="0" w:line="240" w:lineRule="auto"/>
      <w:outlineLvl w:val="9"/>
    </w:pPr>
    <w:rPr>
      <w:rFonts w:cs="Arial"/>
      <w:caps/>
      <w:kern w:val="2"/>
      <w:sz w:val="24"/>
      <w:szCs w:val="24"/>
    </w:rPr>
  </w:style>
  <w:style w:type="character" w:customStyle="1" w:styleId="bodycopy1">
    <w:name w:val="bodycopy1"/>
    <w:rPr>
      <w:rFonts w:ascii="Verdana" w:hAnsi="Verdana" w:hint="default"/>
      <w:b w:val="0"/>
      <w:bCs w:val="0"/>
      <w:color w:val="000000"/>
      <w:sz w:val="18"/>
      <w:szCs w:val="18"/>
    </w:rPr>
  </w:style>
  <w:style w:type="paragraph" w:customStyle="1" w:styleId="Arial">
    <w:name w:val="內文 + (拉丁) Arial"/>
    <w:aliases w:val="(中文) 新細明體,11"/>
    <w:basedOn w:val="NormalWeb"/>
  </w:style>
  <w:style w:type="paragraph" w:styleId="BodyText2">
    <w:name w:val="Body Text 2"/>
    <w:basedOn w:val="Normal"/>
    <w:semiHidden/>
    <w:pPr>
      <w:tabs>
        <w:tab w:val="left" w:pos="480"/>
        <w:tab w:val="left" w:pos="6855"/>
      </w:tabs>
      <w:adjustRightInd w:val="0"/>
      <w:snapToGrid w:val="0"/>
    </w:pPr>
    <w:rPr>
      <w:rFonts w:ascii="Arial" w:hAnsi="Arial" w:cs="Arial"/>
    </w:rPr>
  </w:style>
  <w:style w:type="paragraph" w:styleId="BodyText3">
    <w:name w:val="Body Text 3"/>
    <w:basedOn w:val="Normal"/>
    <w:semiHidden/>
    <w:pPr>
      <w:tabs>
        <w:tab w:val="left" w:pos="720"/>
      </w:tabs>
      <w:adjustRightInd w:val="0"/>
      <w:snapToGrid w:val="0"/>
      <w:ind w:right="85"/>
    </w:pPr>
    <w:rPr>
      <w:rFonts w:ascii="Arial" w:hAnsi="Arial" w:cs="Arial"/>
      <w:sz w:val="22"/>
    </w:rPr>
  </w:style>
  <w:style w:type="character" w:styleId="Hyperlink">
    <w:name w:val="Hyperlink"/>
    <w:uiPriority w:val="99"/>
    <w:rPr>
      <w:color w:val="0000FF"/>
      <w:u w:val="single"/>
    </w:rPr>
  </w:style>
  <w:style w:type="paragraph" w:styleId="Title">
    <w:name w:val="Title"/>
    <w:basedOn w:val="Normal"/>
    <w:qFormat/>
    <w:pPr>
      <w:widowControl/>
      <w:jc w:val="center"/>
    </w:pPr>
    <w:rPr>
      <w:b/>
      <w:bCs/>
      <w:kern w:val="0"/>
      <w:sz w:val="32"/>
      <w:szCs w:val="24"/>
      <w:lang w:eastAsia="en-US"/>
    </w:rPr>
  </w:style>
  <w:style w:type="character" w:styleId="Strong">
    <w:name w:val="Strong"/>
    <w:qFormat/>
    <w:rPr>
      <w:b/>
      <w:bCs/>
    </w:rPr>
  </w:style>
  <w:style w:type="character" w:customStyle="1" w:styleId="shorttext">
    <w:name w:val="short_text"/>
    <w:basedOn w:val="DefaultParagraphFont"/>
  </w:style>
  <w:style w:type="character" w:customStyle="1" w:styleId="a0">
    <w:name w:val="頁尾 字元"/>
    <w:rPr>
      <w:rFonts w:eastAsia="SimSun"/>
      <w:kern w:val="2"/>
      <w:lang w:eastAsia="zh-CN"/>
    </w:rPr>
  </w:style>
  <w:style w:type="table" w:styleId="TableGrid">
    <w:name w:val="Table Grid"/>
    <w:basedOn w:val="TableNormal"/>
    <w:uiPriority w:val="59"/>
    <w:rsid w:val="004904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link w:val="Heading4"/>
    <w:uiPriority w:val="9"/>
    <w:semiHidden/>
    <w:rsid w:val="0096250A"/>
    <w:rPr>
      <w:rFonts w:ascii="Cambria" w:eastAsia="PMingLiU" w:hAnsi="Cambria" w:cs="Times New Roman"/>
      <w:kern w:val="2"/>
      <w:sz w:val="36"/>
      <w:szCs w:val="36"/>
    </w:rPr>
  </w:style>
  <w:style w:type="character" w:customStyle="1" w:styleId="BodyTextChar">
    <w:name w:val="Body Text Char"/>
    <w:link w:val="BodyText"/>
    <w:semiHidden/>
    <w:rsid w:val="00CA1589"/>
    <w:rPr>
      <w:rFonts w:ascii="Times New Roman" w:hAnsi="Times New Roman"/>
      <w:sz w:val="22"/>
      <w:lang w:eastAsia="en-US"/>
    </w:rPr>
  </w:style>
  <w:style w:type="character" w:customStyle="1" w:styleId="UnresolvedMention1">
    <w:name w:val="Unresolved Mention1"/>
    <w:basedOn w:val="DefaultParagraphFont"/>
    <w:uiPriority w:val="99"/>
    <w:semiHidden/>
    <w:unhideWhenUsed/>
    <w:rsid w:val="000D3340"/>
    <w:rPr>
      <w:color w:val="605E5C"/>
      <w:shd w:val="clear" w:color="auto" w:fill="E1DFDD"/>
    </w:rPr>
  </w:style>
  <w:style w:type="table" w:customStyle="1" w:styleId="PlainTable11">
    <w:name w:val="Plain Table 11"/>
    <w:basedOn w:val="TableNormal"/>
    <w:uiPriority w:val="41"/>
    <w:rsid w:val="00BC3552"/>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8243C4"/>
    <w:pPr>
      <w:keepLines/>
      <w:widowControl/>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lang w:eastAsia="en-US"/>
    </w:rPr>
  </w:style>
  <w:style w:type="paragraph" w:styleId="TOC2">
    <w:name w:val="toc 2"/>
    <w:basedOn w:val="Normal"/>
    <w:next w:val="Normal"/>
    <w:autoRedefine/>
    <w:uiPriority w:val="39"/>
    <w:unhideWhenUsed/>
    <w:rsid w:val="00AF654C"/>
    <w:pPr>
      <w:tabs>
        <w:tab w:val="left" w:pos="960"/>
        <w:tab w:val="right" w:leader="dot" w:pos="9060"/>
      </w:tabs>
      <w:spacing w:after="100" w:line="276" w:lineRule="auto"/>
      <w:ind w:left="240"/>
    </w:pPr>
  </w:style>
  <w:style w:type="paragraph" w:styleId="TOC3">
    <w:name w:val="toc 3"/>
    <w:basedOn w:val="Normal"/>
    <w:next w:val="Normal"/>
    <w:autoRedefine/>
    <w:uiPriority w:val="39"/>
    <w:unhideWhenUsed/>
    <w:rsid w:val="008243C4"/>
    <w:pPr>
      <w:spacing w:after="100"/>
      <w:ind w:left="480"/>
    </w:pPr>
  </w:style>
  <w:style w:type="paragraph" w:styleId="BalloonText">
    <w:name w:val="Balloon Text"/>
    <w:basedOn w:val="Normal"/>
    <w:link w:val="BalloonTextChar"/>
    <w:uiPriority w:val="99"/>
    <w:semiHidden/>
    <w:unhideWhenUsed/>
    <w:rsid w:val="00734100"/>
    <w:rPr>
      <w:rFonts w:ascii="Tahoma" w:hAnsi="Tahoma" w:cs="Tahoma"/>
      <w:sz w:val="16"/>
      <w:szCs w:val="16"/>
    </w:rPr>
  </w:style>
  <w:style w:type="character" w:customStyle="1" w:styleId="BalloonTextChar">
    <w:name w:val="Balloon Text Char"/>
    <w:basedOn w:val="DefaultParagraphFont"/>
    <w:link w:val="BalloonText"/>
    <w:uiPriority w:val="99"/>
    <w:semiHidden/>
    <w:rsid w:val="00734100"/>
    <w:rPr>
      <w:rFonts w:ascii="Tahoma" w:hAnsi="Tahoma" w:cs="Tahoma"/>
      <w:kern w:val="2"/>
      <w:sz w:val="16"/>
      <w:szCs w:val="16"/>
    </w:rPr>
  </w:style>
  <w:style w:type="paragraph" w:styleId="CommentSubject">
    <w:name w:val="annotation subject"/>
    <w:basedOn w:val="CommentText"/>
    <w:next w:val="CommentText"/>
    <w:link w:val="CommentSubjectChar"/>
    <w:uiPriority w:val="99"/>
    <w:semiHidden/>
    <w:unhideWhenUsed/>
    <w:rsid w:val="00AF711B"/>
    <w:rPr>
      <w:b/>
      <w:bCs/>
      <w:sz w:val="20"/>
      <w:szCs w:val="20"/>
    </w:rPr>
  </w:style>
  <w:style w:type="character" w:customStyle="1" w:styleId="CommentTextChar">
    <w:name w:val="Comment Text Char"/>
    <w:basedOn w:val="DefaultParagraphFont"/>
    <w:link w:val="CommentText"/>
    <w:semiHidden/>
    <w:rsid w:val="00AF711B"/>
    <w:rPr>
      <w:rFonts w:ascii="Times New Roman" w:hAnsi="Times New Roman"/>
      <w:kern w:val="2"/>
      <w:sz w:val="24"/>
      <w:szCs w:val="22"/>
    </w:rPr>
  </w:style>
  <w:style w:type="character" w:customStyle="1" w:styleId="CommentSubjectChar">
    <w:name w:val="Comment Subject Char"/>
    <w:basedOn w:val="CommentTextChar"/>
    <w:link w:val="CommentSubject"/>
    <w:uiPriority w:val="99"/>
    <w:semiHidden/>
    <w:rsid w:val="00AF711B"/>
    <w:rPr>
      <w:rFonts w:ascii="Times New Roman" w:hAnsi="Times New Roman"/>
      <w:b/>
      <w:bCs/>
      <w:kern w:val="2"/>
      <w:sz w:val="24"/>
      <w:szCs w:val="22"/>
    </w:rPr>
  </w:style>
  <w:style w:type="paragraph" w:styleId="Revision">
    <w:name w:val="Revision"/>
    <w:hidden/>
    <w:uiPriority w:val="99"/>
    <w:semiHidden/>
    <w:rsid w:val="009A78CC"/>
    <w:rPr>
      <w:rFonts w:ascii="Times New Roman" w:hAnsi="Times New Roman"/>
      <w:kern w:val="2"/>
      <w:sz w:val="24"/>
      <w:szCs w:val="22"/>
    </w:rPr>
  </w:style>
  <w:style w:type="paragraph" w:customStyle="1" w:styleId="break-words">
    <w:name w:val="break-words"/>
    <w:basedOn w:val="Normal"/>
    <w:rsid w:val="00234915"/>
    <w:pPr>
      <w:widowControl/>
      <w:spacing w:before="100" w:beforeAutospacing="1" w:after="100" w:afterAutospacing="1" w:line="240" w:lineRule="auto"/>
      <w:jc w:val="left"/>
    </w:pPr>
    <w:rPr>
      <w:rFonts w:eastAsia="Times New Roman"/>
      <w:kern w:val="0"/>
      <w:szCs w:val="24"/>
      <w:lang w:eastAsia="en-US"/>
    </w:rPr>
  </w:style>
  <w:style w:type="character" w:styleId="FollowedHyperlink">
    <w:name w:val="FollowedHyperlink"/>
    <w:basedOn w:val="DefaultParagraphFont"/>
    <w:uiPriority w:val="99"/>
    <w:semiHidden/>
    <w:unhideWhenUsed/>
    <w:rsid w:val="00D57421"/>
    <w:rPr>
      <w:color w:val="800080" w:themeColor="followedHyperlink"/>
      <w:u w:val="single"/>
    </w:rPr>
  </w:style>
  <w:style w:type="paragraph" w:styleId="Bibliography">
    <w:name w:val="Bibliography"/>
    <w:basedOn w:val="Normal"/>
    <w:next w:val="Normal"/>
    <w:uiPriority w:val="37"/>
    <w:unhideWhenUsed/>
    <w:rsid w:val="0084564C"/>
    <w:pPr>
      <w:spacing w:after="240" w:line="240" w:lineRule="auto"/>
    </w:pPr>
  </w:style>
  <w:style w:type="character" w:styleId="UnresolvedMention">
    <w:name w:val="Unresolved Mention"/>
    <w:basedOn w:val="DefaultParagraphFont"/>
    <w:uiPriority w:val="99"/>
    <w:semiHidden/>
    <w:unhideWhenUsed/>
    <w:rsid w:val="00567D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6839">
      <w:bodyDiv w:val="1"/>
      <w:marLeft w:val="0"/>
      <w:marRight w:val="0"/>
      <w:marTop w:val="0"/>
      <w:marBottom w:val="0"/>
      <w:divBdr>
        <w:top w:val="none" w:sz="0" w:space="0" w:color="auto"/>
        <w:left w:val="none" w:sz="0" w:space="0" w:color="auto"/>
        <w:bottom w:val="none" w:sz="0" w:space="0" w:color="auto"/>
        <w:right w:val="none" w:sz="0" w:space="0" w:color="auto"/>
      </w:divBdr>
      <w:divsChild>
        <w:div w:id="668287261">
          <w:marLeft w:val="0"/>
          <w:marRight w:val="0"/>
          <w:marTop w:val="0"/>
          <w:marBottom w:val="0"/>
          <w:divBdr>
            <w:top w:val="none" w:sz="0" w:space="0" w:color="auto"/>
            <w:left w:val="none" w:sz="0" w:space="0" w:color="auto"/>
            <w:bottom w:val="none" w:sz="0" w:space="0" w:color="auto"/>
            <w:right w:val="none" w:sz="0" w:space="0" w:color="auto"/>
          </w:divBdr>
        </w:div>
      </w:divsChild>
    </w:div>
    <w:div w:id="4331541">
      <w:bodyDiv w:val="1"/>
      <w:marLeft w:val="0"/>
      <w:marRight w:val="0"/>
      <w:marTop w:val="0"/>
      <w:marBottom w:val="0"/>
      <w:divBdr>
        <w:top w:val="none" w:sz="0" w:space="0" w:color="auto"/>
        <w:left w:val="none" w:sz="0" w:space="0" w:color="auto"/>
        <w:bottom w:val="none" w:sz="0" w:space="0" w:color="auto"/>
        <w:right w:val="none" w:sz="0" w:space="0" w:color="auto"/>
      </w:divBdr>
      <w:divsChild>
        <w:div w:id="1243636525">
          <w:marLeft w:val="0"/>
          <w:marRight w:val="0"/>
          <w:marTop w:val="0"/>
          <w:marBottom w:val="300"/>
          <w:divBdr>
            <w:top w:val="single" w:sz="2" w:space="0" w:color="000000"/>
            <w:left w:val="single" w:sz="2" w:space="0" w:color="000000"/>
            <w:bottom w:val="single" w:sz="2" w:space="0" w:color="000000"/>
            <w:right w:val="single" w:sz="2" w:space="0" w:color="000000"/>
          </w:divBdr>
        </w:div>
        <w:div w:id="1255743697">
          <w:marLeft w:val="0"/>
          <w:marRight w:val="0"/>
          <w:marTop w:val="0"/>
          <w:marBottom w:val="300"/>
          <w:divBdr>
            <w:top w:val="single" w:sz="2" w:space="0" w:color="000000"/>
            <w:left w:val="single" w:sz="2" w:space="0" w:color="000000"/>
            <w:bottom w:val="single" w:sz="2" w:space="0" w:color="000000"/>
            <w:right w:val="single" w:sz="2" w:space="0" w:color="000000"/>
          </w:divBdr>
        </w:div>
        <w:div w:id="1659387026">
          <w:marLeft w:val="0"/>
          <w:marRight w:val="0"/>
          <w:marTop w:val="0"/>
          <w:marBottom w:val="300"/>
          <w:divBdr>
            <w:top w:val="single" w:sz="2" w:space="0" w:color="000000"/>
            <w:left w:val="single" w:sz="2" w:space="0" w:color="000000"/>
            <w:bottom w:val="single" w:sz="2" w:space="0" w:color="000000"/>
            <w:right w:val="single" w:sz="2" w:space="0" w:color="000000"/>
          </w:divBdr>
        </w:div>
      </w:divsChild>
    </w:div>
    <w:div w:id="9839612">
      <w:bodyDiv w:val="1"/>
      <w:marLeft w:val="0"/>
      <w:marRight w:val="0"/>
      <w:marTop w:val="0"/>
      <w:marBottom w:val="0"/>
      <w:divBdr>
        <w:top w:val="none" w:sz="0" w:space="0" w:color="auto"/>
        <w:left w:val="none" w:sz="0" w:space="0" w:color="auto"/>
        <w:bottom w:val="none" w:sz="0" w:space="0" w:color="auto"/>
        <w:right w:val="none" w:sz="0" w:space="0" w:color="auto"/>
      </w:divBdr>
      <w:divsChild>
        <w:div w:id="804618235">
          <w:marLeft w:val="0"/>
          <w:marRight w:val="0"/>
          <w:marTop w:val="0"/>
          <w:marBottom w:val="300"/>
          <w:divBdr>
            <w:top w:val="single" w:sz="2" w:space="0" w:color="000000"/>
            <w:left w:val="single" w:sz="2" w:space="0" w:color="000000"/>
            <w:bottom w:val="single" w:sz="2" w:space="0" w:color="000000"/>
            <w:right w:val="single" w:sz="2" w:space="0" w:color="000000"/>
          </w:divBdr>
        </w:div>
        <w:div w:id="1636835178">
          <w:marLeft w:val="0"/>
          <w:marRight w:val="0"/>
          <w:marTop w:val="0"/>
          <w:marBottom w:val="300"/>
          <w:divBdr>
            <w:top w:val="single" w:sz="2" w:space="0" w:color="000000"/>
            <w:left w:val="single" w:sz="2" w:space="0" w:color="000000"/>
            <w:bottom w:val="single" w:sz="2" w:space="0" w:color="000000"/>
            <w:right w:val="single" w:sz="2" w:space="0" w:color="000000"/>
          </w:divBdr>
        </w:div>
        <w:div w:id="1776100134">
          <w:marLeft w:val="0"/>
          <w:marRight w:val="0"/>
          <w:marTop w:val="0"/>
          <w:marBottom w:val="300"/>
          <w:divBdr>
            <w:top w:val="single" w:sz="2" w:space="0" w:color="000000"/>
            <w:left w:val="single" w:sz="2" w:space="0" w:color="000000"/>
            <w:bottom w:val="single" w:sz="2" w:space="0" w:color="000000"/>
            <w:right w:val="single" w:sz="2" w:space="0" w:color="000000"/>
          </w:divBdr>
        </w:div>
      </w:divsChild>
    </w:div>
    <w:div w:id="49574608">
      <w:bodyDiv w:val="1"/>
      <w:marLeft w:val="0"/>
      <w:marRight w:val="0"/>
      <w:marTop w:val="0"/>
      <w:marBottom w:val="0"/>
      <w:divBdr>
        <w:top w:val="none" w:sz="0" w:space="0" w:color="auto"/>
        <w:left w:val="none" w:sz="0" w:space="0" w:color="auto"/>
        <w:bottom w:val="none" w:sz="0" w:space="0" w:color="auto"/>
        <w:right w:val="none" w:sz="0" w:space="0" w:color="auto"/>
      </w:divBdr>
      <w:divsChild>
        <w:div w:id="455030251">
          <w:marLeft w:val="0"/>
          <w:marRight w:val="0"/>
          <w:marTop w:val="0"/>
          <w:marBottom w:val="0"/>
          <w:divBdr>
            <w:top w:val="none" w:sz="0" w:space="0" w:color="auto"/>
            <w:left w:val="none" w:sz="0" w:space="0" w:color="auto"/>
            <w:bottom w:val="none" w:sz="0" w:space="0" w:color="auto"/>
            <w:right w:val="none" w:sz="0" w:space="0" w:color="auto"/>
          </w:divBdr>
        </w:div>
      </w:divsChild>
    </w:div>
    <w:div w:id="65882612">
      <w:bodyDiv w:val="1"/>
      <w:marLeft w:val="0"/>
      <w:marRight w:val="0"/>
      <w:marTop w:val="0"/>
      <w:marBottom w:val="0"/>
      <w:divBdr>
        <w:top w:val="none" w:sz="0" w:space="0" w:color="auto"/>
        <w:left w:val="none" w:sz="0" w:space="0" w:color="auto"/>
        <w:bottom w:val="none" w:sz="0" w:space="0" w:color="auto"/>
        <w:right w:val="none" w:sz="0" w:space="0" w:color="auto"/>
      </w:divBdr>
      <w:divsChild>
        <w:div w:id="688068479">
          <w:marLeft w:val="0"/>
          <w:marRight w:val="0"/>
          <w:marTop w:val="0"/>
          <w:marBottom w:val="0"/>
          <w:divBdr>
            <w:top w:val="none" w:sz="0" w:space="0" w:color="auto"/>
            <w:left w:val="none" w:sz="0" w:space="0" w:color="auto"/>
            <w:bottom w:val="none" w:sz="0" w:space="0" w:color="auto"/>
            <w:right w:val="none" w:sz="0" w:space="0" w:color="auto"/>
          </w:divBdr>
        </w:div>
      </w:divsChild>
    </w:div>
    <w:div w:id="74134543">
      <w:bodyDiv w:val="1"/>
      <w:marLeft w:val="0"/>
      <w:marRight w:val="0"/>
      <w:marTop w:val="0"/>
      <w:marBottom w:val="0"/>
      <w:divBdr>
        <w:top w:val="none" w:sz="0" w:space="0" w:color="auto"/>
        <w:left w:val="none" w:sz="0" w:space="0" w:color="auto"/>
        <w:bottom w:val="none" w:sz="0" w:space="0" w:color="auto"/>
        <w:right w:val="none" w:sz="0" w:space="0" w:color="auto"/>
      </w:divBdr>
      <w:divsChild>
        <w:div w:id="213586665">
          <w:marLeft w:val="0"/>
          <w:marRight w:val="0"/>
          <w:marTop w:val="0"/>
          <w:marBottom w:val="0"/>
          <w:divBdr>
            <w:top w:val="none" w:sz="0" w:space="0" w:color="auto"/>
            <w:left w:val="none" w:sz="0" w:space="0" w:color="auto"/>
            <w:bottom w:val="none" w:sz="0" w:space="0" w:color="auto"/>
            <w:right w:val="none" w:sz="0" w:space="0" w:color="auto"/>
          </w:divBdr>
        </w:div>
      </w:divsChild>
    </w:div>
    <w:div w:id="78673943">
      <w:bodyDiv w:val="1"/>
      <w:marLeft w:val="0"/>
      <w:marRight w:val="0"/>
      <w:marTop w:val="0"/>
      <w:marBottom w:val="0"/>
      <w:divBdr>
        <w:top w:val="none" w:sz="0" w:space="0" w:color="auto"/>
        <w:left w:val="none" w:sz="0" w:space="0" w:color="auto"/>
        <w:bottom w:val="none" w:sz="0" w:space="0" w:color="auto"/>
        <w:right w:val="none" w:sz="0" w:space="0" w:color="auto"/>
      </w:divBdr>
      <w:divsChild>
        <w:div w:id="153492318">
          <w:marLeft w:val="0"/>
          <w:marRight w:val="0"/>
          <w:marTop w:val="0"/>
          <w:marBottom w:val="0"/>
          <w:divBdr>
            <w:top w:val="none" w:sz="0" w:space="0" w:color="auto"/>
            <w:left w:val="none" w:sz="0" w:space="0" w:color="auto"/>
            <w:bottom w:val="none" w:sz="0" w:space="0" w:color="auto"/>
            <w:right w:val="none" w:sz="0" w:space="0" w:color="auto"/>
          </w:divBdr>
        </w:div>
      </w:divsChild>
    </w:div>
    <w:div w:id="81339711">
      <w:bodyDiv w:val="1"/>
      <w:marLeft w:val="0"/>
      <w:marRight w:val="0"/>
      <w:marTop w:val="0"/>
      <w:marBottom w:val="0"/>
      <w:divBdr>
        <w:top w:val="none" w:sz="0" w:space="0" w:color="auto"/>
        <w:left w:val="none" w:sz="0" w:space="0" w:color="auto"/>
        <w:bottom w:val="none" w:sz="0" w:space="0" w:color="auto"/>
        <w:right w:val="none" w:sz="0" w:space="0" w:color="auto"/>
      </w:divBdr>
      <w:divsChild>
        <w:div w:id="387845004">
          <w:marLeft w:val="0"/>
          <w:marRight w:val="0"/>
          <w:marTop w:val="0"/>
          <w:marBottom w:val="0"/>
          <w:divBdr>
            <w:top w:val="none" w:sz="0" w:space="0" w:color="auto"/>
            <w:left w:val="none" w:sz="0" w:space="0" w:color="auto"/>
            <w:bottom w:val="none" w:sz="0" w:space="0" w:color="auto"/>
            <w:right w:val="none" w:sz="0" w:space="0" w:color="auto"/>
          </w:divBdr>
        </w:div>
      </w:divsChild>
    </w:div>
    <w:div w:id="113409823">
      <w:bodyDiv w:val="1"/>
      <w:marLeft w:val="0"/>
      <w:marRight w:val="0"/>
      <w:marTop w:val="0"/>
      <w:marBottom w:val="0"/>
      <w:divBdr>
        <w:top w:val="none" w:sz="0" w:space="0" w:color="auto"/>
        <w:left w:val="none" w:sz="0" w:space="0" w:color="auto"/>
        <w:bottom w:val="none" w:sz="0" w:space="0" w:color="auto"/>
        <w:right w:val="none" w:sz="0" w:space="0" w:color="auto"/>
      </w:divBdr>
      <w:divsChild>
        <w:div w:id="1345479724">
          <w:marLeft w:val="0"/>
          <w:marRight w:val="0"/>
          <w:marTop w:val="0"/>
          <w:marBottom w:val="0"/>
          <w:divBdr>
            <w:top w:val="none" w:sz="0" w:space="0" w:color="auto"/>
            <w:left w:val="none" w:sz="0" w:space="0" w:color="auto"/>
            <w:bottom w:val="none" w:sz="0" w:space="0" w:color="auto"/>
            <w:right w:val="none" w:sz="0" w:space="0" w:color="auto"/>
          </w:divBdr>
        </w:div>
      </w:divsChild>
    </w:div>
    <w:div w:id="145249081">
      <w:bodyDiv w:val="1"/>
      <w:marLeft w:val="0"/>
      <w:marRight w:val="0"/>
      <w:marTop w:val="0"/>
      <w:marBottom w:val="0"/>
      <w:divBdr>
        <w:top w:val="none" w:sz="0" w:space="0" w:color="auto"/>
        <w:left w:val="none" w:sz="0" w:space="0" w:color="auto"/>
        <w:bottom w:val="none" w:sz="0" w:space="0" w:color="auto"/>
        <w:right w:val="none" w:sz="0" w:space="0" w:color="auto"/>
      </w:divBdr>
      <w:divsChild>
        <w:div w:id="27806622">
          <w:marLeft w:val="0"/>
          <w:marRight w:val="0"/>
          <w:marTop w:val="0"/>
          <w:marBottom w:val="0"/>
          <w:divBdr>
            <w:top w:val="single" w:sz="2" w:space="0" w:color="000000"/>
            <w:left w:val="single" w:sz="2" w:space="0" w:color="000000"/>
            <w:bottom w:val="single" w:sz="2" w:space="0" w:color="000000"/>
            <w:right w:val="single" w:sz="2" w:space="0" w:color="000000"/>
          </w:divBdr>
        </w:div>
        <w:div w:id="98961801">
          <w:marLeft w:val="0"/>
          <w:marRight w:val="0"/>
          <w:marTop w:val="0"/>
          <w:marBottom w:val="0"/>
          <w:divBdr>
            <w:top w:val="single" w:sz="2" w:space="0" w:color="000000"/>
            <w:left w:val="single" w:sz="2" w:space="0" w:color="000000"/>
            <w:bottom w:val="single" w:sz="2" w:space="0" w:color="000000"/>
            <w:right w:val="single" w:sz="2" w:space="0" w:color="000000"/>
          </w:divBdr>
        </w:div>
        <w:div w:id="598215214">
          <w:marLeft w:val="0"/>
          <w:marRight w:val="0"/>
          <w:marTop w:val="0"/>
          <w:marBottom w:val="0"/>
          <w:divBdr>
            <w:top w:val="single" w:sz="2" w:space="0" w:color="000000"/>
            <w:left w:val="single" w:sz="2" w:space="0" w:color="000000"/>
            <w:bottom w:val="single" w:sz="2" w:space="0" w:color="000000"/>
            <w:right w:val="single" w:sz="2" w:space="0" w:color="000000"/>
          </w:divBdr>
        </w:div>
        <w:div w:id="1240477738">
          <w:marLeft w:val="0"/>
          <w:marRight w:val="0"/>
          <w:marTop w:val="0"/>
          <w:marBottom w:val="300"/>
          <w:divBdr>
            <w:top w:val="single" w:sz="2" w:space="0" w:color="000000"/>
            <w:left w:val="single" w:sz="2" w:space="0" w:color="000000"/>
            <w:bottom w:val="single" w:sz="2" w:space="0" w:color="000000"/>
            <w:right w:val="single" w:sz="2" w:space="0" w:color="000000"/>
          </w:divBdr>
        </w:div>
        <w:div w:id="1771580769">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50490617">
      <w:bodyDiv w:val="1"/>
      <w:marLeft w:val="0"/>
      <w:marRight w:val="0"/>
      <w:marTop w:val="0"/>
      <w:marBottom w:val="0"/>
      <w:divBdr>
        <w:top w:val="none" w:sz="0" w:space="0" w:color="auto"/>
        <w:left w:val="none" w:sz="0" w:space="0" w:color="auto"/>
        <w:bottom w:val="none" w:sz="0" w:space="0" w:color="auto"/>
        <w:right w:val="none" w:sz="0" w:space="0" w:color="auto"/>
      </w:divBdr>
      <w:divsChild>
        <w:div w:id="1726636236">
          <w:marLeft w:val="0"/>
          <w:marRight w:val="0"/>
          <w:marTop w:val="0"/>
          <w:marBottom w:val="0"/>
          <w:divBdr>
            <w:top w:val="none" w:sz="0" w:space="0" w:color="auto"/>
            <w:left w:val="none" w:sz="0" w:space="0" w:color="auto"/>
            <w:bottom w:val="none" w:sz="0" w:space="0" w:color="auto"/>
            <w:right w:val="none" w:sz="0" w:space="0" w:color="auto"/>
          </w:divBdr>
        </w:div>
      </w:divsChild>
    </w:div>
    <w:div w:id="155654936">
      <w:bodyDiv w:val="1"/>
      <w:marLeft w:val="0"/>
      <w:marRight w:val="0"/>
      <w:marTop w:val="0"/>
      <w:marBottom w:val="0"/>
      <w:divBdr>
        <w:top w:val="none" w:sz="0" w:space="0" w:color="auto"/>
        <w:left w:val="none" w:sz="0" w:space="0" w:color="auto"/>
        <w:bottom w:val="none" w:sz="0" w:space="0" w:color="auto"/>
        <w:right w:val="none" w:sz="0" w:space="0" w:color="auto"/>
      </w:divBdr>
      <w:divsChild>
        <w:div w:id="459341887">
          <w:marLeft w:val="0"/>
          <w:marRight w:val="0"/>
          <w:marTop w:val="0"/>
          <w:marBottom w:val="0"/>
          <w:divBdr>
            <w:top w:val="none" w:sz="0" w:space="0" w:color="auto"/>
            <w:left w:val="none" w:sz="0" w:space="0" w:color="auto"/>
            <w:bottom w:val="none" w:sz="0" w:space="0" w:color="auto"/>
            <w:right w:val="none" w:sz="0" w:space="0" w:color="auto"/>
          </w:divBdr>
        </w:div>
      </w:divsChild>
    </w:div>
    <w:div w:id="158081759">
      <w:bodyDiv w:val="1"/>
      <w:marLeft w:val="0"/>
      <w:marRight w:val="0"/>
      <w:marTop w:val="0"/>
      <w:marBottom w:val="0"/>
      <w:divBdr>
        <w:top w:val="none" w:sz="0" w:space="0" w:color="auto"/>
        <w:left w:val="none" w:sz="0" w:space="0" w:color="auto"/>
        <w:bottom w:val="none" w:sz="0" w:space="0" w:color="auto"/>
        <w:right w:val="none" w:sz="0" w:space="0" w:color="auto"/>
      </w:divBdr>
      <w:divsChild>
        <w:div w:id="1872111412">
          <w:marLeft w:val="0"/>
          <w:marRight w:val="0"/>
          <w:marTop w:val="0"/>
          <w:marBottom w:val="0"/>
          <w:divBdr>
            <w:top w:val="none" w:sz="0" w:space="0" w:color="auto"/>
            <w:left w:val="none" w:sz="0" w:space="0" w:color="auto"/>
            <w:bottom w:val="none" w:sz="0" w:space="0" w:color="auto"/>
            <w:right w:val="none" w:sz="0" w:space="0" w:color="auto"/>
          </w:divBdr>
        </w:div>
      </w:divsChild>
    </w:div>
    <w:div w:id="158350023">
      <w:bodyDiv w:val="1"/>
      <w:marLeft w:val="0"/>
      <w:marRight w:val="0"/>
      <w:marTop w:val="0"/>
      <w:marBottom w:val="0"/>
      <w:divBdr>
        <w:top w:val="none" w:sz="0" w:space="0" w:color="auto"/>
        <w:left w:val="none" w:sz="0" w:space="0" w:color="auto"/>
        <w:bottom w:val="none" w:sz="0" w:space="0" w:color="auto"/>
        <w:right w:val="none" w:sz="0" w:space="0" w:color="auto"/>
      </w:divBdr>
      <w:divsChild>
        <w:div w:id="206919622">
          <w:marLeft w:val="0"/>
          <w:marRight w:val="0"/>
          <w:marTop w:val="0"/>
          <w:marBottom w:val="300"/>
          <w:divBdr>
            <w:top w:val="single" w:sz="2" w:space="0" w:color="000000"/>
            <w:left w:val="single" w:sz="2" w:space="0" w:color="000000"/>
            <w:bottom w:val="single" w:sz="2" w:space="0" w:color="000000"/>
            <w:right w:val="single" w:sz="2" w:space="0" w:color="000000"/>
          </w:divBdr>
        </w:div>
        <w:div w:id="1586300198">
          <w:marLeft w:val="0"/>
          <w:marRight w:val="0"/>
          <w:marTop w:val="0"/>
          <w:marBottom w:val="300"/>
          <w:divBdr>
            <w:top w:val="single" w:sz="2" w:space="0" w:color="000000"/>
            <w:left w:val="single" w:sz="2" w:space="0" w:color="000000"/>
            <w:bottom w:val="single" w:sz="2" w:space="0" w:color="000000"/>
            <w:right w:val="single" w:sz="2" w:space="0" w:color="000000"/>
          </w:divBdr>
        </w:div>
      </w:divsChild>
    </w:div>
    <w:div w:id="163783909">
      <w:bodyDiv w:val="1"/>
      <w:marLeft w:val="0"/>
      <w:marRight w:val="0"/>
      <w:marTop w:val="0"/>
      <w:marBottom w:val="0"/>
      <w:divBdr>
        <w:top w:val="none" w:sz="0" w:space="0" w:color="auto"/>
        <w:left w:val="none" w:sz="0" w:space="0" w:color="auto"/>
        <w:bottom w:val="none" w:sz="0" w:space="0" w:color="auto"/>
        <w:right w:val="none" w:sz="0" w:space="0" w:color="auto"/>
      </w:divBdr>
    </w:div>
    <w:div w:id="193421071">
      <w:bodyDiv w:val="1"/>
      <w:marLeft w:val="0"/>
      <w:marRight w:val="0"/>
      <w:marTop w:val="0"/>
      <w:marBottom w:val="0"/>
      <w:divBdr>
        <w:top w:val="none" w:sz="0" w:space="0" w:color="auto"/>
        <w:left w:val="none" w:sz="0" w:space="0" w:color="auto"/>
        <w:bottom w:val="none" w:sz="0" w:space="0" w:color="auto"/>
        <w:right w:val="none" w:sz="0" w:space="0" w:color="auto"/>
      </w:divBdr>
      <w:divsChild>
        <w:div w:id="1261527684">
          <w:marLeft w:val="0"/>
          <w:marRight w:val="0"/>
          <w:marTop w:val="0"/>
          <w:marBottom w:val="0"/>
          <w:divBdr>
            <w:top w:val="none" w:sz="0" w:space="0" w:color="auto"/>
            <w:left w:val="none" w:sz="0" w:space="0" w:color="auto"/>
            <w:bottom w:val="none" w:sz="0" w:space="0" w:color="auto"/>
            <w:right w:val="none" w:sz="0" w:space="0" w:color="auto"/>
          </w:divBdr>
        </w:div>
      </w:divsChild>
    </w:div>
    <w:div w:id="209264767">
      <w:bodyDiv w:val="1"/>
      <w:marLeft w:val="0"/>
      <w:marRight w:val="0"/>
      <w:marTop w:val="0"/>
      <w:marBottom w:val="0"/>
      <w:divBdr>
        <w:top w:val="none" w:sz="0" w:space="0" w:color="auto"/>
        <w:left w:val="none" w:sz="0" w:space="0" w:color="auto"/>
        <w:bottom w:val="none" w:sz="0" w:space="0" w:color="auto"/>
        <w:right w:val="none" w:sz="0" w:space="0" w:color="auto"/>
      </w:divBdr>
      <w:divsChild>
        <w:div w:id="145434843">
          <w:marLeft w:val="0"/>
          <w:marRight w:val="0"/>
          <w:marTop w:val="0"/>
          <w:marBottom w:val="300"/>
          <w:divBdr>
            <w:top w:val="single" w:sz="2" w:space="0" w:color="000000"/>
            <w:left w:val="single" w:sz="2" w:space="0" w:color="000000"/>
            <w:bottom w:val="single" w:sz="2" w:space="0" w:color="000000"/>
            <w:right w:val="single" w:sz="2" w:space="0" w:color="000000"/>
          </w:divBdr>
        </w:div>
        <w:div w:id="1769496263">
          <w:marLeft w:val="0"/>
          <w:marRight w:val="0"/>
          <w:marTop w:val="0"/>
          <w:marBottom w:val="300"/>
          <w:divBdr>
            <w:top w:val="single" w:sz="2" w:space="0" w:color="000000"/>
            <w:left w:val="single" w:sz="2" w:space="0" w:color="000000"/>
            <w:bottom w:val="single" w:sz="2" w:space="0" w:color="000000"/>
            <w:right w:val="single" w:sz="2" w:space="0" w:color="000000"/>
          </w:divBdr>
        </w:div>
      </w:divsChild>
    </w:div>
    <w:div w:id="242952059">
      <w:bodyDiv w:val="1"/>
      <w:marLeft w:val="0"/>
      <w:marRight w:val="0"/>
      <w:marTop w:val="0"/>
      <w:marBottom w:val="0"/>
      <w:divBdr>
        <w:top w:val="none" w:sz="0" w:space="0" w:color="auto"/>
        <w:left w:val="none" w:sz="0" w:space="0" w:color="auto"/>
        <w:bottom w:val="none" w:sz="0" w:space="0" w:color="auto"/>
        <w:right w:val="none" w:sz="0" w:space="0" w:color="auto"/>
      </w:divBdr>
      <w:divsChild>
        <w:div w:id="223687437">
          <w:marLeft w:val="0"/>
          <w:marRight w:val="0"/>
          <w:marTop w:val="0"/>
          <w:marBottom w:val="0"/>
          <w:divBdr>
            <w:top w:val="none" w:sz="0" w:space="0" w:color="auto"/>
            <w:left w:val="none" w:sz="0" w:space="0" w:color="auto"/>
            <w:bottom w:val="none" w:sz="0" w:space="0" w:color="auto"/>
            <w:right w:val="none" w:sz="0" w:space="0" w:color="auto"/>
          </w:divBdr>
        </w:div>
      </w:divsChild>
    </w:div>
    <w:div w:id="271285945">
      <w:bodyDiv w:val="1"/>
      <w:marLeft w:val="0"/>
      <w:marRight w:val="0"/>
      <w:marTop w:val="0"/>
      <w:marBottom w:val="0"/>
      <w:divBdr>
        <w:top w:val="none" w:sz="0" w:space="0" w:color="auto"/>
        <w:left w:val="none" w:sz="0" w:space="0" w:color="auto"/>
        <w:bottom w:val="none" w:sz="0" w:space="0" w:color="auto"/>
        <w:right w:val="none" w:sz="0" w:space="0" w:color="auto"/>
      </w:divBdr>
      <w:divsChild>
        <w:div w:id="1500073212">
          <w:marLeft w:val="0"/>
          <w:marRight w:val="0"/>
          <w:marTop w:val="0"/>
          <w:marBottom w:val="0"/>
          <w:divBdr>
            <w:top w:val="none" w:sz="0" w:space="0" w:color="auto"/>
            <w:left w:val="none" w:sz="0" w:space="0" w:color="auto"/>
            <w:bottom w:val="none" w:sz="0" w:space="0" w:color="auto"/>
            <w:right w:val="none" w:sz="0" w:space="0" w:color="auto"/>
          </w:divBdr>
          <w:divsChild>
            <w:div w:id="825785390">
              <w:marLeft w:val="0"/>
              <w:marRight w:val="0"/>
              <w:marTop w:val="0"/>
              <w:marBottom w:val="0"/>
              <w:divBdr>
                <w:top w:val="single" w:sz="2" w:space="0" w:color="000000"/>
                <w:left w:val="single" w:sz="2" w:space="0" w:color="000000"/>
                <w:bottom w:val="single" w:sz="2" w:space="0" w:color="000000"/>
                <w:right w:val="single" w:sz="2" w:space="0" w:color="000000"/>
              </w:divBdr>
            </w:div>
            <w:div w:id="800613172">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319888813">
      <w:bodyDiv w:val="1"/>
      <w:marLeft w:val="0"/>
      <w:marRight w:val="0"/>
      <w:marTop w:val="0"/>
      <w:marBottom w:val="0"/>
      <w:divBdr>
        <w:top w:val="none" w:sz="0" w:space="0" w:color="auto"/>
        <w:left w:val="none" w:sz="0" w:space="0" w:color="auto"/>
        <w:bottom w:val="none" w:sz="0" w:space="0" w:color="auto"/>
        <w:right w:val="none" w:sz="0" w:space="0" w:color="auto"/>
      </w:divBdr>
      <w:divsChild>
        <w:div w:id="23405467">
          <w:marLeft w:val="0"/>
          <w:marRight w:val="0"/>
          <w:marTop w:val="0"/>
          <w:marBottom w:val="300"/>
          <w:divBdr>
            <w:top w:val="single" w:sz="2" w:space="0" w:color="000000"/>
            <w:left w:val="single" w:sz="2" w:space="0" w:color="000000"/>
            <w:bottom w:val="single" w:sz="2" w:space="0" w:color="000000"/>
            <w:right w:val="single" w:sz="2" w:space="0" w:color="000000"/>
          </w:divBdr>
        </w:div>
        <w:div w:id="1919631228">
          <w:marLeft w:val="0"/>
          <w:marRight w:val="0"/>
          <w:marTop w:val="0"/>
          <w:marBottom w:val="300"/>
          <w:divBdr>
            <w:top w:val="single" w:sz="2" w:space="0" w:color="000000"/>
            <w:left w:val="single" w:sz="2" w:space="0" w:color="000000"/>
            <w:bottom w:val="single" w:sz="2" w:space="0" w:color="000000"/>
            <w:right w:val="single" w:sz="2" w:space="0" w:color="000000"/>
          </w:divBdr>
        </w:div>
      </w:divsChild>
    </w:div>
    <w:div w:id="331183814">
      <w:bodyDiv w:val="1"/>
      <w:marLeft w:val="0"/>
      <w:marRight w:val="0"/>
      <w:marTop w:val="0"/>
      <w:marBottom w:val="0"/>
      <w:divBdr>
        <w:top w:val="none" w:sz="0" w:space="0" w:color="auto"/>
        <w:left w:val="none" w:sz="0" w:space="0" w:color="auto"/>
        <w:bottom w:val="none" w:sz="0" w:space="0" w:color="auto"/>
        <w:right w:val="none" w:sz="0" w:space="0" w:color="auto"/>
      </w:divBdr>
      <w:divsChild>
        <w:div w:id="413278761">
          <w:marLeft w:val="0"/>
          <w:marRight w:val="0"/>
          <w:marTop w:val="0"/>
          <w:marBottom w:val="0"/>
          <w:divBdr>
            <w:top w:val="none" w:sz="0" w:space="0" w:color="auto"/>
            <w:left w:val="none" w:sz="0" w:space="0" w:color="auto"/>
            <w:bottom w:val="none" w:sz="0" w:space="0" w:color="auto"/>
            <w:right w:val="none" w:sz="0" w:space="0" w:color="auto"/>
          </w:divBdr>
        </w:div>
      </w:divsChild>
    </w:div>
    <w:div w:id="333144939">
      <w:bodyDiv w:val="1"/>
      <w:marLeft w:val="0"/>
      <w:marRight w:val="0"/>
      <w:marTop w:val="0"/>
      <w:marBottom w:val="0"/>
      <w:divBdr>
        <w:top w:val="none" w:sz="0" w:space="0" w:color="auto"/>
        <w:left w:val="none" w:sz="0" w:space="0" w:color="auto"/>
        <w:bottom w:val="none" w:sz="0" w:space="0" w:color="auto"/>
        <w:right w:val="none" w:sz="0" w:space="0" w:color="auto"/>
      </w:divBdr>
      <w:divsChild>
        <w:div w:id="412774782">
          <w:marLeft w:val="0"/>
          <w:marRight w:val="0"/>
          <w:marTop w:val="0"/>
          <w:marBottom w:val="0"/>
          <w:divBdr>
            <w:top w:val="none" w:sz="0" w:space="0" w:color="auto"/>
            <w:left w:val="none" w:sz="0" w:space="0" w:color="auto"/>
            <w:bottom w:val="none" w:sz="0" w:space="0" w:color="auto"/>
            <w:right w:val="none" w:sz="0" w:space="0" w:color="auto"/>
          </w:divBdr>
        </w:div>
      </w:divsChild>
    </w:div>
    <w:div w:id="380524745">
      <w:bodyDiv w:val="1"/>
      <w:marLeft w:val="0"/>
      <w:marRight w:val="0"/>
      <w:marTop w:val="0"/>
      <w:marBottom w:val="0"/>
      <w:divBdr>
        <w:top w:val="none" w:sz="0" w:space="0" w:color="auto"/>
        <w:left w:val="none" w:sz="0" w:space="0" w:color="auto"/>
        <w:bottom w:val="none" w:sz="0" w:space="0" w:color="auto"/>
        <w:right w:val="none" w:sz="0" w:space="0" w:color="auto"/>
      </w:divBdr>
      <w:divsChild>
        <w:div w:id="127406522">
          <w:marLeft w:val="0"/>
          <w:marRight w:val="0"/>
          <w:marTop w:val="0"/>
          <w:marBottom w:val="0"/>
          <w:divBdr>
            <w:top w:val="none" w:sz="0" w:space="0" w:color="auto"/>
            <w:left w:val="none" w:sz="0" w:space="0" w:color="auto"/>
            <w:bottom w:val="none" w:sz="0" w:space="0" w:color="auto"/>
            <w:right w:val="none" w:sz="0" w:space="0" w:color="auto"/>
          </w:divBdr>
        </w:div>
      </w:divsChild>
    </w:div>
    <w:div w:id="389889646">
      <w:bodyDiv w:val="1"/>
      <w:marLeft w:val="0"/>
      <w:marRight w:val="0"/>
      <w:marTop w:val="0"/>
      <w:marBottom w:val="0"/>
      <w:divBdr>
        <w:top w:val="none" w:sz="0" w:space="0" w:color="auto"/>
        <w:left w:val="none" w:sz="0" w:space="0" w:color="auto"/>
        <w:bottom w:val="none" w:sz="0" w:space="0" w:color="auto"/>
        <w:right w:val="none" w:sz="0" w:space="0" w:color="auto"/>
      </w:divBdr>
      <w:divsChild>
        <w:div w:id="1224367688">
          <w:marLeft w:val="0"/>
          <w:marRight w:val="0"/>
          <w:marTop w:val="0"/>
          <w:marBottom w:val="0"/>
          <w:divBdr>
            <w:top w:val="none" w:sz="0" w:space="0" w:color="auto"/>
            <w:left w:val="none" w:sz="0" w:space="0" w:color="auto"/>
            <w:bottom w:val="none" w:sz="0" w:space="0" w:color="auto"/>
            <w:right w:val="none" w:sz="0" w:space="0" w:color="auto"/>
          </w:divBdr>
        </w:div>
      </w:divsChild>
    </w:div>
    <w:div w:id="437944110">
      <w:bodyDiv w:val="1"/>
      <w:marLeft w:val="0"/>
      <w:marRight w:val="0"/>
      <w:marTop w:val="0"/>
      <w:marBottom w:val="0"/>
      <w:divBdr>
        <w:top w:val="none" w:sz="0" w:space="0" w:color="auto"/>
        <w:left w:val="none" w:sz="0" w:space="0" w:color="auto"/>
        <w:bottom w:val="none" w:sz="0" w:space="0" w:color="auto"/>
        <w:right w:val="none" w:sz="0" w:space="0" w:color="auto"/>
      </w:divBdr>
      <w:divsChild>
        <w:div w:id="1973367749">
          <w:marLeft w:val="0"/>
          <w:marRight w:val="0"/>
          <w:marTop w:val="0"/>
          <w:marBottom w:val="0"/>
          <w:divBdr>
            <w:top w:val="none" w:sz="0" w:space="0" w:color="auto"/>
            <w:left w:val="none" w:sz="0" w:space="0" w:color="auto"/>
            <w:bottom w:val="none" w:sz="0" w:space="0" w:color="auto"/>
            <w:right w:val="none" w:sz="0" w:space="0" w:color="auto"/>
          </w:divBdr>
        </w:div>
      </w:divsChild>
    </w:div>
    <w:div w:id="450321874">
      <w:bodyDiv w:val="1"/>
      <w:marLeft w:val="0"/>
      <w:marRight w:val="0"/>
      <w:marTop w:val="0"/>
      <w:marBottom w:val="0"/>
      <w:divBdr>
        <w:top w:val="none" w:sz="0" w:space="0" w:color="auto"/>
        <w:left w:val="none" w:sz="0" w:space="0" w:color="auto"/>
        <w:bottom w:val="none" w:sz="0" w:space="0" w:color="auto"/>
        <w:right w:val="none" w:sz="0" w:space="0" w:color="auto"/>
      </w:divBdr>
      <w:divsChild>
        <w:div w:id="2025858935">
          <w:marLeft w:val="0"/>
          <w:marRight w:val="0"/>
          <w:marTop w:val="0"/>
          <w:marBottom w:val="0"/>
          <w:divBdr>
            <w:top w:val="none" w:sz="0" w:space="0" w:color="auto"/>
            <w:left w:val="none" w:sz="0" w:space="0" w:color="auto"/>
            <w:bottom w:val="none" w:sz="0" w:space="0" w:color="auto"/>
            <w:right w:val="none" w:sz="0" w:space="0" w:color="auto"/>
          </w:divBdr>
        </w:div>
      </w:divsChild>
    </w:div>
    <w:div w:id="490679687">
      <w:bodyDiv w:val="1"/>
      <w:marLeft w:val="0"/>
      <w:marRight w:val="0"/>
      <w:marTop w:val="0"/>
      <w:marBottom w:val="0"/>
      <w:divBdr>
        <w:top w:val="none" w:sz="0" w:space="0" w:color="auto"/>
        <w:left w:val="none" w:sz="0" w:space="0" w:color="auto"/>
        <w:bottom w:val="none" w:sz="0" w:space="0" w:color="auto"/>
        <w:right w:val="none" w:sz="0" w:space="0" w:color="auto"/>
      </w:divBdr>
      <w:divsChild>
        <w:div w:id="2124878109">
          <w:marLeft w:val="0"/>
          <w:marRight w:val="0"/>
          <w:marTop w:val="0"/>
          <w:marBottom w:val="0"/>
          <w:divBdr>
            <w:top w:val="none" w:sz="0" w:space="0" w:color="auto"/>
            <w:left w:val="none" w:sz="0" w:space="0" w:color="auto"/>
            <w:bottom w:val="none" w:sz="0" w:space="0" w:color="auto"/>
            <w:right w:val="none" w:sz="0" w:space="0" w:color="auto"/>
          </w:divBdr>
        </w:div>
      </w:divsChild>
    </w:div>
    <w:div w:id="498422818">
      <w:bodyDiv w:val="1"/>
      <w:marLeft w:val="0"/>
      <w:marRight w:val="0"/>
      <w:marTop w:val="0"/>
      <w:marBottom w:val="0"/>
      <w:divBdr>
        <w:top w:val="none" w:sz="0" w:space="0" w:color="auto"/>
        <w:left w:val="none" w:sz="0" w:space="0" w:color="auto"/>
        <w:bottom w:val="none" w:sz="0" w:space="0" w:color="auto"/>
        <w:right w:val="none" w:sz="0" w:space="0" w:color="auto"/>
      </w:divBdr>
      <w:divsChild>
        <w:div w:id="865756555">
          <w:marLeft w:val="0"/>
          <w:marRight w:val="0"/>
          <w:marTop w:val="0"/>
          <w:marBottom w:val="0"/>
          <w:divBdr>
            <w:top w:val="none" w:sz="0" w:space="0" w:color="auto"/>
            <w:left w:val="none" w:sz="0" w:space="0" w:color="auto"/>
            <w:bottom w:val="none" w:sz="0" w:space="0" w:color="auto"/>
            <w:right w:val="none" w:sz="0" w:space="0" w:color="auto"/>
          </w:divBdr>
          <w:divsChild>
            <w:div w:id="1291476965">
              <w:marLeft w:val="0"/>
              <w:marRight w:val="0"/>
              <w:marTop w:val="0"/>
              <w:marBottom w:val="0"/>
              <w:divBdr>
                <w:top w:val="single" w:sz="2" w:space="0" w:color="000000"/>
                <w:left w:val="single" w:sz="2" w:space="0" w:color="000000"/>
                <w:bottom w:val="single" w:sz="2" w:space="0" w:color="000000"/>
                <w:right w:val="single" w:sz="2" w:space="0" w:color="000000"/>
              </w:divBdr>
            </w:div>
            <w:div w:id="1971158342">
              <w:marLeft w:val="0"/>
              <w:marRight w:val="0"/>
              <w:marTop w:val="0"/>
              <w:marBottom w:val="0"/>
              <w:divBdr>
                <w:top w:val="single" w:sz="2" w:space="0" w:color="000000"/>
                <w:left w:val="single" w:sz="2" w:space="0" w:color="000000"/>
                <w:bottom w:val="single" w:sz="2" w:space="0" w:color="000000"/>
                <w:right w:val="single" w:sz="2" w:space="0" w:color="000000"/>
              </w:divBdr>
            </w:div>
            <w:div w:id="295185453">
              <w:marLeft w:val="0"/>
              <w:marRight w:val="0"/>
              <w:marTop w:val="0"/>
              <w:marBottom w:val="0"/>
              <w:divBdr>
                <w:top w:val="single" w:sz="2" w:space="0" w:color="000000"/>
                <w:left w:val="single" w:sz="2" w:space="0" w:color="000000"/>
                <w:bottom w:val="single" w:sz="2" w:space="0" w:color="000000"/>
                <w:right w:val="single" w:sz="2" w:space="0" w:color="000000"/>
              </w:divBdr>
            </w:div>
            <w:div w:id="1163668947">
              <w:marLeft w:val="0"/>
              <w:marRight w:val="0"/>
              <w:marTop w:val="0"/>
              <w:marBottom w:val="0"/>
              <w:divBdr>
                <w:top w:val="single" w:sz="2" w:space="0" w:color="000000"/>
                <w:left w:val="single" w:sz="2" w:space="0" w:color="000000"/>
                <w:bottom w:val="single" w:sz="2" w:space="0" w:color="000000"/>
                <w:right w:val="single" w:sz="2" w:space="0" w:color="000000"/>
              </w:divBdr>
            </w:div>
            <w:div w:id="403451723">
              <w:marLeft w:val="0"/>
              <w:marRight w:val="0"/>
              <w:marTop w:val="0"/>
              <w:marBottom w:val="0"/>
              <w:divBdr>
                <w:top w:val="single" w:sz="2" w:space="0" w:color="000000"/>
                <w:left w:val="single" w:sz="2" w:space="0" w:color="000000"/>
                <w:bottom w:val="single" w:sz="2" w:space="0" w:color="000000"/>
                <w:right w:val="single" w:sz="2" w:space="0" w:color="000000"/>
              </w:divBdr>
            </w:div>
            <w:div w:id="1550189895">
              <w:marLeft w:val="0"/>
              <w:marRight w:val="0"/>
              <w:marTop w:val="0"/>
              <w:marBottom w:val="0"/>
              <w:divBdr>
                <w:top w:val="single" w:sz="2" w:space="0" w:color="000000"/>
                <w:left w:val="single" w:sz="2" w:space="0" w:color="000000"/>
                <w:bottom w:val="single" w:sz="2" w:space="0" w:color="000000"/>
                <w:right w:val="single" w:sz="2" w:space="0" w:color="000000"/>
              </w:divBdr>
            </w:div>
            <w:div w:id="131795403">
              <w:marLeft w:val="0"/>
              <w:marRight w:val="0"/>
              <w:marTop w:val="0"/>
              <w:marBottom w:val="0"/>
              <w:divBdr>
                <w:top w:val="single" w:sz="2" w:space="0" w:color="000000"/>
                <w:left w:val="single" w:sz="2" w:space="0" w:color="000000"/>
                <w:bottom w:val="single" w:sz="2" w:space="0" w:color="000000"/>
                <w:right w:val="single" w:sz="2" w:space="0" w:color="000000"/>
              </w:divBdr>
            </w:div>
            <w:div w:id="1162352805">
              <w:marLeft w:val="0"/>
              <w:marRight w:val="0"/>
              <w:marTop w:val="0"/>
              <w:marBottom w:val="0"/>
              <w:divBdr>
                <w:top w:val="single" w:sz="2" w:space="0" w:color="000000"/>
                <w:left w:val="single" w:sz="2" w:space="0" w:color="000000"/>
                <w:bottom w:val="single" w:sz="2" w:space="0" w:color="000000"/>
                <w:right w:val="single" w:sz="2" w:space="0" w:color="000000"/>
              </w:divBdr>
            </w:div>
            <w:div w:id="313678489">
              <w:marLeft w:val="0"/>
              <w:marRight w:val="0"/>
              <w:marTop w:val="0"/>
              <w:marBottom w:val="0"/>
              <w:divBdr>
                <w:top w:val="single" w:sz="2" w:space="0" w:color="000000"/>
                <w:left w:val="single" w:sz="2" w:space="0" w:color="000000"/>
                <w:bottom w:val="single" w:sz="2" w:space="0" w:color="000000"/>
                <w:right w:val="single" w:sz="2" w:space="0" w:color="000000"/>
              </w:divBdr>
            </w:div>
            <w:div w:id="1070545794">
              <w:marLeft w:val="0"/>
              <w:marRight w:val="0"/>
              <w:marTop w:val="0"/>
              <w:marBottom w:val="0"/>
              <w:divBdr>
                <w:top w:val="single" w:sz="2" w:space="0" w:color="000000"/>
                <w:left w:val="single" w:sz="2" w:space="0" w:color="000000"/>
                <w:bottom w:val="single" w:sz="2" w:space="0" w:color="000000"/>
                <w:right w:val="single" w:sz="2" w:space="0" w:color="000000"/>
              </w:divBdr>
            </w:div>
            <w:div w:id="2083477504">
              <w:marLeft w:val="0"/>
              <w:marRight w:val="0"/>
              <w:marTop w:val="0"/>
              <w:marBottom w:val="0"/>
              <w:divBdr>
                <w:top w:val="single" w:sz="2" w:space="0" w:color="000000"/>
                <w:left w:val="single" w:sz="2" w:space="0" w:color="000000"/>
                <w:bottom w:val="single" w:sz="2" w:space="0" w:color="000000"/>
                <w:right w:val="single" w:sz="2" w:space="0" w:color="000000"/>
              </w:divBdr>
            </w:div>
            <w:div w:id="577599375">
              <w:marLeft w:val="0"/>
              <w:marRight w:val="0"/>
              <w:marTop w:val="0"/>
              <w:marBottom w:val="0"/>
              <w:divBdr>
                <w:top w:val="single" w:sz="2" w:space="0" w:color="000000"/>
                <w:left w:val="single" w:sz="2" w:space="0" w:color="000000"/>
                <w:bottom w:val="single" w:sz="2" w:space="0" w:color="000000"/>
                <w:right w:val="single" w:sz="2" w:space="0" w:color="000000"/>
              </w:divBdr>
            </w:div>
            <w:div w:id="1188911813">
              <w:marLeft w:val="0"/>
              <w:marRight w:val="0"/>
              <w:marTop w:val="0"/>
              <w:marBottom w:val="0"/>
              <w:divBdr>
                <w:top w:val="single" w:sz="2" w:space="0" w:color="000000"/>
                <w:left w:val="single" w:sz="2" w:space="0" w:color="000000"/>
                <w:bottom w:val="single" w:sz="2" w:space="0" w:color="000000"/>
                <w:right w:val="single" w:sz="2" w:space="0" w:color="000000"/>
              </w:divBdr>
            </w:div>
            <w:div w:id="1318220609">
              <w:marLeft w:val="0"/>
              <w:marRight w:val="0"/>
              <w:marTop w:val="0"/>
              <w:marBottom w:val="0"/>
              <w:divBdr>
                <w:top w:val="single" w:sz="2" w:space="0" w:color="000000"/>
                <w:left w:val="single" w:sz="2" w:space="0" w:color="000000"/>
                <w:bottom w:val="single" w:sz="2" w:space="0" w:color="000000"/>
                <w:right w:val="single" w:sz="2" w:space="0" w:color="000000"/>
              </w:divBdr>
            </w:div>
            <w:div w:id="612903697">
              <w:marLeft w:val="0"/>
              <w:marRight w:val="0"/>
              <w:marTop w:val="0"/>
              <w:marBottom w:val="0"/>
              <w:divBdr>
                <w:top w:val="single" w:sz="2" w:space="0" w:color="000000"/>
                <w:left w:val="single" w:sz="2" w:space="0" w:color="000000"/>
                <w:bottom w:val="single" w:sz="2" w:space="0" w:color="000000"/>
                <w:right w:val="single" w:sz="2" w:space="0" w:color="000000"/>
              </w:divBdr>
            </w:div>
            <w:div w:id="824972873">
              <w:marLeft w:val="0"/>
              <w:marRight w:val="0"/>
              <w:marTop w:val="0"/>
              <w:marBottom w:val="0"/>
              <w:divBdr>
                <w:top w:val="single" w:sz="2" w:space="0" w:color="000000"/>
                <w:left w:val="single" w:sz="2" w:space="0" w:color="000000"/>
                <w:bottom w:val="single" w:sz="2" w:space="0" w:color="000000"/>
                <w:right w:val="single" w:sz="2" w:space="0" w:color="000000"/>
              </w:divBdr>
            </w:div>
            <w:div w:id="65037317">
              <w:marLeft w:val="0"/>
              <w:marRight w:val="0"/>
              <w:marTop w:val="0"/>
              <w:marBottom w:val="0"/>
              <w:divBdr>
                <w:top w:val="single" w:sz="2" w:space="0" w:color="000000"/>
                <w:left w:val="single" w:sz="2" w:space="0" w:color="000000"/>
                <w:bottom w:val="single" w:sz="2" w:space="0" w:color="000000"/>
                <w:right w:val="single" w:sz="2" w:space="0" w:color="000000"/>
              </w:divBdr>
            </w:div>
            <w:div w:id="1122575947">
              <w:marLeft w:val="0"/>
              <w:marRight w:val="0"/>
              <w:marTop w:val="0"/>
              <w:marBottom w:val="0"/>
              <w:divBdr>
                <w:top w:val="single" w:sz="2" w:space="0" w:color="000000"/>
                <w:left w:val="single" w:sz="2" w:space="0" w:color="000000"/>
                <w:bottom w:val="single" w:sz="2" w:space="0" w:color="000000"/>
                <w:right w:val="single" w:sz="2" w:space="0" w:color="000000"/>
              </w:divBdr>
            </w:div>
            <w:div w:id="268857374">
              <w:marLeft w:val="0"/>
              <w:marRight w:val="0"/>
              <w:marTop w:val="0"/>
              <w:marBottom w:val="0"/>
              <w:divBdr>
                <w:top w:val="single" w:sz="2" w:space="0" w:color="000000"/>
                <w:left w:val="single" w:sz="2" w:space="0" w:color="000000"/>
                <w:bottom w:val="single" w:sz="2" w:space="0" w:color="000000"/>
                <w:right w:val="single" w:sz="2" w:space="0" w:color="000000"/>
              </w:divBdr>
            </w:div>
            <w:div w:id="1384449166">
              <w:marLeft w:val="0"/>
              <w:marRight w:val="0"/>
              <w:marTop w:val="0"/>
              <w:marBottom w:val="0"/>
              <w:divBdr>
                <w:top w:val="single" w:sz="2" w:space="0" w:color="000000"/>
                <w:left w:val="single" w:sz="2" w:space="0" w:color="000000"/>
                <w:bottom w:val="single" w:sz="2" w:space="0" w:color="000000"/>
                <w:right w:val="single" w:sz="2" w:space="0" w:color="000000"/>
              </w:divBdr>
            </w:div>
            <w:div w:id="1255094377">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499538162">
      <w:bodyDiv w:val="1"/>
      <w:marLeft w:val="0"/>
      <w:marRight w:val="0"/>
      <w:marTop w:val="0"/>
      <w:marBottom w:val="0"/>
      <w:divBdr>
        <w:top w:val="none" w:sz="0" w:space="0" w:color="auto"/>
        <w:left w:val="none" w:sz="0" w:space="0" w:color="auto"/>
        <w:bottom w:val="none" w:sz="0" w:space="0" w:color="auto"/>
        <w:right w:val="none" w:sz="0" w:space="0" w:color="auto"/>
      </w:divBdr>
      <w:divsChild>
        <w:div w:id="1540897283">
          <w:marLeft w:val="0"/>
          <w:marRight w:val="0"/>
          <w:marTop w:val="0"/>
          <w:marBottom w:val="300"/>
          <w:divBdr>
            <w:top w:val="single" w:sz="2" w:space="0" w:color="000000"/>
            <w:left w:val="single" w:sz="2" w:space="0" w:color="000000"/>
            <w:bottom w:val="single" w:sz="2" w:space="0" w:color="000000"/>
            <w:right w:val="single" w:sz="2" w:space="0" w:color="000000"/>
          </w:divBdr>
        </w:div>
      </w:divsChild>
    </w:div>
    <w:div w:id="501747002">
      <w:bodyDiv w:val="1"/>
      <w:marLeft w:val="0"/>
      <w:marRight w:val="0"/>
      <w:marTop w:val="0"/>
      <w:marBottom w:val="0"/>
      <w:divBdr>
        <w:top w:val="none" w:sz="0" w:space="0" w:color="auto"/>
        <w:left w:val="none" w:sz="0" w:space="0" w:color="auto"/>
        <w:bottom w:val="none" w:sz="0" w:space="0" w:color="auto"/>
        <w:right w:val="none" w:sz="0" w:space="0" w:color="auto"/>
      </w:divBdr>
      <w:divsChild>
        <w:div w:id="1113288756">
          <w:marLeft w:val="0"/>
          <w:marRight w:val="0"/>
          <w:marTop w:val="0"/>
          <w:marBottom w:val="0"/>
          <w:divBdr>
            <w:top w:val="none" w:sz="0" w:space="0" w:color="auto"/>
            <w:left w:val="none" w:sz="0" w:space="0" w:color="auto"/>
            <w:bottom w:val="none" w:sz="0" w:space="0" w:color="auto"/>
            <w:right w:val="none" w:sz="0" w:space="0" w:color="auto"/>
          </w:divBdr>
        </w:div>
      </w:divsChild>
    </w:div>
    <w:div w:id="523179510">
      <w:bodyDiv w:val="1"/>
      <w:marLeft w:val="0"/>
      <w:marRight w:val="0"/>
      <w:marTop w:val="0"/>
      <w:marBottom w:val="0"/>
      <w:divBdr>
        <w:top w:val="none" w:sz="0" w:space="0" w:color="auto"/>
        <w:left w:val="none" w:sz="0" w:space="0" w:color="auto"/>
        <w:bottom w:val="none" w:sz="0" w:space="0" w:color="auto"/>
        <w:right w:val="none" w:sz="0" w:space="0" w:color="auto"/>
      </w:divBdr>
      <w:divsChild>
        <w:div w:id="1388645768">
          <w:marLeft w:val="0"/>
          <w:marRight w:val="0"/>
          <w:marTop w:val="0"/>
          <w:marBottom w:val="0"/>
          <w:divBdr>
            <w:top w:val="none" w:sz="0" w:space="0" w:color="auto"/>
            <w:left w:val="none" w:sz="0" w:space="0" w:color="auto"/>
            <w:bottom w:val="none" w:sz="0" w:space="0" w:color="auto"/>
            <w:right w:val="none" w:sz="0" w:space="0" w:color="auto"/>
          </w:divBdr>
        </w:div>
      </w:divsChild>
    </w:div>
    <w:div w:id="524364729">
      <w:bodyDiv w:val="1"/>
      <w:marLeft w:val="0"/>
      <w:marRight w:val="0"/>
      <w:marTop w:val="0"/>
      <w:marBottom w:val="0"/>
      <w:divBdr>
        <w:top w:val="none" w:sz="0" w:space="0" w:color="auto"/>
        <w:left w:val="none" w:sz="0" w:space="0" w:color="auto"/>
        <w:bottom w:val="none" w:sz="0" w:space="0" w:color="auto"/>
        <w:right w:val="none" w:sz="0" w:space="0" w:color="auto"/>
      </w:divBdr>
      <w:divsChild>
        <w:div w:id="1133719406">
          <w:marLeft w:val="0"/>
          <w:marRight w:val="0"/>
          <w:marTop w:val="0"/>
          <w:marBottom w:val="0"/>
          <w:divBdr>
            <w:top w:val="none" w:sz="0" w:space="0" w:color="auto"/>
            <w:left w:val="none" w:sz="0" w:space="0" w:color="auto"/>
            <w:bottom w:val="none" w:sz="0" w:space="0" w:color="auto"/>
            <w:right w:val="none" w:sz="0" w:space="0" w:color="auto"/>
          </w:divBdr>
        </w:div>
      </w:divsChild>
    </w:div>
    <w:div w:id="528102651">
      <w:bodyDiv w:val="1"/>
      <w:marLeft w:val="0"/>
      <w:marRight w:val="0"/>
      <w:marTop w:val="0"/>
      <w:marBottom w:val="0"/>
      <w:divBdr>
        <w:top w:val="none" w:sz="0" w:space="0" w:color="auto"/>
        <w:left w:val="none" w:sz="0" w:space="0" w:color="auto"/>
        <w:bottom w:val="none" w:sz="0" w:space="0" w:color="auto"/>
        <w:right w:val="none" w:sz="0" w:space="0" w:color="auto"/>
      </w:divBdr>
      <w:divsChild>
        <w:div w:id="1044603028">
          <w:marLeft w:val="0"/>
          <w:marRight w:val="0"/>
          <w:marTop w:val="0"/>
          <w:marBottom w:val="0"/>
          <w:divBdr>
            <w:top w:val="none" w:sz="0" w:space="0" w:color="auto"/>
            <w:left w:val="none" w:sz="0" w:space="0" w:color="auto"/>
            <w:bottom w:val="none" w:sz="0" w:space="0" w:color="auto"/>
            <w:right w:val="none" w:sz="0" w:space="0" w:color="auto"/>
          </w:divBdr>
        </w:div>
      </w:divsChild>
    </w:div>
    <w:div w:id="547648793">
      <w:bodyDiv w:val="1"/>
      <w:marLeft w:val="0"/>
      <w:marRight w:val="0"/>
      <w:marTop w:val="0"/>
      <w:marBottom w:val="0"/>
      <w:divBdr>
        <w:top w:val="none" w:sz="0" w:space="0" w:color="auto"/>
        <w:left w:val="none" w:sz="0" w:space="0" w:color="auto"/>
        <w:bottom w:val="none" w:sz="0" w:space="0" w:color="auto"/>
        <w:right w:val="none" w:sz="0" w:space="0" w:color="auto"/>
      </w:divBdr>
      <w:divsChild>
        <w:div w:id="1486237984">
          <w:marLeft w:val="0"/>
          <w:marRight w:val="0"/>
          <w:marTop w:val="0"/>
          <w:marBottom w:val="0"/>
          <w:divBdr>
            <w:top w:val="none" w:sz="0" w:space="0" w:color="auto"/>
            <w:left w:val="none" w:sz="0" w:space="0" w:color="auto"/>
            <w:bottom w:val="none" w:sz="0" w:space="0" w:color="auto"/>
            <w:right w:val="none" w:sz="0" w:space="0" w:color="auto"/>
          </w:divBdr>
        </w:div>
      </w:divsChild>
    </w:div>
    <w:div w:id="561647158">
      <w:bodyDiv w:val="1"/>
      <w:marLeft w:val="0"/>
      <w:marRight w:val="0"/>
      <w:marTop w:val="0"/>
      <w:marBottom w:val="0"/>
      <w:divBdr>
        <w:top w:val="none" w:sz="0" w:space="0" w:color="auto"/>
        <w:left w:val="none" w:sz="0" w:space="0" w:color="auto"/>
        <w:bottom w:val="none" w:sz="0" w:space="0" w:color="auto"/>
        <w:right w:val="none" w:sz="0" w:space="0" w:color="auto"/>
      </w:divBdr>
      <w:divsChild>
        <w:div w:id="831873899">
          <w:marLeft w:val="0"/>
          <w:marRight w:val="0"/>
          <w:marTop w:val="0"/>
          <w:marBottom w:val="0"/>
          <w:divBdr>
            <w:top w:val="none" w:sz="0" w:space="0" w:color="auto"/>
            <w:left w:val="none" w:sz="0" w:space="0" w:color="auto"/>
            <w:bottom w:val="none" w:sz="0" w:space="0" w:color="auto"/>
            <w:right w:val="none" w:sz="0" w:space="0" w:color="auto"/>
          </w:divBdr>
        </w:div>
      </w:divsChild>
    </w:div>
    <w:div w:id="613367577">
      <w:bodyDiv w:val="1"/>
      <w:marLeft w:val="0"/>
      <w:marRight w:val="0"/>
      <w:marTop w:val="0"/>
      <w:marBottom w:val="0"/>
      <w:divBdr>
        <w:top w:val="none" w:sz="0" w:space="0" w:color="auto"/>
        <w:left w:val="none" w:sz="0" w:space="0" w:color="auto"/>
        <w:bottom w:val="none" w:sz="0" w:space="0" w:color="auto"/>
        <w:right w:val="none" w:sz="0" w:space="0" w:color="auto"/>
      </w:divBdr>
      <w:divsChild>
        <w:div w:id="1255015665">
          <w:marLeft w:val="0"/>
          <w:marRight w:val="0"/>
          <w:marTop w:val="0"/>
          <w:marBottom w:val="0"/>
          <w:divBdr>
            <w:top w:val="none" w:sz="0" w:space="0" w:color="auto"/>
            <w:left w:val="none" w:sz="0" w:space="0" w:color="auto"/>
            <w:bottom w:val="none" w:sz="0" w:space="0" w:color="auto"/>
            <w:right w:val="none" w:sz="0" w:space="0" w:color="auto"/>
          </w:divBdr>
        </w:div>
      </w:divsChild>
    </w:div>
    <w:div w:id="616525861">
      <w:bodyDiv w:val="1"/>
      <w:marLeft w:val="0"/>
      <w:marRight w:val="0"/>
      <w:marTop w:val="0"/>
      <w:marBottom w:val="0"/>
      <w:divBdr>
        <w:top w:val="none" w:sz="0" w:space="0" w:color="auto"/>
        <w:left w:val="none" w:sz="0" w:space="0" w:color="auto"/>
        <w:bottom w:val="none" w:sz="0" w:space="0" w:color="auto"/>
        <w:right w:val="none" w:sz="0" w:space="0" w:color="auto"/>
      </w:divBdr>
      <w:divsChild>
        <w:div w:id="1866089524">
          <w:marLeft w:val="0"/>
          <w:marRight w:val="0"/>
          <w:marTop w:val="0"/>
          <w:marBottom w:val="0"/>
          <w:divBdr>
            <w:top w:val="none" w:sz="0" w:space="0" w:color="auto"/>
            <w:left w:val="none" w:sz="0" w:space="0" w:color="auto"/>
            <w:bottom w:val="none" w:sz="0" w:space="0" w:color="auto"/>
            <w:right w:val="none" w:sz="0" w:space="0" w:color="auto"/>
          </w:divBdr>
        </w:div>
      </w:divsChild>
    </w:div>
    <w:div w:id="620916974">
      <w:bodyDiv w:val="1"/>
      <w:marLeft w:val="0"/>
      <w:marRight w:val="0"/>
      <w:marTop w:val="0"/>
      <w:marBottom w:val="0"/>
      <w:divBdr>
        <w:top w:val="none" w:sz="0" w:space="0" w:color="auto"/>
        <w:left w:val="none" w:sz="0" w:space="0" w:color="auto"/>
        <w:bottom w:val="none" w:sz="0" w:space="0" w:color="auto"/>
        <w:right w:val="none" w:sz="0" w:space="0" w:color="auto"/>
      </w:divBdr>
      <w:divsChild>
        <w:div w:id="1454665760">
          <w:marLeft w:val="0"/>
          <w:marRight w:val="0"/>
          <w:marTop w:val="0"/>
          <w:marBottom w:val="0"/>
          <w:divBdr>
            <w:top w:val="none" w:sz="0" w:space="0" w:color="auto"/>
            <w:left w:val="none" w:sz="0" w:space="0" w:color="auto"/>
            <w:bottom w:val="none" w:sz="0" w:space="0" w:color="auto"/>
            <w:right w:val="none" w:sz="0" w:space="0" w:color="auto"/>
          </w:divBdr>
          <w:divsChild>
            <w:div w:id="10381025">
              <w:marLeft w:val="0"/>
              <w:marRight w:val="0"/>
              <w:marTop w:val="0"/>
              <w:marBottom w:val="0"/>
              <w:divBdr>
                <w:top w:val="single" w:sz="2" w:space="0" w:color="000000"/>
                <w:left w:val="single" w:sz="2" w:space="0" w:color="000000"/>
                <w:bottom w:val="single" w:sz="2" w:space="0" w:color="000000"/>
                <w:right w:val="single" w:sz="2" w:space="0" w:color="000000"/>
              </w:divBdr>
            </w:div>
            <w:div w:id="2090416729">
              <w:marLeft w:val="0"/>
              <w:marRight w:val="0"/>
              <w:marTop w:val="0"/>
              <w:marBottom w:val="0"/>
              <w:divBdr>
                <w:top w:val="single" w:sz="2" w:space="0" w:color="000000"/>
                <w:left w:val="single" w:sz="2" w:space="0" w:color="000000"/>
                <w:bottom w:val="single" w:sz="2" w:space="0" w:color="000000"/>
                <w:right w:val="single" w:sz="2" w:space="0" w:color="000000"/>
              </w:divBdr>
            </w:div>
            <w:div w:id="2107799172">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636380973">
      <w:bodyDiv w:val="1"/>
      <w:marLeft w:val="0"/>
      <w:marRight w:val="0"/>
      <w:marTop w:val="0"/>
      <w:marBottom w:val="0"/>
      <w:divBdr>
        <w:top w:val="none" w:sz="0" w:space="0" w:color="auto"/>
        <w:left w:val="none" w:sz="0" w:space="0" w:color="auto"/>
        <w:bottom w:val="none" w:sz="0" w:space="0" w:color="auto"/>
        <w:right w:val="none" w:sz="0" w:space="0" w:color="auto"/>
      </w:divBdr>
      <w:divsChild>
        <w:div w:id="1138061928">
          <w:marLeft w:val="0"/>
          <w:marRight w:val="0"/>
          <w:marTop w:val="0"/>
          <w:marBottom w:val="0"/>
          <w:divBdr>
            <w:top w:val="none" w:sz="0" w:space="0" w:color="auto"/>
            <w:left w:val="none" w:sz="0" w:space="0" w:color="auto"/>
            <w:bottom w:val="none" w:sz="0" w:space="0" w:color="auto"/>
            <w:right w:val="none" w:sz="0" w:space="0" w:color="auto"/>
          </w:divBdr>
        </w:div>
      </w:divsChild>
    </w:div>
    <w:div w:id="649284747">
      <w:bodyDiv w:val="1"/>
      <w:marLeft w:val="0"/>
      <w:marRight w:val="0"/>
      <w:marTop w:val="0"/>
      <w:marBottom w:val="0"/>
      <w:divBdr>
        <w:top w:val="none" w:sz="0" w:space="0" w:color="auto"/>
        <w:left w:val="none" w:sz="0" w:space="0" w:color="auto"/>
        <w:bottom w:val="none" w:sz="0" w:space="0" w:color="auto"/>
        <w:right w:val="none" w:sz="0" w:space="0" w:color="auto"/>
      </w:divBdr>
      <w:divsChild>
        <w:div w:id="1958754916">
          <w:marLeft w:val="0"/>
          <w:marRight w:val="0"/>
          <w:marTop w:val="0"/>
          <w:marBottom w:val="0"/>
          <w:divBdr>
            <w:top w:val="none" w:sz="0" w:space="0" w:color="auto"/>
            <w:left w:val="none" w:sz="0" w:space="0" w:color="auto"/>
            <w:bottom w:val="none" w:sz="0" w:space="0" w:color="auto"/>
            <w:right w:val="none" w:sz="0" w:space="0" w:color="auto"/>
          </w:divBdr>
        </w:div>
      </w:divsChild>
    </w:div>
    <w:div w:id="660619758">
      <w:bodyDiv w:val="1"/>
      <w:marLeft w:val="0"/>
      <w:marRight w:val="0"/>
      <w:marTop w:val="0"/>
      <w:marBottom w:val="0"/>
      <w:divBdr>
        <w:top w:val="none" w:sz="0" w:space="0" w:color="auto"/>
        <w:left w:val="none" w:sz="0" w:space="0" w:color="auto"/>
        <w:bottom w:val="none" w:sz="0" w:space="0" w:color="auto"/>
        <w:right w:val="none" w:sz="0" w:space="0" w:color="auto"/>
      </w:divBdr>
      <w:divsChild>
        <w:div w:id="956260486">
          <w:marLeft w:val="0"/>
          <w:marRight w:val="0"/>
          <w:marTop w:val="0"/>
          <w:marBottom w:val="0"/>
          <w:divBdr>
            <w:top w:val="none" w:sz="0" w:space="0" w:color="auto"/>
            <w:left w:val="none" w:sz="0" w:space="0" w:color="auto"/>
            <w:bottom w:val="none" w:sz="0" w:space="0" w:color="auto"/>
            <w:right w:val="none" w:sz="0" w:space="0" w:color="auto"/>
          </w:divBdr>
        </w:div>
      </w:divsChild>
    </w:div>
    <w:div w:id="678509712">
      <w:bodyDiv w:val="1"/>
      <w:marLeft w:val="0"/>
      <w:marRight w:val="0"/>
      <w:marTop w:val="0"/>
      <w:marBottom w:val="0"/>
      <w:divBdr>
        <w:top w:val="none" w:sz="0" w:space="0" w:color="auto"/>
        <w:left w:val="none" w:sz="0" w:space="0" w:color="auto"/>
        <w:bottom w:val="none" w:sz="0" w:space="0" w:color="auto"/>
        <w:right w:val="none" w:sz="0" w:space="0" w:color="auto"/>
      </w:divBdr>
      <w:divsChild>
        <w:div w:id="1168666443">
          <w:marLeft w:val="0"/>
          <w:marRight w:val="0"/>
          <w:marTop w:val="0"/>
          <w:marBottom w:val="0"/>
          <w:divBdr>
            <w:top w:val="none" w:sz="0" w:space="0" w:color="auto"/>
            <w:left w:val="none" w:sz="0" w:space="0" w:color="auto"/>
            <w:bottom w:val="none" w:sz="0" w:space="0" w:color="auto"/>
            <w:right w:val="none" w:sz="0" w:space="0" w:color="auto"/>
          </w:divBdr>
        </w:div>
      </w:divsChild>
    </w:div>
    <w:div w:id="686953012">
      <w:bodyDiv w:val="1"/>
      <w:marLeft w:val="0"/>
      <w:marRight w:val="0"/>
      <w:marTop w:val="0"/>
      <w:marBottom w:val="0"/>
      <w:divBdr>
        <w:top w:val="none" w:sz="0" w:space="0" w:color="auto"/>
        <w:left w:val="none" w:sz="0" w:space="0" w:color="auto"/>
        <w:bottom w:val="none" w:sz="0" w:space="0" w:color="auto"/>
        <w:right w:val="none" w:sz="0" w:space="0" w:color="auto"/>
      </w:divBdr>
    </w:div>
    <w:div w:id="690956861">
      <w:bodyDiv w:val="1"/>
      <w:marLeft w:val="0"/>
      <w:marRight w:val="0"/>
      <w:marTop w:val="0"/>
      <w:marBottom w:val="0"/>
      <w:divBdr>
        <w:top w:val="none" w:sz="0" w:space="0" w:color="auto"/>
        <w:left w:val="none" w:sz="0" w:space="0" w:color="auto"/>
        <w:bottom w:val="none" w:sz="0" w:space="0" w:color="auto"/>
        <w:right w:val="none" w:sz="0" w:space="0" w:color="auto"/>
      </w:divBdr>
      <w:divsChild>
        <w:div w:id="464351828">
          <w:marLeft w:val="0"/>
          <w:marRight w:val="0"/>
          <w:marTop w:val="0"/>
          <w:marBottom w:val="300"/>
          <w:divBdr>
            <w:top w:val="single" w:sz="2" w:space="0" w:color="000000"/>
            <w:left w:val="single" w:sz="2" w:space="0" w:color="000000"/>
            <w:bottom w:val="single" w:sz="2" w:space="0" w:color="000000"/>
            <w:right w:val="single" w:sz="2" w:space="0" w:color="000000"/>
          </w:divBdr>
        </w:div>
        <w:div w:id="999233400">
          <w:marLeft w:val="0"/>
          <w:marRight w:val="0"/>
          <w:marTop w:val="0"/>
          <w:marBottom w:val="300"/>
          <w:divBdr>
            <w:top w:val="single" w:sz="2" w:space="0" w:color="000000"/>
            <w:left w:val="single" w:sz="2" w:space="0" w:color="000000"/>
            <w:bottom w:val="single" w:sz="2" w:space="0" w:color="000000"/>
            <w:right w:val="single" w:sz="2" w:space="0" w:color="000000"/>
          </w:divBdr>
        </w:div>
        <w:div w:id="1226986914">
          <w:marLeft w:val="0"/>
          <w:marRight w:val="0"/>
          <w:marTop w:val="0"/>
          <w:marBottom w:val="300"/>
          <w:divBdr>
            <w:top w:val="single" w:sz="2" w:space="0" w:color="000000"/>
            <w:left w:val="single" w:sz="2" w:space="0" w:color="000000"/>
            <w:bottom w:val="single" w:sz="2" w:space="0" w:color="000000"/>
            <w:right w:val="single" w:sz="2" w:space="0" w:color="000000"/>
          </w:divBdr>
        </w:div>
        <w:div w:id="1387417730">
          <w:marLeft w:val="0"/>
          <w:marRight w:val="0"/>
          <w:marTop w:val="0"/>
          <w:marBottom w:val="300"/>
          <w:divBdr>
            <w:top w:val="single" w:sz="2" w:space="0" w:color="000000"/>
            <w:left w:val="single" w:sz="2" w:space="0" w:color="000000"/>
            <w:bottom w:val="single" w:sz="2" w:space="0" w:color="000000"/>
            <w:right w:val="single" w:sz="2" w:space="0" w:color="000000"/>
          </w:divBdr>
        </w:div>
      </w:divsChild>
    </w:div>
    <w:div w:id="743183946">
      <w:bodyDiv w:val="1"/>
      <w:marLeft w:val="0"/>
      <w:marRight w:val="0"/>
      <w:marTop w:val="0"/>
      <w:marBottom w:val="0"/>
      <w:divBdr>
        <w:top w:val="none" w:sz="0" w:space="0" w:color="auto"/>
        <w:left w:val="none" w:sz="0" w:space="0" w:color="auto"/>
        <w:bottom w:val="none" w:sz="0" w:space="0" w:color="auto"/>
        <w:right w:val="none" w:sz="0" w:space="0" w:color="auto"/>
      </w:divBdr>
      <w:divsChild>
        <w:div w:id="1715275941">
          <w:marLeft w:val="0"/>
          <w:marRight w:val="0"/>
          <w:marTop w:val="0"/>
          <w:marBottom w:val="0"/>
          <w:divBdr>
            <w:top w:val="none" w:sz="0" w:space="0" w:color="auto"/>
            <w:left w:val="none" w:sz="0" w:space="0" w:color="auto"/>
            <w:bottom w:val="none" w:sz="0" w:space="0" w:color="auto"/>
            <w:right w:val="none" w:sz="0" w:space="0" w:color="auto"/>
          </w:divBdr>
        </w:div>
      </w:divsChild>
    </w:div>
    <w:div w:id="752749363">
      <w:bodyDiv w:val="1"/>
      <w:marLeft w:val="0"/>
      <w:marRight w:val="0"/>
      <w:marTop w:val="0"/>
      <w:marBottom w:val="0"/>
      <w:divBdr>
        <w:top w:val="none" w:sz="0" w:space="0" w:color="auto"/>
        <w:left w:val="none" w:sz="0" w:space="0" w:color="auto"/>
        <w:bottom w:val="none" w:sz="0" w:space="0" w:color="auto"/>
        <w:right w:val="none" w:sz="0" w:space="0" w:color="auto"/>
      </w:divBdr>
      <w:divsChild>
        <w:div w:id="58093440">
          <w:marLeft w:val="0"/>
          <w:marRight w:val="0"/>
          <w:marTop w:val="0"/>
          <w:marBottom w:val="300"/>
          <w:divBdr>
            <w:top w:val="single" w:sz="2" w:space="0" w:color="000000"/>
            <w:left w:val="single" w:sz="2" w:space="0" w:color="000000"/>
            <w:bottom w:val="single" w:sz="2" w:space="0" w:color="000000"/>
            <w:right w:val="single" w:sz="2" w:space="0" w:color="000000"/>
          </w:divBdr>
        </w:div>
      </w:divsChild>
    </w:div>
    <w:div w:id="783578275">
      <w:bodyDiv w:val="1"/>
      <w:marLeft w:val="0"/>
      <w:marRight w:val="0"/>
      <w:marTop w:val="0"/>
      <w:marBottom w:val="0"/>
      <w:divBdr>
        <w:top w:val="none" w:sz="0" w:space="0" w:color="auto"/>
        <w:left w:val="none" w:sz="0" w:space="0" w:color="auto"/>
        <w:bottom w:val="none" w:sz="0" w:space="0" w:color="auto"/>
        <w:right w:val="none" w:sz="0" w:space="0" w:color="auto"/>
      </w:divBdr>
      <w:divsChild>
        <w:div w:id="184951581">
          <w:marLeft w:val="0"/>
          <w:marRight w:val="0"/>
          <w:marTop w:val="0"/>
          <w:marBottom w:val="300"/>
          <w:divBdr>
            <w:top w:val="single" w:sz="2" w:space="0" w:color="000000"/>
            <w:left w:val="single" w:sz="2" w:space="0" w:color="000000"/>
            <w:bottom w:val="single" w:sz="2" w:space="0" w:color="000000"/>
            <w:right w:val="single" w:sz="2" w:space="0" w:color="000000"/>
          </w:divBdr>
        </w:div>
        <w:div w:id="366221909">
          <w:marLeft w:val="0"/>
          <w:marRight w:val="0"/>
          <w:marTop w:val="0"/>
          <w:marBottom w:val="300"/>
          <w:divBdr>
            <w:top w:val="single" w:sz="2" w:space="0" w:color="000000"/>
            <w:left w:val="single" w:sz="2" w:space="0" w:color="000000"/>
            <w:bottom w:val="single" w:sz="2" w:space="0" w:color="000000"/>
            <w:right w:val="single" w:sz="2" w:space="0" w:color="000000"/>
          </w:divBdr>
        </w:div>
      </w:divsChild>
    </w:div>
    <w:div w:id="822432552">
      <w:bodyDiv w:val="1"/>
      <w:marLeft w:val="0"/>
      <w:marRight w:val="0"/>
      <w:marTop w:val="0"/>
      <w:marBottom w:val="0"/>
      <w:divBdr>
        <w:top w:val="none" w:sz="0" w:space="0" w:color="auto"/>
        <w:left w:val="none" w:sz="0" w:space="0" w:color="auto"/>
        <w:bottom w:val="none" w:sz="0" w:space="0" w:color="auto"/>
        <w:right w:val="none" w:sz="0" w:space="0" w:color="auto"/>
      </w:divBdr>
      <w:divsChild>
        <w:div w:id="446000387">
          <w:marLeft w:val="0"/>
          <w:marRight w:val="0"/>
          <w:marTop w:val="0"/>
          <w:marBottom w:val="0"/>
          <w:divBdr>
            <w:top w:val="none" w:sz="0" w:space="0" w:color="auto"/>
            <w:left w:val="none" w:sz="0" w:space="0" w:color="auto"/>
            <w:bottom w:val="none" w:sz="0" w:space="0" w:color="auto"/>
            <w:right w:val="none" w:sz="0" w:space="0" w:color="auto"/>
          </w:divBdr>
        </w:div>
      </w:divsChild>
    </w:div>
    <w:div w:id="844249680">
      <w:bodyDiv w:val="1"/>
      <w:marLeft w:val="0"/>
      <w:marRight w:val="0"/>
      <w:marTop w:val="0"/>
      <w:marBottom w:val="0"/>
      <w:divBdr>
        <w:top w:val="none" w:sz="0" w:space="0" w:color="auto"/>
        <w:left w:val="none" w:sz="0" w:space="0" w:color="auto"/>
        <w:bottom w:val="none" w:sz="0" w:space="0" w:color="auto"/>
        <w:right w:val="none" w:sz="0" w:space="0" w:color="auto"/>
      </w:divBdr>
      <w:divsChild>
        <w:div w:id="760687917">
          <w:marLeft w:val="0"/>
          <w:marRight w:val="0"/>
          <w:marTop w:val="0"/>
          <w:marBottom w:val="0"/>
          <w:divBdr>
            <w:top w:val="none" w:sz="0" w:space="0" w:color="auto"/>
            <w:left w:val="none" w:sz="0" w:space="0" w:color="auto"/>
            <w:bottom w:val="none" w:sz="0" w:space="0" w:color="auto"/>
            <w:right w:val="none" w:sz="0" w:space="0" w:color="auto"/>
          </w:divBdr>
        </w:div>
      </w:divsChild>
    </w:div>
    <w:div w:id="865295977">
      <w:bodyDiv w:val="1"/>
      <w:marLeft w:val="0"/>
      <w:marRight w:val="0"/>
      <w:marTop w:val="0"/>
      <w:marBottom w:val="0"/>
      <w:divBdr>
        <w:top w:val="none" w:sz="0" w:space="0" w:color="auto"/>
        <w:left w:val="none" w:sz="0" w:space="0" w:color="auto"/>
        <w:bottom w:val="none" w:sz="0" w:space="0" w:color="auto"/>
        <w:right w:val="none" w:sz="0" w:space="0" w:color="auto"/>
      </w:divBdr>
      <w:divsChild>
        <w:div w:id="1576016265">
          <w:marLeft w:val="0"/>
          <w:marRight w:val="0"/>
          <w:marTop w:val="0"/>
          <w:marBottom w:val="0"/>
          <w:divBdr>
            <w:top w:val="none" w:sz="0" w:space="0" w:color="auto"/>
            <w:left w:val="none" w:sz="0" w:space="0" w:color="auto"/>
            <w:bottom w:val="none" w:sz="0" w:space="0" w:color="auto"/>
            <w:right w:val="none" w:sz="0" w:space="0" w:color="auto"/>
          </w:divBdr>
        </w:div>
      </w:divsChild>
    </w:div>
    <w:div w:id="870263112">
      <w:bodyDiv w:val="1"/>
      <w:marLeft w:val="0"/>
      <w:marRight w:val="0"/>
      <w:marTop w:val="0"/>
      <w:marBottom w:val="0"/>
      <w:divBdr>
        <w:top w:val="none" w:sz="0" w:space="0" w:color="auto"/>
        <w:left w:val="none" w:sz="0" w:space="0" w:color="auto"/>
        <w:bottom w:val="none" w:sz="0" w:space="0" w:color="auto"/>
        <w:right w:val="none" w:sz="0" w:space="0" w:color="auto"/>
      </w:divBdr>
      <w:divsChild>
        <w:div w:id="1563831254">
          <w:marLeft w:val="0"/>
          <w:marRight w:val="0"/>
          <w:marTop w:val="0"/>
          <w:marBottom w:val="0"/>
          <w:divBdr>
            <w:top w:val="none" w:sz="0" w:space="0" w:color="auto"/>
            <w:left w:val="none" w:sz="0" w:space="0" w:color="auto"/>
            <w:bottom w:val="none" w:sz="0" w:space="0" w:color="auto"/>
            <w:right w:val="none" w:sz="0" w:space="0" w:color="auto"/>
          </w:divBdr>
        </w:div>
      </w:divsChild>
    </w:div>
    <w:div w:id="877475095">
      <w:bodyDiv w:val="1"/>
      <w:marLeft w:val="0"/>
      <w:marRight w:val="0"/>
      <w:marTop w:val="0"/>
      <w:marBottom w:val="0"/>
      <w:divBdr>
        <w:top w:val="none" w:sz="0" w:space="0" w:color="auto"/>
        <w:left w:val="none" w:sz="0" w:space="0" w:color="auto"/>
        <w:bottom w:val="none" w:sz="0" w:space="0" w:color="auto"/>
        <w:right w:val="none" w:sz="0" w:space="0" w:color="auto"/>
      </w:divBdr>
      <w:divsChild>
        <w:div w:id="1621376022">
          <w:marLeft w:val="0"/>
          <w:marRight w:val="0"/>
          <w:marTop w:val="0"/>
          <w:marBottom w:val="0"/>
          <w:divBdr>
            <w:top w:val="none" w:sz="0" w:space="0" w:color="auto"/>
            <w:left w:val="none" w:sz="0" w:space="0" w:color="auto"/>
            <w:bottom w:val="none" w:sz="0" w:space="0" w:color="auto"/>
            <w:right w:val="none" w:sz="0" w:space="0" w:color="auto"/>
          </w:divBdr>
        </w:div>
      </w:divsChild>
    </w:div>
    <w:div w:id="882911162">
      <w:bodyDiv w:val="1"/>
      <w:marLeft w:val="0"/>
      <w:marRight w:val="0"/>
      <w:marTop w:val="0"/>
      <w:marBottom w:val="0"/>
      <w:divBdr>
        <w:top w:val="none" w:sz="0" w:space="0" w:color="auto"/>
        <w:left w:val="none" w:sz="0" w:space="0" w:color="auto"/>
        <w:bottom w:val="none" w:sz="0" w:space="0" w:color="auto"/>
        <w:right w:val="none" w:sz="0" w:space="0" w:color="auto"/>
      </w:divBdr>
      <w:divsChild>
        <w:div w:id="912933267">
          <w:marLeft w:val="0"/>
          <w:marRight w:val="0"/>
          <w:marTop w:val="0"/>
          <w:marBottom w:val="0"/>
          <w:divBdr>
            <w:top w:val="none" w:sz="0" w:space="0" w:color="auto"/>
            <w:left w:val="none" w:sz="0" w:space="0" w:color="auto"/>
            <w:bottom w:val="none" w:sz="0" w:space="0" w:color="auto"/>
            <w:right w:val="none" w:sz="0" w:space="0" w:color="auto"/>
          </w:divBdr>
        </w:div>
      </w:divsChild>
    </w:div>
    <w:div w:id="893664014">
      <w:bodyDiv w:val="1"/>
      <w:marLeft w:val="0"/>
      <w:marRight w:val="0"/>
      <w:marTop w:val="0"/>
      <w:marBottom w:val="0"/>
      <w:divBdr>
        <w:top w:val="none" w:sz="0" w:space="0" w:color="auto"/>
        <w:left w:val="none" w:sz="0" w:space="0" w:color="auto"/>
        <w:bottom w:val="none" w:sz="0" w:space="0" w:color="auto"/>
        <w:right w:val="none" w:sz="0" w:space="0" w:color="auto"/>
      </w:divBdr>
      <w:divsChild>
        <w:div w:id="1276209744">
          <w:marLeft w:val="0"/>
          <w:marRight w:val="0"/>
          <w:marTop w:val="0"/>
          <w:marBottom w:val="0"/>
          <w:divBdr>
            <w:top w:val="none" w:sz="0" w:space="0" w:color="auto"/>
            <w:left w:val="none" w:sz="0" w:space="0" w:color="auto"/>
            <w:bottom w:val="none" w:sz="0" w:space="0" w:color="auto"/>
            <w:right w:val="none" w:sz="0" w:space="0" w:color="auto"/>
          </w:divBdr>
        </w:div>
      </w:divsChild>
    </w:div>
    <w:div w:id="925066676">
      <w:bodyDiv w:val="1"/>
      <w:marLeft w:val="0"/>
      <w:marRight w:val="0"/>
      <w:marTop w:val="0"/>
      <w:marBottom w:val="0"/>
      <w:divBdr>
        <w:top w:val="none" w:sz="0" w:space="0" w:color="auto"/>
        <w:left w:val="none" w:sz="0" w:space="0" w:color="auto"/>
        <w:bottom w:val="none" w:sz="0" w:space="0" w:color="auto"/>
        <w:right w:val="none" w:sz="0" w:space="0" w:color="auto"/>
      </w:divBdr>
      <w:divsChild>
        <w:div w:id="1025012812">
          <w:marLeft w:val="0"/>
          <w:marRight w:val="0"/>
          <w:marTop w:val="0"/>
          <w:marBottom w:val="0"/>
          <w:divBdr>
            <w:top w:val="none" w:sz="0" w:space="0" w:color="auto"/>
            <w:left w:val="none" w:sz="0" w:space="0" w:color="auto"/>
            <w:bottom w:val="none" w:sz="0" w:space="0" w:color="auto"/>
            <w:right w:val="none" w:sz="0" w:space="0" w:color="auto"/>
          </w:divBdr>
        </w:div>
      </w:divsChild>
    </w:div>
    <w:div w:id="938875951">
      <w:bodyDiv w:val="1"/>
      <w:marLeft w:val="0"/>
      <w:marRight w:val="0"/>
      <w:marTop w:val="0"/>
      <w:marBottom w:val="0"/>
      <w:divBdr>
        <w:top w:val="none" w:sz="0" w:space="0" w:color="auto"/>
        <w:left w:val="none" w:sz="0" w:space="0" w:color="auto"/>
        <w:bottom w:val="none" w:sz="0" w:space="0" w:color="auto"/>
        <w:right w:val="none" w:sz="0" w:space="0" w:color="auto"/>
      </w:divBdr>
      <w:divsChild>
        <w:div w:id="602373961">
          <w:marLeft w:val="0"/>
          <w:marRight w:val="0"/>
          <w:marTop w:val="0"/>
          <w:marBottom w:val="0"/>
          <w:divBdr>
            <w:top w:val="none" w:sz="0" w:space="0" w:color="auto"/>
            <w:left w:val="none" w:sz="0" w:space="0" w:color="auto"/>
            <w:bottom w:val="none" w:sz="0" w:space="0" w:color="auto"/>
            <w:right w:val="none" w:sz="0" w:space="0" w:color="auto"/>
          </w:divBdr>
        </w:div>
      </w:divsChild>
    </w:div>
    <w:div w:id="955868524">
      <w:bodyDiv w:val="1"/>
      <w:marLeft w:val="0"/>
      <w:marRight w:val="0"/>
      <w:marTop w:val="0"/>
      <w:marBottom w:val="0"/>
      <w:divBdr>
        <w:top w:val="none" w:sz="0" w:space="0" w:color="auto"/>
        <w:left w:val="none" w:sz="0" w:space="0" w:color="auto"/>
        <w:bottom w:val="none" w:sz="0" w:space="0" w:color="auto"/>
        <w:right w:val="none" w:sz="0" w:space="0" w:color="auto"/>
      </w:divBdr>
    </w:div>
    <w:div w:id="956564441">
      <w:bodyDiv w:val="1"/>
      <w:marLeft w:val="0"/>
      <w:marRight w:val="0"/>
      <w:marTop w:val="0"/>
      <w:marBottom w:val="0"/>
      <w:divBdr>
        <w:top w:val="none" w:sz="0" w:space="0" w:color="auto"/>
        <w:left w:val="none" w:sz="0" w:space="0" w:color="auto"/>
        <w:bottom w:val="none" w:sz="0" w:space="0" w:color="auto"/>
        <w:right w:val="none" w:sz="0" w:space="0" w:color="auto"/>
      </w:divBdr>
      <w:divsChild>
        <w:div w:id="1243683736">
          <w:marLeft w:val="0"/>
          <w:marRight w:val="0"/>
          <w:marTop w:val="0"/>
          <w:marBottom w:val="0"/>
          <w:divBdr>
            <w:top w:val="none" w:sz="0" w:space="0" w:color="auto"/>
            <w:left w:val="none" w:sz="0" w:space="0" w:color="auto"/>
            <w:bottom w:val="none" w:sz="0" w:space="0" w:color="auto"/>
            <w:right w:val="none" w:sz="0" w:space="0" w:color="auto"/>
          </w:divBdr>
        </w:div>
      </w:divsChild>
    </w:div>
    <w:div w:id="971909655">
      <w:bodyDiv w:val="1"/>
      <w:marLeft w:val="0"/>
      <w:marRight w:val="0"/>
      <w:marTop w:val="0"/>
      <w:marBottom w:val="0"/>
      <w:divBdr>
        <w:top w:val="none" w:sz="0" w:space="0" w:color="auto"/>
        <w:left w:val="none" w:sz="0" w:space="0" w:color="auto"/>
        <w:bottom w:val="none" w:sz="0" w:space="0" w:color="auto"/>
        <w:right w:val="none" w:sz="0" w:space="0" w:color="auto"/>
      </w:divBdr>
      <w:divsChild>
        <w:div w:id="1567375886">
          <w:marLeft w:val="0"/>
          <w:marRight w:val="0"/>
          <w:marTop w:val="0"/>
          <w:marBottom w:val="0"/>
          <w:divBdr>
            <w:top w:val="none" w:sz="0" w:space="0" w:color="auto"/>
            <w:left w:val="none" w:sz="0" w:space="0" w:color="auto"/>
            <w:bottom w:val="none" w:sz="0" w:space="0" w:color="auto"/>
            <w:right w:val="none" w:sz="0" w:space="0" w:color="auto"/>
          </w:divBdr>
        </w:div>
      </w:divsChild>
    </w:div>
    <w:div w:id="983965941">
      <w:bodyDiv w:val="1"/>
      <w:marLeft w:val="0"/>
      <w:marRight w:val="0"/>
      <w:marTop w:val="0"/>
      <w:marBottom w:val="0"/>
      <w:divBdr>
        <w:top w:val="none" w:sz="0" w:space="0" w:color="auto"/>
        <w:left w:val="none" w:sz="0" w:space="0" w:color="auto"/>
        <w:bottom w:val="none" w:sz="0" w:space="0" w:color="auto"/>
        <w:right w:val="none" w:sz="0" w:space="0" w:color="auto"/>
      </w:divBdr>
      <w:divsChild>
        <w:div w:id="821459044">
          <w:marLeft w:val="0"/>
          <w:marRight w:val="0"/>
          <w:marTop w:val="0"/>
          <w:marBottom w:val="0"/>
          <w:divBdr>
            <w:top w:val="none" w:sz="0" w:space="0" w:color="auto"/>
            <w:left w:val="none" w:sz="0" w:space="0" w:color="auto"/>
            <w:bottom w:val="none" w:sz="0" w:space="0" w:color="auto"/>
            <w:right w:val="none" w:sz="0" w:space="0" w:color="auto"/>
          </w:divBdr>
        </w:div>
      </w:divsChild>
    </w:div>
    <w:div w:id="990788367">
      <w:bodyDiv w:val="1"/>
      <w:marLeft w:val="0"/>
      <w:marRight w:val="0"/>
      <w:marTop w:val="0"/>
      <w:marBottom w:val="0"/>
      <w:divBdr>
        <w:top w:val="none" w:sz="0" w:space="0" w:color="auto"/>
        <w:left w:val="none" w:sz="0" w:space="0" w:color="auto"/>
        <w:bottom w:val="none" w:sz="0" w:space="0" w:color="auto"/>
        <w:right w:val="none" w:sz="0" w:space="0" w:color="auto"/>
      </w:divBdr>
      <w:divsChild>
        <w:div w:id="1715079937">
          <w:marLeft w:val="0"/>
          <w:marRight w:val="0"/>
          <w:marTop w:val="0"/>
          <w:marBottom w:val="0"/>
          <w:divBdr>
            <w:top w:val="none" w:sz="0" w:space="0" w:color="auto"/>
            <w:left w:val="none" w:sz="0" w:space="0" w:color="auto"/>
            <w:bottom w:val="none" w:sz="0" w:space="0" w:color="auto"/>
            <w:right w:val="none" w:sz="0" w:space="0" w:color="auto"/>
          </w:divBdr>
        </w:div>
      </w:divsChild>
    </w:div>
    <w:div w:id="1013384765">
      <w:bodyDiv w:val="1"/>
      <w:marLeft w:val="0"/>
      <w:marRight w:val="0"/>
      <w:marTop w:val="0"/>
      <w:marBottom w:val="0"/>
      <w:divBdr>
        <w:top w:val="none" w:sz="0" w:space="0" w:color="auto"/>
        <w:left w:val="none" w:sz="0" w:space="0" w:color="auto"/>
        <w:bottom w:val="none" w:sz="0" w:space="0" w:color="auto"/>
        <w:right w:val="none" w:sz="0" w:space="0" w:color="auto"/>
      </w:divBdr>
      <w:divsChild>
        <w:div w:id="364913401">
          <w:marLeft w:val="0"/>
          <w:marRight w:val="0"/>
          <w:marTop w:val="0"/>
          <w:marBottom w:val="0"/>
          <w:divBdr>
            <w:top w:val="none" w:sz="0" w:space="0" w:color="auto"/>
            <w:left w:val="none" w:sz="0" w:space="0" w:color="auto"/>
            <w:bottom w:val="none" w:sz="0" w:space="0" w:color="auto"/>
            <w:right w:val="none" w:sz="0" w:space="0" w:color="auto"/>
          </w:divBdr>
          <w:divsChild>
            <w:div w:id="1225482868">
              <w:marLeft w:val="0"/>
              <w:marRight w:val="0"/>
              <w:marTop w:val="0"/>
              <w:marBottom w:val="0"/>
              <w:divBdr>
                <w:top w:val="single" w:sz="2" w:space="0" w:color="000000"/>
                <w:left w:val="single" w:sz="2" w:space="0" w:color="000000"/>
                <w:bottom w:val="single" w:sz="2" w:space="0" w:color="000000"/>
                <w:right w:val="single" w:sz="2" w:space="0" w:color="000000"/>
              </w:divBdr>
            </w:div>
            <w:div w:id="1846940096">
              <w:marLeft w:val="0"/>
              <w:marRight w:val="0"/>
              <w:marTop w:val="0"/>
              <w:marBottom w:val="0"/>
              <w:divBdr>
                <w:top w:val="single" w:sz="2" w:space="0" w:color="000000"/>
                <w:left w:val="single" w:sz="2" w:space="0" w:color="000000"/>
                <w:bottom w:val="single" w:sz="2" w:space="0" w:color="000000"/>
                <w:right w:val="single" w:sz="2" w:space="0" w:color="000000"/>
              </w:divBdr>
            </w:div>
            <w:div w:id="1943609955">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1026294724">
      <w:bodyDiv w:val="1"/>
      <w:marLeft w:val="0"/>
      <w:marRight w:val="0"/>
      <w:marTop w:val="0"/>
      <w:marBottom w:val="0"/>
      <w:divBdr>
        <w:top w:val="none" w:sz="0" w:space="0" w:color="auto"/>
        <w:left w:val="none" w:sz="0" w:space="0" w:color="auto"/>
        <w:bottom w:val="none" w:sz="0" w:space="0" w:color="auto"/>
        <w:right w:val="none" w:sz="0" w:space="0" w:color="auto"/>
      </w:divBdr>
      <w:divsChild>
        <w:div w:id="1078330630">
          <w:marLeft w:val="0"/>
          <w:marRight w:val="0"/>
          <w:marTop w:val="0"/>
          <w:marBottom w:val="0"/>
          <w:divBdr>
            <w:top w:val="none" w:sz="0" w:space="0" w:color="auto"/>
            <w:left w:val="none" w:sz="0" w:space="0" w:color="auto"/>
            <w:bottom w:val="none" w:sz="0" w:space="0" w:color="auto"/>
            <w:right w:val="none" w:sz="0" w:space="0" w:color="auto"/>
          </w:divBdr>
        </w:div>
      </w:divsChild>
    </w:div>
    <w:div w:id="1040086125">
      <w:bodyDiv w:val="1"/>
      <w:marLeft w:val="0"/>
      <w:marRight w:val="0"/>
      <w:marTop w:val="0"/>
      <w:marBottom w:val="0"/>
      <w:divBdr>
        <w:top w:val="none" w:sz="0" w:space="0" w:color="auto"/>
        <w:left w:val="none" w:sz="0" w:space="0" w:color="auto"/>
        <w:bottom w:val="none" w:sz="0" w:space="0" w:color="auto"/>
        <w:right w:val="none" w:sz="0" w:space="0" w:color="auto"/>
      </w:divBdr>
    </w:div>
    <w:div w:id="1070234061">
      <w:bodyDiv w:val="1"/>
      <w:marLeft w:val="0"/>
      <w:marRight w:val="0"/>
      <w:marTop w:val="0"/>
      <w:marBottom w:val="0"/>
      <w:divBdr>
        <w:top w:val="none" w:sz="0" w:space="0" w:color="auto"/>
        <w:left w:val="none" w:sz="0" w:space="0" w:color="auto"/>
        <w:bottom w:val="none" w:sz="0" w:space="0" w:color="auto"/>
        <w:right w:val="none" w:sz="0" w:space="0" w:color="auto"/>
      </w:divBdr>
      <w:divsChild>
        <w:div w:id="219638079">
          <w:marLeft w:val="0"/>
          <w:marRight w:val="0"/>
          <w:marTop w:val="0"/>
          <w:marBottom w:val="0"/>
          <w:divBdr>
            <w:top w:val="none" w:sz="0" w:space="0" w:color="auto"/>
            <w:left w:val="none" w:sz="0" w:space="0" w:color="auto"/>
            <w:bottom w:val="none" w:sz="0" w:space="0" w:color="auto"/>
            <w:right w:val="none" w:sz="0" w:space="0" w:color="auto"/>
          </w:divBdr>
        </w:div>
      </w:divsChild>
    </w:div>
    <w:div w:id="1084298869">
      <w:bodyDiv w:val="1"/>
      <w:marLeft w:val="0"/>
      <w:marRight w:val="0"/>
      <w:marTop w:val="0"/>
      <w:marBottom w:val="0"/>
      <w:divBdr>
        <w:top w:val="none" w:sz="0" w:space="0" w:color="auto"/>
        <w:left w:val="none" w:sz="0" w:space="0" w:color="auto"/>
        <w:bottom w:val="none" w:sz="0" w:space="0" w:color="auto"/>
        <w:right w:val="none" w:sz="0" w:space="0" w:color="auto"/>
      </w:divBdr>
      <w:divsChild>
        <w:div w:id="1676112198">
          <w:marLeft w:val="0"/>
          <w:marRight w:val="0"/>
          <w:marTop w:val="0"/>
          <w:marBottom w:val="0"/>
          <w:divBdr>
            <w:top w:val="none" w:sz="0" w:space="0" w:color="auto"/>
            <w:left w:val="none" w:sz="0" w:space="0" w:color="auto"/>
            <w:bottom w:val="none" w:sz="0" w:space="0" w:color="auto"/>
            <w:right w:val="none" w:sz="0" w:space="0" w:color="auto"/>
          </w:divBdr>
        </w:div>
      </w:divsChild>
    </w:div>
    <w:div w:id="1095513300">
      <w:bodyDiv w:val="1"/>
      <w:marLeft w:val="0"/>
      <w:marRight w:val="0"/>
      <w:marTop w:val="0"/>
      <w:marBottom w:val="0"/>
      <w:divBdr>
        <w:top w:val="none" w:sz="0" w:space="0" w:color="auto"/>
        <w:left w:val="none" w:sz="0" w:space="0" w:color="auto"/>
        <w:bottom w:val="none" w:sz="0" w:space="0" w:color="auto"/>
        <w:right w:val="none" w:sz="0" w:space="0" w:color="auto"/>
      </w:divBdr>
      <w:divsChild>
        <w:div w:id="1404528405">
          <w:marLeft w:val="0"/>
          <w:marRight w:val="0"/>
          <w:marTop w:val="0"/>
          <w:marBottom w:val="0"/>
          <w:divBdr>
            <w:top w:val="none" w:sz="0" w:space="0" w:color="auto"/>
            <w:left w:val="none" w:sz="0" w:space="0" w:color="auto"/>
            <w:bottom w:val="none" w:sz="0" w:space="0" w:color="auto"/>
            <w:right w:val="none" w:sz="0" w:space="0" w:color="auto"/>
          </w:divBdr>
        </w:div>
      </w:divsChild>
    </w:div>
    <w:div w:id="1130828740">
      <w:bodyDiv w:val="1"/>
      <w:marLeft w:val="0"/>
      <w:marRight w:val="0"/>
      <w:marTop w:val="0"/>
      <w:marBottom w:val="0"/>
      <w:divBdr>
        <w:top w:val="none" w:sz="0" w:space="0" w:color="auto"/>
        <w:left w:val="none" w:sz="0" w:space="0" w:color="auto"/>
        <w:bottom w:val="none" w:sz="0" w:space="0" w:color="auto"/>
        <w:right w:val="none" w:sz="0" w:space="0" w:color="auto"/>
      </w:divBdr>
    </w:div>
    <w:div w:id="1140078726">
      <w:bodyDiv w:val="1"/>
      <w:marLeft w:val="0"/>
      <w:marRight w:val="0"/>
      <w:marTop w:val="0"/>
      <w:marBottom w:val="0"/>
      <w:divBdr>
        <w:top w:val="none" w:sz="0" w:space="0" w:color="auto"/>
        <w:left w:val="none" w:sz="0" w:space="0" w:color="auto"/>
        <w:bottom w:val="none" w:sz="0" w:space="0" w:color="auto"/>
        <w:right w:val="none" w:sz="0" w:space="0" w:color="auto"/>
      </w:divBdr>
      <w:divsChild>
        <w:div w:id="165444298">
          <w:marLeft w:val="0"/>
          <w:marRight w:val="0"/>
          <w:marTop w:val="0"/>
          <w:marBottom w:val="0"/>
          <w:divBdr>
            <w:top w:val="none" w:sz="0" w:space="0" w:color="auto"/>
            <w:left w:val="none" w:sz="0" w:space="0" w:color="auto"/>
            <w:bottom w:val="none" w:sz="0" w:space="0" w:color="auto"/>
            <w:right w:val="none" w:sz="0" w:space="0" w:color="auto"/>
          </w:divBdr>
        </w:div>
      </w:divsChild>
    </w:div>
    <w:div w:id="1141848355">
      <w:bodyDiv w:val="1"/>
      <w:marLeft w:val="0"/>
      <w:marRight w:val="0"/>
      <w:marTop w:val="0"/>
      <w:marBottom w:val="0"/>
      <w:divBdr>
        <w:top w:val="none" w:sz="0" w:space="0" w:color="auto"/>
        <w:left w:val="none" w:sz="0" w:space="0" w:color="auto"/>
        <w:bottom w:val="none" w:sz="0" w:space="0" w:color="auto"/>
        <w:right w:val="none" w:sz="0" w:space="0" w:color="auto"/>
      </w:divBdr>
      <w:divsChild>
        <w:div w:id="1477524723">
          <w:marLeft w:val="0"/>
          <w:marRight w:val="0"/>
          <w:marTop w:val="0"/>
          <w:marBottom w:val="0"/>
          <w:divBdr>
            <w:top w:val="none" w:sz="0" w:space="0" w:color="auto"/>
            <w:left w:val="none" w:sz="0" w:space="0" w:color="auto"/>
            <w:bottom w:val="none" w:sz="0" w:space="0" w:color="auto"/>
            <w:right w:val="none" w:sz="0" w:space="0" w:color="auto"/>
          </w:divBdr>
        </w:div>
      </w:divsChild>
    </w:div>
    <w:div w:id="1149859190">
      <w:bodyDiv w:val="1"/>
      <w:marLeft w:val="0"/>
      <w:marRight w:val="0"/>
      <w:marTop w:val="0"/>
      <w:marBottom w:val="0"/>
      <w:divBdr>
        <w:top w:val="none" w:sz="0" w:space="0" w:color="auto"/>
        <w:left w:val="none" w:sz="0" w:space="0" w:color="auto"/>
        <w:bottom w:val="none" w:sz="0" w:space="0" w:color="auto"/>
        <w:right w:val="none" w:sz="0" w:space="0" w:color="auto"/>
      </w:divBdr>
      <w:divsChild>
        <w:div w:id="683560587">
          <w:marLeft w:val="0"/>
          <w:marRight w:val="0"/>
          <w:marTop w:val="0"/>
          <w:marBottom w:val="0"/>
          <w:divBdr>
            <w:top w:val="none" w:sz="0" w:space="0" w:color="auto"/>
            <w:left w:val="none" w:sz="0" w:space="0" w:color="auto"/>
            <w:bottom w:val="none" w:sz="0" w:space="0" w:color="auto"/>
            <w:right w:val="none" w:sz="0" w:space="0" w:color="auto"/>
          </w:divBdr>
        </w:div>
      </w:divsChild>
    </w:div>
    <w:div w:id="1158885096">
      <w:bodyDiv w:val="1"/>
      <w:marLeft w:val="0"/>
      <w:marRight w:val="0"/>
      <w:marTop w:val="0"/>
      <w:marBottom w:val="0"/>
      <w:divBdr>
        <w:top w:val="none" w:sz="0" w:space="0" w:color="auto"/>
        <w:left w:val="none" w:sz="0" w:space="0" w:color="auto"/>
        <w:bottom w:val="none" w:sz="0" w:space="0" w:color="auto"/>
        <w:right w:val="none" w:sz="0" w:space="0" w:color="auto"/>
      </w:divBdr>
      <w:divsChild>
        <w:div w:id="579482799">
          <w:marLeft w:val="0"/>
          <w:marRight w:val="0"/>
          <w:marTop w:val="0"/>
          <w:marBottom w:val="0"/>
          <w:divBdr>
            <w:top w:val="none" w:sz="0" w:space="0" w:color="auto"/>
            <w:left w:val="none" w:sz="0" w:space="0" w:color="auto"/>
            <w:bottom w:val="none" w:sz="0" w:space="0" w:color="auto"/>
            <w:right w:val="none" w:sz="0" w:space="0" w:color="auto"/>
          </w:divBdr>
          <w:divsChild>
            <w:div w:id="1526140851">
              <w:marLeft w:val="0"/>
              <w:marRight w:val="0"/>
              <w:marTop w:val="0"/>
              <w:marBottom w:val="0"/>
              <w:divBdr>
                <w:top w:val="single" w:sz="2" w:space="0" w:color="000000"/>
                <w:left w:val="single" w:sz="2" w:space="0" w:color="000000"/>
                <w:bottom w:val="single" w:sz="2" w:space="0" w:color="000000"/>
                <w:right w:val="single" w:sz="2" w:space="0" w:color="000000"/>
              </w:divBdr>
            </w:div>
            <w:div w:id="1581328931">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1244532703">
      <w:bodyDiv w:val="1"/>
      <w:marLeft w:val="0"/>
      <w:marRight w:val="0"/>
      <w:marTop w:val="0"/>
      <w:marBottom w:val="0"/>
      <w:divBdr>
        <w:top w:val="none" w:sz="0" w:space="0" w:color="auto"/>
        <w:left w:val="none" w:sz="0" w:space="0" w:color="auto"/>
        <w:bottom w:val="none" w:sz="0" w:space="0" w:color="auto"/>
        <w:right w:val="none" w:sz="0" w:space="0" w:color="auto"/>
      </w:divBdr>
      <w:divsChild>
        <w:div w:id="1267885422">
          <w:marLeft w:val="0"/>
          <w:marRight w:val="0"/>
          <w:marTop w:val="0"/>
          <w:marBottom w:val="0"/>
          <w:divBdr>
            <w:top w:val="none" w:sz="0" w:space="0" w:color="auto"/>
            <w:left w:val="none" w:sz="0" w:space="0" w:color="auto"/>
            <w:bottom w:val="none" w:sz="0" w:space="0" w:color="auto"/>
            <w:right w:val="none" w:sz="0" w:space="0" w:color="auto"/>
          </w:divBdr>
        </w:div>
      </w:divsChild>
    </w:div>
    <w:div w:id="1273318796">
      <w:bodyDiv w:val="1"/>
      <w:marLeft w:val="0"/>
      <w:marRight w:val="0"/>
      <w:marTop w:val="0"/>
      <w:marBottom w:val="0"/>
      <w:divBdr>
        <w:top w:val="none" w:sz="0" w:space="0" w:color="auto"/>
        <w:left w:val="none" w:sz="0" w:space="0" w:color="auto"/>
        <w:bottom w:val="none" w:sz="0" w:space="0" w:color="auto"/>
        <w:right w:val="none" w:sz="0" w:space="0" w:color="auto"/>
      </w:divBdr>
      <w:divsChild>
        <w:div w:id="1593972856">
          <w:marLeft w:val="0"/>
          <w:marRight w:val="0"/>
          <w:marTop w:val="0"/>
          <w:marBottom w:val="0"/>
          <w:divBdr>
            <w:top w:val="none" w:sz="0" w:space="0" w:color="auto"/>
            <w:left w:val="none" w:sz="0" w:space="0" w:color="auto"/>
            <w:bottom w:val="none" w:sz="0" w:space="0" w:color="auto"/>
            <w:right w:val="none" w:sz="0" w:space="0" w:color="auto"/>
          </w:divBdr>
        </w:div>
      </w:divsChild>
    </w:div>
    <w:div w:id="1296837035">
      <w:bodyDiv w:val="1"/>
      <w:marLeft w:val="0"/>
      <w:marRight w:val="0"/>
      <w:marTop w:val="0"/>
      <w:marBottom w:val="0"/>
      <w:divBdr>
        <w:top w:val="none" w:sz="0" w:space="0" w:color="auto"/>
        <w:left w:val="none" w:sz="0" w:space="0" w:color="auto"/>
        <w:bottom w:val="none" w:sz="0" w:space="0" w:color="auto"/>
        <w:right w:val="none" w:sz="0" w:space="0" w:color="auto"/>
      </w:divBdr>
      <w:divsChild>
        <w:div w:id="303390392">
          <w:marLeft w:val="0"/>
          <w:marRight w:val="0"/>
          <w:marTop w:val="0"/>
          <w:marBottom w:val="0"/>
          <w:divBdr>
            <w:top w:val="none" w:sz="0" w:space="0" w:color="auto"/>
            <w:left w:val="none" w:sz="0" w:space="0" w:color="auto"/>
            <w:bottom w:val="none" w:sz="0" w:space="0" w:color="auto"/>
            <w:right w:val="none" w:sz="0" w:space="0" w:color="auto"/>
          </w:divBdr>
        </w:div>
      </w:divsChild>
    </w:div>
    <w:div w:id="1299263668">
      <w:bodyDiv w:val="1"/>
      <w:marLeft w:val="0"/>
      <w:marRight w:val="0"/>
      <w:marTop w:val="0"/>
      <w:marBottom w:val="0"/>
      <w:divBdr>
        <w:top w:val="none" w:sz="0" w:space="0" w:color="auto"/>
        <w:left w:val="none" w:sz="0" w:space="0" w:color="auto"/>
        <w:bottom w:val="none" w:sz="0" w:space="0" w:color="auto"/>
        <w:right w:val="none" w:sz="0" w:space="0" w:color="auto"/>
      </w:divBdr>
      <w:divsChild>
        <w:div w:id="707339282">
          <w:marLeft w:val="0"/>
          <w:marRight w:val="0"/>
          <w:marTop w:val="0"/>
          <w:marBottom w:val="300"/>
          <w:divBdr>
            <w:top w:val="single" w:sz="2" w:space="0" w:color="000000"/>
            <w:left w:val="single" w:sz="2" w:space="0" w:color="000000"/>
            <w:bottom w:val="single" w:sz="2" w:space="0" w:color="000000"/>
            <w:right w:val="single" w:sz="2" w:space="0" w:color="000000"/>
          </w:divBdr>
        </w:div>
        <w:div w:id="1367482786">
          <w:marLeft w:val="0"/>
          <w:marRight w:val="0"/>
          <w:marTop w:val="0"/>
          <w:marBottom w:val="300"/>
          <w:divBdr>
            <w:top w:val="single" w:sz="2" w:space="0" w:color="000000"/>
            <w:left w:val="single" w:sz="2" w:space="0" w:color="000000"/>
            <w:bottom w:val="single" w:sz="2" w:space="0" w:color="000000"/>
            <w:right w:val="single" w:sz="2" w:space="0" w:color="000000"/>
          </w:divBdr>
        </w:div>
      </w:divsChild>
    </w:div>
    <w:div w:id="1315530961">
      <w:bodyDiv w:val="1"/>
      <w:marLeft w:val="0"/>
      <w:marRight w:val="0"/>
      <w:marTop w:val="0"/>
      <w:marBottom w:val="0"/>
      <w:divBdr>
        <w:top w:val="none" w:sz="0" w:space="0" w:color="auto"/>
        <w:left w:val="none" w:sz="0" w:space="0" w:color="auto"/>
        <w:bottom w:val="none" w:sz="0" w:space="0" w:color="auto"/>
        <w:right w:val="none" w:sz="0" w:space="0" w:color="auto"/>
      </w:divBdr>
      <w:divsChild>
        <w:div w:id="471215111">
          <w:marLeft w:val="0"/>
          <w:marRight w:val="0"/>
          <w:marTop w:val="0"/>
          <w:marBottom w:val="0"/>
          <w:divBdr>
            <w:top w:val="single" w:sz="2" w:space="0" w:color="000000"/>
            <w:left w:val="single" w:sz="2" w:space="0" w:color="000000"/>
            <w:bottom w:val="single" w:sz="2" w:space="0" w:color="000000"/>
            <w:right w:val="single" w:sz="2" w:space="0" w:color="000000"/>
          </w:divBdr>
        </w:div>
        <w:div w:id="611210358">
          <w:marLeft w:val="0"/>
          <w:marRight w:val="0"/>
          <w:marTop w:val="0"/>
          <w:marBottom w:val="0"/>
          <w:divBdr>
            <w:top w:val="single" w:sz="2" w:space="0" w:color="000000"/>
            <w:left w:val="single" w:sz="2" w:space="0" w:color="000000"/>
            <w:bottom w:val="single" w:sz="2" w:space="0" w:color="000000"/>
            <w:right w:val="single" w:sz="2" w:space="0" w:color="000000"/>
          </w:divBdr>
        </w:div>
        <w:div w:id="775517543">
          <w:marLeft w:val="0"/>
          <w:marRight w:val="0"/>
          <w:marTop w:val="0"/>
          <w:marBottom w:val="0"/>
          <w:divBdr>
            <w:top w:val="single" w:sz="2" w:space="0" w:color="000000"/>
            <w:left w:val="single" w:sz="2" w:space="0" w:color="000000"/>
            <w:bottom w:val="single" w:sz="2" w:space="0" w:color="000000"/>
            <w:right w:val="single" w:sz="2" w:space="0" w:color="000000"/>
          </w:divBdr>
        </w:div>
        <w:div w:id="1229001870">
          <w:marLeft w:val="0"/>
          <w:marRight w:val="0"/>
          <w:marTop w:val="0"/>
          <w:marBottom w:val="0"/>
          <w:divBdr>
            <w:top w:val="single" w:sz="2" w:space="0" w:color="000000"/>
            <w:left w:val="single" w:sz="2" w:space="0" w:color="000000"/>
            <w:bottom w:val="single" w:sz="2" w:space="0" w:color="000000"/>
            <w:right w:val="single" w:sz="2" w:space="0" w:color="000000"/>
          </w:divBdr>
        </w:div>
        <w:div w:id="1606502084">
          <w:marLeft w:val="0"/>
          <w:marRight w:val="0"/>
          <w:marTop w:val="0"/>
          <w:marBottom w:val="300"/>
          <w:divBdr>
            <w:top w:val="single" w:sz="2" w:space="0" w:color="000000"/>
            <w:left w:val="single" w:sz="2" w:space="0" w:color="000000"/>
            <w:bottom w:val="single" w:sz="2" w:space="0" w:color="000000"/>
            <w:right w:val="single" w:sz="2" w:space="0" w:color="000000"/>
          </w:divBdr>
        </w:div>
      </w:divsChild>
    </w:div>
    <w:div w:id="1330987562">
      <w:bodyDiv w:val="1"/>
      <w:marLeft w:val="0"/>
      <w:marRight w:val="0"/>
      <w:marTop w:val="0"/>
      <w:marBottom w:val="0"/>
      <w:divBdr>
        <w:top w:val="none" w:sz="0" w:space="0" w:color="auto"/>
        <w:left w:val="none" w:sz="0" w:space="0" w:color="auto"/>
        <w:bottom w:val="none" w:sz="0" w:space="0" w:color="auto"/>
        <w:right w:val="none" w:sz="0" w:space="0" w:color="auto"/>
      </w:divBdr>
      <w:divsChild>
        <w:div w:id="740564452">
          <w:marLeft w:val="0"/>
          <w:marRight w:val="0"/>
          <w:marTop w:val="0"/>
          <w:marBottom w:val="0"/>
          <w:divBdr>
            <w:top w:val="none" w:sz="0" w:space="0" w:color="auto"/>
            <w:left w:val="none" w:sz="0" w:space="0" w:color="auto"/>
            <w:bottom w:val="none" w:sz="0" w:space="0" w:color="auto"/>
            <w:right w:val="none" w:sz="0" w:space="0" w:color="auto"/>
          </w:divBdr>
        </w:div>
      </w:divsChild>
    </w:div>
    <w:div w:id="1342706284">
      <w:bodyDiv w:val="1"/>
      <w:marLeft w:val="0"/>
      <w:marRight w:val="0"/>
      <w:marTop w:val="0"/>
      <w:marBottom w:val="0"/>
      <w:divBdr>
        <w:top w:val="none" w:sz="0" w:space="0" w:color="auto"/>
        <w:left w:val="none" w:sz="0" w:space="0" w:color="auto"/>
        <w:bottom w:val="none" w:sz="0" w:space="0" w:color="auto"/>
        <w:right w:val="none" w:sz="0" w:space="0" w:color="auto"/>
      </w:divBdr>
      <w:divsChild>
        <w:div w:id="46298869">
          <w:marLeft w:val="0"/>
          <w:marRight w:val="0"/>
          <w:marTop w:val="0"/>
          <w:marBottom w:val="0"/>
          <w:divBdr>
            <w:top w:val="none" w:sz="0" w:space="0" w:color="auto"/>
            <w:left w:val="none" w:sz="0" w:space="0" w:color="auto"/>
            <w:bottom w:val="none" w:sz="0" w:space="0" w:color="auto"/>
            <w:right w:val="none" w:sz="0" w:space="0" w:color="auto"/>
          </w:divBdr>
        </w:div>
      </w:divsChild>
    </w:div>
    <w:div w:id="1352874271">
      <w:bodyDiv w:val="1"/>
      <w:marLeft w:val="0"/>
      <w:marRight w:val="0"/>
      <w:marTop w:val="0"/>
      <w:marBottom w:val="0"/>
      <w:divBdr>
        <w:top w:val="none" w:sz="0" w:space="0" w:color="auto"/>
        <w:left w:val="none" w:sz="0" w:space="0" w:color="auto"/>
        <w:bottom w:val="none" w:sz="0" w:space="0" w:color="auto"/>
        <w:right w:val="none" w:sz="0" w:space="0" w:color="auto"/>
      </w:divBdr>
      <w:divsChild>
        <w:div w:id="1437939171">
          <w:marLeft w:val="0"/>
          <w:marRight w:val="0"/>
          <w:marTop w:val="0"/>
          <w:marBottom w:val="0"/>
          <w:divBdr>
            <w:top w:val="none" w:sz="0" w:space="0" w:color="auto"/>
            <w:left w:val="none" w:sz="0" w:space="0" w:color="auto"/>
            <w:bottom w:val="none" w:sz="0" w:space="0" w:color="auto"/>
            <w:right w:val="none" w:sz="0" w:space="0" w:color="auto"/>
          </w:divBdr>
        </w:div>
      </w:divsChild>
    </w:div>
    <w:div w:id="1373459277">
      <w:bodyDiv w:val="1"/>
      <w:marLeft w:val="0"/>
      <w:marRight w:val="0"/>
      <w:marTop w:val="0"/>
      <w:marBottom w:val="0"/>
      <w:divBdr>
        <w:top w:val="none" w:sz="0" w:space="0" w:color="auto"/>
        <w:left w:val="none" w:sz="0" w:space="0" w:color="auto"/>
        <w:bottom w:val="none" w:sz="0" w:space="0" w:color="auto"/>
        <w:right w:val="none" w:sz="0" w:space="0" w:color="auto"/>
      </w:divBdr>
      <w:divsChild>
        <w:div w:id="872421967">
          <w:marLeft w:val="0"/>
          <w:marRight w:val="0"/>
          <w:marTop w:val="0"/>
          <w:marBottom w:val="0"/>
          <w:divBdr>
            <w:top w:val="none" w:sz="0" w:space="0" w:color="auto"/>
            <w:left w:val="none" w:sz="0" w:space="0" w:color="auto"/>
            <w:bottom w:val="none" w:sz="0" w:space="0" w:color="auto"/>
            <w:right w:val="none" w:sz="0" w:space="0" w:color="auto"/>
          </w:divBdr>
        </w:div>
      </w:divsChild>
    </w:div>
    <w:div w:id="1387412851">
      <w:bodyDiv w:val="1"/>
      <w:marLeft w:val="0"/>
      <w:marRight w:val="0"/>
      <w:marTop w:val="0"/>
      <w:marBottom w:val="0"/>
      <w:divBdr>
        <w:top w:val="none" w:sz="0" w:space="0" w:color="auto"/>
        <w:left w:val="none" w:sz="0" w:space="0" w:color="auto"/>
        <w:bottom w:val="none" w:sz="0" w:space="0" w:color="auto"/>
        <w:right w:val="none" w:sz="0" w:space="0" w:color="auto"/>
      </w:divBdr>
      <w:divsChild>
        <w:div w:id="102578408">
          <w:marLeft w:val="0"/>
          <w:marRight w:val="0"/>
          <w:marTop w:val="0"/>
          <w:marBottom w:val="300"/>
          <w:divBdr>
            <w:top w:val="single" w:sz="2" w:space="0" w:color="000000"/>
            <w:left w:val="single" w:sz="2" w:space="0" w:color="000000"/>
            <w:bottom w:val="single" w:sz="2" w:space="0" w:color="000000"/>
            <w:right w:val="single" w:sz="2" w:space="0" w:color="000000"/>
          </w:divBdr>
        </w:div>
        <w:div w:id="793597523">
          <w:marLeft w:val="0"/>
          <w:marRight w:val="0"/>
          <w:marTop w:val="0"/>
          <w:marBottom w:val="300"/>
          <w:divBdr>
            <w:top w:val="single" w:sz="2" w:space="0" w:color="000000"/>
            <w:left w:val="single" w:sz="2" w:space="0" w:color="000000"/>
            <w:bottom w:val="single" w:sz="2" w:space="0" w:color="000000"/>
            <w:right w:val="single" w:sz="2" w:space="0" w:color="000000"/>
          </w:divBdr>
        </w:div>
      </w:divsChild>
    </w:div>
    <w:div w:id="1395860875">
      <w:bodyDiv w:val="1"/>
      <w:marLeft w:val="0"/>
      <w:marRight w:val="0"/>
      <w:marTop w:val="0"/>
      <w:marBottom w:val="0"/>
      <w:divBdr>
        <w:top w:val="none" w:sz="0" w:space="0" w:color="auto"/>
        <w:left w:val="none" w:sz="0" w:space="0" w:color="auto"/>
        <w:bottom w:val="none" w:sz="0" w:space="0" w:color="auto"/>
        <w:right w:val="none" w:sz="0" w:space="0" w:color="auto"/>
      </w:divBdr>
      <w:divsChild>
        <w:div w:id="1932172">
          <w:marLeft w:val="0"/>
          <w:marRight w:val="0"/>
          <w:marTop w:val="0"/>
          <w:marBottom w:val="0"/>
          <w:divBdr>
            <w:top w:val="none" w:sz="0" w:space="0" w:color="auto"/>
            <w:left w:val="none" w:sz="0" w:space="0" w:color="auto"/>
            <w:bottom w:val="none" w:sz="0" w:space="0" w:color="auto"/>
            <w:right w:val="none" w:sz="0" w:space="0" w:color="auto"/>
          </w:divBdr>
        </w:div>
      </w:divsChild>
    </w:div>
    <w:div w:id="1412660857">
      <w:bodyDiv w:val="1"/>
      <w:marLeft w:val="0"/>
      <w:marRight w:val="0"/>
      <w:marTop w:val="0"/>
      <w:marBottom w:val="0"/>
      <w:divBdr>
        <w:top w:val="none" w:sz="0" w:space="0" w:color="auto"/>
        <w:left w:val="none" w:sz="0" w:space="0" w:color="auto"/>
        <w:bottom w:val="none" w:sz="0" w:space="0" w:color="auto"/>
        <w:right w:val="none" w:sz="0" w:space="0" w:color="auto"/>
      </w:divBdr>
      <w:divsChild>
        <w:div w:id="604190973">
          <w:marLeft w:val="0"/>
          <w:marRight w:val="0"/>
          <w:marTop w:val="0"/>
          <w:marBottom w:val="0"/>
          <w:divBdr>
            <w:top w:val="none" w:sz="0" w:space="0" w:color="auto"/>
            <w:left w:val="none" w:sz="0" w:space="0" w:color="auto"/>
            <w:bottom w:val="none" w:sz="0" w:space="0" w:color="auto"/>
            <w:right w:val="none" w:sz="0" w:space="0" w:color="auto"/>
          </w:divBdr>
        </w:div>
      </w:divsChild>
    </w:div>
    <w:div w:id="1529298559">
      <w:bodyDiv w:val="1"/>
      <w:marLeft w:val="0"/>
      <w:marRight w:val="0"/>
      <w:marTop w:val="0"/>
      <w:marBottom w:val="0"/>
      <w:divBdr>
        <w:top w:val="none" w:sz="0" w:space="0" w:color="auto"/>
        <w:left w:val="none" w:sz="0" w:space="0" w:color="auto"/>
        <w:bottom w:val="none" w:sz="0" w:space="0" w:color="auto"/>
        <w:right w:val="none" w:sz="0" w:space="0" w:color="auto"/>
      </w:divBdr>
      <w:divsChild>
        <w:div w:id="1241141843">
          <w:marLeft w:val="0"/>
          <w:marRight w:val="0"/>
          <w:marTop w:val="0"/>
          <w:marBottom w:val="0"/>
          <w:divBdr>
            <w:top w:val="none" w:sz="0" w:space="0" w:color="auto"/>
            <w:left w:val="none" w:sz="0" w:space="0" w:color="auto"/>
            <w:bottom w:val="none" w:sz="0" w:space="0" w:color="auto"/>
            <w:right w:val="none" w:sz="0" w:space="0" w:color="auto"/>
          </w:divBdr>
        </w:div>
      </w:divsChild>
    </w:div>
    <w:div w:id="1530803702">
      <w:bodyDiv w:val="1"/>
      <w:marLeft w:val="0"/>
      <w:marRight w:val="0"/>
      <w:marTop w:val="0"/>
      <w:marBottom w:val="0"/>
      <w:divBdr>
        <w:top w:val="none" w:sz="0" w:space="0" w:color="auto"/>
        <w:left w:val="none" w:sz="0" w:space="0" w:color="auto"/>
        <w:bottom w:val="none" w:sz="0" w:space="0" w:color="auto"/>
        <w:right w:val="none" w:sz="0" w:space="0" w:color="auto"/>
      </w:divBdr>
      <w:divsChild>
        <w:div w:id="1183663418">
          <w:marLeft w:val="0"/>
          <w:marRight w:val="0"/>
          <w:marTop w:val="0"/>
          <w:marBottom w:val="0"/>
          <w:divBdr>
            <w:top w:val="none" w:sz="0" w:space="0" w:color="auto"/>
            <w:left w:val="none" w:sz="0" w:space="0" w:color="auto"/>
            <w:bottom w:val="none" w:sz="0" w:space="0" w:color="auto"/>
            <w:right w:val="none" w:sz="0" w:space="0" w:color="auto"/>
          </w:divBdr>
        </w:div>
      </w:divsChild>
    </w:div>
    <w:div w:id="1535385477">
      <w:bodyDiv w:val="1"/>
      <w:marLeft w:val="0"/>
      <w:marRight w:val="0"/>
      <w:marTop w:val="0"/>
      <w:marBottom w:val="0"/>
      <w:divBdr>
        <w:top w:val="none" w:sz="0" w:space="0" w:color="auto"/>
        <w:left w:val="none" w:sz="0" w:space="0" w:color="auto"/>
        <w:bottom w:val="none" w:sz="0" w:space="0" w:color="auto"/>
        <w:right w:val="none" w:sz="0" w:space="0" w:color="auto"/>
      </w:divBdr>
      <w:divsChild>
        <w:div w:id="83695300">
          <w:marLeft w:val="0"/>
          <w:marRight w:val="0"/>
          <w:marTop w:val="0"/>
          <w:marBottom w:val="300"/>
          <w:divBdr>
            <w:top w:val="single" w:sz="2" w:space="0" w:color="000000"/>
            <w:left w:val="single" w:sz="2" w:space="0" w:color="000000"/>
            <w:bottom w:val="single" w:sz="2" w:space="0" w:color="000000"/>
            <w:right w:val="single" w:sz="2" w:space="0" w:color="000000"/>
          </w:divBdr>
        </w:div>
        <w:div w:id="1952930666">
          <w:marLeft w:val="0"/>
          <w:marRight w:val="0"/>
          <w:marTop w:val="0"/>
          <w:marBottom w:val="300"/>
          <w:divBdr>
            <w:top w:val="single" w:sz="2" w:space="0" w:color="000000"/>
            <w:left w:val="single" w:sz="2" w:space="0" w:color="000000"/>
            <w:bottom w:val="single" w:sz="2" w:space="0" w:color="000000"/>
            <w:right w:val="single" w:sz="2" w:space="0" w:color="000000"/>
          </w:divBdr>
        </w:div>
      </w:divsChild>
    </w:div>
    <w:div w:id="1563756740">
      <w:bodyDiv w:val="1"/>
      <w:marLeft w:val="0"/>
      <w:marRight w:val="0"/>
      <w:marTop w:val="0"/>
      <w:marBottom w:val="0"/>
      <w:divBdr>
        <w:top w:val="none" w:sz="0" w:space="0" w:color="auto"/>
        <w:left w:val="none" w:sz="0" w:space="0" w:color="auto"/>
        <w:bottom w:val="none" w:sz="0" w:space="0" w:color="auto"/>
        <w:right w:val="none" w:sz="0" w:space="0" w:color="auto"/>
      </w:divBdr>
      <w:divsChild>
        <w:div w:id="217132281">
          <w:marLeft w:val="0"/>
          <w:marRight w:val="0"/>
          <w:marTop w:val="0"/>
          <w:marBottom w:val="0"/>
          <w:divBdr>
            <w:top w:val="none" w:sz="0" w:space="0" w:color="auto"/>
            <w:left w:val="none" w:sz="0" w:space="0" w:color="auto"/>
            <w:bottom w:val="none" w:sz="0" w:space="0" w:color="auto"/>
            <w:right w:val="none" w:sz="0" w:space="0" w:color="auto"/>
          </w:divBdr>
        </w:div>
      </w:divsChild>
    </w:div>
    <w:div w:id="1575237913">
      <w:bodyDiv w:val="1"/>
      <w:marLeft w:val="0"/>
      <w:marRight w:val="0"/>
      <w:marTop w:val="0"/>
      <w:marBottom w:val="0"/>
      <w:divBdr>
        <w:top w:val="none" w:sz="0" w:space="0" w:color="auto"/>
        <w:left w:val="none" w:sz="0" w:space="0" w:color="auto"/>
        <w:bottom w:val="none" w:sz="0" w:space="0" w:color="auto"/>
        <w:right w:val="none" w:sz="0" w:space="0" w:color="auto"/>
      </w:divBdr>
      <w:divsChild>
        <w:div w:id="481629628">
          <w:marLeft w:val="0"/>
          <w:marRight w:val="0"/>
          <w:marTop w:val="0"/>
          <w:marBottom w:val="0"/>
          <w:divBdr>
            <w:top w:val="none" w:sz="0" w:space="0" w:color="auto"/>
            <w:left w:val="none" w:sz="0" w:space="0" w:color="auto"/>
            <w:bottom w:val="none" w:sz="0" w:space="0" w:color="auto"/>
            <w:right w:val="none" w:sz="0" w:space="0" w:color="auto"/>
          </w:divBdr>
        </w:div>
      </w:divsChild>
    </w:div>
    <w:div w:id="1607079652">
      <w:bodyDiv w:val="1"/>
      <w:marLeft w:val="0"/>
      <w:marRight w:val="0"/>
      <w:marTop w:val="0"/>
      <w:marBottom w:val="0"/>
      <w:divBdr>
        <w:top w:val="none" w:sz="0" w:space="0" w:color="auto"/>
        <w:left w:val="none" w:sz="0" w:space="0" w:color="auto"/>
        <w:bottom w:val="none" w:sz="0" w:space="0" w:color="auto"/>
        <w:right w:val="none" w:sz="0" w:space="0" w:color="auto"/>
      </w:divBdr>
      <w:divsChild>
        <w:div w:id="591624636">
          <w:marLeft w:val="0"/>
          <w:marRight w:val="0"/>
          <w:marTop w:val="0"/>
          <w:marBottom w:val="0"/>
          <w:divBdr>
            <w:top w:val="none" w:sz="0" w:space="0" w:color="auto"/>
            <w:left w:val="none" w:sz="0" w:space="0" w:color="auto"/>
            <w:bottom w:val="none" w:sz="0" w:space="0" w:color="auto"/>
            <w:right w:val="none" w:sz="0" w:space="0" w:color="auto"/>
          </w:divBdr>
        </w:div>
      </w:divsChild>
    </w:div>
    <w:div w:id="1678775586">
      <w:bodyDiv w:val="1"/>
      <w:marLeft w:val="0"/>
      <w:marRight w:val="0"/>
      <w:marTop w:val="0"/>
      <w:marBottom w:val="0"/>
      <w:divBdr>
        <w:top w:val="none" w:sz="0" w:space="0" w:color="auto"/>
        <w:left w:val="none" w:sz="0" w:space="0" w:color="auto"/>
        <w:bottom w:val="none" w:sz="0" w:space="0" w:color="auto"/>
        <w:right w:val="none" w:sz="0" w:space="0" w:color="auto"/>
      </w:divBdr>
      <w:divsChild>
        <w:div w:id="639771900">
          <w:marLeft w:val="0"/>
          <w:marRight w:val="0"/>
          <w:marTop w:val="0"/>
          <w:marBottom w:val="0"/>
          <w:divBdr>
            <w:top w:val="none" w:sz="0" w:space="0" w:color="auto"/>
            <w:left w:val="none" w:sz="0" w:space="0" w:color="auto"/>
            <w:bottom w:val="none" w:sz="0" w:space="0" w:color="auto"/>
            <w:right w:val="none" w:sz="0" w:space="0" w:color="auto"/>
          </w:divBdr>
        </w:div>
      </w:divsChild>
    </w:div>
    <w:div w:id="1697342170">
      <w:bodyDiv w:val="1"/>
      <w:marLeft w:val="0"/>
      <w:marRight w:val="0"/>
      <w:marTop w:val="0"/>
      <w:marBottom w:val="0"/>
      <w:divBdr>
        <w:top w:val="none" w:sz="0" w:space="0" w:color="auto"/>
        <w:left w:val="none" w:sz="0" w:space="0" w:color="auto"/>
        <w:bottom w:val="none" w:sz="0" w:space="0" w:color="auto"/>
        <w:right w:val="none" w:sz="0" w:space="0" w:color="auto"/>
      </w:divBdr>
      <w:divsChild>
        <w:div w:id="2002930592">
          <w:marLeft w:val="0"/>
          <w:marRight w:val="0"/>
          <w:marTop w:val="0"/>
          <w:marBottom w:val="0"/>
          <w:divBdr>
            <w:top w:val="none" w:sz="0" w:space="0" w:color="auto"/>
            <w:left w:val="none" w:sz="0" w:space="0" w:color="auto"/>
            <w:bottom w:val="none" w:sz="0" w:space="0" w:color="auto"/>
            <w:right w:val="none" w:sz="0" w:space="0" w:color="auto"/>
          </w:divBdr>
          <w:divsChild>
            <w:div w:id="462771970">
              <w:marLeft w:val="0"/>
              <w:marRight w:val="0"/>
              <w:marTop w:val="0"/>
              <w:marBottom w:val="0"/>
              <w:divBdr>
                <w:top w:val="none" w:sz="0" w:space="0" w:color="auto"/>
                <w:left w:val="none" w:sz="0" w:space="0" w:color="auto"/>
                <w:bottom w:val="none" w:sz="0" w:space="0" w:color="auto"/>
                <w:right w:val="none" w:sz="0" w:space="0" w:color="auto"/>
              </w:divBdr>
              <w:divsChild>
                <w:div w:id="1949000141">
                  <w:marLeft w:val="0"/>
                  <w:marRight w:val="0"/>
                  <w:marTop w:val="0"/>
                  <w:marBottom w:val="0"/>
                  <w:divBdr>
                    <w:top w:val="none" w:sz="0" w:space="0" w:color="auto"/>
                    <w:left w:val="none" w:sz="0" w:space="0" w:color="auto"/>
                    <w:bottom w:val="none" w:sz="0" w:space="0" w:color="auto"/>
                    <w:right w:val="none" w:sz="0" w:space="0" w:color="auto"/>
                  </w:divBdr>
                  <w:divsChild>
                    <w:div w:id="1731733747">
                      <w:marLeft w:val="0"/>
                      <w:marRight w:val="0"/>
                      <w:marTop w:val="0"/>
                      <w:marBottom w:val="0"/>
                      <w:divBdr>
                        <w:top w:val="none" w:sz="0" w:space="0" w:color="auto"/>
                        <w:left w:val="none" w:sz="0" w:space="0" w:color="auto"/>
                        <w:bottom w:val="none" w:sz="0" w:space="0" w:color="auto"/>
                        <w:right w:val="none" w:sz="0" w:space="0" w:color="auto"/>
                      </w:divBdr>
                      <w:divsChild>
                        <w:div w:id="802426250">
                          <w:marLeft w:val="0"/>
                          <w:marRight w:val="0"/>
                          <w:marTop w:val="0"/>
                          <w:marBottom w:val="0"/>
                          <w:divBdr>
                            <w:top w:val="none" w:sz="0" w:space="0" w:color="auto"/>
                            <w:left w:val="none" w:sz="0" w:space="0" w:color="auto"/>
                            <w:bottom w:val="none" w:sz="0" w:space="0" w:color="auto"/>
                            <w:right w:val="none" w:sz="0" w:space="0" w:color="auto"/>
                          </w:divBdr>
                          <w:divsChild>
                            <w:div w:id="1801610975">
                              <w:marLeft w:val="0"/>
                              <w:marRight w:val="0"/>
                              <w:marTop w:val="0"/>
                              <w:marBottom w:val="0"/>
                              <w:divBdr>
                                <w:top w:val="none" w:sz="0" w:space="0" w:color="auto"/>
                                <w:left w:val="none" w:sz="0" w:space="0" w:color="auto"/>
                                <w:bottom w:val="none" w:sz="0" w:space="0" w:color="auto"/>
                                <w:right w:val="none" w:sz="0" w:space="0" w:color="auto"/>
                              </w:divBdr>
                              <w:divsChild>
                                <w:div w:id="776677695">
                                  <w:marLeft w:val="0"/>
                                  <w:marRight w:val="0"/>
                                  <w:marTop w:val="0"/>
                                  <w:marBottom w:val="0"/>
                                  <w:divBdr>
                                    <w:top w:val="none" w:sz="0" w:space="0" w:color="auto"/>
                                    <w:left w:val="none" w:sz="0" w:space="0" w:color="auto"/>
                                    <w:bottom w:val="none" w:sz="0" w:space="0" w:color="auto"/>
                                    <w:right w:val="none" w:sz="0" w:space="0" w:color="auto"/>
                                  </w:divBdr>
                                  <w:divsChild>
                                    <w:div w:id="1976838071">
                                      <w:marLeft w:val="0"/>
                                      <w:marRight w:val="0"/>
                                      <w:marTop w:val="0"/>
                                      <w:marBottom w:val="0"/>
                                      <w:divBdr>
                                        <w:top w:val="none" w:sz="0" w:space="0" w:color="auto"/>
                                        <w:left w:val="none" w:sz="0" w:space="0" w:color="auto"/>
                                        <w:bottom w:val="none" w:sz="0" w:space="0" w:color="auto"/>
                                        <w:right w:val="none" w:sz="0" w:space="0" w:color="auto"/>
                                      </w:divBdr>
                                      <w:divsChild>
                                        <w:div w:id="781412906">
                                          <w:marLeft w:val="0"/>
                                          <w:marRight w:val="0"/>
                                          <w:marTop w:val="0"/>
                                          <w:marBottom w:val="0"/>
                                          <w:divBdr>
                                            <w:top w:val="none" w:sz="0" w:space="0" w:color="auto"/>
                                            <w:left w:val="none" w:sz="0" w:space="0" w:color="auto"/>
                                            <w:bottom w:val="none" w:sz="0" w:space="0" w:color="auto"/>
                                            <w:right w:val="none" w:sz="0" w:space="0" w:color="auto"/>
                                          </w:divBdr>
                                          <w:divsChild>
                                            <w:div w:id="46340773">
                                              <w:marLeft w:val="0"/>
                                              <w:marRight w:val="0"/>
                                              <w:marTop w:val="0"/>
                                              <w:marBottom w:val="0"/>
                                              <w:divBdr>
                                                <w:top w:val="none" w:sz="0" w:space="0" w:color="auto"/>
                                                <w:left w:val="none" w:sz="0" w:space="0" w:color="auto"/>
                                                <w:bottom w:val="none" w:sz="0" w:space="0" w:color="auto"/>
                                                <w:right w:val="none" w:sz="0" w:space="0" w:color="auto"/>
                                              </w:divBdr>
                                              <w:divsChild>
                                                <w:div w:id="1973361622">
                                                  <w:marLeft w:val="0"/>
                                                  <w:marRight w:val="0"/>
                                                  <w:marTop w:val="0"/>
                                                  <w:marBottom w:val="0"/>
                                                  <w:divBdr>
                                                    <w:top w:val="none" w:sz="0" w:space="0" w:color="auto"/>
                                                    <w:left w:val="none" w:sz="0" w:space="0" w:color="auto"/>
                                                    <w:bottom w:val="none" w:sz="0" w:space="0" w:color="auto"/>
                                                    <w:right w:val="none" w:sz="0" w:space="0" w:color="auto"/>
                                                  </w:divBdr>
                                                  <w:divsChild>
                                                    <w:div w:id="790903892">
                                                      <w:marLeft w:val="480"/>
                                                      <w:marRight w:val="0"/>
                                                      <w:marTop w:val="0"/>
                                                      <w:marBottom w:val="0"/>
                                                      <w:divBdr>
                                                        <w:top w:val="none" w:sz="0" w:space="0" w:color="auto"/>
                                                        <w:left w:val="none" w:sz="0" w:space="0" w:color="auto"/>
                                                        <w:bottom w:val="none" w:sz="0" w:space="0" w:color="auto"/>
                                                        <w:right w:val="none" w:sz="0" w:space="0" w:color="auto"/>
                                                      </w:divBdr>
                                                      <w:divsChild>
                                                        <w:div w:id="689989227">
                                                          <w:marLeft w:val="0"/>
                                                          <w:marRight w:val="0"/>
                                                          <w:marTop w:val="0"/>
                                                          <w:marBottom w:val="0"/>
                                                          <w:divBdr>
                                                            <w:top w:val="none" w:sz="0" w:space="0" w:color="auto"/>
                                                            <w:left w:val="none" w:sz="0" w:space="0" w:color="auto"/>
                                                            <w:bottom w:val="none" w:sz="0" w:space="0" w:color="auto"/>
                                                            <w:right w:val="none" w:sz="0" w:space="0" w:color="auto"/>
                                                          </w:divBdr>
                                                          <w:divsChild>
                                                            <w:div w:id="561018382">
                                                              <w:marLeft w:val="0"/>
                                                              <w:marRight w:val="0"/>
                                                              <w:marTop w:val="0"/>
                                                              <w:marBottom w:val="0"/>
                                                              <w:divBdr>
                                                                <w:top w:val="none" w:sz="0" w:space="0" w:color="auto"/>
                                                                <w:left w:val="none" w:sz="0" w:space="0" w:color="auto"/>
                                                                <w:bottom w:val="none" w:sz="0" w:space="0" w:color="auto"/>
                                                                <w:right w:val="none" w:sz="0" w:space="0" w:color="auto"/>
                                                              </w:divBdr>
                                                              <w:divsChild>
                                                                <w:div w:id="629212998">
                                                                  <w:marLeft w:val="0"/>
                                                                  <w:marRight w:val="0"/>
                                                                  <w:marTop w:val="0"/>
                                                                  <w:marBottom w:val="0"/>
                                                                  <w:divBdr>
                                                                    <w:top w:val="none" w:sz="0" w:space="0" w:color="auto"/>
                                                                    <w:left w:val="none" w:sz="0" w:space="0" w:color="auto"/>
                                                                    <w:bottom w:val="none" w:sz="0" w:space="0" w:color="auto"/>
                                                                    <w:right w:val="none" w:sz="0" w:space="0" w:color="auto"/>
                                                                  </w:divBdr>
                                                                  <w:divsChild>
                                                                    <w:div w:id="2017076448">
                                                                      <w:marLeft w:val="0"/>
                                                                      <w:marRight w:val="0"/>
                                                                      <w:marTop w:val="0"/>
                                                                      <w:marBottom w:val="0"/>
                                                                      <w:divBdr>
                                                                        <w:top w:val="none" w:sz="0" w:space="0" w:color="auto"/>
                                                                        <w:left w:val="none" w:sz="0" w:space="0" w:color="auto"/>
                                                                        <w:bottom w:val="none" w:sz="0" w:space="0" w:color="auto"/>
                                                                        <w:right w:val="none" w:sz="0" w:space="0" w:color="auto"/>
                                                                      </w:divBdr>
                                                                      <w:divsChild>
                                                                        <w:div w:id="68308807">
                                                                          <w:marLeft w:val="0"/>
                                                                          <w:marRight w:val="0"/>
                                                                          <w:marTop w:val="75"/>
                                                                          <w:marBottom w:val="0"/>
                                                                          <w:divBdr>
                                                                            <w:top w:val="none" w:sz="0" w:space="0" w:color="auto"/>
                                                                            <w:left w:val="none" w:sz="0" w:space="0" w:color="auto"/>
                                                                            <w:bottom w:val="none" w:sz="0" w:space="0" w:color="auto"/>
                                                                            <w:right w:val="none" w:sz="0" w:space="0" w:color="auto"/>
                                                                          </w:divBdr>
                                                                          <w:divsChild>
                                                                            <w:div w:id="110170700">
                                                                              <w:marLeft w:val="0"/>
                                                                              <w:marRight w:val="0"/>
                                                                              <w:marTop w:val="0"/>
                                                                              <w:marBottom w:val="0"/>
                                                                              <w:divBdr>
                                                                                <w:top w:val="none" w:sz="0" w:space="0" w:color="auto"/>
                                                                                <w:left w:val="none" w:sz="0" w:space="0" w:color="auto"/>
                                                                                <w:bottom w:val="single" w:sz="6" w:space="23" w:color="auto"/>
                                                                                <w:right w:val="none" w:sz="0" w:space="0" w:color="auto"/>
                                                                              </w:divBdr>
                                                                              <w:divsChild>
                                                                                <w:div w:id="876703518">
                                                                                  <w:marLeft w:val="0"/>
                                                                                  <w:marRight w:val="0"/>
                                                                                  <w:marTop w:val="0"/>
                                                                                  <w:marBottom w:val="0"/>
                                                                                  <w:divBdr>
                                                                                    <w:top w:val="none" w:sz="0" w:space="0" w:color="auto"/>
                                                                                    <w:left w:val="none" w:sz="0" w:space="0" w:color="auto"/>
                                                                                    <w:bottom w:val="none" w:sz="0" w:space="0" w:color="auto"/>
                                                                                    <w:right w:val="none" w:sz="0" w:space="0" w:color="auto"/>
                                                                                  </w:divBdr>
                                                                                  <w:divsChild>
                                                                                    <w:div w:id="975910870">
                                                                                      <w:marLeft w:val="0"/>
                                                                                      <w:marRight w:val="0"/>
                                                                                      <w:marTop w:val="0"/>
                                                                                      <w:marBottom w:val="0"/>
                                                                                      <w:divBdr>
                                                                                        <w:top w:val="none" w:sz="0" w:space="0" w:color="auto"/>
                                                                                        <w:left w:val="none" w:sz="0" w:space="0" w:color="auto"/>
                                                                                        <w:bottom w:val="none" w:sz="0" w:space="0" w:color="auto"/>
                                                                                        <w:right w:val="none" w:sz="0" w:space="0" w:color="auto"/>
                                                                                      </w:divBdr>
                                                                                      <w:divsChild>
                                                                                        <w:div w:id="1108622322">
                                                                                          <w:marLeft w:val="0"/>
                                                                                          <w:marRight w:val="0"/>
                                                                                          <w:marTop w:val="0"/>
                                                                                          <w:marBottom w:val="0"/>
                                                                                          <w:divBdr>
                                                                                            <w:top w:val="none" w:sz="0" w:space="0" w:color="auto"/>
                                                                                            <w:left w:val="none" w:sz="0" w:space="0" w:color="auto"/>
                                                                                            <w:bottom w:val="none" w:sz="0" w:space="0" w:color="auto"/>
                                                                                            <w:right w:val="none" w:sz="0" w:space="0" w:color="auto"/>
                                                                                          </w:divBdr>
                                                                                          <w:divsChild>
                                                                                            <w:div w:id="1232349809">
                                                                                              <w:marLeft w:val="0"/>
                                                                                              <w:marRight w:val="0"/>
                                                                                              <w:marTop w:val="0"/>
                                                                                              <w:marBottom w:val="0"/>
                                                                                              <w:divBdr>
                                                                                                <w:top w:val="none" w:sz="0" w:space="0" w:color="auto"/>
                                                                                                <w:left w:val="none" w:sz="0" w:space="0" w:color="auto"/>
                                                                                                <w:bottom w:val="none" w:sz="0" w:space="0" w:color="auto"/>
                                                                                                <w:right w:val="none" w:sz="0" w:space="0" w:color="auto"/>
                                                                                              </w:divBdr>
                                                                                              <w:divsChild>
                                                                                                <w:div w:id="2058312262">
                                                                                                  <w:marLeft w:val="0"/>
                                                                                                  <w:marRight w:val="0"/>
                                                                                                  <w:marTop w:val="0"/>
                                                                                                  <w:marBottom w:val="0"/>
                                                                                                  <w:divBdr>
                                                                                                    <w:top w:val="none" w:sz="0" w:space="0" w:color="auto"/>
                                                                                                    <w:left w:val="none" w:sz="0" w:space="0" w:color="auto"/>
                                                                                                    <w:bottom w:val="none" w:sz="0" w:space="0" w:color="auto"/>
                                                                                                    <w:right w:val="none" w:sz="0" w:space="0" w:color="auto"/>
                                                                                                  </w:divBdr>
                                                                                                  <w:divsChild>
                                                                                                    <w:div w:id="117265995">
                                                                                                      <w:marLeft w:val="0"/>
                                                                                                      <w:marRight w:val="0"/>
                                                                                                      <w:marTop w:val="0"/>
                                                                                                      <w:marBottom w:val="0"/>
                                                                                                      <w:divBdr>
                                                                                                        <w:top w:val="none" w:sz="0" w:space="0" w:color="auto"/>
                                                                                                        <w:left w:val="none" w:sz="0" w:space="0" w:color="auto"/>
                                                                                                        <w:bottom w:val="none" w:sz="0" w:space="0" w:color="auto"/>
                                                                                                        <w:right w:val="none" w:sz="0" w:space="0" w:color="auto"/>
                                                                                                      </w:divBdr>
                                                                                                    </w:div>
                                                                                                    <w:div w:id="157229166">
                                                                                                      <w:marLeft w:val="0"/>
                                                                                                      <w:marRight w:val="0"/>
                                                                                                      <w:marTop w:val="0"/>
                                                                                                      <w:marBottom w:val="0"/>
                                                                                                      <w:divBdr>
                                                                                                        <w:top w:val="none" w:sz="0" w:space="0" w:color="auto"/>
                                                                                                        <w:left w:val="none" w:sz="0" w:space="0" w:color="auto"/>
                                                                                                        <w:bottom w:val="none" w:sz="0" w:space="0" w:color="auto"/>
                                                                                                        <w:right w:val="none" w:sz="0" w:space="0" w:color="auto"/>
                                                                                                      </w:divBdr>
                                                                                                    </w:div>
                                                                                                    <w:div w:id="168301090">
                                                                                                      <w:marLeft w:val="0"/>
                                                                                                      <w:marRight w:val="0"/>
                                                                                                      <w:marTop w:val="0"/>
                                                                                                      <w:marBottom w:val="0"/>
                                                                                                      <w:divBdr>
                                                                                                        <w:top w:val="none" w:sz="0" w:space="0" w:color="auto"/>
                                                                                                        <w:left w:val="none" w:sz="0" w:space="0" w:color="auto"/>
                                                                                                        <w:bottom w:val="none" w:sz="0" w:space="0" w:color="auto"/>
                                                                                                        <w:right w:val="none" w:sz="0" w:space="0" w:color="auto"/>
                                                                                                      </w:divBdr>
                                                                                                    </w:div>
                                                                                                    <w:div w:id="391467699">
                                                                                                      <w:marLeft w:val="0"/>
                                                                                                      <w:marRight w:val="0"/>
                                                                                                      <w:marTop w:val="0"/>
                                                                                                      <w:marBottom w:val="0"/>
                                                                                                      <w:divBdr>
                                                                                                        <w:top w:val="none" w:sz="0" w:space="0" w:color="auto"/>
                                                                                                        <w:left w:val="none" w:sz="0" w:space="0" w:color="auto"/>
                                                                                                        <w:bottom w:val="none" w:sz="0" w:space="0" w:color="auto"/>
                                                                                                        <w:right w:val="none" w:sz="0" w:space="0" w:color="auto"/>
                                                                                                      </w:divBdr>
                                                                                                    </w:div>
                                                                                                    <w:div w:id="435908553">
                                                                                                      <w:marLeft w:val="0"/>
                                                                                                      <w:marRight w:val="0"/>
                                                                                                      <w:marTop w:val="280"/>
                                                                                                      <w:marBottom w:val="280"/>
                                                                                                      <w:divBdr>
                                                                                                        <w:top w:val="none" w:sz="0" w:space="0" w:color="auto"/>
                                                                                                        <w:left w:val="none" w:sz="0" w:space="0" w:color="auto"/>
                                                                                                        <w:bottom w:val="none" w:sz="0" w:space="0" w:color="auto"/>
                                                                                                        <w:right w:val="none" w:sz="0" w:space="0" w:color="auto"/>
                                                                                                      </w:divBdr>
                                                                                                    </w:div>
                                                                                                    <w:div w:id="492719764">
                                                                                                      <w:marLeft w:val="0"/>
                                                                                                      <w:marRight w:val="0"/>
                                                                                                      <w:marTop w:val="0"/>
                                                                                                      <w:marBottom w:val="0"/>
                                                                                                      <w:divBdr>
                                                                                                        <w:top w:val="none" w:sz="0" w:space="0" w:color="auto"/>
                                                                                                        <w:left w:val="none" w:sz="0" w:space="0" w:color="auto"/>
                                                                                                        <w:bottom w:val="none" w:sz="0" w:space="0" w:color="auto"/>
                                                                                                        <w:right w:val="none" w:sz="0" w:space="0" w:color="auto"/>
                                                                                                      </w:divBdr>
                                                                                                    </w:div>
                                                                                                    <w:div w:id="504319758">
                                                                                                      <w:marLeft w:val="0"/>
                                                                                                      <w:marRight w:val="0"/>
                                                                                                      <w:marTop w:val="0"/>
                                                                                                      <w:marBottom w:val="0"/>
                                                                                                      <w:divBdr>
                                                                                                        <w:top w:val="none" w:sz="0" w:space="0" w:color="auto"/>
                                                                                                        <w:left w:val="none" w:sz="0" w:space="0" w:color="auto"/>
                                                                                                        <w:bottom w:val="none" w:sz="0" w:space="0" w:color="auto"/>
                                                                                                        <w:right w:val="none" w:sz="0" w:space="0" w:color="auto"/>
                                                                                                      </w:divBdr>
                                                                                                    </w:div>
                                                                                                    <w:div w:id="635256538">
                                                                                                      <w:marLeft w:val="0"/>
                                                                                                      <w:marRight w:val="0"/>
                                                                                                      <w:marTop w:val="0"/>
                                                                                                      <w:marBottom w:val="0"/>
                                                                                                      <w:divBdr>
                                                                                                        <w:top w:val="none" w:sz="0" w:space="0" w:color="auto"/>
                                                                                                        <w:left w:val="none" w:sz="0" w:space="0" w:color="auto"/>
                                                                                                        <w:bottom w:val="none" w:sz="0" w:space="0" w:color="auto"/>
                                                                                                        <w:right w:val="none" w:sz="0" w:space="0" w:color="auto"/>
                                                                                                      </w:divBdr>
                                                                                                    </w:div>
                                                                                                    <w:div w:id="782575926">
                                                                                                      <w:marLeft w:val="0"/>
                                                                                                      <w:marRight w:val="0"/>
                                                                                                      <w:marTop w:val="0"/>
                                                                                                      <w:marBottom w:val="0"/>
                                                                                                      <w:divBdr>
                                                                                                        <w:top w:val="none" w:sz="0" w:space="0" w:color="auto"/>
                                                                                                        <w:left w:val="none" w:sz="0" w:space="0" w:color="auto"/>
                                                                                                        <w:bottom w:val="none" w:sz="0" w:space="0" w:color="auto"/>
                                                                                                        <w:right w:val="none" w:sz="0" w:space="0" w:color="auto"/>
                                                                                                      </w:divBdr>
                                                                                                    </w:div>
                                                                                                    <w:div w:id="827476908">
                                                                                                      <w:marLeft w:val="0"/>
                                                                                                      <w:marRight w:val="0"/>
                                                                                                      <w:marTop w:val="0"/>
                                                                                                      <w:marBottom w:val="0"/>
                                                                                                      <w:divBdr>
                                                                                                        <w:top w:val="none" w:sz="0" w:space="0" w:color="auto"/>
                                                                                                        <w:left w:val="none" w:sz="0" w:space="0" w:color="auto"/>
                                                                                                        <w:bottom w:val="none" w:sz="0" w:space="0" w:color="auto"/>
                                                                                                        <w:right w:val="none" w:sz="0" w:space="0" w:color="auto"/>
                                                                                                      </w:divBdr>
                                                                                                    </w:div>
                                                                                                    <w:div w:id="841629135">
                                                                                                      <w:marLeft w:val="0"/>
                                                                                                      <w:marRight w:val="0"/>
                                                                                                      <w:marTop w:val="280"/>
                                                                                                      <w:marBottom w:val="280"/>
                                                                                                      <w:divBdr>
                                                                                                        <w:top w:val="none" w:sz="0" w:space="0" w:color="auto"/>
                                                                                                        <w:left w:val="none" w:sz="0" w:space="0" w:color="auto"/>
                                                                                                        <w:bottom w:val="none" w:sz="0" w:space="0" w:color="auto"/>
                                                                                                        <w:right w:val="none" w:sz="0" w:space="0" w:color="auto"/>
                                                                                                      </w:divBdr>
                                                                                                    </w:div>
                                                                                                    <w:div w:id="1019702539">
                                                                                                      <w:marLeft w:val="0"/>
                                                                                                      <w:marRight w:val="0"/>
                                                                                                      <w:marTop w:val="280"/>
                                                                                                      <w:marBottom w:val="280"/>
                                                                                                      <w:divBdr>
                                                                                                        <w:top w:val="none" w:sz="0" w:space="0" w:color="auto"/>
                                                                                                        <w:left w:val="none" w:sz="0" w:space="0" w:color="auto"/>
                                                                                                        <w:bottom w:val="none" w:sz="0" w:space="0" w:color="auto"/>
                                                                                                        <w:right w:val="none" w:sz="0" w:space="0" w:color="auto"/>
                                                                                                      </w:divBdr>
                                                                                                    </w:div>
                                                                                                    <w:div w:id="1244922834">
                                                                                                      <w:marLeft w:val="0"/>
                                                                                                      <w:marRight w:val="0"/>
                                                                                                      <w:marTop w:val="0"/>
                                                                                                      <w:marBottom w:val="0"/>
                                                                                                      <w:divBdr>
                                                                                                        <w:top w:val="none" w:sz="0" w:space="0" w:color="auto"/>
                                                                                                        <w:left w:val="none" w:sz="0" w:space="0" w:color="auto"/>
                                                                                                        <w:bottom w:val="none" w:sz="0" w:space="0" w:color="auto"/>
                                                                                                        <w:right w:val="none" w:sz="0" w:space="0" w:color="auto"/>
                                                                                                      </w:divBdr>
                                                                                                    </w:div>
                                                                                                    <w:div w:id="1294020127">
                                                                                                      <w:marLeft w:val="0"/>
                                                                                                      <w:marRight w:val="0"/>
                                                                                                      <w:marTop w:val="0"/>
                                                                                                      <w:marBottom w:val="0"/>
                                                                                                      <w:divBdr>
                                                                                                        <w:top w:val="none" w:sz="0" w:space="0" w:color="auto"/>
                                                                                                        <w:left w:val="none" w:sz="0" w:space="0" w:color="auto"/>
                                                                                                        <w:bottom w:val="none" w:sz="0" w:space="0" w:color="auto"/>
                                                                                                        <w:right w:val="none" w:sz="0" w:space="0" w:color="auto"/>
                                                                                                      </w:divBdr>
                                                                                                    </w:div>
                                                                                                    <w:div w:id="1462845699">
                                                                                                      <w:marLeft w:val="0"/>
                                                                                                      <w:marRight w:val="0"/>
                                                                                                      <w:marTop w:val="280"/>
                                                                                                      <w:marBottom w:val="280"/>
                                                                                                      <w:divBdr>
                                                                                                        <w:top w:val="none" w:sz="0" w:space="0" w:color="auto"/>
                                                                                                        <w:left w:val="none" w:sz="0" w:space="0" w:color="auto"/>
                                                                                                        <w:bottom w:val="none" w:sz="0" w:space="0" w:color="auto"/>
                                                                                                        <w:right w:val="none" w:sz="0" w:space="0" w:color="auto"/>
                                                                                                      </w:divBdr>
                                                                                                    </w:div>
                                                                                                    <w:div w:id="1521892832">
                                                                                                      <w:marLeft w:val="0"/>
                                                                                                      <w:marRight w:val="0"/>
                                                                                                      <w:marTop w:val="0"/>
                                                                                                      <w:marBottom w:val="0"/>
                                                                                                      <w:divBdr>
                                                                                                        <w:top w:val="none" w:sz="0" w:space="0" w:color="auto"/>
                                                                                                        <w:left w:val="none" w:sz="0" w:space="0" w:color="auto"/>
                                                                                                        <w:bottom w:val="none" w:sz="0" w:space="0" w:color="auto"/>
                                                                                                        <w:right w:val="none" w:sz="0" w:space="0" w:color="auto"/>
                                                                                                      </w:divBdr>
                                                                                                    </w:div>
                                                                                                    <w:div w:id="1583904804">
                                                                                                      <w:marLeft w:val="0"/>
                                                                                                      <w:marRight w:val="0"/>
                                                                                                      <w:marTop w:val="0"/>
                                                                                                      <w:marBottom w:val="0"/>
                                                                                                      <w:divBdr>
                                                                                                        <w:top w:val="none" w:sz="0" w:space="0" w:color="auto"/>
                                                                                                        <w:left w:val="none" w:sz="0" w:space="0" w:color="auto"/>
                                                                                                        <w:bottom w:val="none" w:sz="0" w:space="0" w:color="auto"/>
                                                                                                        <w:right w:val="none" w:sz="0" w:space="0" w:color="auto"/>
                                                                                                      </w:divBdr>
                                                                                                    </w:div>
                                                                                                    <w:div w:id="167676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99239792">
      <w:bodyDiv w:val="1"/>
      <w:marLeft w:val="0"/>
      <w:marRight w:val="0"/>
      <w:marTop w:val="0"/>
      <w:marBottom w:val="0"/>
      <w:divBdr>
        <w:top w:val="none" w:sz="0" w:space="0" w:color="auto"/>
        <w:left w:val="none" w:sz="0" w:space="0" w:color="auto"/>
        <w:bottom w:val="none" w:sz="0" w:space="0" w:color="auto"/>
        <w:right w:val="none" w:sz="0" w:space="0" w:color="auto"/>
      </w:divBdr>
      <w:divsChild>
        <w:div w:id="545263503">
          <w:marLeft w:val="0"/>
          <w:marRight w:val="0"/>
          <w:marTop w:val="0"/>
          <w:marBottom w:val="0"/>
          <w:divBdr>
            <w:top w:val="none" w:sz="0" w:space="0" w:color="auto"/>
            <w:left w:val="none" w:sz="0" w:space="0" w:color="auto"/>
            <w:bottom w:val="none" w:sz="0" w:space="0" w:color="auto"/>
            <w:right w:val="none" w:sz="0" w:space="0" w:color="auto"/>
          </w:divBdr>
        </w:div>
      </w:divsChild>
    </w:div>
    <w:div w:id="1711488290">
      <w:bodyDiv w:val="1"/>
      <w:marLeft w:val="0"/>
      <w:marRight w:val="0"/>
      <w:marTop w:val="0"/>
      <w:marBottom w:val="0"/>
      <w:divBdr>
        <w:top w:val="none" w:sz="0" w:space="0" w:color="auto"/>
        <w:left w:val="none" w:sz="0" w:space="0" w:color="auto"/>
        <w:bottom w:val="none" w:sz="0" w:space="0" w:color="auto"/>
        <w:right w:val="none" w:sz="0" w:space="0" w:color="auto"/>
      </w:divBdr>
      <w:divsChild>
        <w:div w:id="565409176">
          <w:marLeft w:val="0"/>
          <w:marRight w:val="0"/>
          <w:marTop w:val="0"/>
          <w:marBottom w:val="0"/>
          <w:divBdr>
            <w:top w:val="none" w:sz="0" w:space="0" w:color="auto"/>
            <w:left w:val="none" w:sz="0" w:space="0" w:color="auto"/>
            <w:bottom w:val="none" w:sz="0" w:space="0" w:color="auto"/>
            <w:right w:val="none" w:sz="0" w:space="0" w:color="auto"/>
          </w:divBdr>
        </w:div>
      </w:divsChild>
    </w:div>
    <w:div w:id="1750998639">
      <w:bodyDiv w:val="1"/>
      <w:marLeft w:val="0"/>
      <w:marRight w:val="0"/>
      <w:marTop w:val="0"/>
      <w:marBottom w:val="0"/>
      <w:divBdr>
        <w:top w:val="none" w:sz="0" w:space="0" w:color="auto"/>
        <w:left w:val="none" w:sz="0" w:space="0" w:color="auto"/>
        <w:bottom w:val="none" w:sz="0" w:space="0" w:color="auto"/>
        <w:right w:val="none" w:sz="0" w:space="0" w:color="auto"/>
      </w:divBdr>
      <w:divsChild>
        <w:div w:id="1847591288">
          <w:marLeft w:val="0"/>
          <w:marRight w:val="0"/>
          <w:marTop w:val="0"/>
          <w:marBottom w:val="0"/>
          <w:divBdr>
            <w:top w:val="none" w:sz="0" w:space="0" w:color="auto"/>
            <w:left w:val="none" w:sz="0" w:space="0" w:color="auto"/>
            <w:bottom w:val="none" w:sz="0" w:space="0" w:color="auto"/>
            <w:right w:val="none" w:sz="0" w:space="0" w:color="auto"/>
          </w:divBdr>
        </w:div>
      </w:divsChild>
    </w:div>
    <w:div w:id="1773823142">
      <w:bodyDiv w:val="1"/>
      <w:marLeft w:val="0"/>
      <w:marRight w:val="0"/>
      <w:marTop w:val="0"/>
      <w:marBottom w:val="0"/>
      <w:divBdr>
        <w:top w:val="none" w:sz="0" w:space="0" w:color="auto"/>
        <w:left w:val="none" w:sz="0" w:space="0" w:color="auto"/>
        <w:bottom w:val="none" w:sz="0" w:space="0" w:color="auto"/>
        <w:right w:val="none" w:sz="0" w:space="0" w:color="auto"/>
      </w:divBdr>
      <w:divsChild>
        <w:div w:id="798642858">
          <w:marLeft w:val="0"/>
          <w:marRight w:val="0"/>
          <w:marTop w:val="0"/>
          <w:marBottom w:val="0"/>
          <w:divBdr>
            <w:top w:val="none" w:sz="0" w:space="0" w:color="auto"/>
            <w:left w:val="none" w:sz="0" w:space="0" w:color="auto"/>
            <w:bottom w:val="none" w:sz="0" w:space="0" w:color="auto"/>
            <w:right w:val="none" w:sz="0" w:space="0" w:color="auto"/>
          </w:divBdr>
        </w:div>
      </w:divsChild>
    </w:div>
    <w:div w:id="1779788680">
      <w:bodyDiv w:val="1"/>
      <w:marLeft w:val="0"/>
      <w:marRight w:val="0"/>
      <w:marTop w:val="0"/>
      <w:marBottom w:val="0"/>
      <w:divBdr>
        <w:top w:val="none" w:sz="0" w:space="0" w:color="auto"/>
        <w:left w:val="none" w:sz="0" w:space="0" w:color="auto"/>
        <w:bottom w:val="none" w:sz="0" w:space="0" w:color="auto"/>
        <w:right w:val="none" w:sz="0" w:space="0" w:color="auto"/>
      </w:divBdr>
      <w:divsChild>
        <w:div w:id="1924676575">
          <w:marLeft w:val="0"/>
          <w:marRight w:val="0"/>
          <w:marTop w:val="0"/>
          <w:marBottom w:val="0"/>
          <w:divBdr>
            <w:top w:val="none" w:sz="0" w:space="0" w:color="auto"/>
            <w:left w:val="none" w:sz="0" w:space="0" w:color="auto"/>
            <w:bottom w:val="none" w:sz="0" w:space="0" w:color="auto"/>
            <w:right w:val="none" w:sz="0" w:space="0" w:color="auto"/>
          </w:divBdr>
        </w:div>
      </w:divsChild>
    </w:div>
    <w:div w:id="1780299729">
      <w:bodyDiv w:val="1"/>
      <w:marLeft w:val="0"/>
      <w:marRight w:val="0"/>
      <w:marTop w:val="0"/>
      <w:marBottom w:val="0"/>
      <w:divBdr>
        <w:top w:val="none" w:sz="0" w:space="0" w:color="auto"/>
        <w:left w:val="none" w:sz="0" w:space="0" w:color="auto"/>
        <w:bottom w:val="none" w:sz="0" w:space="0" w:color="auto"/>
        <w:right w:val="none" w:sz="0" w:space="0" w:color="auto"/>
      </w:divBdr>
      <w:divsChild>
        <w:div w:id="402919825">
          <w:marLeft w:val="0"/>
          <w:marRight w:val="0"/>
          <w:marTop w:val="0"/>
          <w:marBottom w:val="0"/>
          <w:divBdr>
            <w:top w:val="none" w:sz="0" w:space="0" w:color="auto"/>
            <w:left w:val="none" w:sz="0" w:space="0" w:color="auto"/>
            <w:bottom w:val="none" w:sz="0" w:space="0" w:color="auto"/>
            <w:right w:val="none" w:sz="0" w:space="0" w:color="auto"/>
          </w:divBdr>
          <w:divsChild>
            <w:div w:id="1376782300">
              <w:marLeft w:val="0"/>
              <w:marRight w:val="0"/>
              <w:marTop w:val="0"/>
              <w:marBottom w:val="0"/>
              <w:divBdr>
                <w:top w:val="single" w:sz="2" w:space="0" w:color="000000"/>
                <w:left w:val="single" w:sz="2" w:space="0" w:color="000000"/>
                <w:bottom w:val="single" w:sz="2" w:space="0" w:color="000000"/>
                <w:right w:val="single" w:sz="2" w:space="0" w:color="000000"/>
              </w:divBdr>
            </w:div>
            <w:div w:id="349530959">
              <w:marLeft w:val="0"/>
              <w:marRight w:val="0"/>
              <w:marTop w:val="0"/>
              <w:marBottom w:val="0"/>
              <w:divBdr>
                <w:top w:val="single" w:sz="2" w:space="0" w:color="000000"/>
                <w:left w:val="single" w:sz="2" w:space="0" w:color="000000"/>
                <w:bottom w:val="single" w:sz="2" w:space="0" w:color="000000"/>
                <w:right w:val="single" w:sz="2" w:space="0" w:color="000000"/>
              </w:divBdr>
            </w:div>
            <w:div w:id="1893733534">
              <w:marLeft w:val="0"/>
              <w:marRight w:val="0"/>
              <w:marTop w:val="0"/>
              <w:marBottom w:val="0"/>
              <w:divBdr>
                <w:top w:val="single" w:sz="2" w:space="0" w:color="000000"/>
                <w:left w:val="single" w:sz="2" w:space="0" w:color="000000"/>
                <w:bottom w:val="single" w:sz="2" w:space="0" w:color="000000"/>
                <w:right w:val="single" w:sz="2" w:space="0" w:color="000000"/>
              </w:divBdr>
            </w:div>
            <w:div w:id="289242538">
              <w:marLeft w:val="0"/>
              <w:marRight w:val="0"/>
              <w:marTop w:val="0"/>
              <w:marBottom w:val="0"/>
              <w:divBdr>
                <w:top w:val="single" w:sz="2" w:space="0" w:color="000000"/>
                <w:left w:val="single" w:sz="2" w:space="0" w:color="000000"/>
                <w:bottom w:val="single" w:sz="2" w:space="0" w:color="000000"/>
                <w:right w:val="single" w:sz="2" w:space="0" w:color="000000"/>
              </w:divBdr>
            </w:div>
            <w:div w:id="450563078">
              <w:marLeft w:val="0"/>
              <w:marRight w:val="0"/>
              <w:marTop w:val="0"/>
              <w:marBottom w:val="0"/>
              <w:divBdr>
                <w:top w:val="single" w:sz="2" w:space="0" w:color="000000"/>
                <w:left w:val="single" w:sz="2" w:space="0" w:color="000000"/>
                <w:bottom w:val="single" w:sz="2" w:space="0" w:color="000000"/>
                <w:right w:val="single" w:sz="2" w:space="0" w:color="000000"/>
              </w:divBdr>
            </w:div>
            <w:div w:id="1447500230">
              <w:marLeft w:val="0"/>
              <w:marRight w:val="0"/>
              <w:marTop w:val="0"/>
              <w:marBottom w:val="0"/>
              <w:divBdr>
                <w:top w:val="single" w:sz="2" w:space="0" w:color="000000"/>
                <w:left w:val="single" w:sz="2" w:space="0" w:color="000000"/>
                <w:bottom w:val="single" w:sz="2" w:space="0" w:color="000000"/>
                <w:right w:val="single" w:sz="2" w:space="0" w:color="000000"/>
              </w:divBdr>
            </w:div>
            <w:div w:id="1194342198">
              <w:marLeft w:val="0"/>
              <w:marRight w:val="0"/>
              <w:marTop w:val="0"/>
              <w:marBottom w:val="0"/>
              <w:divBdr>
                <w:top w:val="single" w:sz="2" w:space="0" w:color="000000"/>
                <w:left w:val="single" w:sz="2" w:space="0" w:color="000000"/>
                <w:bottom w:val="single" w:sz="2" w:space="0" w:color="000000"/>
                <w:right w:val="single" w:sz="2" w:space="0" w:color="000000"/>
              </w:divBdr>
            </w:div>
            <w:div w:id="948704968">
              <w:marLeft w:val="0"/>
              <w:marRight w:val="0"/>
              <w:marTop w:val="0"/>
              <w:marBottom w:val="0"/>
              <w:divBdr>
                <w:top w:val="single" w:sz="2" w:space="0" w:color="000000"/>
                <w:left w:val="single" w:sz="2" w:space="0" w:color="000000"/>
                <w:bottom w:val="single" w:sz="2" w:space="0" w:color="000000"/>
                <w:right w:val="single" w:sz="2" w:space="0" w:color="000000"/>
              </w:divBdr>
            </w:div>
            <w:div w:id="1963223023">
              <w:marLeft w:val="0"/>
              <w:marRight w:val="0"/>
              <w:marTop w:val="0"/>
              <w:marBottom w:val="0"/>
              <w:divBdr>
                <w:top w:val="single" w:sz="2" w:space="0" w:color="000000"/>
                <w:left w:val="single" w:sz="2" w:space="0" w:color="000000"/>
                <w:bottom w:val="single" w:sz="2" w:space="0" w:color="000000"/>
                <w:right w:val="single" w:sz="2" w:space="0" w:color="000000"/>
              </w:divBdr>
            </w:div>
            <w:div w:id="1396052086">
              <w:marLeft w:val="0"/>
              <w:marRight w:val="0"/>
              <w:marTop w:val="0"/>
              <w:marBottom w:val="0"/>
              <w:divBdr>
                <w:top w:val="single" w:sz="2" w:space="0" w:color="000000"/>
                <w:left w:val="single" w:sz="2" w:space="0" w:color="000000"/>
                <w:bottom w:val="single" w:sz="2" w:space="0" w:color="000000"/>
                <w:right w:val="single" w:sz="2" w:space="0" w:color="000000"/>
              </w:divBdr>
            </w:div>
            <w:div w:id="358434052">
              <w:marLeft w:val="0"/>
              <w:marRight w:val="0"/>
              <w:marTop w:val="0"/>
              <w:marBottom w:val="0"/>
              <w:divBdr>
                <w:top w:val="single" w:sz="2" w:space="0" w:color="000000"/>
                <w:left w:val="single" w:sz="2" w:space="0" w:color="000000"/>
                <w:bottom w:val="single" w:sz="2" w:space="0" w:color="000000"/>
                <w:right w:val="single" w:sz="2" w:space="0" w:color="000000"/>
              </w:divBdr>
            </w:div>
            <w:div w:id="1481728423">
              <w:marLeft w:val="0"/>
              <w:marRight w:val="0"/>
              <w:marTop w:val="0"/>
              <w:marBottom w:val="0"/>
              <w:divBdr>
                <w:top w:val="single" w:sz="2" w:space="0" w:color="000000"/>
                <w:left w:val="single" w:sz="2" w:space="0" w:color="000000"/>
                <w:bottom w:val="single" w:sz="2" w:space="0" w:color="000000"/>
                <w:right w:val="single" w:sz="2" w:space="0" w:color="000000"/>
              </w:divBdr>
            </w:div>
            <w:div w:id="1928148315">
              <w:marLeft w:val="0"/>
              <w:marRight w:val="0"/>
              <w:marTop w:val="0"/>
              <w:marBottom w:val="0"/>
              <w:divBdr>
                <w:top w:val="single" w:sz="2" w:space="0" w:color="000000"/>
                <w:left w:val="single" w:sz="2" w:space="0" w:color="000000"/>
                <w:bottom w:val="single" w:sz="2" w:space="0" w:color="000000"/>
                <w:right w:val="single" w:sz="2" w:space="0" w:color="000000"/>
              </w:divBdr>
            </w:div>
            <w:div w:id="17388475">
              <w:marLeft w:val="0"/>
              <w:marRight w:val="0"/>
              <w:marTop w:val="0"/>
              <w:marBottom w:val="0"/>
              <w:divBdr>
                <w:top w:val="single" w:sz="2" w:space="0" w:color="000000"/>
                <w:left w:val="single" w:sz="2" w:space="0" w:color="000000"/>
                <w:bottom w:val="single" w:sz="2" w:space="0" w:color="000000"/>
                <w:right w:val="single" w:sz="2" w:space="0" w:color="000000"/>
              </w:divBdr>
            </w:div>
            <w:div w:id="1264797896">
              <w:marLeft w:val="0"/>
              <w:marRight w:val="0"/>
              <w:marTop w:val="0"/>
              <w:marBottom w:val="0"/>
              <w:divBdr>
                <w:top w:val="single" w:sz="2" w:space="0" w:color="000000"/>
                <w:left w:val="single" w:sz="2" w:space="0" w:color="000000"/>
                <w:bottom w:val="single" w:sz="2" w:space="0" w:color="000000"/>
                <w:right w:val="single" w:sz="2" w:space="0" w:color="000000"/>
              </w:divBdr>
            </w:div>
            <w:div w:id="1292244967">
              <w:marLeft w:val="0"/>
              <w:marRight w:val="0"/>
              <w:marTop w:val="0"/>
              <w:marBottom w:val="0"/>
              <w:divBdr>
                <w:top w:val="single" w:sz="2" w:space="0" w:color="000000"/>
                <w:left w:val="single" w:sz="2" w:space="0" w:color="000000"/>
                <w:bottom w:val="single" w:sz="2" w:space="0" w:color="000000"/>
                <w:right w:val="single" w:sz="2" w:space="0" w:color="000000"/>
              </w:divBdr>
            </w:div>
            <w:div w:id="2042051377">
              <w:marLeft w:val="0"/>
              <w:marRight w:val="0"/>
              <w:marTop w:val="0"/>
              <w:marBottom w:val="0"/>
              <w:divBdr>
                <w:top w:val="single" w:sz="2" w:space="0" w:color="000000"/>
                <w:left w:val="single" w:sz="2" w:space="0" w:color="000000"/>
                <w:bottom w:val="single" w:sz="2" w:space="0" w:color="000000"/>
                <w:right w:val="single" w:sz="2" w:space="0" w:color="000000"/>
              </w:divBdr>
            </w:div>
            <w:div w:id="1856073424">
              <w:marLeft w:val="0"/>
              <w:marRight w:val="0"/>
              <w:marTop w:val="0"/>
              <w:marBottom w:val="0"/>
              <w:divBdr>
                <w:top w:val="single" w:sz="2" w:space="0" w:color="000000"/>
                <w:left w:val="single" w:sz="2" w:space="0" w:color="000000"/>
                <w:bottom w:val="single" w:sz="2" w:space="0" w:color="000000"/>
                <w:right w:val="single" w:sz="2" w:space="0" w:color="000000"/>
              </w:divBdr>
            </w:div>
            <w:div w:id="936718595">
              <w:marLeft w:val="0"/>
              <w:marRight w:val="0"/>
              <w:marTop w:val="0"/>
              <w:marBottom w:val="0"/>
              <w:divBdr>
                <w:top w:val="single" w:sz="2" w:space="0" w:color="000000"/>
                <w:left w:val="single" w:sz="2" w:space="0" w:color="000000"/>
                <w:bottom w:val="single" w:sz="2" w:space="0" w:color="000000"/>
                <w:right w:val="single" w:sz="2" w:space="0" w:color="000000"/>
              </w:divBdr>
            </w:div>
            <w:div w:id="1265649654">
              <w:marLeft w:val="0"/>
              <w:marRight w:val="0"/>
              <w:marTop w:val="0"/>
              <w:marBottom w:val="0"/>
              <w:divBdr>
                <w:top w:val="single" w:sz="2" w:space="0" w:color="000000"/>
                <w:left w:val="single" w:sz="2" w:space="0" w:color="000000"/>
                <w:bottom w:val="single" w:sz="2" w:space="0" w:color="000000"/>
                <w:right w:val="single" w:sz="2" w:space="0" w:color="000000"/>
              </w:divBdr>
            </w:div>
            <w:div w:id="1172453841">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1855221715">
      <w:bodyDiv w:val="1"/>
      <w:marLeft w:val="0"/>
      <w:marRight w:val="0"/>
      <w:marTop w:val="0"/>
      <w:marBottom w:val="0"/>
      <w:divBdr>
        <w:top w:val="none" w:sz="0" w:space="0" w:color="auto"/>
        <w:left w:val="none" w:sz="0" w:space="0" w:color="auto"/>
        <w:bottom w:val="none" w:sz="0" w:space="0" w:color="auto"/>
        <w:right w:val="none" w:sz="0" w:space="0" w:color="auto"/>
      </w:divBdr>
      <w:divsChild>
        <w:div w:id="1400178348">
          <w:marLeft w:val="0"/>
          <w:marRight w:val="0"/>
          <w:marTop w:val="0"/>
          <w:marBottom w:val="0"/>
          <w:divBdr>
            <w:top w:val="none" w:sz="0" w:space="0" w:color="auto"/>
            <w:left w:val="none" w:sz="0" w:space="0" w:color="auto"/>
            <w:bottom w:val="none" w:sz="0" w:space="0" w:color="auto"/>
            <w:right w:val="none" w:sz="0" w:space="0" w:color="auto"/>
          </w:divBdr>
        </w:div>
      </w:divsChild>
    </w:div>
    <w:div w:id="1861312533">
      <w:bodyDiv w:val="1"/>
      <w:marLeft w:val="0"/>
      <w:marRight w:val="0"/>
      <w:marTop w:val="0"/>
      <w:marBottom w:val="0"/>
      <w:divBdr>
        <w:top w:val="none" w:sz="0" w:space="0" w:color="auto"/>
        <w:left w:val="none" w:sz="0" w:space="0" w:color="auto"/>
        <w:bottom w:val="none" w:sz="0" w:space="0" w:color="auto"/>
        <w:right w:val="none" w:sz="0" w:space="0" w:color="auto"/>
      </w:divBdr>
      <w:divsChild>
        <w:div w:id="449862085">
          <w:marLeft w:val="0"/>
          <w:marRight w:val="0"/>
          <w:marTop w:val="0"/>
          <w:marBottom w:val="0"/>
          <w:divBdr>
            <w:top w:val="none" w:sz="0" w:space="0" w:color="auto"/>
            <w:left w:val="none" w:sz="0" w:space="0" w:color="auto"/>
            <w:bottom w:val="none" w:sz="0" w:space="0" w:color="auto"/>
            <w:right w:val="none" w:sz="0" w:space="0" w:color="auto"/>
          </w:divBdr>
        </w:div>
      </w:divsChild>
    </w:div>
    <w:div w:id="1868062566">
      <w:bodyDiv w:val="1"/>
      <w:marLeft w:val="0"/>
      <w:marRight w:val="0"/>
      <w:marTop w:val="0"/>
      <w:marBottom w:val="0"/>
      <w:divBdr>
        <w:top w:val="none" w:sz="0" w:space="0" w:color="auto"/>
        <w:left w:val="none" w:sz="0" w:space="0" w:color="auto"/>
        <w:bottom w:val="none" w:sz="0" w:space="0" w:color="auto"/>
        <w:right w:val="none" w:sz="0" w:space="0" w:color="auto"/>
      </w:divBdr>
      <w:divsChild>
        <w:div w:id="1742748499">
          <w:marLeft w:val="0"/>
          <w:marRight w:val="0"/>
          <w:marTop w:val="0"/>
          <w:marBottom w:val="0"/>
          <w:divBdr>
            <w:top w:val="none" w:sz="0" w:space="0" w:color="auto"/>
            <w:left w:val="none" w:sz="0" w:space="0" w:color="auto"/>
            <w:bottom w:val="none" w:sz="0" w:space="0" w:color="auto"/>
            <w:right w:val="none" w:sz="0" w:space="0" w:color="auto"/>
          </w:divBdr>
        </w:div>
      </w:divsChild>
    </w:div>
    <w:div w:id="1878160187">
      <w:bodyDiv w:val="1"/>
      <w:marLeft w:val="0"/>
      <w:marRight w:val="0"/>
      <w:marTop w:val="0"/>
      <w:marBottom w:val="0"/>
      <w:divBdr>
        <w:top w:val="none" w:sz="0" w:space="0" w:color="auto"/>
        <w:left w:val="none" w:sz="0" w:space="0" w:color="auto"/>
        <w:bottom w:val="none" w:sz="0" w:space="0" w:color="auto"/>
        <w:right w:val="none" w:sz="0" w:space="0" w:color="auto"/>
      </w:divBdr>
      <w:divsChild>
        <w:div w:id="114754937">
          <w:marLeft w:val="0"/>
          <w:marRight w:val="0"/>
          <w:marTop w:val="0"/>
          <w:marBottom w:val="300"/>
          <w:divBdr>
            <w:top w:val="single" w:sz="2" w:space="0" w:color="000000"/>
            <w:left w:val="single" w:sz="2" w:space="0" w:color="000000"/>
            <w:bottom w:val="single" w:sz="2" w:space="0" w:color="000000"/>
            <w:right w:val="single" w:sz="2" w:space="0" w:color="000000"/>
          </w:divBdr>
        </w:div>
        <w:div w:id="1801335938">
          <w:marLeft w:val="0"/>
          <w:marRight w:val="0"/>
          <w:marTop w:val="0"/>
          <w:marBottom w:val="300"/>
          <w:divBdr>
            <w:top w:val="single" w:sz="2" w:space="0" w:color="000000"/>
            <w:left w:val="single" w:sz="2" w:space="0" w:color="000000"/>
            <w:bottom w:val="single" w:sz="2" w:space="0" w:color="000000"/>
            <w:right w:val="single" w:sz="2" w:space="0" w:color="000000"/>
          </w:divBdr>
        </w:div>
      </w:divsChild>
    </w:div>
    <w:div w:id="1894274765">
      <w:bodyDiv w:val="1"/>
      <w:marLeft w:val="0"/>
      <w:marRight w:val="0"/>
      <w:marTop w:val="0"/>
      <w:marBottom w:val="0"/>
      <w:divBdr>
        <w:top w:val="none" w:sz="0" w:space="0" w:color="auto"/>
        <w:left w:val="none" w:sz="0" w:space="0" w:color="auto"/>
        <w:bottom w:val="none" w:sz="0" w:space="0" w:color="auto"/>
        <w:right w:val="none" w:sz="0" w:space="0" w:color="auto"/>
      </w:divBdr>
      <w:divsChild>
        <w:div w:id="350107354">
          <w:marLeft w:val="0"/>
          <w:marRight w:val="0"/>
          <w:marTop w:val="0"/>
          <w:marBottom w:val="0"/>
          <w:divBdr>
            <w:top w:val="none" w:sz="0" w:space="0" w:color="auto"/>
            <w:left w:val="none" w:sz="0" w:space="0" w:color="auto"/>
            <w:bottom w:val="none" w:sz="0" w:space="0" w:color="auto"/>
            <w:right w:val="none" w:sz="0" w:space="0" w:color="auto"/>
          </w:divBdr>
        </w:div>
      </w:divsChild>
    </w:div>
    <w:div w:id="1907300617">
      <w:bodyDiv w:val="1"/>
      <w:marLeft w:val="0"/>
      <w:marRight w:val="0"/>
      <w:marTop w:val="0"/>
      <w:marBottom w:val="0"/>
      <w:divBdr>
        <w:top w:val="none" w:sz="0" w:space="0" w:color="auto"/>
        <w:left w:val="none" w:sz="0" w:space="0" w:color="auto"/>
        <w:bottom w:val="none" w:sz="0" w:space="0" w:color="auto"/>
        <w:right w:val="none" w:sz="0" w:space="0" w:color="auto"/>
      </w:divBdr>
      <w:divsChild>
        <w:div w:id="979074113">
          <w:marLeft w:val="0"/>
          <w:marRight w:val="0"/>
          <w:marTop w:val="0"/>
          <w:marBottom w:val="0"/>
          <w:divBdr>
            <w:top w:val="none" w:sz="0" w:space="0" w:color="auto"/>
            <w:left w:val="none" w:sz="0" w:space="0" w:color="auto"/>
            <w:bottom w:val="none" w:sz="0" w:space="0" w:color="auto"/>
            <w:right w:val="none" w:sz="0" w:space="0" w:color="auto"/>
          </w:divBdr>
        </w:div>
      </w:divsChild>
    </w:div>
    <w:div w:id="1916895227">
      <w:bodyDiv w:val="1"/>
      <w:marLeft w:val="0"/>
      <w:marRight w:val="0"/>
      <w:marTop w:val="0"/>
      <w:marBottom w:val="0"/>
      <w:divBdr>
        <w:top w:val="none" w:sz="0" w:space="0" w:color="auto"/>
        <w:left w:val="none" w:sz="0" w:space="0" w:color="auto"/>
        <w:bottom w:val="none" w:sz="0" w:space="0" w:color="auto"/>
        <w:right w:val="none" w:sz="0" w:space="0" w:color="auto"/>
      </w:divBdr>
      <w:divsChild>
        <w:div w:id="1999768686">
          <w:marLeft w:val="0"/>
          <w:marRight w:val="0"/>
          <w:marTop w:val="0"/>
          <w:marBottom w:val="0"/>
          <w:divBdr>
            <w:top w:val="none" w:sz="0" w:space="0" w:color="auto"/>
            <w:left w:val="none" w:sz="0" w:space="0" w:color="auto"/>
            <w:bottom w:val="none" w:sz="0" w:space="0" w:color="auto"/>
            <w:right w:val="none" w:sz="0" w:space="0" w:color="auto"/>
          </w:divBdr>
        </w:div>
      </w:divsChild>
    </w:div>
    <w:div w:id="1984507892">
      <w:bodyDiv w:val="1"/>
      <w:marLeft w:val="0"/>
      <w:marRight w:val="0"/>
      <w:marTop w:val="0"/>
      <w:marBottom w:val="0"/>
      <w:divBdr>
        <w:top w:val="none" w:sz="0" w:space="0" w:color="auto"/>
        <w:left w:val="none" w:sz="0" w:space="0" w:color="auto"/>
        <w:bottom w:val="none" w:sz="0" w:space="0" w:color="auto"/>
        <w:right w:val="none" w:sz="0" w:space="0" w:color="auto"/>
      </w:divBdr>
      <w:divsChild>
        <w:div w:id="1411657844">
          <w:marLeft w:val="0"/>
          <w:marRight w:val="0"/>
          <w:marTop w:val="0"/>
          <w:marBottom w:val="0"/>
          <w:divBdr>
            <w:top w:val="none" w:sz="0" w:space="0" w:color="auto"/>
            <w:left w:val="none" w:sz="0" w:space="0" w:color="auto"/>
            <w:bottom w:val="none" w:sz="0" w:space="0" w:color="auto"/>
            <w:right w:val="none" w:sz="0" w:space="0" w:color="auto"/>
          </w:divBdr>
        </w:div>
      </w:divsChild>
    </w:div>
    <w:div w:id="1986202075">
      <w:bodyDiv w:val="1"/>
      <w:marLeft w:val="0"/>
      <w:marRight w:val="0"/>
      <w:marTop w:val="0"/>
      <w:marBottom w:val="0"/>
      <w:divBdr>
        <w:top w:val="none" w:sz="0" w:space="0" w:color="auto"/>
        <w:left w:val="none" w:sz="0" w:space="0" w:color="auto"/>
        <w:bottom w:val="none" w:sz="0" w:space="0" w:color="auto"/>
        <w:right w:val="none" w:sz="0" w:space="0" w:color="auto"/>
      </w:divBdr>
      <w:divsChild>
        <w:div w:id="803471600">
          <w:marLeft w:val="0"/>
          <w:marRight w:val="0"/>
          <w:marTop w:val="0"/>
          <w:marBottom w:val="0"/>
          <w:divBdr>
            <w:top w:val="none" w:sz="0" w:space="0" w:color="auto"/>
            <w:left w:val="none" w:sz="0" w:space="0" w:color="auto"/>
            <w:bottom w:val="none" w:sz="0" w:space="0" w:color="auto"/>
            <w:right w:val="none" w:sz="0" w:space="0" w:color="auto"/>
          </w:divBdr>
        </w:div>
      </w:divsChild>
    </w:div>
    <w:div w:id="1991402565">
      <w:bodyDiv w:val="1"/>
      <w:marLeft w:val="0"/>
      <w:marRight w:val="0"/>
      <w:marTop w:val="0"/>
      <w:marBottom w:val="0"/>
      <w:divBdr>
        <w:top w:val="none" w:sz="0" w:space="0" w:color="auto"/>
        <w:left w:val="none" w:sz="0" w:space="0" w:color="auto"/>
        <w:bottom w:val="none" w:sz="0" w:space="0" w:color="auto"/>
        <w:right w:val="none" w:sz="0" w:space="0" w:color="auto"/>
      </w:divBdr>
      <w:divsChild>
        <w:div w:id="232546304">
          <w:marLeft w:val="0"/>
          <w:marRight w:val="0"/>
          <w:marTop w:val="0"/>
          <w:marBottom w:val="0"/>
          <w:divBdr>
            <w:top w:val="none" w:sz="0" w:space="0" w:color="auto"/>
            <w:left w:val="none" w:sz="0" w:space="0" w:color="auto"/>
            <w:bottom w:val="none" w:sz="0" w:space="0" w:color="auto"/>
            <w:right w:val="none" w:sz="0" w:space="0" w:color="auto"/>
          </w:divBdr>
        </w:div>
      </w:divsChild>
    </w:div>
    <w:div w:id="2034651736">
      <w:bodyDiv w:val="1"/>
      <w:marLeft w:val="0"/>
      <w:marRight w:val="0"/>
      <w:marTop w:val="0"/>
      <w:marBottom w:val="0"/>
      <w:divBdr>
        <w:top w:val="none" w:sz="0" w:space="0" w:color="auto"/>
        <w:left w:val="none" w:sz="0" w:space="0" w:color="auto"/>
        <w:bottom w:val="none" w:sz="0" w:space="0" w:color="auto"/>
        <w:right w:val="none" w:sz="0" w:space="0" w:color="auto"/>
      </w:divBdr>
      <w:divsChild>
        <w:div w:id="532612947">
          <w:marLeft w:val="0"/>
          <w:marRight w:val="0"/>
          <w:marTop w:val="0"/>
          <w:marBottom w:val="0"/>
          <w:divBdr>
            <w:top w:val="none" w:sz="0" w:space="0" w:color="auto"/>
            <w:left w:val="none" w:sz="0" w:space="0" w:color="auto"/>
            <w:bottom w:val="none" w:sz="0" w:space="0" w:color="auto"/>
            <w:right w:val="none" w:sz="0" w:space="0" w:color="auto"/>
          </w:divBdr>
        </w:div>
      </w:divsChild>
    </w:div>
    <w:div w:id="2041780126">
      <w:bodyDiv w:val="1"/>
      <w:marLeft w:val="0"/>
      <w:marRight w:val="0"/>
      <w:marTop w:val="0"/>
      <w:marBottom w:val="0"/>
      <w:divBdr>
        <w:top w:val="none" w:sz="0" w:space="0" w:color="auto"/>
        <w:left w:val="none" w:sz="0" w:space="0" w:color="auto"/>
        <w:bottom w:val="none" w:sz="0" w:space="0" w:color="auto"/>
        <w:right w:val="none" w:sz="0" w:space="0" w:color="auto"/>
      </w:divBdr>
      <w:divsChild>
        <w:div w:id="1101955054">
          <w:marLeft w:val="0"/>
          <w:marRight w:val="0"/>
          <w:marTop w:val="0"/>
          <w:marBottom w:val="0"/>
          <w:divBdr>
            <w:top w:val="none" w:sz="0" w:space="0" w:color="auto"/>
            <w:left w:val="none" w:sz="0" w:space="0" w:color="auto"/>
            <w:bottom w:val="none" w:sz="0" w:space="0" w:color="auto"/>
            <w:right w:val="none" w:sz="0" w:space="0" w:color="auto"/>
          </w:divBdr>
        </w:div>
      </w:divsChild>
    </w:div>
    <w:div w:id="2062442998">
      <w:bodyDiv w:val="1"/>
      <w:marLeft w:val="0"/>
      <w:marRight w:val="0"/>
      <w:marTop w:val="0"/>
      <w:marBottom w:val="0"/>
      <w:divBdr>
        <w:top w:val="none" w:sz="0" w:space="0" w:color="auto"/>
        <w:left w:val="none" w:sz="0" w:space="0" w:color="auto"/>
        <w:bottom w:val="none" w:sz="0" w:space="0" w:color="auto"/>
        <w:right w:val="none" w:sz="0" w:space="0" w:color="auto"/>
      </w:divBdr>
    </w:div>
    <w:div w:id="2074892203">
      <w:bodyDiv w:val="1"/>
      <w:marLeft w:val="0"/>
      <w:marRight w:val="0"/>
      <w:marTop w:val="0"/>
      <w:marBottom w:val="0"/>
      <w:divBdr>
        <w:top w:val="none" w:sz="0" w:space="0" w:color="auto"/>
        <w:left w:val="none" w:sz="0" w:space="0" w:color="auto"/>
        <w:bottom w:val="none" w:sz="0" w:space="0" w:color="auto"/>
        <w:right w:val="none" w:sz="0" w:space="0" w:color="auto"/>
      </w:divBdr>
      <w:divsChild>
        <w:div w:id="344484181">
          <w:marLeft w:val="0"/>
          <w:marRight w:val="0"/>
          <w:marTop w:val="0"/>
          <w:marBottom w:val="0"/>
          <w:divBdr>
            <w:top w:val="none" w:sz="0" w:space="0" w:color="auto"/>
            <w:left w:val="none" w:sz="0" w:space="0" w:color="auto"/>
            <w:bottom w:val="none" w:sz="0" w:space="0" w:color="auto"/>
            <w:right w:val="none" w:sz="0" w:space="0" w:color="auto"/>
          </w:divBdr>
        </w:div>
      </w:divsChild>
    </w:div>
    <w:div w:id="2078166374">
      <w:bodyDiv w:val="1"/>
      <w:marLeft w:val="0"/>
      <w:marRight w:val="0"/>
      <w:marTop w:val="0"/>
      <w:marBottom w:val="0"/>
      <w:divBdr>
        <w:top w:val="none" w:sz="0" w:space="0" w:color="auto"/>
        <w:left w:val="none" w:sz="0" w:space="0" w:color="auto"/>
        <w:bottom w:val="none" w:sz="0" w:space="0" w:color="auto"/>
        <w:right w:val="none" w:sz="0" w:space="0" w:color="auto"/>
      </w:divBdr>
      <w:divsChild>
        <w:div w:id="610404899">
          <w:marLeft w:val="0"/>
          <w:marRight w:val="0"/>
          <w:marTop w:val="0"/>
          <w:marBottom w:val="0"/>
          <w:divBdr>
            <w:top w:val="none" w:sz="0" w:space="0" w:color="auto"/>
            <w:left w:val="none" w:sz="0" w:space="0" w:color="auto"/>
            <w:bottom w:val="none" w:sz="0" w:space="0" w:color="auto"/>
            <w:right w:val="none" w:sz="0" w:space="0" w:color="auto"/>
          </w:divBdr>
        </w:div>
      </w:divsChild>
    </w:div>
    <w:div w:id="2079863805">
      <w:bodyDiv w:val="1"/>
      <w:marLeft w:val="0"/>
      <w:marRight w:val="0"/>
      <w:marTop w:val="0"/>
      <w:marBottom w:val="0"/>
      <w:divBdr>
        <w:top w:val="none" w:sz="0" w:space="0" w:color="auto"/>
        <w:left w:val="none" w:sz="0" w:space="0" w:color="auto"/>
        <w:bottom w:val="none" w:sz="0" w:space="0" w:color="auto"/>
        <w:right w:val="none" w:sz="0" w:space="0" w:color="auto"/>
      </w:divBdr>
      <w:divsChild>
        <w:div w:id="1663242581">
          <w:marLeft w:val="0"/>
          <w:marRight w:val="0"/>
          <w:marTop w:val="0"/>
          <w:marBottom w:val="0"/>
          <w:divBdr>
            <w:top w:val="none" w:sz="0" w:space="0" w:color="auto"/>
            <w:left w:val="none" w:sz="0" w:space="0" w:color="auto"/>
            <w:bottom w:val="none" w:sz="0" w:space="0" w:color="auto"/>
            <w:right w:val="none" w:sz="0" w:space="0" w:color="auto"/>
          </w:divBdr>
        </w:div>
      </w:divsChild>
    </w:div>
    <w:div w:id="2083258851">
      <w:bodyDiv w:val="1"/>
      <w:marLeft w:val="0"/>
      <w:marRight w:val="0"/>
      <w:marTop w:val="0"/>
      <w:marBottom w:val="0"/>
      <w:divBdr>
        <w:top w:val="none" w:sz="0" w:space="0" w:color="auto"/>
        <w:left w:val="none" w:sz="0" w:space="0" w:color="auto"/>
        <w:bottom w:val="none" w:sz="0" w:space="0" w:color="auto"/>
        <w:right w:val="none" w:sz="0" w:space="0" w:color="auto"/>
      </w:divBdr>
      <w:divsChild>
        <w:div w:id="325323339">
          <w:marLeft w:val="0"/>
          <w:marRight w:val="0"/>
          <w:marTop w:val="0"/>
          <w:marBottom w:val="0"/>
          <w:divBdr>
            <w:top w:val="none" w:sz="0" w:space="0" w:color="auto"/>
            <w:left w:val="none" w:sz="0" w:space="0" w:color="auto"/>
            <w:bottom w:val="none" w:sz="0" w:space="0" w:color="auto"/>
            <w:right w:val="none" w:sz="0" w:space="0" w:color="auto"/>
          </w:divBdr>
        </w:div>
      </w:divsChild>
    </w:div>
    <w:div w:id="2092315931">
      <w:bodyDiv w:val="1"/>
      <w:marLeft w:val="0"/>
      <w:marRight w:val="0"/>
      <w:marTop w:val="0"/>
      <w:marBottom w:val="0"/>
      <w:divBdr>
        <w:top w:val="none" w:sz="0" w:space="0" w:color="auto"/>
        <w:left w:val="none" w:sz="0" w:space="0" w:color="auto"/>
        <w:bottom w:val="none" w:sz="0" w:space="0" w:color="auto"/>
        <w:right w:val="none" w:sz="0" w:space="0" w:color="auto"/>
      </w:divBdr>
      <w:divsChild>
        <w:div w:id="22099132">
          <w:marLeft w:val="0"/>
          <w:marRight w:val="0"/>
          <w:marTop w:val="0"/>
          <w:marBottom w:val="300"/>
          <w:divBdr>
            <w:top w:val="single" w:sz="2" w:space="0" w:color="000000"/>
            <w:left w:val="single" w:sz="2" w:space="0" w:color="000000"/>
            <w:bottom w:val="single" w:sz="2" w:space="0" w:color="000000"/>
            <w:right w:val="single" w:sz="2" w:space="0" w:color="000000"/>
          </w:divBdr>
        </w:div>
        <w:div w:id="217130981">
          <w:marLeft w:val="0"/>
          <w:marRight w:val="0"/>
          <w:marTop w:val="0"/>
          <w:marBottom w:val="300"/>
          <w:divBdr>
            <w:top w:val="single" w:sz="2" w:space="0" w:color="000000"/>
            <w:left w:val="single" w:sz="2" w:space="0" w:color="000000"/>
            <w:bottom w:val="single" w:sz="2" w:space="0" w:color="000000"/>
            <w:right w:val="single" w:sz="2" w:space="0" w:color="000000"/>
          </w:divBdr>
        </w:div>
        <w:div w:id="639193324">
          <w:marLeft w:val="0"/>
          <w:marRight w:val="0"/>
          <w:marTop w:val="0"/>
          <w:marBottom w:val="300"/>
          <w:divBdr>
            <w:top w:val="single" w:sz="2" w:space="0" w:color="000000"/>
            <w:left w:val="single" w:sz="2" w:space="0" w:color="000000"/>
            <w:bottom w:val="single" w:sz="2" w:space="0" w:color="000000"/>
            <w:right w:val="single" w:sz="2" w:space="0" w:color="000000"/>
          </w:divBdr>
        </w:div>
        <w:div w:id="995492768">
          <w:marLeft w:val="0"/>
          <w:marRight w:val="0"/>
          <w:marTop w:val="0"/>
          <w:marBottom w:val="300"/>
          <w:divBdr>
            <w:top w:val="single" w:sz="2" w:space="0" w:color="000000"/>
            <w:left w:val="single" w:sz="2" w:space="0" w:color="000000"/>
            <w:bottom w:val="single" w:sz="2" w:space="0" w:color="000000"/>
            <w:right w:val="single" w:sz="2" w:space="0" w:color="000000"/>
          </w:divBdr>
        </w:div>
      </w:divsChild>
    </w:div>
    <w:div w:id="2114543980">
      <w:bodyDiv w:val="1"/>
      <w:marLeft w:val="0"/>
      <w:marRight w:val="0"/>
      <w:marTop w:val="0"/>
      <w:marBottom w:val="0"/>
      <w:divBdr>
        <w:top w:val="none" w:sz="0" w:space="0" w:color="auto"/>
        <w:left w:val="none" w:sz="0" w:space="0" w:color="auto"/>
        <w:bottom w:val="none" w:sz="0" w:space="0" w:color="auto"/>
        <w:right w:val="none" w:sz="0" w:space="0" w:color="auto"/>
      </w:divBdr>
      <w:divsChild>
        <w:div w:id="1625113378">
          <w:marLeft w:val="0"/>
          <w:marRight w:val="0"/>
          <w:marTop w:val="0"/>
          <w:marBottom w:val="0"/>
          <w:divBdr>
            <w:top w:val="none" w:sz="0" w:space="0" w:color="auto"/>
            <w:left w:val="none" w:sz="0" w:space="0" w:color="auto"/>
            <w:bottom w:val="none" w:sz="0" w:space="0" w:color="auto"/>
            <w:right w:val="none" w:sz="0" w:space="0" w:color="auto"/>
          </w:divBdr>
        </w:div>
      </w:divsChild>
    </w:div>
    <w:div w:id="2119374664">
      <w:bodyDiv w:val="1"/>
      <w:marLeft w:val="0"/>
      <w:marRight w:val="0"/>
      <w:marTop w:val="0"/>
      <w:marBottom w:val="0"/>
      <w:divBdr>
        <w:top w:val="none" w:sz="0" w:space="0" w:color="auto"/>
        <w:left w:val="none" w:sz="0" w:space="0" w:color="auto"/>
        <w:bottom w:val="none" w:sz="0" w:space="0" w:color="auto"/>
        <w:right w:val="none" w:sz="0" w:space="0" w:color="auto"/>
      </w:divBdr>
      <w:divsChild>
        <w:div w:id="297722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https://www.censtatd.gov.hk/en/EIndexbySubject.html?scode=270&amp;pcode=FA100025" TargetMode="External"/><Relationship Id="rId26" Type="http://schemas.openxmlformats.org/officeDocument/2006/relationships/hyperlink" Target="https://www.imf.org/en/Publications/WEO" TargetMode="External"/><Relationship Id="rId3" Type="http://schemas.openxmlformats.org/officeDocument/2006/relationships/styles" Target="styles.xml"/><Relationship Id="rId21" Type="http://schemas.openxmlformats.org/officeDocument/2006/relationships/hyperlink" Target="https://www.censtatd.gov.hk/en/web_table.html?id=620-67012"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censtatd.gov.hk/en/web_table.html?id=620-67012" TargetMode="External"/><Relationship Id="rId17" Type="http://schemas.openxmlformats.org/officeDocument/2006/relationships/hyperlink" Target="https://www.investopedia.com/terms/c/consumerpriceindex.asp" TargetMode="External"/><Relationship Id="rId25" Type="http://schemas.openxmlformats.org/officeDocument/2006/relationships/hyperlink" Target="https://www.tsmc.com/english/investorRelations/annual_reports.ht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186/s40359-024-02083-z" TargetMode="External"/><Relationship Id="rId20" Type="http://schemas.openxmlformats.org/officeDocument/2006/relationships/hyperlink" Target="https://www.censtatd.gov.hk/en/wbr.html?ecode=B10800032024MM11&amp;scode=530" TargetMode="External"/><Relationship Id="rId29" Type="http://schemas.openxmlformats.org/officeDocument/2006/relationships/hyperlink" Target="https://doi.org/10.1504/ijmc.2022.1004187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home.hktdc.com/en/factsheet/MC45NTY2NzMz_EFAE2023" TargetMode="External"/><Relationship Id="rId32" Type="http://schemas.openxmlformats.org/officeDocument/2006/relationships/hyperlink" Target="https://investor.tsmc.com/static/annualReports/2023/english/index.html" TargetMode="External"/><Relationship Id="rId5" Type="http://schemas.openxmlformats.org/officeDocument/2006/relationships/webSettings" Target="webSettings.xml"/><Relationship Id="rId15" Type="http://schemas.openxmlformats.org/officeDocument/2006/relationships/hyperlink" Target="https://www.mckinsey.com/industries/retail/our-insights/navigating-inflation-in-retail-six-actions-for-retailers" TargetMode="External"/><Relationship Id="rId23" Type="http://schemas.openxmlformats.org/officeDocument/2006/relationships/hyperlink" Target="https://eng.dgbas.gov.tw/" TargetMode="External"/><Relationship Id="rId28" Type="http://schemas.openxmlformats.org/officeDocument/2006/relationships/hyperlink" Target="https://doi.org/10.1051/ro/2023066" TargetMode="External"/><Relationship Id="rId10" Type="http://schemas.openxmlformats.org/officeDocument/2006/relationships/footer" Target="footer2.xml"/><Relationship Id="rId19" Type="http://schemas.openxmlformats.org/officeDocument/2006/relationships/hyperlink" Target="https://www.censtatd.gov.hk/en/page_1273.html" TargetMode="External"/><Relationship Id="rId31" Type="http://schemas.openxmlformats.org/officeDocument/2006/relationships/hyperlink" Target="https://doi.org/10.1007/978-981-99-6101-6_7"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jpeg"/><Relationship Id="rId22" Type="http://schemas.openxmlformats.org/officeDocument/2006/relationships/hyperlink" Target="https://api.taylorfrancis.com/content/books/mono/download?identifierName=doi&amp;identifierValue=10.4324/9781315287850&amp;type=googlepdf" TargetMode="External"/><Relationship Id="rId27" Type="http://schemas.openxmlformats.org/officeDocument/2006/relationships/hyperlink" Target="https://data.imf.org/regular.aspx?key=61545857" TargetMode="External"/><Relationship Id="rId30" Type="http://schemas.openxmlformats.org/officeDocument/2006/relationships/hyperlink" Target="https://www.aeaweb.org/doi/10.1257/pandp.20201036"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F6E2F70-F0F0-4596-8B82-430849D5E5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29</Pages>
  <Words>6140</Words>
  <Characters>38779</Characters>
  <Application>Microsoft Office Word</Application>
  <DocSecurity>0</DocSecurity>
  <Lines>323</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44830</CharactersWithSpaces>
  <SharedDoc>false</SharedDoc>
  <HLinks>
    <vt:vector size="6" baseType="variant">
      <vt:variant>
        <vt:i4>3735643</vt:i4>
      </vt:variant>
      <vt:variant>
        <vt:i4>-1</vt:i4>
      </vt:variant>
      <vt:variant>
        <vt:i4>1177</vt:i4>
      </vt:variant>
      <vt:variant>
        <vt:i4>1</vt:i4>
      </vt:variant>
      <vt:variant>
        <vt:lpwstr>cid:image001.png@01D0EA4A.2BD679A0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Jay Lee</dc:creator>
  <cp:lastModifiedBy>Jay Lee</cp:lastModifiedBy>
  <cp:revision>11</cp:revision>
  <dcterms:created xsi:type="dcterms:W3CDTF">2025-03-10T10:06:00Z</dcterms:created>
  <dcterms:modified xsi:type="dcterms:W3CDTF">2025-03-10T10:20:00Z</dcterms:modified>
</cp:coreProperties>
</file>